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8B" w:rsidRDefault="00640F08" w:rsidP="00640F08">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B6EB60B-D32F-49BF-A42E-25ACCB188A21" style="width:450.75pt;height:489pt">
            <v:imagedata r:id="rId12" o:title=""/>
          </v:shape>
        </w:pict>
      </w:r>
      <w:bookmarkEnd w:id="0"/>
    </w:p>
    <w:p w:rsidR="000B688B" w:rsidRDefault="000B688B">
      <w:pPr>
        <w:rPr>
          <w:noProof/>
        </w:rPr>
        <w:sectPr w:rsidR="000B688B" w:rsidSect="00640F0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0B688B" w:rsidRDefault="00640F08">
      <w:pPr>
        <w:pStyle w:val="Exposdesmotifstitre"/>
        <w:rPr>
          <w:noProof/>
        </w:rPr>
      </w:pPr>
      <w:r>
        <w:rPr>
          <w:noProof/>
        </w:rPr>
        <w:lastRenderedPageBreak/>
        <w:t>ОБЯСНИТЕЛЕН МЕМОРАНДУМ</w:t>
      </w:r>
    </w:p>
    <w:p w:rsidR="000B688B" w:rsidRDefault="00640F08">
      <w:pPr>
        <w:pStyle w:val="ManualHeading1"/>
        <w:rPr>
          <w:noProof/>
        </w:rPr>
      </w:pPr>
      <w:r>
        <w:rPr>
          <w:noProof/>
        </w:rPr>
        <w:t>1.</w:t>
      </w:r>
      <w:r>
        <w:rPr>
          <w:noProof/>
        </w:rPr>
        <w:tab/>
        <w:t>КОНТЕКСТ НА ПРЕДЛОЖЕНИЕТО</w:t>
      </w:r>
    </w:p>
    <w:p w:rsidR="000B688B" w:rsidRDefault="00640F08">
      <w:pPr>
        <w:pStyle w:val="ManualHeading2"/>
        <w:rPr>
          <w:rFonts w:eastAsia="Arial Unicode MS"/>
          <w:noProof/>
          <w:u w:color="000000"/>
          <w:bdr w:val="nil"/>
        </w:rPr>
      </w:pPr>
      <w:r>
        <w:rPr>
          <w:noProof/>
        </w:rPr>
        <w:t>•</w:t>
      </w:r>
      <w:r>
        <w:rPr>
          <w:noProof/>
        </w:rPr>
        <w:tab/>
        <w:t>Основания и цели</w:t>
      </w:r>
    </w:p>
    <w:p w:rsidR="000B688B" w:rsidRDefault="00640F08">
      <w:pPr>
        <w:pBdr>
          <w:top w:val="nil"/>
          <w:left w:val="nil"/>
          <w:bottom w:val="nil"/>
          <w:right w:val="nil"/>
          <w:between w:val="nil"/>
          <w:bar w:val="nil"/>
        </w:pBdr>
        <w:spacing w:before="0" w:after="240"/>
        <w:rPr>
          <w:noProof/>
          <w:szCs w:val="24"/>
        </w:rPr>
      </w:pPr>
      <w:r>
        <w:rPr>
          <w:noProof/>
        </w:rPr>
        <w:t xml:space="preserve">През последните десет години геополитическият контекст на ЕС се промени коренно. </w:t>
      </w:r>
      <w:r>
        <w:rPr>
          <w:noProof/>
        </w:rPr>
        <w:t>Положението в съседните му региони е нестабилно, а ЕС е изправен пред сложна, изпълнена с предизвикателства среда, в която се появяват нови заплахи, като хибридните и кибернетичните атаки, и се завръщат други по-конвенционални проблеми.</w:t>
      </w:r>
    </w:p>
    <w:p w:rsidR="000B688B" w:rsidRDefault="00640F08">
      <w:pPr>
        <w:pBdr>
          <w:top w:val="nil"/>
          <w:left w:val="nil"/>
          <w:bottom w:val="nil"/>
          <w:right w:val="nil"/>
          <w:between w:val="nil"/>
          <w:bar w:val="nil"/>
        </w:pBdr>
        <w:spacing w:before="0" w:after="240"/>
        <w:rPr>
          <w:noProof/>
          <w:szCs w:val="24"/>
        </w:rPr>
      </w:pPr>
      <w:r>
        <w:rPr>
          <w:noProof/>
        </w:rPr>
        <w:t xml:space="preserve">Гражданите на ЕС и </w:t>
      </w:r>
      <w:r>
        <w:rPr>
          <w:noProof/>
        </w:rPr>
        <w:t>техните политически лидери са единни в мнението си, че ЕС следва колективно да поема по-голяма отговорност за своята сигурност. В съвместната си декларация от 25 март 2017 г. в Рим лидерите на 27 държави членки заедно с Европейския съвет, Европейския парла</w:t>
      </w:r>
      <w:r>
        <w:rPr>
          <w:noProof/>
        </w:rPr>
        <w:t>мент и Европейската комисия заявиха, че Съюзът ще засили своята обща сигурност и отбрана и ще насърчи развитието на  една по-конкурентоспособна и интегрирана отбранителна промишленост.</w:t>
      </w:r>
    </w:p>
    <w:p w:rsidR="000B688B" w:rsidRDefault="00640F08">
      <w:pPr>
        <w:pBdr>
          <w:top w:val="nil"/>
          <w:left w:val="nil"/>
          <w:bottom w:val="nil"/>
          <w:right w:val="nil"/>
          <w:between w:val="nil"/>
          <w:bar w:val="nil"/>
        </w:pBdr>
        <w:spacing w:before="0" w:after="240"/>
        <w:rPr>
          <w:noProof/>
          <w:szCs w:val="24"/>
        </w:rPr>
      </w:pPr>
      <w:r>
        <w:rPr>
          <w:noProof/>
        </w:rPr>
        <w:t>Европейската отбрана е изправена пред съществени пазарни недостатъци, д</w:t>
      </w:r>
      <w:r>
        <w:rPr>
          <w:noProof/>
        </w:rPr>
        <w:t>ължащи се в известна степен на неоползотворен потенциал за икономии от мащаба (фрагментарност на националните пазари с един-единствен купувач) и на дублиране на ресурси на национално равнище. Търсенето е почти изключително от държавите членки, но техните б</w:t>
      </w:r>
      <w:r>
        <w:rPr>
          <w:noProof/>
        </w:rPr>
        <w:t>юджети за отбрана, по-специално тези за научноизследователска и развойна дейност (НИРД), бяха подложени на значителни съкращения през последните 10 години. Въпреки че напоследък са налице някои положителни белези по отношение на стабилизирането и увеличава</w:t>
      </w:r>
      <w:r>
        <w:rPr>
          <w:noProof/>
        </w:rPr>
        <w:t>нето на националното финансиране на сектора на отбраната, за да бъде увеличена максимално ефективността на тези инвестиции са необходими значителни допълнителни усилия. Същевременно разходите за отбранително оборудване и по-специално за НИРД се увеличават,</w:t>
      </w:r>
      <w:r>
        <w:rPr>
          <w:noProof/>
        </w:rPr>
        <w:t xml:space="preserve"> а сътрудничеството между държавите членки в сферата на НИРД и инвестициите в отбранително оборудване остават ограничени. През 2015 г. едва 16 % от отбранителното оборудване е било доставено чрез европейски съвместни поръчки, което е много под колективния </w:t>
      </w:r>
      <w:r>
        <w:rPr>
          <w:noProof/>
        </w:rPr>
        <w:t>целеви показател от 35 %, договорен в рамките на Европейската агенция по отбрана (EDA). Делът на европейското сътрудничество в рамките на по-ранните етапи от научните изследвания в областта на отбраната е възлизал на едва 7,2 % при целеви показател 20 %.</w:t>
      </w:r>
    </w:p>
    <w:p w:rsidR="000B688B" w:rsidRDefault="00640F08">
      <w:pPr>
        <w:pBdr>
          <w:top w:val="nil"/>
          <w:left w:val="nil"/>
          <w:bottom w:val="nil"/>
          <w:right w:val="nil"/>
          <w:between w:val="nil"/>
          <w:bar w:val="nil"/>
        </w:pBdr>
        <w:spacing w:before="0" w:after="240"/>
        <w:rPr>
          <w:rFonts w:eastAsia="SimSun"/>
          <w:noProof/>
          <w:szCs w:val="24"/>
        </w:rPr>
      </w:pPr>
      <w:r>
        <w:rPr>
          <w:noProof/>
        </w:rPr>
        <w:t>Т</w:t>
      </w:r>
      <w:r>
        <w:rPr>
          <w:noProof/>
        </w:rPr>
        <w:t>ези тенденции проличават в трудностите, пред които е изправен секторът, като по отношение на научните изследвания и развойните проекти в отбраната те са значителни.  Разработването на прототипи е особено скъпо и същевременно крие значителен риск от неуспех</w:t>
      </w:r>
      <w:r>
        <w:rPr>
          <w:noProof/>
        </w:rPr>
        <w:t xml:space="preserve">. Етапът между научните изследвания и развойната дейност — известен като „долината на смъртта“ — също е свързан със значителни технически и финансови рискове, които отделните държави може да не желаят да поемат самостоятелно. </w:t>
      </w:r>
    </w:p>
    <w:p w:rsidR="000B688B" w:rsidRDefault="00640F08">
      <w:pPr>
        <w:pBdr>
          <w:top w:val="nil"/>
          <w:left w:val="nil"/>
          <w:bottom w:val="nil"/>
          <w:right w:val="nil"/>
          <w:between w:val="nil"/>
          <w:bar w:val="nil"/>
        </w:pBdr>
        <w:spacing w:before="0" w:after="240"/>
        <w:rPr>
          <w:rFonts w:eastAsia="SimSun"/>
          <w:noProof/>
          <w:szCs w:val="24"/>
        </w:rPr>
      </w:pPr>
      <w:r>
        <w:rPr>
          <w:noProof/>
        </w:rPr>
        <w:t>Секторът е силно фрагментиран</w:t>
      </w:r>
      <w:r>
        <w:rPr>
          <w:noProof/>
        </w:rPr>
        <w:t xml:space="preserve"> по протежение на националните граници, като са налице значителни припокривания, водещи до неефективност, т.е. до неизползване на икономиите от мащаба и на изводите от минал опит. Въпреки съчетанието от нарастващи разходи и стагниращи или свиващи се бюджет</w:t>
      </w:r>
      <w:r>
        <w:rPr>
          <w:noProof/>
        </w:rPr>
        <w:t xml:space="preserve">и за отбрана планирането, разходването на средства за НИРД, поръчките и поддръжката на оборудване продължават в голямата си част да се осъществяват на национално равнище с много </w:t>
      </w:r>
      <w:r>
        <w:rPr>
          <w:noProof/>
        </w:rPr>
        <w:lastRenderedPageBreak/>
        <w:t>малко сътрудничество между държавите членки. Тази ситуация не е устойчива, а р</w:t>
      </w:r>
      <w:r>
        <w:rPr>
          <w:noProof/>
        </w:rPr>
        <w:t>азработването на крупна отбранителна система от следващо поколение във все по-голяма степен се превръща в задача, която е непосилна за отделните държави — членки на ЕС.</w:t>
      </w:r>
    </w:p>
    <w:p w:rsidR="000B688B" w:rsidRDefault="00640F08">
      <w:pPr>
        <w:pBdr>
          <w:top w:val="nil"/>
          <w:left w:val="nil"/>
          <w:bottom w:val="nil"/>
          <w:right w:val="nil"/>
          <w:between w:val="nil"/>
          <w:bar w:val="nil"/>
        </w:pBdr>
        <w:spacing w:before="0" w:after="240"/>
        <w:rPr>
          <w:rFonts w:eastAsia="SimSun"/>
          <w:noProof/>
          <w:szCs w:val="24"/>
        </w:rPr>
      </w:pPr>
      <w:r>
        <w:rPr>
          <w:noProof/>
        </w:rPr>
        <w:t xml:space="preserve">Липсата на сътрудничество между държавите членки допълнително отслабва способността на </w:t>
      </w:r>
      <w:r>
        <w:rPr>
          <w:noProof/>
        </w:rPr>
        <w:t xml:space="preserve">отбранителната промишленост на ЕС да поддържа промишлените и технологични способности, необходими за запазване на стратегическата автономност на Съюза и за посрещане на неговите настоящи и бъдещи нужди в сферата на сигурността. С отговор на това Комисията </w:t>
      </w:r>
      <w:r>
        <w:rPr>
          <w:noProof/>
        </w:rPr>
        <w:t>предприе няколко инициативи в подкрепа на по-тясното сътрудничество в областта на отбраната.</w:t>
      </w:r>
    </w:p>
    <w:p w:rsidR="000B688B" w:rsidRDefault="00640F08">
      <w:pPr>
        <w:pBdr>
          <w:top w:val="nil"/>
          <w:left w:val="nil"/>
          <w:bottom w:val="nil"/>
          <w:right w:val="nil"/>
          <w:between w:val="nil"/>
          <w:bar w:val="nil"/>
        </w:pBdr>
        <w:spacing w:before="0" w:after="240"/>
        <w:rPr>
          <w:noProof/>
          <w:szCs w:val="24"/>
        </w:rPr>
      </w:pPr>
      <w:r>
        <w:rPr>
          <w:noProof/>
        </w:rPr>
        <w:t>На 7 юни 2017 г. в съответствие с речта на председателя на Комисията Жан-Клод Юнкер от 2016 г. за състоянието на Съюза Комисията прие съобщение, с което даде начал</w:t>
      </w:r>
      <w:r>
        <w:rPr>
          <w:noProof/>
        </w:rPr>
        <w:t>ото на създаването на Европейския фонд за отбрана (ЕФО)</w:t>
      </w:r>
      <w:r>
        <w:rPr>
          <w:rStyle w:val="FootnoteReference"/>
          <w:noProof/>
        </w:rPr>
        <w:footnoteReference w:id="2"/>
      </w:r>
      <w:r>
        <w:rPr>
          <w:noProof/>
        </w:rPr>
        <w:t>, който се състои от  компонент за научни изследвания и компонент за способности. Съобщението беше придружено от законодателно предложение за регламент за създаване на Европейската програма за промишл</w:t>
      </w:r>
      <w:r>
        <w:rPr>
          <w:noProof/>
        </w:rPr>
        <w:t>ено развитие в областта на отбраната по компонента „Способности“.</w:t>
      </w:r>
    </w:p>
    <w:p w:rsidR="000B688B" w:rsidRDefault="00640F08">
      <w:pPr>
        <w:pBdr>
          <w:top w:val="nil"/>
          <w:left w:val="nil"/>
          <w:bottom w:val="nil"/>
          <w:right w:val="nil"/>
          <w:between w:val="nil"/>
          <w:bar w:val="nil"/>
        </w:pBdr>
        <w:spacing w:before="0" w:after="240"/>
        <w:rPr>
          <w:rFonts w:eastAsia="SimSun"/>
          <w:noProof/>
          <w:szCs w:val="24"/>
        </w:rPr>
      </w:pPr>
      <w:r>
        <w:rPr>
          <w:noProof/>
        </w:rPr>
        <w:t>Беше предложен двустепенен подход, включващ:</w:t>
      </w:r>
    </w:p>
    <w:p w:rsidR="000B688B" w:rsidRDefault="00640F08">
      <w:pPr>
        <w:pStyle w:val="Tiret0"/>
        <w:numPr>
          <w:ilvl w:val="0"/>
          <w:numId w:val="16"/>
        </w:numPr>
        <w:rPr>
          <w:noProof/>
        </w:rPr>
      </w:pPr>
      <w:r>
        <w:rPr>
          <w:noProof/>
        </w:rPr>
        <w:t>първоначален  тестов период по многогодишната финансова рамка за периода 2014—2020 г., по време на който подготвително действие във връзка с науч</w:t>
      </w:r>
      <w:r>
        <w:rPr>
          <w:noProof/>
        </w:rPr>
        <w:t>ните изследвания в областта на отбраната да оказва подкрепа на съвместните научни изследвания, докато предложената Европейската програма за промишлено развитие в областта на отбраната ще съфинансира съвместни развойни проекти, а</w:t>
      </w:r>
    </w:p>
    <w:p w:rsidR="000B688B" w:rsidRDefault="00640F08">
      <w:pPr>
        <w:pStyle w:val="Tiret0"/>
        <w:rPr>
          <w:noProof/>
        </w:rPr>
      </w:pPr>
      <w:r>
        <w:rPr>
          <w:noProof/>
        </w:rPr>
        <w:t xml:space="preserve">специален фонд, създаден в </w:t>
      </w:r>
      <w:r>
        <w:rPr>
          <w:noProof/>
        </w:rPr>
        <w:t>рамките на многогодишната финансова рамка за периода 2021—2027 г., да увеличи мащаба на финансирането за съвместни научни изследвания за иновативни продукти и технологии от сферата на отбраната и за последващи етапи от развойния цикъл, включително разработ</w:t>
      </w:r>
      <w:r>
        <w:rPr>
          <w:noProof/>
        </w:rPr>
        <w:t>ването на прототипи.</w:t>
      </w:r>
    </w:p>
    <w:p w:rsidR="000B688B" w:rsidRDefault="00640F08">
      <w:pPr>
        <w:pBdr>
          <w:top w:val="nil"/>
          <w:left w:val="nil"/>
          <w:bottom w:val="nil"/>
          <w:right w:val="nil"/>
          <w:between w:val="nil"/>
          <w:bar w:val="nil"/>
        </w:pBdr>
        <w:spacing w:before="0" w:after="240"/>
        <w:rPr>
          <w:rFonts w:eastAsia="SimSun"/>
          <w:noProof/>
          <w:szCs w:val="24"/>
        </w:rPr>
      </w:pPr>
      <w:r>
        <w:rPr>
          <w:noProof/>
        </w:rPr>
        <w:t>Настоящото предложение е за конституиране на Европейския фонд за отбрана в рамките на многогодишната финансова рамка за периода 2021—2027 г.</w:t>
      </w:r>
    </w:p>
    <w:p w:rsidR="000B688B" w:rsidRDefault="00640F08">
      <w:pPr>
        <w:pBdr>
          <w:top w:val="nil"/>
          <w:left w:val="nil"/>
          <w:bottom w:val="nil"/>
          <w:right w:val="nil"/>
          <w:between w:val="nil"/>
          <w:bar w:val="nil"/>
        </w:pBdr>
        <w:spacing w:before="0" w:after="240"/>
        <w:rPr>
          <w:rFonts w:eastAsia="SimSun"/>
          <w:noProof/>
          <w:szCs w:val="24"/>
        </w:rPr>
      </w:pPr>
      <w:r>
        <w:rPr>
          <w:noProof/>
        </w:rPr>
        <w:t>Европейският фонд за отбрана е замислен като инструмент за насърчаване на конкурентоспособност</w:t>
      </w:r>
      <w:r>
        <w:rPr>
          <w:noProof/>
        </w:rPr>
        <w:t>та и иновативността на европейската технологична и промишлена база в сферата на отбраната и поради това допринася за стратегическата автономност на ЕС. Неговата цел е стартирането на програми за сътрудничество, които не биха били реализирани без финансовот</w:t>
      </w:r>
      <w:r>
        <w:rPr>
          <w:noProof/>
        </w:rPr>
        <w:t xml:space="preserve">о участие на Съюза, както и осигуряването на необходимите стимули за засилване на сътрудничеството на всеки етап от индустриалния цикъл чрез подкрепа на научноизследователски и развойни дейности. </w:t>
      </w:r>
    </w:p>
    <w:p w:rsidR="000B688B" w:rsidRDefault="00640F08">
      <w:pPr>
        <w:pBdr>
          <w:top w:val="nil"/>
          <w:left w:val="nil"/>
          <w:bottom w:val="nil"/>
          <w:right w:val="nil"/>
          <w:between w:val="nil"/>
          <w:bar w:val="nil"/>
        </w:pBdr>
        <w:spacing w:before="0" w:after="240"/>
        <w:rPr>
          <w:noProof/>
          <w:szCs w:val="24"/>
        </w:rPr>
      </w:pPr>
      <w:r>
        <w:rPr>
          <w:noProof/>
        </w:rPr>
        <w:lastRenderedPageBreak/>
        <w:t>Особено много ще се насърчава значимото трансгранично участ</w:t>
      </w:r>
      <w:r>
        <w:rPr>
          <w:noProof/>
        </w:rPr>
        <w:t>ие на малки и средни предприятия в съвместни проекти. Това ще гарантира, че фондът ще продължи да бъде отворен за бенефициери от всички държави членки, независимо от техния размер и местоположение.</w:t>
      </w:r>
    </w:p>
    <w:p w:rsidR="000B688B" w:rsidRDefault="00640F08">
      <w:pPr>
        <w:pBdr>
          <w:top w:val="nil"/>
          <w:left w:val="nil"/>
          <w:bottom w:val="nil"/>
          <w:right w:val="nil"/>
          <w:between w:val="nil"/>
          <w:bar w:val="nil"/>
        </w:pBdr>
        <w:spacing w:before="0" w:after="240"/>
        <w:rPr>
          <w:noProof/>
          <w:szCs w:val="24"/>
        </w:rPr>
      </w:pPr>
      <w:r>
        <w:rPr>
          <w:noProof/>
        </w:rPr>
        <w:t>В настоящото предложение се предвижда дата на прилагане от</w:t>
      </w:r>
      <w:r>
        <w:rPr>
          <w:noProof/>
        </w:rPr>
        <w:t xml:space="preserve">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w:t>
      </w:r>
      <w:r>
        <w:rPr>
          <w:noProof/>
        </w:rPr>
        <w:t>Европейския съюз, получено от Европейския съвет на 29 март 2017 г.</w:t>
      </w:r>
    </w:p>
    <w:p w:rsidR="000B688B" w:rsidRDefault="00640F08">
      <w:pPr>
        <w:pStyle w:val="ManualHeading2"/>
        <w:rPr>
          <w:rFonts w:eastAsia="Arial Unicode MS"/>
          <w:noProof/>
        </w:rPr>
      </w:pPr>
      <w:r>
        <w:rPr>
          <w:noProof/>
        </w:rPr>
        <w:t>•</w:t>
      </w:r>
      <w:r>
        <w:rPr>
          <w:noProof/>
        </w:rPr>
        <w:tab/>
        <w:t>Съгласуваност с други политики на Съюза</w:t>
      </w:r>
    </w:p>
    <w:p w:rsidR="000B688B" w:rsidRDefault="00640F08">
      <w:pPr>
        <w:spacing w:before="0" w:after="200" w:line="276" w:lineRule="auto"/>
        <w:rPr>
          <w:rFonts w:eastAsia="SimSun" w:cstheme="minorBidi"/>
          <w:noProof/>
        </w:rPr>
      </w:pPr>
      <w:r>
        <w:rPr>
          <w:noProof/>
        </w:rPr>
        <w:t>Въпреки че научните изследвания попадат в обхвата на Рамковата програма за научни изследвания и иновации („Хоризонт Европа“), съответните специални разпоредби за научните изследвания в сферата на отбраната, като цели, правила за участие, механизми за изпъл</w:t>
      </w:r>
      <w:r>
        <w:rPr>
          <w:noProof/>
        </w:rPr>
        <w:t xml:space="preserve">нение, са предвидени в настоящото предложение за Регламент за създаване на Европейски фонд за отбрана. </w:t>
      </w:r>
    </w:p>
    <w:p w:rsidR="000B688B" w:rsidRDefault="00640F08">
      <w:pPr>
        <w:spacing w:before="0" w:after="200" w:line="276" w:lineRule="auto"/>
        <w:rPr>
          <w:rFonts w:eastAsia="SimSun" w:cstheme="minorBidi"/>
          <w:noProof/>
        </w:rPr>
      </w:pPr>
      <w:r>
        <w:rPr>
          <w:noProof/>
        </w:rPr>
        <w:t xml:space="preserve">За да се осигури последователност и допълване при утвърждаването на интересите на Съюза в областта на отбраната, през следващата многогодишна финансова </w:t>
      </w:r>
      <w:r>
        <w:rPr>
          <w:noProof/>
        </w:rPr>
        <w:t xml:space="preserve">рамка Комисията ще се стреми да постигне синергии с други инициативи на ЕС в областта на гражданската НИРД, като сигурността и киберсигурността, граничния контрол, бреговата охрана, морския транспорт и космическото пространство. </w:t>
      </w:r>
    </w:p>
    <w:p w:rsidR="000B688B" w:rsidRDefault="00640F08">
      <w:pPr>
        <w:spacing w:before="0" w:after="200" w:line="276" w:lineRule="auto"/>
        <w:rPr>
          <w:rFonts w:eastAsia="SimSun" w:cstheme="minorBidi"/>
          <w:noProof/>
        </w:rPr>
      </w:pPr>
      <w:r>
        <w:rPr>
          <w:noProof/>
        </w:rPr>
        <w:t>Синергии следва да се търс</w:t>
      </w:r>
      <w:r>
        <w:rPr>
          <w:noProof/>
        </w:rPr>
        <w:t xml:space="preserve">ят по-специално с:  </w:t>
      </w:r>
    </w:p>
    <w:p w:rsidR="000B688B" w:rsidRDefault="00640F08">
      <w:pPr>
        <w:spacing w:before="0" w:after="200" w:line="276" w:lineRule="auto"/>
        <w:rPr>
          <w:rFonts w:eastAsia="SimSun" w:cstheme="minorBidi"/>
          <w:noProof/>
        </w:rPr>
      </w:pPr>
      <w:r>
        <w:rPr>
          <w:noProof/>
        </w:rPr>
        <w:t>- конкретната програма, чрез която се изпълнява „Хоризонт Европа“ с фокус върху гражданските кандидатури, така че резултатите от НИРД в областта на отбраната да бъдат от полза за гражданската НИРД и обратното;</w:t>
      </w:r>
    </w:p>
    <w:p w:rsidR="000B688B" w:rsidRDefault="00640F08">
      <w:pPr>
        <w:spacing w:before="0" w:after="200" w:line="276" w:lineRule="auto"/>
        <w:rPr>
          <w:rFonts w:eastAsia="SimSun" w:cstheme="minorBidi"/>
          <w:noProof/>
        </w:rPr>
      </w:pPr>
      <w:r>
        <w:rPr>
          <w:noProof/>
        </w:rPr>
        <w:t>- космическата програма н</w:t>
      </w:r>
      <w:r>
        <w:rPr>
          <w:noProof/>
        </w:rPr>
        <w:t>а Съюза, по-специално нейните компоненти правителствени сателитни комуникации (GOVSATCOM), подкрепа на космическото наблюдение и проследяване (SST) и „Коперник“.  Това може да се постигне по-специално, като се гарантира техническата съвместимост, в случаит</w:t>
      </w:r>
      <w:r>
        <w:rPr>
          <w:noProof/>
        </w:rPr>
        <w:t>е когато в проектите се използва глобална навигационна спътникова система (GNSS) и способности по GOVSATCOM. Друга възможност е разработването на усъвършенствани датчици, платформи за обмен на класифицирани данни, приложения въз основа на данните, информац</w:t>
      </w:r>
      <w:r>
        <w:rPr>
          <w:noProof/>
        </w:rPr>
        <w:t>ията и услугите, предоставяни от компонентите на космическата програма;</w:t>
      </w:r>
    </w:p>
    <w:p w:rsidR="000B688B" w:rsidRDefault="00640F08">
      <w:pPr>
        <w:spacing w:before="0" w:after="200" w:line="276" w:lineRule="auto"/>
        <w:rPr>
          <w:rFonts w:eastAsia="SimSun" w:cstheme="minorBidi"/>
          <w:noProof/>
        </w:rPr>
      </w:pPr>
      <w:r>
        <w:rPr>
          <w:noProof/>
        </w:rPr>
        <w:t>- инициативи на ЕС в сферата на киберсигурността, като обявените в съвместното съобщение относно киберсигурността</w:t>
      </w:r>
      <w:r>
        <w:rPr>
          <w:rStyle w:val="FootnoteReference"/>
          <w:rFonts w:cstheme="minorBidi"/>
          <w:noProof/>
        </w:rPr>
        <w:footnoteReference w:id="3"/>
      </w:r>
      <w:r>
        <w:rPr>
          <w:noProof/>
        </w:rPr>
        <w:t>. Експертният център в областта на киберсигурността, който ще се създа</w:t>
      </w:r>
      <w:r>
        <w:rPr>
          <w:noProof/>
        </w:rPr>
        <w:t>де, следва по-специално да търси синергии между гражданското и свързаното с отбраната измерение на киберсигурността. Той би могъл активно да подкрепя държавите членки и други заинтересовани страни, като предоставя експертни становища, споделя знания и улес</w:t>
      </w:r>
      <w:r>
        <w:rPr>
          <w:noProof/>
        </w:rPr>
        <w:t>нява сътрудничеството по отношение на проекти и действия, както и по искане на държавите членки, и действа като ръководител на проекти по отношение на действия по Европейския фонд за отбрана;</w:t>
      </w:r>
    </w:p>
    <w:p w:rsidR="000B688B" w:rsidRDefault="00640F08">
      <w:pPr>
        <w:spacing w:before="0" w:after="200" w:line="276" w:lineRule="auto"/>
        <w:rPr>
          <w:rFonts w:eastAsia="SimSun" w:cstheme="minorBidi"/>
          <w:noProof/>
        </w:rPr>
      </w:pPr>
      <w:r>
        <w:rPr>
          <w:noProof/>
        </w:rPr>
        <w:t>- действията, набелязани по координираната гражданска и свързана</w:t>
      </w:r>
      <w:r>
        <w:rPr>
          <w:noProof/>
        </w:rPr>
        <w:t xml:space="preserve"> с отбраната програма за научни изследвания в областта на морската сигурност, и с морския транспорт; както и</w:t>
      </w:r>
    </w:p>
    <w:p w:rsidR="000B688B" w:rsidRDefault="00640F08">
      <w:pPr>
        <w:spacing w:before="0" w:after="200" w:line="276" w:lineRule="auto"/>
        <w:rPr>
          <w:rFonts w:eastAsia="SimSun" w:cstheme="minorBidi"/>
          <w:noProof/>
        </w:rPr>
      </w:pPr>
      <w:r>
        <w:rPr>
          <w:noProof/>
        </w:rPr>
        <w:t xml:space="preserve">- с други имащи отношение програми на ЕС в областта на сигурността, като фонд „Вътрешна сигурност“ и фонд „Интегрирано управление на границите“.  </w:t>
      </w:r>
    </w:p>
    <w:p w:rsidR="000B688B" w:rsidRDefault="00640F08">
      <w:pPr>
        <w:spacing w:before="0" w:after="200" w:line="276" w:lineRule="auto"/>
        <w:rPr>
          <w:rFonts w:eastAsia="SimSun" w:cstheme="minorBidi"/>
          <w:noProof/>
        </w:rPr>
      </w:pPr>
      <w:r>
        <w:rPr>
          <w:noProof/>
        </w:rPr>
        <w:t>Изпълнението на Европейския фонд за отбрана ще се координира тясно с дейностите на Комисията и на върховния представител на Съюза по въпросите на външните работи и политиката на сигурност в сферата на отбраната, включително с финансовия инструментариум, чи</w:t>
      </w:r>
      <w:r>
        <w:rPr>
          <w:noProof/>
        </w:rPr>
        <w:t>ято цел е още повече да улесни съвместното разработване и придобиване на отбранителни способности. По-специално моделите на инструментариума за финансиране  придобиването на способности ще послужат като доброволен еталон за държавите членки, които желаят д</w:t>
      </w:r>
      <w:r>
        <w:rPr>
          <w:noProof/>
        </w:rPr>
        <w:t>а обявяват съвместни поръчки за продуктите и технологиите, разработени чрез Европейския фонд за отбрана.</w:t>
      </w:r>
    </w:p>
    <w:p w:rsidR="000B688B" w:rsidRDefault="00640F08">
      <w:pPr>
        <w:spacing w:before="0" w:after="200" w:line="276" w:lineRule="auto"/>
        <w:rPr>
          <w:rFonts w:eastAsia="SimSun" w:cstheme="minorBidi"/>
          <w:noProof/>
        </w:rPr>
      </w:pPr>
      <w:r>
        <w:rPr>
          <w:noProof/>
        </w:rPr>
        <w:t xml:space="preserve">Между фонда и проектите, изпълнявани в рамките на постоянното структурирано сътрудничество в отбраната (ПСС), ще се поддържат тесни връзки. Проектите, </w:t>
      </w:r>
      <w:r>
        <w:rPr>
          <w:noProof/>
        </w:rPr>
        <w:t>развити в рамките на постоянното структурирано сътрудничество и оценени като допустими, ще получават „бонус на ППС“ под формата на увеличен процент на финансиране. Комисията следва да бъде поканена за участие при обсъждането на проектите, за да може да изр</w:t>
      </w:r>
      <w:r>
        <w:rPr>
          <w:noProof/>
        </w:rPr>
        <w:t>ази становището си и да спомогне за оценката на допустимостта на такива проекти по фонда.</w:t>
      </w:r>
    </w:p>
    <w:p w:rsidR="000B688B" w:rsidRDefault="00640F08">
      <w:pPr>
        <w:spacing w:before="0" w:after="200" w:line="276" w:lineRule="auto"/>
        <w:rPr>
          <w:rFonts w:eastAsia="SimSun" w:cstheme="minorBidi"/>
          <w:noProof/>
        </w:rPr>
      </w:pPr>
      <w:r>
        <w:rPr>
          <w:noProof/>
        </w:rPr>
        <w:t>Фондът ще вземе предвид Плана на ЕС за развитие на способностите, в който са набелязани приоритетите в областта на отбранителните способности, както и координирания г</w:t>
      </w:r>
      <w:r>
        <w:rPr>
          <w:noProof/>
        </w:rPr>
        <w:t>одишен преглед на отбраната на ЕС (CARD), в който, наред с другото, се проследява изпълнението на тези приоритети и се набелязват нови възможности за сътрудничество. В този контекст могат да бъдат взети предвид и съответните дейности, извършвани от Организ</w:t>
      </w:r>
      <w:r>
        <w:rPr>
          <w:noProof/>
        </w:rPr>
        <w:t>ацията на Северноатлантическия договор (НАТО) и от други партньори, когато те са в полза на интересите на Съюза в областта на сигурността и отбраната и не изключват никоя държава членка от участие.</w:t>
      </w:r>
    </w:p>
    <w:p w:rsidR="000B688B" w:rsidRDefault="00640F08">
      <w:pPr>
        <w:spacing w:before="0" w:after="200" w:line="276" w:lineRule="auto"/>
        <w:rPr>
          <w:rFonts w:eastAsia="SimSun" w:cstheme="minorBidi"/>
          <w:noProof/>
        </w:rPr>
      </w:pPr>
      <w:r>
        <w:rPr>
          <w:noProof/>
        </w:rPr>
        <w:t>Освен това фондът взема предвид дейностите в областта на о</w:t>
      </w:r>
      <w:r>
        <w:rPr>
          <w:noProof/>
        </w:rPr>
        <w:t>тбраната, изпълнявани чрез Европейския механизъм за подкрепа на мира — извънбюджетен инструмент, който се предлага извън многогодишната финансова рамка.</w:t>
      </w:r>
    </w:p>
    <w:p w:rsidR="000B688B" w:rsidRDefault="00640F08">
      <w:pPr>
        <w:spacing w:before="0" w:after="200" w:line="276" w:lineRule="auto"/>
        <w:rPr>
          <w:rFonts w:eastAsia="SimSun" w:cstheme="minorBidi"/>
          <w:noProof/>
        </w:rPr>
      </w:pPr>
      <w:r>
        <w:rPr>
          <w:noProof/>
        </w:rPr>
        <w:t>Съчетанието от проектно ориентирано подпомагане под формата на финансиране от Европейския фонд за отбра</w:t>
      </w:r>
      <w:r>
        <w:rPr>
          <w:noProof/>
        </w:rPr>
        <w:t>на и добре разработено и насочено финансиране в сектора на отбраната може да даде голям принос за повишаване на устойчивостта на сектора и за преодоляване на уязвимостта му, по-специално в полза на иновативните МСП и дружества със средна пазарна капитализа</w:t>
      </w:r>
      <w:r>
        <w:rPr>
          <w:noProof/>
        </w:rPr>
        <w:t>ция. Бюджетните гаранции могат да бъдат данъчно ефикасен начин за отговор на рисковете във веригата на доставки на подизпълнителите, участващи във финансирани от фонда проекти. Секторът на отбраната беше предложен като допустим за подкрепа чрез бюджетни га</w:t>
      </w:r>
      <w:r>
        <w:rPr>
          <w:noProof/>
        </w:rPr>
        <w:t>ранции по фонда InvestEU, с който се изгражда междусекторна и всеобща рамка в подкрепа на инвестициите в различни области на политиката, подкрепени с бюджетни гаранции на ЕС. В настоящото предложение се предвижда възможността за смесване на подкрепата по ф</w:t>
      </w:r>
      <w:r>
        <w:rPr>
          <w:noProof/>
        </w:rPr>
        <w:t>онда с финансиране, обезпечено от InvestEU.</w:t>
      </w:r>
    </w:p>
    <w:p w:rsidR="000B688B" w:rsidRDefault="00640F08">
      <w:pPr>
        <w:spacing w:before="0" w:after="200" w:line="276" w:lineRule="auto"/>
        <w:rPr>
          <w:rFonts w:eastAsia="SimSun" w:cstheme="minorBidi"/>
          <w:noProof/>
        </w:rPr>
      </w:pPr>
      <w:r>
        <w:rPr>
          <w:noProof/>
        </w:rPr>
        <w:t>Действията на фонда следва да се използват за противодействие на пазарната неефективност или на неоптималните инвестиционни ситуации — пропорционално и без дублиране или изместване на частното финансиране и с пос</w:t>
      </w:r>
      <w:r>
        <w:rPr>
          <w:noProof/>
        </w:rPr>
        <w:t>тигане на ясна европейска добавена стойност. Това ще осигури съгласуваност между действията на фонда и правилата на ЕС за държавните помощи, като ще бъдат избегнато излишното нарушаване на конкуренцията на вътрешния пазар.</w:t>
      </w:r>
    </w:p>
    <w:p w:rsidR="000B688B" w:rsidRDefault="00640F08">
      <w:pPr>
        <w:pStyle w:val="ManualHeading1"/>
        <w:rPr>
          <w:noProof/>
        </w:rPr>
      </w:pPr>
      <w:r>
        <w:rPr>
          <w:noProof/>
        </w:rPr>
        <w:t>2.</w:t>
      </w:r>
      <w:r>
        <w:rPr>
          <w:noProof/>
        </w:rPr>
        <w:tab/>
        <w:t>ПРАВНО ОСНОВАНИЕ, СУБСИДИАРНОС</w:t>
      </w:r>
      <w:r>
        <w:rPr>
          <w:noProof/>
        </w:rPr>
        <w:t>Т И ПРОПОРЦИОНАЛНОСТ</w:t>
      </w:r>
    </w:p>
    <w:p w:rsidR="000B688B" w:rsidRDefault="00640F08">
      <w:pPr>
        <w:pStyle w:val="ManualHeading2"/>
        <w:rPr>
          <w:rFonts w:eastAsia="Arial Unicode MS"/>
          <w:noProof/>
          <w:u w:color="000000"/>
          <w:bdr w:val="nil"/>
        </w:rPr>
      </w:pPr>
      <w:r>
        <w:rPr>
          <w:noProof/>
        </w:rPr>
        <w:t>•</w:t>
      </w:r>
      <w:r>
        <w:rPr>
          <w:noProof/>
        </w:rPr>
        <w:tab/>
        <w:t>Правно основание</w:t>
      </w:r>
    </w:p>
    <w:p w:rsidR="000B688B" w:rsidRDefault="00640F08">
      <w:pPr>
        <w:spacing w:before="0" w:after="200" w:line="276" w:lineRule="auto"/>
        <w:rPr>
          <w:noProof/>
          <w:szCs w:val="24"/>
        </w:rPr>
      </w:pPr>
      <w:r>
        <w:rPr>
          <w:noProof/>
        </w:rPr>
        <w:t>Европейският фонд за отбрана има за цел да насърчава конкурентоспособността и иновативността на технологичната и промишлена база на сектора на отбраната в Съюза, като подпомага ориентирани към отбраната научноизследо</w:t>
      </w:r>
      <w:r>
        <w:rPr>
          <w:noProof/>
        </w:rPr>
        <w:t>вателски и развойни дейности. Правното му основание се съдържа в Договора за функционирането на Европейския съюз (ДФЕС), дялове „Промишленост“ и „Научни изследвания и технологично развитие, и космическо пространство“ (членове 173 182, 183 и 188).</w:t>
      </w:r>
    </w:p>
    <w:p w:rsidR="000B688B" w:rsidRDefault="00640F08">
      <w:pPr>
        <w:spacing w:before="0" w:after="200" w:line="276" w:lineRule="auto"/>
        <w:rPr>
          <w:noProof/>
          <w:szCs w:val="24"/>
        </w:rPr>
      </w:pPr>
      <w:r>
        <w:rPr>
          <w:noProof/>
        </w:rPr>
        <w:t xml:space="preserve">Член 173 </w:t>
      </w:r>
      <w:r>
        <w:rPr>
          <w:noProof/>
        </w:rPr>
        <w:t>от ДФЕС представлява правното основание за действия, насочени, наред с другото, към насърчаване на среда, благоприятна за развитието на предприятията в целия Съюз, и особено за МСП, благоприятна за сътрудничеството между предприятията и стимулираща по-добр</w:t>
      </w:r>
      <w:r>
        <w:rPr>
          <w:noProof/>
        </w:rPr>
        <w:t xml:space="preserve">ото използване на промишления потенциал на политиките по отношение на иновациите, научните изследвания и технологичното развитие. </w:t>
      </w:r>
    </w:p>
    <w:p w:rsidR="000B688B" w:rsidRDefault="00640F08">
      <w:pPr>
        <w:spacing w:before="0" w:after="200" w:line="276" w:lineRule="auto"/>
        <w:rPr>
          <w:noProof/>
          <w:szCs w:val="24"/>
        </w:rPr>
      </w:pPr>
      <w:r>
        <w:rPr>
          <w:noProof/>
        </w:rPr>
        <w:t>Тъй като Европейският фонд за отбрана има за цел да насърчава конкурентоспособността и иновативността на технологичната и про</w:t>
      </w:r>
      <w:r>
        <w:rPr>
          <w:noProof/>
        </w:rPr>
        <w:t>мишлена база на сектора на отбраната в ЕС, като подпомага ориентирани към отбраната научноизследователски и развойни дейности, целта и съдържанието му оправдават избора на член 173 от ДФЕС като правно основание. Ориентираните към отбраната научноизследоват</w:t>
      </w:r>
      <w:r>
        <w:rPr>
          <w:noProof/>
        </w:rPr>
        <w:t xml:space="preserve">елски дейности също са неразделна част от целите на Европейския фонд за отбрана. Тяхната цел и съдържание насочват също към член 182 от ДФЕС като допълнително правно основание.  </w:t>
      </w:r>
    </w:p>
    <w:p w:rsidR="000B688B" w:rsidRDefault="00640F08">
      <w:pPr>
        <w:spacing w:before="0" w:after="200" w:line="276" w:lineRule="auto"/>
        <w:rPr>
          <w:noProof/>
          <w:szCs w:val="24"/>
        </w:rPr>
      </w:pPr>
      <w:r>
        <w:rPr>
          <w:noProof/>
        </w:rPr>
        <w:t>Съгласно ДФЕС всички научноизследователски дейности са обхванати от многогоди</w:t>
      </w:r>
      <w:r>
        <w:rPr>
          <w:noProof/>
        </w:rPr>
        <w:t>шна рамкова програма за научни изследвания. Основният акт за многогодишната рамкова програма за научни изследвания и иновации („Хоризонт Европа“ за периода след 2020 г.) съдържа необходимите разпоредби, определящи връзките между конкретните програми, създа</w:t>
      </w:r>
      <w:r>
        <w:rPr>
          <w:noProof/>
        </w:rPr>
        <w:t>дени от него за научни изследвания в областта на отбраната и за изпълнение на „Хоризонт Европа“ (чиято насоченост е към гражданските научни изследвания и иновационни дейности).</w:t>
      </w:r>
    </w:p>
    <w:p w:rsidR="000B688B" w:rsidRDefault="00640F08">
      <w:pPr>
        <w:spacing w:before="0" w:after="200" w:line="276" w:lineRule="auto"/>
        <w:rPr>
          <w:noProof/>
          <w:szCs w:val="24"/>
        </w:rPr>
      </w:pPr>
      <w:r>
        <w:rPr>
          <w:noProof/>
        </w:rPr>
        <w:t xml:space="preserve">Подробните разпоредби за финансиране от Съюза на научноизследователски проекти </w:t>
      </w:r>
      <w:r>
        <w:rPr>
          <w:noProof/>
        </w:rPr>
        <w:t>в областта на отбраната и заделените в бюджета средства са определени в настоящия проект на регламент относно Европейския фонд за отбрана, в който са заложени и правилата за участие по отношение на научноизследователската работа в сферата на отбраната. Нау</w:t>
      </w:r>
      <w:r>
        <w:rPr>
          <w:noProof/>
        </w:rPr>
        <w:t xml:space="preserve">чноизследователските и иновационните дейности, извършвани в рамките на Европейския фонд за отбрана, са  насочени изключително към приложения от сферата на отбраната. </w:t>
      </w:r>
    </w:p>
    <w:p w:rsidR="000B688B" w:rsidRDefault="00640F08">
      <w:pPr>
        <w:pStyle w:val="ManualHeading2"/>
        <w:rPr>
          <w:rFonts w:eastAsia="Arial Unicode MS"/>
          <w:noProof/>
          <w:u w:color="000000"/>
          <w:bdr w:val="nil"/>
        </w:rPr>
      </w:pPr>
      <w:r>
        <w:rPr>
          <w:noProof/>
        </w:rPr>
        <w:t>•</w:t>
      </w:r>
      <w:r>
        <w:rPr>
          <w:noProof/>
        </w:rPr>
        <w:tab/>
        <w:t xml:space="preserve">Субсидиарност (за неизключителната компетентност) </w:t>
      </w:r>
    </w:p>
    <w:p w:rsidR="000B688B" w:rsidRDefault="00640F08">
      <w:pPr>
        <w:spacing w:before="0" w:after="200" w:line="276" w:lineRule="auto"/>
        <w:rPr>
          <w:noProof/>
          <w:szCs w:val="24"/>
        </w:rPr>
      </w:pPr>
      <w:r>
        <w:rPr>
          <w:noProof/>
        </w:rPr>
        <w:t>В днешния свята гарантирането на сиг</w:t>
      </w:r>
      <w:r>
        <w:rPr>
          <w:noProof/>
        </w:rPr>
        <w:t>урността означава борба със заплахи, които излизат извън националните граници. Нито една държава не може да се справи с тях сама. Европейският съюз ще трябва да поеме по-голяма отговорност за  защитата на своите интереси, ценности и европейския начин на жи</w:t>
      </w:r>
      <w:r>
        <w:rPr>
          <w:noProof/>
        </w:rPr>
        <w:t xml:space="preserve">вот, допълвайки дейността на  Организацията на Северноатлантическия договор и сътрудничейки си с нея. </w:t>
      </w:r>
    </w:p>
    <w:p w:rsidR="000B688B" w:rsidRDefault="00640F08">
      <w:pPr>
        <w:spacing w:before="0" w:after="200" w:line="276" w:lineRule="auto"/>
        <w:rPr>
          <w:noProof/>
          <w:szCs w:val="24"/>
        </w:rPr>
      </w:pPr>
      <w:r>
        <w:rPr>
          <w:noProof/>
        </w:rPr>
        <w:t>Усилията за реализиране на амбициите на ЕС в областта на сигурността и отбраната (потвърдени от Европейския съвет през 2016 г.) ще допринесат за постиган</w:t>
      </w:r>
      <w:r>
        <w:rPr>
          <w:noProof/>
        </w:rPr>
        <w:t>ето на тази цел. За да бъде готов да се справи с утрешните предизвикателства и да защити гражданите си, Европейският съюз трябва да укрепи стратегическата си автономия. За това е необходимо да бъдат разработени ключови технологии в критични области и страт</w:t>
      </w:r>
      <w:r>
        <w:rPr>
          <w:noProof/>
        </w:rPr>
        <w:t xml:space="preserve">егически способности, които да му осигурят лидерска позиция в технологиите. Засиленото сътрудничеството на всички равнища е единственият начин да се оправдаят очакванията на гражданите на ЕС. </w:t>
      </w:r>
    </w:p>
    <w:p w:rsidR="000B688B" w:rsidRDefault="00640F08">
      <w:pPr>
        <w:spacing w:before="0" w:after="200" w:line="276" w:lineRule="auto"/>
        <w:rPr>
          <w:noProof/>
          <w:szCs w:val="24"/>
        </w:rPr>
      </w:pPr>
      <w:r>
        <w:rPr>
          <w:noProof/>
        </w:rPr>
        <w:t>Като насърчава сътрудничеството, Съюзът може да спомогне да бъд</w:t>
      </w:r>
      <w:r>
        <w:rPr>
          <w:noProof/>
        </w:rPr>
        <w:t>ат увеличени максимално възвръщаемостта и качеството на инвестициите на държавите членки в отбраната. Европейският фонд за отбрана ще създаде европейска добавена стойност, като осигури стимули за съвместни научни изследвания и развитие на продукти и технол</w:t>
      </w:r>
      <w:r>
        <w:rPr>
          <w:noProof/>
        </w:rPr>
        <w:t>огии в областта на отбраната с цел повишаване на ефективността на публичните разходи и даване по този начин на принос за оперативната автономност на Съюза.</w:t>
      </w:r>
    </w:p>
    <w:p w:rsidR="000B688B" w:rsidRDefault="00640F08">
      <w:pPr>
        <w:spacing w:before="0" w:after="200" w:line="276" w:lineRule="auto"/>
        <w:rPr>
          <w:noProof/>
          <w:szCs w:val="24"/>
        </w:rPr>
      </w:pPr>
      <w:r>
        <w:rPr>
          <w:noProof/>
        </w:rPr>
        <w:t>Решенията относно инвестициите в отбраната и развойните програми в сектора остават прерогатив и отго</w:t>
      </w:r>
      <w:r>
        <w:rPr>
          <w:noProof/>
        </w:rPr>
        <w:t>ворност на държавите членки. Съюзът не може и не бива да компенсира ниските равнища на инвестициите в сферата на отбраната от страна на държавите членки. Той може обаче да допълва, мобилизира и консолидира техните съвместни усилия за развитие на отбранител</w:t>
      </w:r>
      <w:r>
        <w:rPr>
          <w:noProof/>
        </w:rPr>
        <w:t>ни способности в подкрепа на европейската отбранителна промишленост и в отговор на предизвикателствата пред сигурността. По този начин ще се избегне дублирането, ще се използват по-ефективно средствата на данъкоплатците, ще се подобри оперативната съвмести</w:t>
      </w:r>
      <w:r>
        <w:rPr>
          <w:noProof/>
        </w:rPr>
        <w:t>мост на отбранителното оборудване, ще се намали фрагментарността и ще се засили конкурентоспособността и иновативността на европейската технологична и промишлена база в сферата на отбраната.</w:t>
      </w:r>
    </w:p>
    <w:p w:rsidR="000B688B" w:rsidRDefault="00640F08">
      <w:pPr>
        <w:pStyle w:val="ManualHeading2"/>
        <w:rPr>
          <w:rFonts w:eastAsia="Arial Unicode MS"/>
          <w:noProof/>
          <w:u w:color="000000"/>
          <w:bdr w:val="nil"/>
        </w:rPr>
      </w:pPr>
      <w:r>
        <w:rPr>
          <w:noProof/>
        </w:rPr>
        <w:t>•</w:t>
      </w:r>
      <w:r>
        <w:rPr>
          <w:noProof/>
        </w:rPr>
        <w:tab/>
        <w:t>Пропорционалност</w:t>
      </w:r>
    </w:p>
    <w:p w:rsidR="000B688B" w:rsidRDefault="00640F08">
      <w:pPr>
        <w:pBdr>
          <w:top w:val="nil"/>
          <w:left w:val="nil"/>
          <w:bottom w:val="nil"/>
          <w:right w:val="nil"/>
          <w:between w:val="nil"/>
          <w:bar w:val="nil"/>
        </w:pBdr>
        <w:spacing w:before="240" w:after="240"/>
        <w:rPr>
          <w:noProof/>
          <w:szCs w:val="24"/>
        </w:rPr>
      </w:pPr>
      <w:r>
        <w:rPr>
          <w:noProof/>
        </w:rPr>
        <w:t>Предлаганият подход по отношение на политиката</w:t>
      </w:r>
      <w:r>
        <w:rPr>
          <w:noProof/>
        </w:rPr>
        <w:t xml:space="preserve"> е пропорционален на мащаба и тежестта на установените проблеми, т.е. липса на трансгранично сътрудничество и необходимост от оказване на подкрепа на конкурентоспособността на европейската промишленост и от съвместна НИРД в отбраната. Подходът зачита грани</w:t>
      </w:r>
      <w:r>
        <w:rPr>
          <w:noProof/>
        </w:rPr>
        <w:t>ците на възможната интервенция на Съюза съгласно Договорите.</w:t>
      </w:r>
    </w:p>
    <w:p w:rsidR="000B688B" w:rsidRDefault="00640F08">
      <w:pPr>
        <w:pBdr>
          <w:top w:val="nil"/>
          <w:left w:val="nil"/>
          <w:bottom w:val="nil"/>
          <w:right w:val="nil"/>
          <w:between w:val="nil"/>
          <w:bar w:val="nil"/>
        </w:pBdr>
        <w:spacing w:before="0" w:after="240"/>
        <w:rPr>
          <w:rFonts w:eastAsia="Arial Unicode MS"/>
          <w:noProof/>
        </w:rPr>
      </w:pPr>
      <w:r>
        <w:rPr>
          <w:noProof/>
        </w:rPr>
        <w:t>Инициативата е ограничена до онези цели, които държавите членки не могат да постигнат по задоволителен начин самостоятелно и по отношение на които може да се очаква, че Съюзът може да постигне по</w:t>
      </w:r>
      <w:r>
        <w:rPr>
          <w:noProof/>
        </w:rPr>
        <w:t>-добри резултати. Целта на предлагания механизъм за изпълнение на европейско равнище е да се ограничат финансовите и административните разходи.</w:t>
      </w:r>
    </w:p>
    <w:p w:rsidR="000B688B" w:rsidRDefault="00640F08">
      <w:pPr>
        <w:pStyle w:val="ManualHeading2"/>
        <w:rPr>
          <w:rFonts w:eastAsia="Arial Unicode MS"/>
          <w:noProof/>
          <w:u w:color="000000"/>
          <w:bdr w:val="nil"/>
        </w:rPr>
      </w:pPr>
      <w:r>
        <w:rPr>
          <w:noProof/>
        </w:rPr>
        <w:t>•</w:t>
      </w:r>
      <w:r>
        <w:rPr>
          <w:noProof/>
        </w:rPr>
        <w:tab/>
        <w:t>Избор на инструмент</w:t>
      </w:r>
    </w:p>
    <w:p w:rsidR="000B688B" w:rsidRDefault="00640F08">
      <w:pPr>
        <w:pBdr>
          <w:top w:val="nil"/>
          <w:left w:val="nil"/>
          <w:bottom w:val="nil"/>
          <w:right w:val="nil"/>
          <w:between w:val="nil"/>
          <w:bar w:val="nil"/>
        </w:pBdr>
        <w:spacing w:before="240" w:after="240"/>
        <w:rPr>
          <w:noProof/>
          <w:szCs w:val="24"/>
        </w:rPr>
      </w:pPr>
      <w:r>
        <w:rPr>
          <w:noProof/>
        </w:rPr>
        <w:t>За създаването на фонда Комисията предлага регламент на Европейския парламент и на Съвета.</w:t>
      </w:r>
      <w:r>
        <w:rPr>
          <w:noProof/>
        </w:rPr>
        <w:t xml:space="preserve"> Това е най-подходящият правен инструмент, тъй като само пряко приложимите разпоредби на регламента могат да осигурят необходимата степен на съгласуваност, необходима за създаването и изпълнението на програма на Съюза за финансиране, насочена към подкрепа </w:t>
      </w:r>
      <w:r>
        <w:rPr>
          <w:noProof/>
        </w:rPr>
        <w:t>на промишлен сектор в цяла Европа.</w:t>
      </w:r>
    </w:p>
    <w:p w:rsidR="000B688B" w:rsidRDefault="00640F08">
      <w:pPr>
        <w:pStyle w:val="ManualHeading1"/>
        <w:rPr>
          <w:noProof/>
        </w:rPr>
      </w:pPr>
      <w:r>
        <w:rPr>
          <w:noProof/>
        </w:rPr>
        <w:t>3.</w:t>
      </w:r>
      <w:r>
        <w:rPr>
          <w:noProof/>
        </w:rPr>
        <w:tab/>
        <w:t>РЕЗУЛТАТИ ОТ РЕТРОСПЕКТИВНИТЕ ОЦЕНКИ, КОНСУЛТАЦИИТЕ СЪС ЗАИНТЕРЕСОВАНИТЕ СТРАНИ И ОЦЕНКИТЕ НА ВЪЗДЕЙСТВИЕТО</w:t>
      </w:r>
    </w:p>
    <w:p w:rsidR="000B688B" w:rsidRDefault="00640F08">
      <w:pPr>
        <w:pStyle w:val="ManualHeading2"/>
        <w:rPr>
          <w:rFonts w:eastAsia="Arial Unicode MS"/>
          <w:noProof/>
          <w:u w:color="000000"/>
          <w:bdr w:val="nil"/>
        </w:rPr>
      </w:pPr>
      <w:r>
        <w:rPr>
          <w:noProof/>
        </w:rPr>
        <w:t>•</w:t>
      </w:r>
      <w:r>
        <w:rPr>
          <w:noProof/>
        </w:rPr>
        <w:tab/>
        <w:t>Ретроспективни оценки/проверки за пригодност на действащото законодателство</w:t>
      </w:r>
    </w:p>
    <w:p w:rsidR="000B688B" w:rsidRDefault="00640F08">
      <w:pPr>
        <w:pBdr>
          <w:top w:val="nil"/>
          <w:left w:val="nil"/>
          <w:bottom w:val="nil"/>
          <w:right w:val="nil"/>
          <w:between w:val="nil"/>
          <w:bar w:val="nil"/>
        </w:pBdr>
        <w:spacing w:before="240" w:after="240"/>
        <w:rPr>
          <w:noProof/>
          <w:szCs w:val="24"/>
        </w:rPr>
      </w:pPr>
      <w:r>
        <w:rPr>
          <w:noProof/>
        </w:rPr>
        <w:t>Програмите, създадени съгласно н</w:t>
      </w:r>
      <w:r>
        <w:rPr>
          <w:noProof/>
        </w:rPr>
        <w:t>астоящата многогодишна финансова рамка, действат сравнително отскоро и поради това не предлагат богати възможности за извличане на изводи и отчитане на минал опит при подготовката на настоящата програма.</w:t>
      </w:r>
    </w:p>
    <w:p w:rsidR="000B688B" w:rsidRDefault="00640F08">
      <w:pPr>
        <w:pBdr>
          <w:top w:val="nil"/>
          <w:left w:val="nil"/>
          <w:bottom w:val="nil"/>
          <w:right w:val="nil"/>
          <w:between w:val="nil"/>
          <w:bar w:val="nil"/>
        </w:pBdr>
        <w:spacing w:before="240" w:after="240"/>
        <w:rPr>
          <w:noProof/>
          <w:szCs w:val="24"/>
        </w:rPr>
      </w:pPr>
      <w:r>
        <w:rPr>
          <w:noProof/>
        </w:rPr>
        <w:t>Подготвителното действие за научни изследвания започна през април 2017 г. с общ бюджет от 90 млн. евро за три години. Първите конкретни резултати от него вече са налице с подписването на първите споразумения за отпускане на безвъзмездни средства през 2018 </w:t>
      </w:r>
      <w:r>
        <w:rPr>
          <w:noProof/>
        </w:rPr>
        <w:t xml:space="preserve">г., но нито един от проектите още не е завършен. </w:t>
      </w:r>
    </w:p>
    <w:p w:rsidR="000B688B" w:rsidRDefault="00640F08">
      <w:pPr>
        <w:pBdr>
          <w:top w:val="nil"/>
          <w:left w:val="nil"/>
          <w:bottom w:val="nil"/>
          <w:right w:val="nil"/>
          <w:between w:val="nil"/>
          <w:bar w:val="nil"/>
        </w:pBdr>
        <w:spacing w:before="240" w:after="240"/>
        <w:rPr>
          <w:noProof/>
          <w:szCs w:val="24"/>
        </w:rPr>
      </w:pPr>
      <w:r>
        <w:rPr>
          <w:noProof/>
        </w:rPr>
        <w:t xml:space="preserve">Кандидатите в поканите от 2017 г. произхождат от широк географски регион — кандидатствали са субекти от 25 държави — членки на ЕС, и от Норвегия, като между тях има кандидати с една-единствена кандидатура, </w:t>
      </w:r>
      <w:r>
        <w:rPr>
          <w:noProof/>
        </w:rPr>
        <w:t>а общият им брой е 187. Проектите, подбрани за финансиране, включват участници от 17 държави членки. Що се отнася до вида кандидати, предложенията произхождат от частния сектор (и големи, и малки предприятия), МСП, публични органи и научноизследователски ц</w:t>
      </w:r>
      <w:r>
        <w:rPr>
          <w:noProof/>
        </w:rPr>
        <w:t>ентрове и университети. Участието на МСП възлиза на 30 % от предложенията, без подготвителното действие във връзка с научните изследвания в областта на отбраната да налага строги правила относно участието на МСП. Процентът на участие на МСП се запазва в пр</w:t>
      </w:r>
      <w:r>
        <w:rPr>
          <w:noProof/>
        </w:rPr>
        <w:t>оектите, подбрани за финансиране — участието на МСП възлиза на 32 %, а стойността на бюджета на 14 %. Тези данни показват, че поканите от първата година на подготвителното действие във връзка с научните изследвания в областта на отбраната са имали добър от</w:t>
      </w:r>
      <w:r>
        <w:rPr>
          <w:noProof/>
        </w:rPr>
        <w:t>звук и са станали обект на засилен интерес от страна на сектора. От добрия брой кандидати може да се направи предварителното заключение, че са подбрани теми от значение за сектора на отбраната и че е бил привлечен интересът му.</w:t>
      </w:r>
    </w:p>
    <w:p w:rsidR="000B688B" w:rsidRDefault="00640F08">
      <w:pPr>
        <w:pBdr>
          <w:top w:val="nil"/>
          <w:left w:val="nil"/>
          <w:bottom w:val="nil"/>
          <w:right w:val="nil"/>
          <w:between w:val="nil"/>
          <w:bar w:val="nil"/>
        </w:pBdr>
        <w:spacing w:before="240" w:after="240"/>
        <w:rPr>
          <w:noProof/>
          <w:szCs w:val="24"/>
        </w:rPr>
      </w:pPr>
      <w:r>
        <w:rPr>
          <w:noProof/>
        </w:rPr>
        <w:t xml:space="preserve">По предлагания Регламент за </w:t>
      </w:r>
      <w:r>
        <w:rPr>
          <w:noProof/>
        </w:rPr>
        <w:t>Европейската програма за промишлено развитие в областта на отбраната за 2019—2020 г. на разположение ще бъде бюджет от 500 млн. евро. На 22 май 2018 г. съзаконодателите постигнаха компромис. Европейската програма за промишлено развитие в областта на отбран</w:t>
      </w:r>
      <w:r>
        <w:rPr>
          <w:noProof/>
        </w:rPr>
        <w:t>ата следва да започне да функционира от 1 януари 2019 г.</w:t>
      </w:r>
    </w:p>
    <w:p w:rsidR="000B688B" w:rsidRDefault="00640F08">
      <w:pPr>
        <w:pBdr>
          <w:top w:val="nil"/>
          <w:left w:val="nil"/>
          <w:bottom w:val="nil"/>
          <w:right w:val="nil"/>
          <w:between w:val="nil"/>
          <w:bar w:val="nil"/>
        </w:pBdr>
        <w:spacing w:before="240" w:after="240"/>
        <w:rPr>
          <w:noProof/>
          <w:szCs w:val="24"/>
        </w:rPr>
      </w:pPr>
      <w:r>
        <w:rPr>
          <w:noProof/>
        </w:rPr>
        <w:t>Постигнатият компромис показва политическата воля на съзаконодателите бързо да постигнат споразумение по бюджета, структурата и начините на изпълнение на програма за съфинансиране на разработването н</w:t>
      </w:r>
      <w:r>
        <w:rPr>
          <w:noProof/>
        </w:rPr>
        <w:t>а продукти и технологии в сферата на отбраната.</w:t>
      </w:r>
    </w:p>
    <w:p w:rsidR="000B688B" w:rsidRDefault="00640F08">
      <w:pPr>
        <w:rPr>
          <w:noProof/>
          <w:szCs w:val="24"/>
        </w:rPr>
      </w:pPr>
      <w:r>
        <w:rPr>
          <w:noProof/>
        </w:rPr>
        <w:t>Настоящата законодателна инициатива предполага увеличаване на мащаба не тези две инициативи, съществуващи по време на многогодишната финансова рамка 2014—2020 г. Въз основа на опита с подготвителното действие</w:t>
      </w:r>
      <w:r>
        <w:rPr>
          <w:noProof/>
        </w:rPr>
        <w:t xml:space="preserve"> във връзка с научните изследвания в областта на отбраната и Европейската програма за промишлено развитие в областта на отбраната и оценката на степента, в която е хармонизирана структурата на двете програми, се предлага един-единствен интегриран фонд. Тов</w:t>
      </w:r>
      <w:r>
        <w:rPr>
          <w:noProof/>
        </w:rPr>
        <w:t>а ще даде възможност за рационализиране и опростяване.</w:t>
      </w:r>
    </w:p>
    <w:p w:rsidR="000B688B" w:rsidRDefault="00640F08">
      <w:pPr>
        <w:pStyle w:val="ManualHeading2"/>
        <w:rPr>
          <w:rFonts w:eastAsia="Arial Unicode MS"/>
          <w:noProof/>
          <w:u w:color="000000"/>
          <w:bdr w:val="nil"/>
        </w:rPr>
      </w:pPr>
      <w:r>
        <w:rPr>
          <w:noProof/>
        </w:rPr>
        <w:t>•</w:t>
      </w:r>
      <w:r>
        <w:rPr>
          <w:noProof/>
        </w:rPr>
        <w:tab/>
        <w:t>Консултации със заинтересованите страни</w:t>
      </w:r>
    </w:p>
    <w:p w:rsidR="000B688B" w:rsidRDefault="00640F08">
      <w:pPr>
        <w:spacing w:before="240" w:after="200" w:line="276" w:lineRule="auto"/>
        <w:rPr>
          <w:rFonts w:eastAsia="SimSun"/>
          <w:noProof/>
          <w:szCs w:val="24"/>
        </w:rPr>
      </w:pPr>
      <w:r>
        <w:rPr>
          <w:noProof/>
        </w:rPr>
        <w:t>За да даде възможност на всички заинтересовани страни да изразят становищата си, Комисията проведе открита обществена консултация (ООК) относно Европейския фон</w:t>
      </w:r>
      <w:r>
        <w:rPr>
          <w:noProof/>
        </w:rPr>
        <w:t>д за отбрана от 13 януари до 9 март 2018 г. като част от по-широка консултация относно всички области на политиката, обхванати от бюджета на ЕС за периода 2021—2027 г. Чрез портала на ООК бяха изпратени няколко становища.</w:t>
      </w:r>
    </w:p>
    <w:p w:rsidR="000B688B" w:rsidRDefault="00640F08">
      <w:pPr>
        <w:spacing w:before="240" w:after="200" w:line="276" w:lineRule="auto"/>
        <w:rPr>
          <w:rFonts w:eastAsia="SimSun"/>
          <w:noProof/>
          <w:szCs w:val="24"/>
        </w:rPr>
      </w:pPr>
      <w:r>
        <w:rPr>
          <w:noProof/>
        </w:rPr>
        <w:t xml:space="preserve">Обхванати бяха различни групи от </w:t>
      </w:r>
      <w:r>
        <w:rPr>
          <w:noProof/>
        </w:rPr>
        <w:t xml:space="preserve">заинтересовани страни, включително пряко засегнатите от фонда, като промишлеността и научноизследователските институти, както и тези, които имат становище по въпроса, но не са преки получатели, като гражданите и неправителствените организации (НПО). Някои </w:t>
      </w:r>
      <w:r>
        <w:rPr>
          <w:noProof/>
        </w:rPr>
        <w:t>от последните разкритикува инициативата от етична гледна точка. Въпреки че техните опасения бяха съответно отчетени в предложението (например по отношение на етиката, необходимостта от спазване на международните конвенции), Комисията упражнява правото си н</w:t>
      </w:r>
      <w:r>
        <w:rPr>
          <w:noProof/>
        </w:rPr>
        <w:t>а инициатива да отговори на призива на гражданите на ЕС и техните политически ръководители за подкрепа на европейската отбранителна промишленост и за по-голяма сигурност.</w:t>
      </w:r>
    </w:p>
    <w:p w:rsidR="000B688B" w:rsidRDefault="00640F08">
      <w:pPr>
        <w:spacing w:before="0" w:after="200" w:line="276" w:lineRule="auto"/>
        <w:rPr>
          <w:rFonts w:eastAsia="SimSun"/>
          <w:noProof/>
          <w:szCs w:val="24"/>
        </w:rPr>
      </w:pPr>
      <w:r>
        <w:rPr>
          <w:noProof/>
        </w:rPr>
        <w:t>Пряко засегнатите заинтересовани страни подкрепят инициативата. Те коментираха темите</w:t>
      </w:r>
      <w:r>
        <w:rPr>
          <w:noProof/>
        </w:rPr>
        <w:t xml:space="preserve">, за които се предвижда финансиране, и направиха предложения относно структурата на фонда и уредбата на финансирането. Основните моменти в коментарите им бяха следните: </w:t>
      </w:r>
    </w:p>
    <w:p w:rsidR="000B688B" w:rsidRDefault="00640F08">
      <w:pPr>
        <w:pStyle w:val="Tiret0"/>
        <w:rPr>
          <w:noProof/>
        </w:rPr>
      </w:pPr>
      <w:r>
        <w:rPr>
          <w:b/>
          <w:noProof/>
        </w:rPr>
        <w:t>Насочеността следва да бъде към дългосрочните/средносрочните научноизследователски и р</w:t>
      </w:r>
      <w:r>
        <w:rPr>
          <w:b/>
          <w:noProof/>
        </w:rPr>
        <w:t>азвойни приоритети</w:t>
      </w:r>
      <w:r>
        <w:rPr>
          <w:noProof/>
        </w:rPr>
        <w:t xml:space="preserve"> (тласък на технологиите и революционни иновации) с оглед на дългосрочната конкурентоспособност на сектора и осигуряването на способности за осъществяване на пробив. Приоритетите на фонда следва да се определят заедно с държавите членки в</w:t>
      </w:r>
      <w:r>
        <w:rPr>
          <w:noProof/>
        </w:rPr>
        <w:t xml:space="preserve"> контекста на годишни/многогодишни работни програми; </w:t>
      </w:r>
    </w:p>
    <w:p w:rsidR="000B688B" w:rsidRDefault="00640F08">
      <w:pPr>
        <w:pStyle w:val="Tiret0"/>
        <w:rPr>
          <w:noProof/>
        </w:rPr>
      </w:pPr>
      <w:r>
        <w:rPr>
          <w:b/>
          <w:noProof/>
        </w:rPr>
        <w:t>Структурата на фонда следва да бъде отражение на</w:t>
      </w:r>
      <w:r>
        <w:rPr>
          <w:noProof/>
        </w:rPr>
        <w:t xml:space="preserve"> един холистичен, воден от способностите подход, обхващащ целия технологичен цикъл, и да се базира на един-единствен регламент. Подробната уредба на двата</w:t>
      </w:r>
      <w:r>
        <w:rPr>
          <w:noProof/>
        </w:rPr>
        <w:t xml:space="preserve"> компонента следва да бъде съгласувана във възможно най-голяма степен; </w:t>
      </w:r>
    </w:p>
    <w:p w:rsidR="000B688B" w:rsidRDefault="00640F08">
      <w:pPr>
        <w:pStyle w:val="Tiret0"/>
        <w:rPr>
          <w:noProof/>
        </w:rPr>
      </w:pPr>
      <w:r>
        <w:rPr>
          <w:noProof/>
        </w:rPr>
        <w:t xml:space="preserve">Заинтересованите страни са единодушни, че правилата относно </w:t>
      </w:r>
      <w:r>
        <w:rPr>
          <w:b/>
          <w:noProof/>
        </w:rPr>
        <w:t>правата върху интелектуалната собственост</w:t>
      </w:r>
      <w:r>
        <w:rPr>
          <w:noProof/>
        </w:rPr>
        <w:t xml:space="preserve"> (ПИС) трябва да бъдат адаптирани към нуждите на сектора на отбраната. Научноизслед</w:t>
      </w:r>
      <w:r>
        <w:rPr>
          <w:noProof/>
        </w:rPr>
        <w:t xml:space="preserve">ователските организации призоваха за защитата на правата на всички участници в проектите, а не само на тези на голямата индустрия. </w:t>
      </w:r>
    </w:p>
    <w:p w:rsidR="000B688B" w:rsidRDefault="00640F08">
      <w:pPr>
        <w:pStyle w:val="Tiret0"/>
        <w:rPr>
          <w:noProof/>
          <w:szCs w:val="24"/>
        </w:rPr>
      </w:pPr>
      <w:r>
        <w:rPr>
          <w:noProof/>
        </w:rPr>
        <w:t>Що се отнася до ставките на финансиране, заинтересованите страни изразиха становището, че при определянето им следва да се о</w:t>
      </w:r>
      <w:r>
        <w:rPr>
          <w:noProof/>
        </w:rPr>
        <w:t>тчита спецификата на сектора. Научноизследователските институти се застъпиха за по-голям финансов принос за научни изследвания, стигащ до 100 % и за покриване на непреките разходи във връзка с инфраструктури. В доклада на експертната група относно подготви</w:t>
      </w:r>
      <w:r>
        <w:rPr>
          <w:noProof/>
        </w:rPr>
        <w:t>телното действие за свързаните с отбраната научни изследвания</w:t>
      </w:r>
      <w:r>
        <w:rPr>
          <w:rStyle w:val="FootnoteReference"/>
          <w:noProof/>
        </w:rPr>
        <w:footnoteReference w:id="4"/>
      </w:r>
      <w:r>
        <w:rPr>
          <w:noProof/>
        </w:rPr>
        <w:t xml:space="preserve"> беше изложена препоръката да се покрива по-висок процент от непреките разходи. </w:t>
      </w:r>
    </w:p>
    <w:p w:rsidR="000B688B" w:rsidRDefault="00640F08">
      <w:pPr>
        <w:pStyle w:val="Tiret0"/>
        <w:rPr>
          <w:noProof/>
          <w:szCs w:val="24"/>
        </w:rPr>
      </w:pPr>
      <w:r>
        <w:rPr>
          <w:noProof/>
        </w:rPr>
        <w:t>Що се отнася до формите на финансова подкрепа, респондентите предлагат да бъдат разгледани възможностите за съфин</w:t>
      </w:r>
      <w:r>
        <w:rPr>
          <w:noProof/>
        </w:rPr>
        <w:t>ансиране от страна на държавите членки, например чрез обществени поръчки за продукти в предпазарен стадий и операции за смесено финансиране, управлявани чрез InvestEU, в случаите когато се стига до „вторични“ граждански разработки или във връзка със съоръж</w:t>
      </w:r>
      <w:r>
        <w:rPr>
          <w:noProof/>
        </w:rPr>
        <w:t xml:space="preserve">ения за изпитване. </w:t>
      </w:r>
    </w:p>
    <w:p w:rsidR="000B688B" w:rsidRDefault="00640F08">
      <w:pPr>
        <w:pStyle w:val="ManualHeading2"/>
        <w:rPr>
          <w:rFonts w:eastAsia="Arial Unicode MS"/>
          <w:noProof/>
          <w:u w:color="000000"/>
          <w:bdr w:val="nil"/>
        </w:rPr>
      </w:pPr>
      <w:r>
        <w:rPr>
          <w:noProof/>
        </w:rPr>
        <w:t>•</w:t>
      </w:r>
      <w:r>
        <w:rPr>
          <w:noProof/>
        </w:rPr>
        <w:tab/>
        <w:t>Външни експертни становища</w:t>
      </w:r>
    </w:p>
    <w:p w:rsidR="000B688B" w:rsidRDefault="00640F08">
      <w:pPr>
        <w:pBdr>
          <w:top w:val="nil"/>
          <w:left w:val="nil"/>
          <w:bottom w:val="nil"/>
          <w:right w:val="nil"/>
          <w:between w:val="nil"/>
          <w:bar w:val="nil"/>
        </w:pBdr>
        <w:spacing w:before="240" w:after="240"/>
        <w:rPr>
          <w:rFonts w:eastAsia="SimSun"/>
          <w:noProof/>
          <w:szCs w:val="24"/>
        </w:rPr>
      </w:pPr>
      <w:r>
        <w:rPr>
          <w:noProof/>
        </w:rPr>
        <w:t>Комисарят за вътрешния пазар, промишлеността, предприемачеството и МСП сформира група от 16 високопоставени личности, работещи в сферата на отбраната (като се започне от промишлеността, премине се през научн</w:t>
      </w:r>
      <w:r>
        <w:rPr>
          <w:noProof/>
        </w:rPr>
        <w:t xml:space="preserve">ите организации, Европейския и националните парламенти и се стигне до институтите, работещи по конкретната политика), с цел предоставяне на външни консултации в краткосрочен и дългосрочен план по въпросите на политиката за научни изследвания в областта на </w:t>
      </w:r>
      <w:r>
        <w:rPr>
          <w:noProof/>
        </w:rPr>
        <w:t xml:space="preserve">отбраната. След проведена серия от дискусии и консултации групата публикува през януари 2016 г. доклад — </w:t>
      </w:r>
      <w:r>
        <w:rPr>
          <w:i/>
          <w:noProof/>
        </w:rPr>
        <w:t>Научните изследвания в областта на отбраната — аргументи в подкрепа на финансирана от ЕС програма за научни изследвания и технологии</w:t>
      </w:r>
      <w:r>
        <w:rPr>
          <w:rStyle w:val="FootnoteReference"/>
          <w:i/>
          <w:noProof/>
        </w:rPr>
        <w:footnoteReference w:id="5"/>
      </w:r>
      <w:r>
        <w:rPr>
          <w:noProof/>
        </w:rPr>
        <w:t xml:space="preserve"> </w:t>
      </w:r>
    </w:p>
    <w:p w:rsidR="000B688B" w:rsidRDefault="00640F08">
      <w:pPr>
        <w:pBdr>
          <w:top w:val="nil"/>
          <w:left w:val="nil"/>
          <w:bottom w:val="nil"/>
          <w:right w:val="nil"/>
          <w:between w:val="nil"/>
          <w:bar w:val="nil"/>
        </w:pBdr>
        <w:spacing w:before="240" w:after="240"/>
        <w:rPr>
          <w:rFonts w:eastAsia="Arial Unicode MS"/>
          <w:i/>
          <w:noProof/>
        </w:rPr>
      </w:pPr>
      <w:r>
        <w:rPr>
          <w:noProof/>
        </w:rPr>
        <w:t>Групата спомогна</w:t>
      </w:r>
      <w:r>
        <w:rPr>
          <w:noProof/>
        </w:rPr>
        <w:t xml:space="preserve"> за оформянето на подготвителното действие за свързаните с отбраната научни изследвания, което започна през април 2017 г., и предостави стратегически консултации по по-дългосрочните амбиции за финансирана от Съюза научноизследователска дейност във връзка с</w:t>
      </w:r>
      <w:r>
        <w:rPr>
          <w:noProof/>
        </w:rPr>
        <w:t xml:space="preserve"> отбраната. </w:t>
      </w:r>
    </w:p>
    <w:p w:rsidR="000B688B" w:rsidRDefault="00640F08">
      <w:pPr>
        <w:pStyle w:val="ManualHeading2"/>
        <w:rPr>
          <w:rFonts w:eastAsia="Arial Unicode MS"/>
          <w:noProof/>
          <w:u w:color="000000"/>
          <w:bdr w:val="nil"/>
        </w:rPr>
      </w:pPr>
      <w:r>
        <w:rPr>
          <w:noProof/>
        </w:rPr>
        <w:t>•</w:t>
      </w:r>
      <w:r>
        <w:rPr>
          <w:noProof/>
        </w:rPr>
        <w:tab/>
        <w:t>Оценка на въздействието</w:t>
      </w:r>
    </w:p>
    <w:p w:rsidR="000B688B" w:rsidRDefault="00640F08">
      <w:pPr>
        <w:spacing w:before="240" w:after="200" w:line="276" w:lineRule="auto"/>
        <w:rPr>
          <w:noProof/>
          <w:szCs w:val="24"/>
        </w:rPr>
      </w:pPr>
      <w:r>
        <w:rPr>
          <w:noProof/>
        </w:rPr>
        <w:t>В съответствие с практиката на Комисията за по-добро регулиране настоящото предложение е подкрепено от оценка на въздействието. Независимият Комитет за регулаторен контрол разгледа оценката на въздействието и на 11 ап</w:t>
      </w:r>
      <w:r>
        <w:rPr>
          <w:noProof/>
        </w:rPr>
        <w:t>рил 2018 г. издаде положително становище. Комитетът препоръча да бъде изяснено правното основание на инициативата и потенциалните припокривания с научните изследвания, финансирани по специфичната програма на „Хоризонт Европа“, да бъде коригиран текстът отн</w:t>
      </w:r>
      <w:r>
        <w:rPr>
          <w:noProof/>
        </w:rPr>
        <w:t>осно механизмите за изпълнение, за да се даде възможност за по-селективен подход и да се мотивира по-добре предлагания режим на пряко управление на фонда. Докладът за оценка на въздействието беше съответно коригиран в съответствие с препоръките на комитета</w:t>
      </w:r>
      <w:r>
        <w:rPr>
          <w:noProof/>
        </w:rPr>
        <w:t>. Точка 3.2.1 от оценката на въздействието беше изцяло актуализирана в съответствие с първата препоръка. Формулировката на точка 2.4 е усъвършенствана и вече ясно обяснява разграничението между Европейския фонд за отбрана и специфичната програма за изпълне</w:t>
      </w:r>
      <w:r>
        <w:rPr>
          <w:noProof/>
        </w:rPr>
        <w:t>ние на „Хоризонт Европа“ по отношение на гражданските приложения. С цел по-добро обяснение на разграничението и на силните и слабите страни на различните варианти формулировката в точка 4.1 беше коригирана, както и оценката на вариантите в точка 4.2, къдет</w:t>
      </w:r>
      <w:r>
        <w:rPr>
          <w:noProof/>
        </w:rPr>
        <w:t>о вече е включена възможността да се използват — където е уместно и само по отношение на конкретния случай — някои мерки, мотивирани от логиката на вариант 3. И на последно място, в точка 4.1.1 е включен специален текст, с който се мотивира използването на</w:t>
      </w:r>
      <w:r>
        <w:rPr>
          <w:noProof/>
        </w:rPr>
        <w:t xml:space="preserve"> режима на пряко управление.</w:t>
      </w:r>
    </w:p>
    <w:p w:rsidR="000B688B" w:rsidRDefault="00640F08">
      <w:pPr>
        <w:spacing w:before="240" w:after="200" w:line="276" w:lineRule="auto"/>
        <w:rPr>
          <w:noProof/>
          <w:szCs w:val="24"/>
        </w:rPr>
      </w:pPr>
      <w:r>
        <w:rPr>
          <w:noProof/>
        </w:rPr>
        <w:t>В доклада за оценка на въздействието се обясняват проблемите и причините зад тях, мотивирали Комисията да предложи инициативата. Същите са свързани със съкращенията в националните бюджети за отбрана и некоординираното разходван</w:t>
      </w:r>
      <w:r>
        <w:rPr>
          <w:noProof/>
        </w:rPr>
        <w:t>е на средства, водещо до липса на ефективност и намаляване до критични равнища на наличността на отбранително оборудване. В доклада се посочва също така констатацията, че липсата на иновации е проблем и че все по-отслабващата степен на сътрудничество в НИР</w:t>
      </w:r>
      <w:r>
        <w:rPr>
          <w:noProof/>
        </w:rPr>
        <w:t>Д в отбраната и по-малките инвестиции в оборудване са пречка пред способността на Съюза да разработва нови технологии и системи за отбрана. Фрагментираното търсене води до неефективна организация от страната на предлагането, включително до значително дубли</w:t>
      </w:r>
      <w:r>
        <w:rPr>
          <w:noProof/>
        </w:rPr>
        <w:t>ране, ограничен мащаб на производство и вериги на промишлени доставки, които са изградени предимно на национална основа. Всичко това ограничава оперативната съвместимост на отбранителното оборудване и води до пропуснати икономии от мащаба.</w:t>
      </w:r>
    </w:p>
    <w:p w:rsidR="000B688B" w:rsidRDefault="00640F08">
      <w:pPr>
        <w:spacing w:before="240" w:after="200" w:line="276" w:lineRule="auto"/>
        <w:rPr>
          <w:noProof/>
          <w:szCs w:val="24"/>
        </w:rPr>
      </w:pPr>
      <w:r>
        <w:rPr>
          <w:noProof/>
        </w:rPr>
        <w:t>Според доклада ф</w:t>
      </w:r>
      <w:r>
        <w:rPr>
          <w:noProof/>
        </w:rPr>
        <w:t>ондът ще спомогне за преодоляване на това състояние, като насочи 13 млрд. евро в съвместни, ориентирани към отбраната научни изследвания и развитие на способности и по този начин превърне Съюза в един от най-големите инвеститори в научните изследвания в от</w:t>
      </w:r>
      <w:r>
        <w:rPr>
          <w:noProof/>
        </w:rPr>
        <w:t>браната в ЕС, който е също и катализатор, тъй като преориентира самостоятелното разходване на средства към съвместни развойни проекти с общи технически изисквания, които отговарят на приоритетите на ЕС.</w:t>
      </w:r>
    </w:p>
    <w:p w:rsidR="000B688B" w:rsidRDefault="00640F08">
      <w:pPr>
        <w:spacing w:before="240" w:after="200" w:line="276" w:lineRule="auto"/>
        <w:rPr>
          <w:noProof/>
          <w:szCs w:val="24"/>
        </w:rPr>
      </w:pPr>
      <w:r>
        <w:rPr>
          <w:noProof/>
        </w:rPr>
        <w:t xml:space="preserve">В доклада са разгледани три варианта що се отнася до </w:t>
      </w:r>
      <w:r>
        <w:rPr>
          <w:noProof/>
        </w:rPr>
        <w:t>структурата на фонда и механизмите за неговото изпълнение, които биха дали възможност по проблемите да се работи по най-оптималния начин:</w:t>
      </w:r>
    </w:p>
    <w:p w:rsidR="000B688B" w:rsidRDefault="00640F08">
      <w:pPr>
        <w:pStyle w:val="Tiret0"/>
        <w:rPr>
          <w:noProof/>
        </w:rPr>
      </w:pPr>
      <w:r>
        <w:rPr>
          <w:noProof/>
        </w:rPr>
        <w:t>вариант 1 — запазване на сегашните две отделни тестови програми по многогодишната финансова рамка за периода 2014—2020</w:t>
      </w:r>
      <w:r>
        <w:rPr>
          <w:noProof/>
        </w:rPr>
        <w:t> г. и увеличаване на равнищата на средствата с повече от шест пъти;</w:t>
      </w:r>
    </w:p>
    <w:p w:rsidR="000B688B" w:rsidRDefault="00640F08">
      <w:pPr>
        <w:pStyle w:val="Tiret0"/>
        <w:rPr>
          <w:noProof/>
        </w:rPr>
      </w:pPr>
      <w:r>
        <w:rPr>
          <w:noProof/>
        </w:rPr>
        <w:t>вариант 2 — въвеждане на допълнителни мерки за гъвкавост и опростяване.  Един-единствен фонд ще даде възможност за интегрирано планиране и на научноизследователската, и на развойната дейно</w:t>
      </w:r>
      <w:r>
        <w:rPr>
          <w:noProof/>
        </w:rPr>
        <w:t>ст с хармонизирани правила за участие. Вариант 2 взема предвид опасенията на заинтересованите страни, че в методологията, използвана при базовия сценарий, са заложени равнища на финансиране за непреки разходи, които са твърде ниски. Специфичните характерис</w:t>
      </w:r>
      <w:r>
        <w:rPr>
          <w:noProof/>
        </w:rPr>
        <w:t>тики на сектора, включително зависимостта от един-единствен купувач и съществените ограничения по отношение на търговското използване на резултатите от ориентирана към отбраната НИРД, следва да бъдат признати. При вариант 2 ще се въведе гъвкавост, даваща в</w:t>
      </w:r>
      <w:r>
        <w:rPr>
          <w:noProof/>
        </w:rPr>
        <w:t xml:space="preserve">ъзможност за по-добро покриване на непреките разходи. Ще бъдат въведени и мерки за опростяване, като например безвъзмездни средства под формата на еднократни суми; както и </w:t>
      </w:r>
    </w:p>
    <w:p w:rsidR="000B688B" w:rsidRDefault="00640F08">
      <w:pPr>
        <w:pStyle w:val="Tiret0"/>
        <w:rPr>
          <w:noProof/>
        </w:rPr>
      </w:pPr>
      <w:r>
        <w:rPr>
          <w:noProof/>
        </w:rPr>
        <w:t xml:space="preserve">вариант 3 — въвеждане на по-строги изисквания, т.е. замяна на подхода на базата на </w:t>
      </w:r>
      <w:r>
        <w:rPr>
          <w:noProof/>
        </w:rPr>
        <w:t>стимули и бонуси с по-прескриптивен подход, насочен към преодоляване на установените проблеми по начин, който предполага по-голяма степен на намеса, с оглед по-бързо постигане на резултати. Подобен прескриптивен подход също крие значителни рискове, особено</w:t>
      </w:r>
      <w:r>
        <w:rPr>
          <w:noProof/>
        </w:rPr>
        <w:t xml:space="preserve"> що се отнася до неговото възприемане, което от своя страна може да ограничи капацитета на фонда да постигне своите цели.</w:t>
      </w:r>
    </w:p>
    <w:p w:rsidR="000B688B" w:rsidRDefault="00640F08">
      <w:pPr>
        <w:spacing w:before="240" w:after="200" w:line="276" w:lineRule="auto"/>
        <w:rPr>
          <w:noProof/>
          <w:szCs w:val="24"/>
        </w:rPr>
      </w:pPr>
      <w:r>
        <w:rPr>
          <w:noProof/>
        </w:rPr>
        <w:t>След направеното сравнение между вариантите в доклада се препоръчва да бъде избран вариант 2, тъй като при него се постигат максимум с</w:t>
      </w:r>
      <w:r>
        <w:rPr>
          <w:noProof/>
        </w:rPr>
        <w:t xml:space="preserve">инергии и се въвежда опростяване, докато подходът на основата на стимули е по-малко рисков от прескриптивния подход от вариант 3. Вариант 2 би бил най-добрият начин да се гарантира, че фондът: </w:t>
      </w:r>
    </w:p>
    <w:p w:rsidR="000B688B" w:rsidRDefault="00640F08">
      <w:pPr>
        <w:pStyle w:val="Tiret0"/>
        <w:rPr>
          <w:noProof/>
        </w:rPr>
      </w:pPr>
      <w:r>
        <w:rPr>
          <w:noProof/>
        </w:rPr>
        <w:t>насърчава интеграцията и укрепването на общата конкурентоспосо</w:t>
      </w:r>
      <w:r>
        <w:rPr>
          <w:noProof/>
        </w:rPr>
        <w:t>бност на европейската технологична и промишлена база в сектора на отбраната;</w:t>
      </w:r>
    </w:p>
    <w:p w:rsidR="000B688B" w:rsidRDefault="00640F08">
      <w:pPr>
        <w:pStyle w:val="Tiret0"/>
        <w:rPr>
          <w:noProof/>
        </w:rPr>
      </w:pPr>
      <w:r>
        <w:rPr>
          <w:noProof/>
        </w:rPr>
        <w:t xml:space="preserve">подкрепя развитието на продукти и технологии от сектора на отбраната в Съюза, като служи като катализатор за програми за сътрудничество в НИРД в ключови области на отбранителните </w:t>
      </w:r>
      <w:r>
        <w:rPr>
          <w:noProof/>
        </w:rPr>
        <w:t>технологии; това следва да доведе до продължаване на съвместните инвестиционни програми в отбраната, които отговарят на бъдещите нужди на държавите членки от способности и укрепват развитието на бъдещи способности чрез засилено сътрудничество; както и</w:t>
      </w:r>
    </w:p>
    <w:p w:rsidR="000B688B" w:rsidRDefault="00640F08">
      <w:pPr>
        <w:pStyle w:val="Tiret0"/>
        <w:rPr>
          <w:noProof/>
        </w:rPr>
      </w:pPr>
      <w:r>
        <w:rPr>
          <w:noProof/>
        </w:rPr>
        <w:t>постигане на европейска добавена стойност, като се има предвид способността му (без да се заместват националните усилия) да се координира широк кръг от заинтересовани страни от различни министерства (като изключителни клиенти) и промишлени сектори в отбран</w:t>
      </w:r>
      <w:r>
        <w:rPr>
          <w:noProof/>
        </w:rPr>
        <w:t>ата (като изключителни доставчици на отбранителни продукти) с цел постигане на резултати в полза на всички.</w:t>
      </w:r>
    </w:p>
    <w:p w:rsidR="000B688B" w:rsidRDefault="00640F08">
      <w:pPr>
        <w:pStyle w:val="ManualHeading2"/>
        <w:rPr>
          <w:rFonts w:eastAsia="Arial Unicode MS"/>
          <w:noProof/>
          <w:u w:color="000000"/>
          <w:bdr w:val="nil"/>
        </w:rPr>
      </w:pPr>
      <w:r>
        <w:rPr>
          <w:noProof/>
        </w:rPr>
        <w:t>•</w:t>
      </w:r>
      <w:r>
        <w:rPr>
          <w:noProof/>
        </w:rPr>
        <w:tab/>
        <w:t>Опростяване и гъвкавост</w:t>
      </w:r>
    </w:p>
    <w:p w:rsidR="000B688B" w:rsidRDefault="00640F08">
      <w:pPr>
        <w:spacing w:before="240" w:after="200" w:line="276" w:lineRule="auto"/>
        <w:rPr>
          <w:rFonts w:eastAsia="SimSun"/>
          <w:noProof/>
          <w:szCs w:val="24"/>
        </w:rPr>
      </w:pPr>
      <w:r>
        <w:rPr>
          <w:b/>
          <w:noProof/>
        </w:rPr>
        <w:t>Интегрален подход:</w:t>
      </w:r>
      <w:r>
        <w:rPr>
          <w:noProof/>
        </w:rPr>
        <w:t xml:space="preserve"> Един Европейски фонд за отбрана, обхващащ и научноизследователската, и развойната дейност, ще позволи п</w:t>
      </w:r>
      <w:r>
        <w:rPr>
          <w:noProof/>
        </w:rPr>
        <w:t>редоставянето на интегрирана, взаимно подсилваща се подкрепа, като по този начин се избягва рискът резултатите от научните изследвания да бъдат изгубени поради липса на последваща подкрепа за допълнителното разработване и изпитване на технологията. Това ще</w:t>
      </w:r>
      <w:r>
        <w:rPr>
          <w:noProof/>
        </w:rPr>
        <w:t xml:space="preserve"> засили разпространението на продукти и технологии, подпомагани чрез финансиране от Съюза. Освен това един интегриран, по-гъвкав фонд ще дава възможност за допълнителни форми на подкрепа, където това е уместно, включително посредством обществени поръчки за</w:t>
      </w:r>
      <w:r>
        <w:rPr>
          <w:noProof/>
        </w:rPr>
        <w:t xml:space="preserve"> продукти в предпазарен стадий. Това ще даде възможност да се установят пазарните решения, които предлагат най-доброто съотношение качество—цена за удовлетворяване на потребностите на Съюза от научноизследователска дейност в отбраната.</w:t>
      </w:r>
    </w:p>
    <w:p w:rsidR="000B688B" w:rsidRDefault="00640F08">
      <w:pPr>
        <w:spacing w:before="0" w:after="200" w:line="276" w:lineRule="auto"/>
        <w:rPr>
          <w:rFonts w:eastAsia="SimSun"/>
          <w:noProof/>
          <w:szCs w:val="24"/>
        </w:rPr>
      </w:pPr>
      <w:r>
        <w:rPr>
          <w:b/>
          <w:noProof/>
        </w:rPr>
        <w:t>Отчитане на специфич</w:t>
      </w:r>
      <w:r>
        <w:rPr>
          <w:b/>
          <w:noProof/>
        </w:rPr>
        <w:t>ното естество на НИРД в сектора на отбраната:</w:t>
      </w:r>
      <w:r>
        <w:rPr>
          <w:noProof/>
        </w:rPr>
        <w:t xml:space="preserve"> Конфигурацията и структурата на Европейския фонд за отбрана е разработена въз основа на опита от подготвителното действие за свързаните с отбраната научни изследвания и предложението за регламент за Европейскат</w:t>
      </w:r>
      <w:r>
        <w:rPr>
          <w:noProof/>
        </w:rPr>
        <w:t>а програма за промишлено развитие в областта на отбраната, отзивите от заинтересованите страни и констатациите от оценката на въздействието, и по-специално относно специфичните характеристики на сектора, в който държавите членки и асоциираните държави обич</w:t>
      </w:r>
      <w:r>
        <w:rPr>
          <w:noProof/>
        </w:rPr>
        <w:t>айно изцяло финансират всички разходи за НИРД, като се имат предвид ограниченията по отношение на използването на резултатите от НИРД. Европейският фонд за отбрана дава възможност за необходимата гъвкавост, за да бъдат обхванати по-добре непреките разходи,</w:t>
      </w:r>
      <w:r>
        <w:rPr>
          <w:noProof/>
        </w:rPr>
        <w:t xml:space="preserve"> като същевременно са предвидени мерки, с които се гарантира, че няма свръхкомпенсация.</w:t>
      </w:r>
    </w:p>
    <w:p w:rsidR="000B688B" w:rsidRDefault="00640F08">
      <w:pPr>
        <w:spacing w:before="0" w:after="200" w:line="276" w:lineRule="auto"/>
        <w:rPr>
          <w:rFonts w:eastAsia="SimSun"/>
          <w:noProof/>
          <w:szCs w:val="24"/>
        </w:rPr>
      </w:pPr>
      <w:r>
        <w:rPr>
          <w:noProof/>
        </w:rPr>
        <w:t>Действията по фонда, изпълнени по време на развойната фаза, са много тясно свързани със стратегиите и процедурите на държавите членки за планиране и придобиване, включи</w:t>
      </w:r>
      <w:r>
        <w:rPr>
          <w:noProof/>
        </w:rPr>
        <w:t>телно с техния финансов принос за многонационални проекти за въоръжаване. Поради това е важно държавите членки да участват в съответствие с правилата по комитология в решенията за възлагане по отношение на развойните дейности.</w:t>
      </w:r>
    </w:p>
    <w:p w:rsidR="000B688B" w:rsidRDefault="00640F08">
      <w:pPr>
        <w:spacing w:before="0" w:after="200" w:line="276" w:lineRule="auto"/>
        <w:rPr>
          <w:rFonts w:eastAsia="SimSun"/>
          <w:noProof/>
          <w:szCs w:val="24"/>
        </w:rPr>
      </w:pPr>
      <w:r>
        <w:rPr>
          <w:noProof/>
        </w:rPr>
        <w:t>Процентите на съфинансиране з</w:t>
      </w:r>
      <w:r>
        <w:rPr>
          <w:noProof/>
        </w:rPr>
        <w:t>а разработването на прототипи и за действията от последващите етапи на развойната работа ще бъдат по-ниски от тези за други действия преди етапа на прототипа. Това ще гарантира подходящи стимули за подкрепа на стартирането на съвместни проекти за разработв</w:t>
      </w:r>
      <w:r>
        <w:rPr>
          <w:noProof/>
        </w:rPr>
        <w:t xml:space="preserve">ане на прототипи, като същевременно се взема предвид важната роля на финансирането от страна на държавите членки в тази област. </w:t>
      </w:r>
    </w:p>
    <w:p w:rsidR="000B688B" w:rsidRDefault="00640F08">
      <w:pPr>
        <w:spacing w:before="0" w:after="200" w:line="276" w:lineRule="auto"/>
        <w:rPr>
          <w:rFonts w:eastAsia="SimSun"/>
          <w:noProof/>
          <w:szCs w:val="24"/>
        </w:rPr>
      </w:pPr>
      <w:r>
        <w:rPr>
          <w:noProof/>
        </w:rPr>
        <w:t>Правилата за участие в Европейския фонд за отбрана ще отчитат характерните особености на сектора на отбраната, особено що се от</w:t>
      </w:r>
      <w:r>
        <w:rPr>
          <w:noProof/>
        </w:rPr>
        <w:t xml:space="preserve">нася до абсолютната необходимост от сигурност на информацията и управлението на резултатите от действията. </w:t>
      </w:r>
    </w:p>
    <w:p w:rsidR="000B688B" w:rsidRDefault="00640F08">
      <w:pPr>
        <w:spacing w:before="0" w:after="200" w:line="276" w:lineRule="auto"/>
        <w:rPr>
          <w:rFonts w:eastAsia="SimSun"/>
          <w:noProof/>
          <w:szCs w:val="24"/>
        </w:rPr>
      </w:pPr>
      <w:r>
        <w:rPr>
          <w:noProof/>
        </w:rPr>
        <w:t>Специално внимание ще бъде обърнато върху гарантирането на подходящо участие от страна на малките предприятия чрез увеличаване на процентите на фина</w:t>
      </w:r>
      <w:r>
        <w:rPr>
          <w:noProof/>
        </w:rPr>
        <w:t>нсиране с цел насърчаване на трансграничното участие на малки и средни предприятия в съвместни проекти.</w:t>
      </w:r>
    </w:p>
    <w:p w:rsidR="000B688B" w:rsidRDefault="00640F08">
      <w:pPr>
        <w:spacing w:before="240" w:after="200" w:line="276" w:lineRule="auto"/>
        <w:rPr>
          <w:rFonts w:eastAsia="SimSun"/>
          <w:noProof/>
          <w:szCs w:val="24"/>
        </w:rPr>
      </w:pPr>
      <w:r>
        <w:rPr>
          <w:noProof/>
        </w:rPr>
        <w:t>Широкото използване на инструменти на базата на крайни продукти (единствени еднократни суми и финансиране с единна ставка за безвъзмездните средства) ще</w:t>
      </w:r>
      <w:r>
        <w:rPr>
          <w:noProof/>
        </w:rPr>
        <w:t xml:space="preserve"> позволи да се избегнат последващите счетоводни проверки на допустимите разходи и възможната сложност на проверките (разрешения за достъп до класифицирана информация). По-специално, когато Съюзът допълва с малка част предварителен бюджет, който вече е одоб</w:t>
      </w:r>
      <w:r>
        <w:rPr>
          <w:noProof/>
        </w:rPr>
        <w:t xml:space="preserve">рен от държавите членки (подкрепа за разработването на прототипи), безвъзмездните средства от Съюза ще бъдат под формата на единствена еднократна сума, изплащана за предвидени престации, приети от държавите членки. Като правило приносът на Съюза трябва да </w:t>
      </w:r>
      <w:r>
        <w:rPr>
          <w:noProof/>
        </w:rPr>
        <w:t>бъде изплащан по отношение на предвидени престации. Това ще улесни управлението на фонда, ще намали разходите за управление и ще ограничи процента на грешка.</w:t>
      </w:r>
    </w:p>
    <w:p w:rsidR="000B688B" w:rsidRDefault="00640F08">
      <w:pPr>
        <w:spacing w:before="240" w:after="200" w:line="276" w:lineRule="auto"/>
        <w:rPr>
          <w:rFonts w:eastAsia="SimSun"/>
          <w:noProof/>
          <w:szCs w:val="24"/>
        </w:rPr>
      </w:pPr>
      <w:r>
        <w:rPr>
          <w:noProof/>
        </w:rPr>
        <w:t>Комисията ще изпълнява Европейския фонд за отбрана при пряко управление, за да се увеличат в макси</w:t>
      </w:r>
      <w:r>
        <w:rPr>
          <w:noProof/>
        </w:rPr>
        <w:t>мална степен ефективността и ефикасността на изпълнението. Държавите членки ще участват активно в изпълнението на Европейския фонд за отбрана.</w:t>
      </w:r>
    </w:p>
    <w:p w:rsidR="000B688B" w:rsidRDefault="00640F08">
      <w:pPr>
        <w:pStyle w:val="ManualHeading2"/>
        <w:rPr>
          <w:rFonts w:eastAsia="Arial Unicode MS"/>
          <w:noProof/>
          <w:u w:color="000000"/>
          <w:bdr w:val="nil"/>
        </w:rPr>
      </w:pPr>
      <w:r>
        <w:rPr>
          <w:noProof/>
        </w:rPr>
        <w:t>•</w:t>
      </w:r>
      <w:r>
        <w:rPr>
          <w:noProof/>
        </w:rPr>
        <w:tab/>
        <w:t>Основни права</w:t>
      </w:r>
    </w:p>
    <w:p w:rsidR="000B688B" w:rsidRDefault="00640F08">
      <w:pPr>
        <w:pBdr>
          <w:top w:val="nil"/>
          <w:left w:val="nil"/>
          <w:bottom w:val="nil"/>
          <w:right w:val="nil"/>
          <w:between w:val="nil"/>
          <w:bar w:val="nil"/>
        </w:pBdr>
        <w:spacing w:before="0" w:after="240"/>
        <w:rPr>
          <w:noProof/>
          <w:szCs w:val="24"/>
        </w:rPr>
      </w:pPr>
      <w:r>
        <w:rPr>
          <w:noProof/>
        </w:rPr>
        <w:t xml:space="preserve">Повишаването на сигурността на гражданите на ЕС е гаранция за техните основни права. </w:t>
      </w:r>
    </w:p>
    <w:p w:rsidR="000B688B" w:rsidRDefault="00640F08">
      <w:pPr>
        <w:pBdr>
          <w:top w:val="nil"/>
          <w:left w:val="nil"/>
          <w:bottom w:val="nil"/>
          <w:right w:val="nil"/>
          <w:between w:val="nil"/>
          <w:bar w:val="nil"/>
        </w:pBdr>
        <w:spacing w:before="0" w:after="240"/>
        <w:rPr>
          <w:noProof/>
          <w:szCs w:val="24"/>
        </w:rPr>
      </w:pPr>
      <w:r>
        <w:rPr>
          <w:noProof/>
        </w:rPr>
        <w:t>Финансирани</w:t>
      </w:r>
      <w:r>
        <w:rPr>
          <w:noProof/>
        </w:rPr>
        <w:t>те дейности ще съответстват на ангажиментите на Съюза в рамките на международни споразумения, а всички кандидатури за финансиране ще бъдат проверявани от експерти по етика.</w:t>
      </w:r>
    </w:p>
    <w:p w:rsidR="000B688B" w:rsidRDefault="00640F08">
      <w:pPr>
        <w:pStyle w:val="ManualHeading1"/>
        <w:rPr>
          <w:noProof/>
        </w:rPr>
      </w:pPr>
      <w:r>
        <w:rPr>
          <w:noProof/>
        </w:rPr>
        <w:t>4.</w:t>
      </w:r>
      <w:r>
        <w:rPr>
          <w:noProof/>
        </w:rPr>
        <w:tab/>
        <w:t>ОТРАЖЕНИЕ ВЪРХУ БЮДЖЕТА</w:t>
      </w:r>
    </w:p>
    <w:p w:rsidR="000B688B" w:rsidRDefault="00640F08">
      <w:pPr>
        <w:pBdr>
          <w:top w:val="nil"/>
          <w:left w:val="nil"/>
          <w:bottom w:val="nil"/>
          <w:right w:val="nil"/>
          <w:between w:val="nil"/>
          <w:bar w:val="nil"/>
        </w:pBdr>
        <w:spacing w:before="0" w:after="240"/>
        <w:rPr>
          <w:noProof/>
          <w:szCs w:val="24"/>
        </w:rPr>
      </w:pPr>
      <w:r>
        <w:rPr>
          <w:noProof/>
        </w:rPr>
        <w:t>Предлаганите бюджетни средства за 2021—2027 г. са 13 000</w:t>
      </w:r>
      <w:r>
        <w:rPr>
          <w:noProof/>
        </w:rPr>
        <w:t xml:space="preserve"> 000 000 EUR (по текущи цени), от които:</w:t>
      </w:r>
    </w:p>
    <w:p w:rsidR="000B688B" w:rsidRDefault="00640F08">
      <w:pPr>
        <w:pStyle w:val="Tiret0"/>
        <w:rPr>
          <w:noProof/>
        </w:rPr>
      </w:pPr>
      <w:r>
        <w:rPr>
          <w:noProof/>
        </w:rPr>
        <w:t>4 100 000 000 EUR — за „действия в областта на научните изследвания“;</w:t>
      </w:r>
    </w:p>
    <w:p w:rsidR="000B688B" w:rsidRDefault="00640F08">
      <w:pPr>
        <w:pStyle w:val="Tiret0"/>
        <w:rPr>
          <w:noProof/>
        </w:rPr>
      </w:pPr>
      <w:r>
        <w:rPr>
          <w:noProof/>
        </w:rPr>
        <w:t>8 900 000 000 EUR — за „действия в областта на развойната дейност“.</w:t>
      </w:r>
    </w:p>
    <w:p w:rsidR="000B688B" w:rsidRDefault="00640F08">
      <w:pPr>
        <w:pBdr>
          <w:top w:val="nil"/>
          <w:left w:val="nil"/>
          <w:bottom w:val="nil"/>
          <w:right w:val="nil"/>
          <w:between w:val="nil"/>
          <w:bar w:val="nil"/>
        </w:pBdr>
        <w:spacing w:before="0" w:after="240"/>
        <w:rPr>
          <w:noProof/>
          <w:szCs w:val="24"/>
        </w:rPr>
      </w:pPr>
      <w:r>
        <w:rPr>
          <w:noProof/>
        </w:rPr>
        <w:t>Въздействието върху периода на многогодишната финансова рамка по отношение на</w:t>
      </w:r>
      <w:r>
        <w:rPr>
          <w:noProof/>
        </w:rPr>
        <w:t xml:space="preserve"> необходимия бюджет и човешки ресурси е описано подробно в законодателната финансова обосновка, приложена към предложението.</w:t>
      </w:r>
    </w:p>
    <w:p w:rsidR="000B688B" w:rsidRDefault="00640F08">
      <w:pPr>
        <w:pStyle w:val="ManualHeading1"/>
        <w:rPr>
          <w:noProof/>
        </w:rPr>
      </w:pPr>
      <w:r>
        <w:rPr>
          <w:noProof/>
        </w:rPr>
        <w:t>5.</w:t>
      </w:r>
      <w:r>
        <w:rPr>
          <w:noProof/>
        </w:rPr>
        <w:tab/>
        <w:t>ДРУГИ ЕЛЕМЕНТИ</w:t>
      </w:r>
    </w:p>
    <w:p w:rsidR="000B688B" w:rsidRDefault="00640F08">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rsidR="000B688B" w:rsidRDefault="00640F08">
      <w:pPr>
        <w:pBdr>
          <w:top w:val="nil"/>
          <w:left w:val="nil"/>
          <w:bottom w:val="nil"/>
          <w:right w:val="nil"/>
          <w:between w:val="nil"/>
          <w:bar w:val="nil"/>
        </w:pBdr>
        <w:spacing w:before="0" w:after="240"/>
        <w:rPr>
          <w:rFonts w:eastAsia="SimSun"/>
          <w:noProof/>
          <w:szCs w:val="24"/>
        </w:rPr>
      </w:pPr>
      <w:r>
        <w:rPr>
          <w:noProof/>
        </w:rPr>
        <w:t xml:space="preserve">В законодателната финансова обосновка са </w:t>
      </w:r>
      <w:r>
        <w:rPr>
          <w:noProof/>
        </w:rPr>
        <w:t>посочени необходимите ресурси в структурите на Комисията за изпълнение на фонда. Ако разходната ефективност бъде потвърдена от анализ на разходите и ползите, фондът може да бъде управляван от изпълнителна агенция на Комисията.</w:t>
      </w:r>
    </w:p>
    <w:p w:rsidR="000B688B" w:rsidRDefault="00640F08">
      <w:pPr>
        <w:spacing w:before="0" w:after="200" w:line="276" w:lineRule="auto"/>
        <w:rPr>
          <w:rFonts w:eastAsia="SimSun" w:cstheme="minorBidi"/>
          <w:noProof/>
        </w:rPr>
      </w:pPr>
      <w:r>
        <w:rPr>
          <w:noProof/>
        </w:rPr>
        <w:t>Предлага се схема за монитори</w:t>
      </w:r>
      <w:r>
        <w:rPr>
          <w:noProof/>
        </w:rPr>
        <w:t>нг, която да подпомага отчитането на качеството на изпълнението и оценката. Резултатите ще се постигат постепенно. Информацията от мониторинга ще се отнася до:</w:t>
      </w:r>
    </w:p>
    <w:p w:rsidR="000B688B" w:rsidRDefault="00640F08">
      <w:pPr>
        <w:pStyle w:val="Tiret0"/>
        <w:rPr>
          <w:noProof/>
        </w:rPr>
      </w:pPr>
      <w:r>
        <w:rPr>
          <w:noProof/>
        </w:rPr>
        <w:t>показатели за вложените ресурси (например брой и видове проекти) в началните години;</w:t>
      </w:r>
    </w:p>
    <w:p w:rsidR="000B688B" w:rsidRDefault="00640F08">
      <w:pPr>
        <w:pStyle w:val="Tiret0"/>
        <w:rPr>
          <w:noProof/>
        </w:rPr>
      </w:pPr>
      <w:r>
        <w:rPr>
          <w:noProof/>
        </w:rPr>
        <w:t xml:space="preserve">показатели </w:t>
      </w:r>
      <w:r>
        <w:rPr>
          <w:noProof/>
        </w:rPr>
        <w:t xml:space="preserve">за крайните продукти към средата на програмния период (в зависимост от продължителността на проектите); </w:t>
      </w:r>
    </w:p>
    <w:p w:rsidR="000B688B" w:rsidRDefault="00640F08">
      <w:pPr>
        <w:pStyle w:val="Tiret0"/>
        <w:rPr>
          <w:noProof/>
        </w:rPr>
      </w:pPr>
      <w:r>
        <w:rPr>
          <w:noProof/>
        </w:rPr>
        <w:t xml:space="preserve">показатели за резултати (например последващи поръчки от страна на държавите членки и партньорите) през по-късните години на фонда.  </w:t>
      </w:r>
    </w:p>
    <w:p w:rsidR="000B688B" w:rsidRDefault="00640F08">
      <w:pPr>
        <w:spacing w:before="0" w:after="200" w:line="276" w:lineRule="auto"/>
        <w:rPr>
          <w:rFonts w:cstheme="minorBidi"/>
          <w:noProof/>
        </w:rPr>
      </w:pPr>
      <w:r>
        <w:rPr>
          <w:noProof/>
        </w:rPr>
        <w:t xml:space="preserve">Оценките ще бъдат </w:t>
      </w:r>
      <w:r>
        <w:rPr>
          <w:noProof/>
        </w:rPr>
        <w:t>извършвани в съответствие с точки 22 и 23 от междуинституционалното споразумение от 13 април 2016 г.</w:t>
      </w:r>
      <w:r>
        <w:rPr>
          <w:rStyle w:val="FootnoteReference"/>
          <w:rFonts w:cstheme="minorBidi"/>
          <w:noProof/>
        </w:rPr>
        <w:footnoteReference w:id="6"/>
      </w:r>
      <w:r>
        <w:rPr>
          <w:noProof/>
        </w:rPr>
        <w:t>, в което трите институции потвърдиха, че оценките на съществуващите законодателство и политика следва да осигуряват основа за оценка на въздействието на в</w:t>
      </w:r>
      <w:r>
        <w:rPr>
          <w:noProof/>
        </w:rPr>
        <w:t>ариантите за по-нататъшни действия. Оценките ще определят въздействието на програмата на място въз основа на програмните показатели/цели и подробен анализ на степента, до която програмата може да се счита за релевантна, ефективна, ефикасна, осигуряваща дос</w:t>
      </w:r>
      <w:r>
        <w:rPr>
          <w:noProof/>
        </w:rPr>
        <w:t>татъчна добавена стойност за ЕС и е съгласувана с другите политики на ЕС. Те ще включват извлечените поуки, за да се идентифицират всички недостатъци/проблеми или потенциал за по-нататъшно подобряване на действията или техните резултати и ще помогнат да се</w:t>
      </w:r>
      <w:r>
        <w:rPr>
          <w:noProof/>
        </w:rPr>
        <w:t xml:space="preserve"> извлече максимална полза от тяхното използване/въздействие.</w:t>
      </w:r>
    </w:p>
    <w:p w:rsidR="000B688B" w:rsidRDefault="00640F08">
      <w:pPr>
        <w:spacing w:before="0" w:after="200" w:line="276" w:lineRule="auto"/>
        <w:rPr>
          <w:rFonts w:eastAsia="SimSun" w:cstheme="minorBidi"/>
          <w:noProof/>
        </w:rPr>
      </w:pPr>
      <w:r>
        <w:rPr>
          <w:noProof/>
        </w:rPr>
        <w:t>Когато има на разположение достатъчно информация и не по-късно от четири години след началото на изпълнение, ще бъде извършена междинна оценка на фонда във връзка с неговото изпълнение, като успо</w:t>
      </w:r>
      <w:r>
        <w:rPr>
          <w:noProof/>
        </w:rPr>
        <w:t xml:space="preserve">редно с нея ще бъдат извършени последващите оценки на подготвителното действие за свързаните с отбраната научни изследвания и на Европейската програма за промишлено развитие в областта. </w:t>
      </w:r>
    </w:p>
    <w:p w:rsidR="000B688B" w:rsidRDefault="00640F08">
      <w:pPr>
        <w:spacing w:before="0" w:after="200" w:line="276" w:lineRule="auto"/>
        <w:rPr>
          <w:rFonts w:eastAsia="SimSun" w:cstheme="minorBidi"/>
          <w:noProof/>
        </w:rPr>
      </w:pPr>
      <w:r>
        <w:rPr>
          <w:noProof/>
        </w:rPr>
        <w:t>Комисията ще направи окончателна оценка в края на периода на изпълнен</w:t>
      </w:r>
      <w:r>
        <w:rPr>
          <w:noProof/>
        </w:rPr>
        <w:t>ие, когато повечето проекти са завършени.</w:t>
      </w:r>
    </w:p>
    <w:p w:rsidR="000B688B" w:rsidRDefault="00640F08">
      <w:pPr>
        <w:pStyle w:val="ManualHeading2"/>
        <w:rPr>
          <w:rFonts w:eastAsia="Arial Unicode MS"/>
          <w:noProof/>
          <w:u w:color="000000"/>
          <w:bdr w:val="nil"/>
        </w:rPr>
      </w:pPr>
      <w:r>
        <w:rPr>
          <w:noProof/>
        </w:rPr>
        <w:tab/>
        <w:t>Интегриране на свързаните с климата въпроси</w:t>
      </w:r>
    </w:p>
    <w:p w:rsidR="000B688B" w:rsidRDefault="00640F08">
      <w:pPr>
        <w:spacing w:before="0" w:after="200" w:line="276" w:lineRule="auto"/>
        <w:rPr>
          <w:rFonts w:cstheme="minorBidi"/>
          <w:noProof/>
        </w:rPr>
      </w:pPr>
      <w:r>
        <w:rPr>
          <w:noProof/>
        </w:rPr>
        <w:t xml:space="preserve">В предложението на Комисията за многогодишната финансова рамка за периода 2021—2027 г. беше определена по-амбициозна цел за интегриране на действията по климата във </w:t>
      </w:r>
      <w:r>
        <w:rPr>
          <w:noProof/>
        </w:rPr>
        <w:t>всички програми на ЕС, с обща цел 25 % от разходваните от ЕС средства да допринасят за целите, свързани с изменението на климата. Приносът на този фонд за постигането на тази обща цел ще бъде проследяван чрез система на ЕС от екологични параметри с подходя</w:t>
      </w:r>
      <w:r>
        <w:rPr>
          <w:noProof/>
        </w:rPr>
        <w:t>ща степен на подробност, включително използването на по-точни методики, когато такива са на разположение.</w:t>
      </w:r>
      <w:r>
        <w:rPr>
          <w:i/>
          <w:noProof/>
        </w:rPr>
        <w:t xml:space="preserve"> </w:t>
      </w:r>
      <w:r>
        <w:rPr>
          <w:noProof/>
        </w:rPr>
        <w:t>Комисията ще продължи да представя информацията всяка година по отношение на бюджетните кредити за поети задължения в контекста на годишния проектобюд</w:t>
      </w:r>
      <w:r>
        <w:rPr>
          <w:noProof/>
        </w:rPr>
        <w:t xml:space="preserve">жет. </w:t>
      </w:r>
    </w:p>
    <w:p w:rsidR="000B688B" w:rsidRDefault="00640F08">
      <w:pPr>
        <w:spacing w:before="0" w:after="200" w:line="276" w:lineRule="auto"/>
        <w:rPr>
          <w:rFonts w:cstheme="minorBidi"/>
          <w:noProof/>
        </w:rPr>
      </w:pPr>
      <w:r>
        <w:rPr>
          <w:noProof/>
        </w:rPr>
        <w:t xml:space="preserve">С цел да се подкрепи пълното използване на потенциала на Европейския фонд за отбрана за допринасяне за постигането на целите в областта на климата Комисията ще се стреми да набележи съответни дейности по време на подготовката, изпълнението, прегледа </w:t>
      </w:r>
      <w:r>
        <w:rPr>
          <w:noProof/>
        </w:rPr>
        <w:t>и оценката на фонда.</w:t>
      </w:r>
    </w:p>
    <w:p w:rsidR="000B688B" w:rsidRDefault="00640F08">
      <w:pPr>
        <w:pStyle w:val="ManualHeading2"/>
        <w:rPr>
          <w:rFonts w:eastAsia="Arial Unicode MS"/>
          <w:noProof/>
          <w:u w:color="000000"/>
          <w:bdr w:val="nil"/>
        </w:rPr>
      </w:pPr>
      <w:r>
        <w:rPr>
          <w:noProof/>
        </w:rPr>
        <w:t>•</w:t>
      </w:r>
      <w:r>
        <w:rPr>
          <w:noProof/>
        </w:rPr>
        <w:tab/>
        <w:t>Дата на прилагане</w:t>
      </w:r>
    </w:p>
    <w:p w:rsidR="000B688B" w:rsidRDefault="00640F08">
      <w:pPr>
        <w:rPr>
          <w:noProof/>
          <w:szCs w:val="24"/>
        </w:rPr>
      </w:pPr>
      <w:r>
        <w:rPr>
          <w:noProof/>
        </w:rPr>
        <w:t>В настоящото предложение се предвижда дата на прилагане 1 януари 2021 г.</w:t>
      </w:r>
    </w:p>
    <w:p w:rsidR="000B688B" w:rsidRDefault="000B688B">
      <w:pPr>
        <w:spacing w:before="0" w:after="200" w:line="276" w:lineRule="auto"/>
        <w:rPr>
          <w:rFonts w:cstheme="minorBidi"/>
          <w:noProof/>
        </w:rPr>
      </w:pPr>
    </w:p>
    <w:p w:rsidR="000B688B" w:rsidRDefault="000B688B">
      <w:pPr>
        <w:rPr>
          <w:noProof/>
        </w:rPr>
        <w:sectPr w:rsidR="000B688B" w:rsidSect="00640F08">
          <w:footerReference w:type="default" r:id="rId19"/>
          <w:footerReference w:type="first" r:id="rId20"/>
          <w:pgSz w:w="11907" w:h="16839"/>
          <w:pgMar w:top="1134" w:right="1417" w:bottom="1134" w:left="1417" w:header="709" w:footer="709" w:gutter="0"/>
          <w:pgNumType w:start="1"/>
          <w:cols w:space="720"/>
          <w:docGrid w:linePitch="360"/>
        </w:sectPr>
      </w:pPr>
    </w:p>
    <w:p w:rsidR="000B688B" w:rsidRDefault="00640F08" w:rsidP="00640F08">
      <w:pPr>
        <w:pStyle w:val="Rfrenceinterinstitutionnelle"/>
        <w:rPr>
          <w:noProof/>
        </w:rPr>
      </w:pPr>
      <w:r w:rsidRPr="00640F08">
        <w:t>2018/0254 (COD)</w:t>
      </w:r>
    </w:p>
    <w:p w:rsidR="000B688B" w:rsidRDefault="00640F08" w:rsidP="00640F08">
      <w:pPr>
        <w:pStyle w:val="Statut"/>
        <w:rPr>
          <w:noProof/>
        </w:rPr>
      </w:pPr>
      <w:r w:rsidRPr="00640F08">
        <w:t>Предложение за</w:t>
      </w:r>
    </w:p>
    <w:p w:rsidR="000B688B" w:rsidRDefault="00640F08" w:rsidP="00640F08">
      <w:pPr>
        <w:pStyle w:val="Typedudocument"/>
        <w:rPr>
          <w:noProof/>
        </w:rPr>
      </w:pPr>
      <w:r w:rsidRPr="00640F08">
        <w:t>РЕГЛАМЕНТ НА ЕВРОПЕЙСКИЯ ПАРЛАМЕНТ И НА СЪВЕТА</w:t>
      </w:r>
    </w:p>
    <w:p w:rsidR="000B688B" w:rsidRDefault="00640F08" w:rsidP="00640F08">
      <w:pPr>
        <w:pStyle w:val="Titreobjet"/>
        <w:rPr>
          <w:noProof/>
        </w:rPr>
      </w:pPr>
      <w:r w:rsidRPr="00640F08">
        <w:t>за създаване на Европейски фонд за отбрана</w:t>
      </w:r>
    </w:p>
    <w:p w:rsidR="000B688B" w:rsidRDefault="00640F08" w:rsidP="00640F08">
      <w:pPr>
        <w:pStyle w:val="IntrtEEE"/>
        <w:rPr>
          <w:noProof/>
        </w:rPr>
      </w:pPr>
      <w:r w:rsidRPr="00640F08">
        <w:t>(текст от значение за ЕИП)</w:t>
      </w:r>
    </w:p>
    <w:p w:rsidR="000B688B" w:rsidRDefault="00640F08">
      <w:pPr>
        <w:pStyle w:val="Institutionquiagit"/>
        <w:rPr>
          <w:noProof/>
          <w:szCs w:val="24"/>
        </w:rPr>
      </w:pPr>
      <w:r>
        <w:rPr>
          <w:noProof/>
        </w:rPr>
        <w:t>ЕВРОПЕЙСКИЯТ ПАРЛАМЕНТ И СЪВЕТЪТ НА ЕВРОПЕЙСКИЯ СЪЮЗ,</w:t>
      </w:r>
    </w:p>
    <w:p w:rsidR="000B688B" w:rsidRDefault="00640F08">
      <w:pPr>
        <w:rPr>
          <w:noProof/>
          <w:szCs w:val="24"/>
        </w:rPr>
      </w:pPr>
      <w:r>
        <w:rPr>
          <w:noProof/>
        </w:rPr>
        <w:t>като взеха предвид Договора за функционирането на Европейския съюз, и по-специално член 173, параграф 3, член 182, параграф 4, член 183</w:t>
      </w:r>
      <w:r>
        <w:rPr>
          <w:noProof/>
        </w:rPr>
        <w:t xml:space="preserve"> и член 188, втората алинея от него,</w:t>
      </w:r>
    </w:p>
    <w:p w:rsidR="000B688B" w:rsidRDefault="00640F08">
      <w:pPr>
        <w:rPr>
          <w:noProof/>
          <w:szCs w:val="24"/>
        </w:rPr>
      </w:pPr>
      <w:r>
        <w:rPr>
          <w:noProof/>
        </w:rPr>
        <w:t>като взеха предвид предложението на Европейската комисия,</w:t>
      </w:r>
    </w:p>
    <w:p w:rsidR="000B688B" w:rsidRDefault="00640F08">
      <w:pPr>
        <w:rPr>
          <w:noProof/>
          <w:szCs w:val="24"/>
        </w:rPr>
      </w:pPr>
      <w:r>
        <w:rPr>
          <w:noProof/>
        </w:rPr>
        <w:t>след предаване на проекта на законодателния акт на националните парламенти,</w:t>
      </w:r>
    </w:p>
    <w:p w:rsidR="000B688B" w:rsidRDefault="00640F08">
      <w:pPr>
        <w:rPr>
          <w:i/>
          <w:noProof/>
          <w:szCs w:val="24"/>
        </w:rPr>
      </w:pPr>
      <w:r>
        <w:rPr>
          <w:noProof/>
        </w:rPr>
        <w:t>като взеха предвид становището на Европейския икономически и социален комитет,</w:t>
      </w:r>
    </w:p>
    <w:p w:rsidR="000B688B" w:rsidRDefault="00640F08">
      <w:pPr>
        <w:rPr>
          <w:noProof/>
          <w:szCs w:val="24"/>
        </w:rPr>
      </w:pPr>
      <w:r>
        <w:rPr>
          <w:noProof/>
        </w:rPr>
        <w:t>в съот</w:t>
      </w:r>
      <w:r>
        <w:rPr>
          <w:noProof/>
        </w:rPr>
        <w:t>ветствие с обикновената законодателна процедура,</w:t>
      </w:r>
    </w:p>
    <w:p w:rsidR="000B688B" w:rsidRDefault="00640F08">
      <w:pPr>
        <w:rPr>
          <w:noProof/>
          <w:szCs w:val="24"/>
        </w:rPr>
      </w:pPr>
      <w:r>
        <w:rPr>
          <w:noProof/>
        </w:rPr>
        <w:t>като имат предвид, че:</w:t>
      </w:r>
    </w:p>
    <w:p w:rsidR="000B688B" w:rsidRDefault="00640F08">
      <w:pPr>
        <w:pStyle w:val="ManualConsidrant"/>
        <w:rPr>
          <w:noProof/>
        </w:rPr>
      </w:pPr>
      <w:r>
        <w:t>(1)</w:t>
      </w:r>
      <w:r>
        <w:tab/>
      </w:r>
      <w:r>
        <w:rPr>
          <w:noProof/>
        </w:rPr>
        <w:t>В Европейския план за действие в областта на отбраната, приет на 30 ноември 2016 г., Комисията пое ангажимент да допълни, мобилизира и консолидира съвместните усилия на държавите ч</w:t>
      </w:r>
      <w:r>
        <w:rPr>
          <w:noProof/>
        </w:rPr>
        <w:t>ленки за развитие на технологичните и промишлените отбранителни способности, с което да отговори на предизвикателствата в областта на сигурността, както и да стимулира изграждането на конкурентоспособна, иновативна и ефикасна европейска отбранителна промиш</w:t>
      </w:r>
      <w:r>
        <w:rPr>
          <w:noProof/>
        </w:rPr>
        <w:t>леност. По-специално, тя предложи създаването на Европейски фонд за отбрана („фонда“), който да подпомага инвестициите в съвместни научни изследвания и съвместното разработване на отбранителни продукти и технологии, като по този начин способства за синерги</w:t>
      </w:r>
      <w:r>
        <w:rPr>
          <w:noProof/>
        </w:rPr>
        <w:t>ите и ефективността на разходите, и да насърчава съвместното закупуване и поддръжка от страна на държавите членки на отбранително оборудване. Очаква се фондът да допълни националното финансиране, което вече се използва за тази цел, и да послужи като стимул</w:t>
      </w:r>
      <w:r>
        <w:rPr>
          <w:noProof/>
        </w:rPr>
        <w:t xml:space="preserve"> за държавите членки да сътрудничат помежду си и да инвестират повече в отбраната. Фондът ще подкрепя сътрудничеството през пълния цикъл на отбранителните продукти и технологии.</w:t>
      </w:r>
    </w:p>
    <w:p w:rsidR="000B688B" w:rsidRDefault="00640F08">
      <w:pPr>
        <w:pStyle w:val="ManualConsidrant"/>
        <w:rPr>
          <w:noProof/>
        </w:rPr>
      </w:pPr>
      <w:r>
        <w:t>(2)</w:t>
      </w:r>
      <w:r>
        <w:tab/>
      </w:r>
      <w:r>
        <w:rPr>
          <w:noProof/>
        </w:rPr>
        <w:t>Очаква се фондът да допринесе за изграждането на стабилна, конкурентоспосо</w:t>
      </w:r>
      <w:r>
        <w:rPr>
          <w:noProof/>
        </w:rPr>
        <w:t>бна и иновативна промишлена и технологична база в сектора на отбраната и да се развива в непрекъсната взаимовръзка с инициативите на Съюза за по-добре интегриран европейски отбранителен пазар, и по-специално що се отнася до двете директиви на ЕС</w:t>
      </w:r>
      <w:r>
        <w:rPr>
          <w:rStyle w:val="FootnoteReference"/>
          <w:noProof/>
        </w:rPr>
        <w:footnoteReference w:id="7"/>
      </w:r>
      <w:r>
        <w:rPr>
          <w:noProof/>
        </w:rPr>
        <w:t xml:space="preserve"> относно в</w:t>
      </w:r>
      <w:r>
        <w:rPr>
          <w:noProof/>
        </w:rPr>
        <w:t>ъзлагането на поръчки и относно трансфера на продукти в сектора на отбраната, приети през 2009 г.</w:t>
      </w:r>
    </w:p>
    <w:p w:rsidR="000B688B" w:rsidRDefault="00640F08">
      <w:pPr>
        <w:pStyle w:val="ManualConsidrant"/>
        <w:rPr>
          <w:noProof/>
        </w:rPr>
      </w:pPr>
      <w:r>
        <w:t>(3)</w:t>
      </w:r>
      <w:r>
        <w:tab/>
      </w:r>
      <w:r>
        <w:rPr>
          <w:noProof/>
        </w:rPr>
        <w:t>В духа на един интегриран подход и с цел да се допринесе за укрепване на конкурентоспособността и на капацитета за иновации на отбранителната промишленост</w:t>
      </w:r>
      <w:r>
        <w:rPr>
          <w:noProof/>
        </w:rPr>
        <w:t xml:space="preserve"> на Съюза, следва да се създаде Европейски фонд за отбрана. Фондът следва да има за цел да укрепи конкурентоспособността, иновациите, ефикасността и автономността на отбранителната промишленост на Съюза, като по този начин допринесе за стратегическата авто</w:t>
      </w:r>
      <w:r>
        <w:rPr>
          <w:noProof/>
        </w:rPr>
        <w:t xml:space="preserve">номност на Съюза чрез подпомагане на трансграничното сътрудничество между държавите членки и между предприятия, научноизследователски центрове, национални администрации, международни организации и университети, както на етапа на научните изследвания, така </w:t>
      </w:r>
      <w:r>
        <w:rPr>
          <w:noProof/>
        </w:rPr>
        <w:t>и на етапа на разработката на отбранителни продукти и технологии. С цел постигане на повече новаторски решения и отворен вътрешен пазар фондът следва да подпомага трансграничното участие на малки и средни предприятия (МСП) и дружества със средна пазарна ка</w:t>
      </w:r>
      <w:r>
        <w:rPr>
          <w:noProof/>
        </w:rPr>
        <w:t xml:space="preserve">питализация в областта на отбраната. </w:t>
      </w:r>
    </w:p>
    <w:p w:rsidR="000B688B" w:rsidRDefault="00640F08">
      <w:pPr>
        <w:pStyle w:val="ManualConsidrant"/>
        <w:rPr>
          <w:noProof/>
        </w:rPr>
      </w:pPr>
      <w:r>
        <w:t>(4)</w:t>
      </w:r>
      <w:r>
        <w:tab/>
      </w:r>
      <w:r>
        <w:rPr>
          <w:noProof/>
        </w:rPr>
        <w:t>Етапът на научните изследвания е елемент от решаващо значение, тъй като обуславя капацитета на европейската промишленост и автономността на европейската промишленост, що се отнася до разработката на продуктите, и н</w:t>
      </w:r>
      <w:r>
        <w:rPr>
          <w:noProof/>
        </w:rPr>
        <w:t>езависимостта на държавите членки в качеството им на крайни ползватели на продуктите на отбранителната промишленост. Етапът на научните изследвания, който е свързан с развитието на отбранителните способности, може да включва значителни рискове, свързани по</w:t>
      </w:r>
      <w:r>
        <w:rPr>
          <w:noProof/>
        </w:rPr>
        <w:t>-специално с ниската степен на развитие и революционния потенциал на технологиите. Етапът на развойната дейност, който следва етапа на научните изследвания и технологии, също е свързан със значителни рискове и разходи, които застрашават по-нататъшното изпо</w:t>
      </w:r>
      <w:r>
        <w:rPr>
          <w:noProof/>
        </w:rPr>
        <w:t xml:space="preserve">лзване на резултатите от научните изследвания и оказват неблагоприятно въздействие върху конкурентоспособността и иновациите на отбранителната промишленост на Съюза. </w:t>
      </w:r>
    </w:p>
    <w:p w:rsidR="000B688B" w:rsidRDefault="00640F08">
      <w:pPr>
        <w:pStyle w:val="ManualConsidrant"/>
        <w:rPr>
          <w:noProof/>
        </w:rPr>
      </w:pPr>
      <w:r>
        <w:t>(5)</w:t>
      </w:r>
      <w:r>
        <w:tab/>
      </w:r>
      <w:r>
        <w:rPr>
          <w:noProof/>
        </w:rPr>
        <w:t>Фондът не следва да подпомага чисто фундаменталните научни изследвания, които фактически следва да бъдат подкрепяни от други схеми, но може да оказва подкрепа за фундаментални научни изследвания с отбранителна насоченост, които евентуално могат да послужат</w:t>
      </w:r>
      <w:r>
        <w:rPr>
          <w:noProof/>
        </w:rPr>
        <w:t xml:space="preserve"> като основа за намирането на решение на съществуващи или бъдещи проблеми или възможности. </w:t>
      </w:r>
    </w:p>
    <w:p w:rsidR="000B688B" w:rsidRDefault="00640F08">
      <w:pPr>
        <w:pStyle w:val="ManualConsidrant"/>
        <w:rPr>
          <w:noProof/>
        </w:rPr>
      </w:pPr>
      <w:r>
        <w:t>(6)</w:t>
      </w:r>
      <w:r>
        <w:tab/>
      </w:r>
      <w:r>
        <w:rPr>
          <w:noProof/>
        </w:rPr>
        <w:t>Фондът може да предоставя подкрепа за действия, свързани както с нови продукти и технологии, така и с усъвършенстването на съществуващи продукти и технологии, к</w:t>
      </w:r>
      <w:r>
        <w:rPr>
          <w:noProof/>
        </w:rPr>
        <w:t>огато върху използването на вече съществуваща информация, необходима за изпълнение на действието по усъвършенстване, не е наложено ограничение от страна на неасоциирани трети държави или субекти от неасоциирани трети държави. Следва да се изисква от правни</w:t>
      </w:r>
      <w:r>
        <w:rPr>
          <w:noProof/>
        </w:rPr>
        <w:t xml:space="preserve">те субекти, когато подават заявление за финансиране от Съюза, да предоставят необходимата информация, за да се установи липсата на ограничения.  В отсъствието на такава информация финансирането от Съюза не следва да бъде възможно. </w:t>
      </w:r>
    </w:p>
    <w:p w:rsidR="000B688B" w:rsidRDefault="00640F08">
      <w:pPr>
        <w:pStyle w:val="ManualConsidrant"/>
        <w:rPr>
          <w:noProof/>
        </w:rPr>
      </w:pPr>
      <w:r>
        <w:t>(7)</w:t>
      </w:r>
      <w:r>
        <w:tab/>
      </w:r>
      <w:r>
        <w:rPr>
          <w:noProof/>
        </w:rPr>
        <w:t xml:space="preserve">За да се гарантира, </w:t>
      </w:r>
      <w:r>
        <w:rPr>
          <w:noProof/>
        </w:rPr>
        <w:t>че при прилагането на настоящия регламент Съюзът и неговите държави членки спазват своите международни задължения, действията, свързани с продукти или технологии, чието използване, разработка или производство са забранени от международното право, не следва</w:t>
      </w:r>
      <w:r>
        <w:rPr>
          <w:noProof/>
        </w:rPr>
        <w:t xml:space="preserve"> да получават финансиране по линия на фонда. Във връзка с това допустимостта на действия, свързани с нови отбранителни продукти или технологии, като тези, които са специално разработени за извършване на смъртоносни нападения без човешки контрол върху решен</w:t>
      </w:r>
      <w:r>
        <w:rPr>
          <w:noProof/>
        </w:rPr>
        <w:t>ията за предприемане на бойни действия, също следва да бъде съобразена с развитието на международното право.</w:t>
      </w:r>
    </w:p>
    <w:p w:rsidR="000B688B" w:rsidRDefault="00640F08">
      <w:pPr>
        <w:pStyle w:val="ManualConsidrant"/>
        <w:rPr>
          <w:noProof/>
        </w:rPr>
      </w:pPr>
      <w:r>
        <w:t>(8)</w:t>
      </w:r>
      <w:r>
        <w:tab/>
      </w:r>
      <w:r>
        <w:rPr>
          <w:noProof/>
        </w:rPr>
        <w:t>Трудното постигане на съгласие по консолидирани изисквания, отнасящи се до отбранителните способности, и общи технически спецификации или станд</w:t>
      </w:r>
      <w:r>
        <w:rPr>
          <w:noProof/>
        </w:rPr>
        <w:t>арти е пречка за трансграничното сътрудничество между държавите членки и между правните субекти, установени в различни държави членки. Липсата на подобни изисквания, спецификации и стандарти доведе до още по-голяма раздробеност на сектора на отбраната, тех</w:t>
      </w:r>
      <w:r>
        <w:rPr>
          <w:noProof/>
        </w:rPr>
        <w:t>ническа сложност, забавяния и прекомерни разходи, както и до намаляване на оперативната съвместимост. Постигането на съгласие по общи технически спецификации следва да бъде предварително условие за дейностите, предполагащи по-високо равнище на технологична</w:t>
      </w:r>
      <w:r>
        <w:rPr>
          <w:noProof/>
        </w:rPr>
        <w:t xml:space="preserve"> готовност. Дейностите на държавите членки, които водят до общи изисквания във връзка с отбранителните способности, проучванията в тяхна подкрепа, както и действията, целящи да подпомогнат постигането на общо определение на техническите спецификации или ст</w:t>
      </w:r>
      <w:r>
        <w:rPr>
          <w:noProof/>
        </w:rPr>
        <w:t xml:space="preserve">андарти, също следва да бъдат допустими за подкрепа по линия на фонда. </w:t>
      </w:r>
    </w:p>
    <w:p w:rsidR="000B688B" w:rsidRDefault="00640F08">
      <w:pPr>
        <w:pStyle w:val="ManualConsidrant"/>
        <w:rPr>
          <w:noProof/>
          <w:szCs w:val="24"/>
        </w:rPr>
      </w:pPr>
      <w:r>
        <w:t>(9)</w:t>
      </w:r>
      <w:r>
        <w:tab/>
      </w:r>
      <w:r>
        <w:rPr>
          <w:noProof/>
        </w:rPr>
        <w:t>Тъй като целта на фонда е да оказва подкрепа на конкурентоспособността на отбранителната промишленост на Съюза и на иновациите в нея, като придава ефект на ливъридж на основаните н</w:t>
      </w:r>
      <w:r>
        <w:rPr>
          <w:noProof/>
        </w:rPr>
        <w:t>а сътрудничество в областта на отбраната научни и технологични дейности, и същевременно ги допълва, а също като ограничава рисковете, присъщи на етапа на разработване на съвместни проекти, действията, свързани с научни изследвания и разработването във връз</w:t>
      </w:r>
      <w:r>
        <w:rPr>
          <w:noProof/>
        </w:rPr>
        <w:t>ка с даден отбранителен продукт или технология, следва да бъдат допустими за такава подкрепа. Това ще важи и за усъвършенстването, включително от гледна точка на оперативната съвместимост, на съществуващи отбранителни продукти и технологии.</w:t>
      </w:r>
    </w:p>
    <w:p w:rsidR="000B688B" w:rsidRDefault="00640F08">
      <w:pPr>
        <w:pStyle w:val="ManualConsidrant"/>
        <w:rPr>
          <w:noProof/>
        </w:rPr>
      </w:pPr>
      <w:r>
        <w:t>(10)</w:t>
      </w:r>
      <w:r>
        <w:tab/>
      </w:r>
      <w:r>
        <w:rPr>
          <w:noProof/>
        </w:rPr>
        <w:t>Тъй като ф</w:t>
      </w:r>
      <w:r>
        <w:rPr>
          <w:noProof/>
        </w:rPr>
        <w:t>ондът по-специално има за цел да активизира сътрудничеството между правните субекти и държавите членки в цяла Европа, дадено действие следва да бъде допустимо за финансиране само ако се изпълнява в сътрудничество между най-малкото три правни субекта, устан</w:t>
      </w:r>
      <w:r>
        <w:rPr>
          <w:noProof/>
        </w:rPr>
        <w:t>овени в поне три различни държави членки и/или асоциирани държави. Най-малкото три от тези отговарящи на условията за финансиране правни субекти, установени в поне две различни държави членки и/или асоциирани държави, следва да не бъдат фактически контроли</w:t>
      </w:r>
      <w:r>
        <w:rPr>
          <w:noProof/>
        </w:rPr>
        <w:t>рани — било то пряко или косвено — от същия субект, нито взаимно да се контролират. С цел стимулиране на сътрудничеството между държавите членки фондът може да подпомага съвместни обществени поръчки за продукти в предпазарен стадий.</w:t>
      </w:r>
    </w:p>
    <w:p w:rsidR="000B688B" w:rsidRDefault="00640F08">
      <w:pPr>
        <w:pStyle w:val="ManualConsidrant"/>
        <w:rPr>
          <w:noProof/>
        </w:rPr>
      </w:pPr>
      <w:r>
        <w:t>(11)</w:t>
      </w:r>
      <w:r>
        <w:tab/>
      </w:r>
      <w:r>
        <w:rPr>
          <w:noProof/>
        </w:rPr>
        <w:t>По силата на [позо</w:t>
      </w:r>
      <w:r>
        <w:rPr>
          <w:noProof/>
        </w:rPr>
        <w:t>ваването да се актуализира съобразно ново решение относно ОСТ: член 94 от Решение 2013/755/ЕС на Съвета</w:t>
      </w:r>
      <w:r>
        <w:rPr>
          <w:rStyle w:val="FootnoteReference"/>
          <w:noProof/>
        </w:rPr>
        <w:footnoteReference w:id="8"/>
      </w:r>
      <w:r>
        <w:rPr>
          <w:noProof/>
        </w:rPr>
        <w:t>] субекти, установени в отвъдморски страни и територии (ОСТ), отговарят на условията за финансиране при спазване на правилата и целите на фонда и на еве</w:t>
      </w:r>
      <w:r>
        <w:rPr>
          <w:noProof/>
        </w:rPr>
        <w:t>нтуалните договорености, приложими по отношение на държавата членка, с която е свързана съответната ОСТ.</w:t>
      </w:r>
    </w:p>
    <w:p w:rsidR="000B688B" w:rsidRDefault="00640F08">
      <w:pPr>
        <w:pStyle w:val="ManualConsidrant"/>
        <w:rPr>
          <w:noProof/>
        </w:rPr>
      </w:pPr>
      <w:r>
        <w:t>(12)</w:t>
      </w:r>
      <w:r>
        <w:tab/>
      </w:r>
      <w:r>
        <w:rPr>
          <w:noProof/>
        </w:rPr>
        <w:t>Тъй като фондът има за цел да укрепи конкурентоспособността, ефикасността и автономността на отбранителната промишленост на Съюза, само субекти, к</w:t>
      </w:r>
      <w:r>
        <w:rPr>
          <w:noProof/>
        </w:rPr>
        <w:t>оито са установени в Съюза или в асоциирани държави и не подлежат на контрол от страна на неасоциирани трети държави или субекти от неасоциирани трети държави, следва по принцип да отговарят на условията за подкрепа. Освен това, за да се гарантира защитата</w:t>
      </w:r>
      <w:r>
        <w:rPr>
          <w:noProof/>
        </w:rPr>
        <w:t xml:space="preserve"> на основните интереси на Съюза и на неговите държави членки в областта на сигурността и отбраната, инфраструктурата, съоръженията, активите и ресурсите, използвани от получателите и техните подизпълнители при ползващи се с подкрепата на фонда действия, сл</w:t>
      </w:r>
      <w:r>
        <w:rPr>
          <w:noProof/>
        </w:rPr>
        <w:t xml:space="preserve">едва да не се намират на територията на неасоциирани трети държави. </w:t>
      </w:r>
    </w:p>
    <w:p w:rsidR="000B688B" w:rsidRDefault="00640F08">
      <w:pPr>
        <w:pStyle w:val="ManualConsidrant"/>
        <w:rPr>
          <w:noProof/>
        </w:rPr>
      </w:pPr>
      <w:r>
        <w:t>(13)</w:t>
      </w:r>
      <w:r>
        <w:tab/>
      </w:r>
      <w:r>
        <w:rPr>
          <w:noProof/>
        </w:rPr>
        <w:t>При определени обстоятелства, ако това е необходимо за постигане на целите на действието, следва да бъде възможно да се прибегне до дерогация от принципа, според който получателите и</w:t>
      </w:r>
      <w:r>
        <w:rPr>
          <w:noProof/>
        </w:rPr>
        <w:t xml:space="preserve"> техните подизпълнители следва да не подлежат на контрол от страна на неасоциирани трети държави или субекти от неасоциирани трети държави. С оглед на това, правните субекти, установени в Съюза, които са контролирани от неасоциирана трета държава или субек</w:t>
      </w:r>
      <w:r>
        <w:rPr>
          <w:noProof/>
        </w:rPr>
        <w:t>т от неасоциирана трета държава, могат да отговарят на условията за финансиране, ако са изпълнени специфични и строги условия, свързани с интересите на Съюза и на неговите държави членки в областта на сигурността и отбраната. Участието на тези субекти след</w:t>
      </w:r>
      <w:r>
        <w:rPr>
          <w:noProof/>
        </w:rPr>
        <w:t>ва да не противоречи на целите на фонда. Заявителите следва да предоставят цялата значима информация относно инфраструктурата, съоръженията, активите и ресурсите, които ще се използват по време на действието.</w:t>
      </w:r>
    </w:p>
    <w:p w:rsidR="000B688B" w:rsidRDefault="00640F08">
      <w:pPr>
        <w:pStyle w:val="ManualConsidrant"/>
        <w:rPr>
          <w:noProof/>
        </w:rPr>
      </w:pPr>
      <w:r>
        <w:t>(14)</w:t>
      </w:r>
      <w:r>
        <w:tab/>
      </w:r>
      <w:r>
        <w:rPr>
          <w:noProof/>
        </w:rPr>
        <w:t>Когато консорциум желае да участва в допус</w:t>
      </w:r>
      <w:r>
        <w:rPr>
          <w:noProof/>
        </w:rPr>
        <w:t>тимо действие, а финансовата помощ от Съюза е под формата на безвъзмездни средства, консорциумът следва да назначи един от своите членове за координатор, който ще бъде основното лице за връзка.</w:t>
      </w:r>
    </w:p>
    <w:p w:rsidR="000B688B" w:rsidRDefault="00640F08">
      <w:pPr>
        <w:pStyle w:val="ManualConsidrant"/>
        <w:rPr>
          <w:noProof/>
        </w:rPr>
      </w:pPr>
      <w:r>
        <w:t>(15)</w:t>
      </w:r>
      <w:r>
        <w:tab/>
      </w:r>
      <w:r>
        <w:rPr>
          <w:noProof/>
        </w:rPr>
        <w:t>Когато подкрепяно от фонда действие в областта на развойн</w:t>
      </w:r>
      <w:r>
        <w:rPr>
          <w:noProof/>
        </w:rPr>
        <w:t>ата дейност е управлявано от ръководител на проект, назначен от държави членки или асоциирани държави, Комисията следва да информира ръководителя на проекта, преди да извърши плащането към получателя, за да може ръководителят на проекта да се увери, че пол</w:t>
      </w:r>
      <w:r>
        <w:rPr>
          <w:noProof/>
        </w:rPr>
        <w:t xml:space="preserve">учателите са спазили сроковете. При определени обстоятелства ръководителят на проект може да представи на Комисията своите забележки по отношение на напредъка по действието, така че Комисията да може да провери дали са изпълнени условията за извършване на </w:t>
      </w:r>
      <w:r>
        <w:rPr>
          <w:noProof/>
        </w:rPr>
        <w:t>плащането.</w:t>
      </w:r>
    </w:p>
    <w:p w:rsidR="000B688B" w:rsidRDefault="00640F08">
      <w:pPr>
        <w:pStyle w:val="ManualConsidrant"/>
        <w:rPr>
          <w:noProof/>
        </w:rPr>
      </w:pPr>
      <w:r>
        <w:t>(16)</w:t>
      </w:r>
      <w:r>
        <w:tab/>
      </w:r>
      <w:r>
        <w:rPr>
          <w:noProof/>
        </w:rPr>
        <w:t>За да се гарантира, че финансираните действия са финансово жизнеспособни, е необходимо бенефициерите да удостоверят, че разходите за действието, които не са обхванати от финансирането на Съюза, са покрити от други източници на финансиране.</w:t>
      </w:r>
    </w:p>
    <w:p w:rsidR="000B688B" w:rsidRDefault="00640F08">
      <w:pPr>
        <w:pStyle w:val="ManualConsidrant"/>
        <w:rPr>
          <w:noProof/>
        </w:rPr>
      </w:pPr>
      <w:r>
        <w:t>(17)</w:t>
      </w:r>
      <w:r>
        <w:tab/>
      </w:r>
      <w:r>
        <w:rPr>
          <w:noProof/>
        </w:rPr>
        <w:t>Различни видове финансови механизми следва да бъдат на разположение на държавите членки с оглед съвместното развитие и придобиване на отбранителни способности. Разработеният от Комисията финансов инструментариум следва да осигури различните видове схе</w:t>
      </w:r>
      <w:r>
        <w:rPr>
          <w:noProof/>
        </w:rPr>
        <w:t>ми, които държавите членки могат да използват за справяне с финансовите предизвикателства пред съвместната разработка и закупуване. Използването на тези финансови механизми би могло допълнително да насърчи стартирането на съвместни проекти в областта на от</w:t>
      </w:r>
      <w:r>
        <w:rPr>
          <w:noProof/>
        </w:rPr>
        <w:t xml:space="preserve">браната и да повиши ефективността на разходите за отбрана, включително за проектите, подпомагани по линия на Европейския фонд за отбрана. </w:t>
      </w:r>
    </w:p>
    <w:p w:rsidR="000B688B" w:rsidRDefault="00640F08">
      <w:pPr>
        <w:pStyle w:val="ManualConsidrant"/>
        <w:rPr>
          <w:noProof/>
        </w:rPr>
      </w:pPr>
      <w:r>
        <w:t>(18)</w:t>
      </w:r>
      <w:r>
        <w:tab/>
      </w:r>
      <w:r>
        <w:rPr>
          <w:noProof/>
        </w:rPr>
        <w:t>Предвид спецификата на отбранителната промишленост, в която търсенето е почти изключително от държавите членки и</w:t>
      </w:r>
      <w:r>
        <w:rPr>
          <w:noProof/>
        </w:rPr>
        <w:t xml:space="preserve"> асоциираните държави, които също така контролират всяко придобиване на свързани с отбраната продукти и технологии, включително износа, секторът на отбраната функционира по уникален начин и не се придържа към обичайните правила и бизнес модели, на които се</w:t>
      </w:r>
      <w:r>
        <w:rPr>
          <w:noProof/>
        </w:rPr>
        <w:t xml:space="preserve"> подчиняват по-традиционните пазари. Поради това секторът не е в състояние самостоятелно да финансира крупни научноизследователски и развойни проекти и държавите членки и асоциираните държави са тези, които по принцип финансират изцяло всички разходи за НИ</w:t>
      </w:r>
      <w:r>
        <w:rPr>
          <w:noProof/>
        </w:rPr>
        <w:t>РД. За да бъдат постигнати целите на фонда, по-специално за стимулиране на сътрудничеството между дружества от различни държави членки и асоциирани държави, и предвид спецификата на сектора на отбраната, е целесъобразно да бъдат покрити до 100 % от допусти</w:t>
      </w:r>
      <w:r>
        <w:rPr>
          <w:noProof/>
        </w:rPr>
        <w:t>мите разходи за действия, изпълнявани преди етапа на разработване на прототип.</w:t>
      </w:r>
    </w:p>
    <w:p w:rsidR="000B688B" w:rsidRDefault="00640F08">
      <w:pPr>
        <w:pStyle w:val="ManualConsidrant"/>
        <w:rPr>
          <w:noProof/>
        </w:rPr>
      </w:pPr>
      <w:r>
        <w:t>(19)</w:t>
      </w:r>
      <w:r>
        <w:tab/>
      </w:r>
      <w:r>
        <w:rPr>
          <w:noProof/>
        </w:rPr>
        <w:t xml:space="preserve">Етапът на разработване на прототип е етап от решаващо значение, по време на който държавите членки или асоциираните държави обикновено вземат решение относно </w:t>
      </w:r>
      <w:r>
        <w:rPr>
          <w:noProof/>
        </w:rPr>
        <w:t>консолидираните си инвестиции и стартират процеса на придобиване на своите бъдещи отбранителни продукти или технологии. Това е причината, поради която именно на този етап държавите членки и асоциираните държави се споразумяват във връзка с необходимите анг</w:t>
      </w:r>
      <w:r>
        <w:rPr>
          <w:noProof/>
        </w:rPr>
        <w:t>ажименти, в т.ч. по отношение на подялбата на разходите и собствеността върху проекта. За да се осигури кредибилността на техния ангажимент, финансовата помощ на Съюза по линия на фонда по принцип следва да не превишава 20 % от допустимите разходи.</w:t>
      </w:r>
    </w:p>
    <w:p w:rsidR="000B688B" w:rsidRDefault="00640F08">
      <w:pPr>
        <w:pStyle w:val="ManualConsidrant"/>
        <w:rPr>
          <w:noProof/>
        </w:rPr>
      </w:pPr>
      <w:r>
        <w:t>(20)</w:t>
      </w:r>
      <w:r>
        <w:tab/>
      </w:r>
      <w:r>
        <w:rPr>
          <w:noProof/>
        </w:rPr>
        <w:t>За</w:t>
      </w:r>
      <w:r>
        <w:rPr>
          <w:noProof/>
        </w:rPr>
        <w:t xml:space="preserve"> действия на по-късен етап от етапа на разработване на прототип следва да се предвиди финансиране в размер до 80 %. Тези действия, макар и да са по-близо до финализирането на продукта и технологията, все още могат да предполагат значителни разходи.</w:t>
      </w:r>
    </w:p>
    <w:p w:rsidR="000B688B" w:rsidRDefault="00640F08">
      <w:pPr>
        <w:pStyle w:val="ManualConsidrant"/>
        <w:rPr>
          <w:noProof/>
          <w:sz w:val="22"/>
        </w:rPr>
      </w:pPr>
      <w:r>
        <w:t>(21)</w:t>
      </w:r>
      <w:r>
        <w:tab/>
      </w:r>
      <w:r>
        <w:rPr>
          <w:noProof/>
        </w:rPr>
        <w:t>За</w:t>
      </w:r>
      <w:r>
        <w:rPr>
          <w:noProof/>
        </w:rPr>
        <w:t>интересованите страни в сектора на отбраната са изправени пред специфични непреки разходи, като например разходите, свързани със сигурността. Освен това заинтересованите страни работят на специфичен пазар, където, ако няма никакво търсене от страна на купу</w:t>
      </w:r>
      <w:r>
        <w:rPr>
          <w:noProof/>
        </w:rPr>
        <w:t xml:space="preserve">вачите, те няма как да си възстановят разходите за научноизследователска и развойна дейност, за разлика от гражданския сектор. Поради това е оправдано да се позволи единна ставка в размер на 25 %, а също така да се предвиди възможността на проектна основа </w:t>
      </w:r>
      <w:r>
        <w:rPr>
          <w:noProof/>
        </w:rPr>
        <w:t>да се начисляват непреките разходи, изчислени в съответствие с обичайните счетоводни практики на бенефициерите, ако тези практики са приети от националните органи по сравними схеми за финансиране на национално равнище и са били съобщени на Комисията. Отгов</w:t>
      </w:r>
      <w:r>
        <w:rPr>
          <w:noProof/>
        </w:rPr>
        <w:t>орният разпоредител с бюджетни кредити следва да обоснове решението си да приеме за допустими непреките разходи извън единната ставка от 25 % в работната програма или в поканата за представяне на предложения.</w:t>
      </w:r>
    </w:p>
    <w:p w:rsidR="000B688B" w:rsidRDefault="00640F08">
      <w:pPr>
        <w:pStyle w:val="ManualConsidrant"/>
        <w:rPr>
          <w:noProof/>
        </w:rPr>
      </w:pPr>
      <w:r>
        <w:t>(22)</w:t>
      </w:r>
      <w:r>
        <w:tab/>
      </w:r>
      <w:r>
        <w:rPr>
          <w:noProof/>
        </w:rPr>
        <w:t>За да се гарантира, че финансираните дейст</w:t>
      </w:r>
      <w:r>
        <w:rPr>
          <w:noProof/>
        </w:rPr>
        <w:t xml:space="preserve">вия ще допринесат за конкурентоспособността и ефикасността на европейската отбранителна индустрия, е важно държавите членки вече да обмислят съвместното придобиване на крайния продукт или съвместното използване на технологията, по-специално чрез съвместна </w:t>
      </w:r>
      <w:r>
        <w:rPr>
          <w:noProof/>
        </w:rPr>
        <w:t xml:space="preserve">трансгранична обществена поръчка, в рамките на която държавите членки заедно организират своите процедури за възлагане на обществени поръчки, в частност като използват централен орган за покупки. </w:t>
      </w:r>
    </w:p>
    <w:p w:rsidR="000B688B" w:rsidRDefault="00640F08">
      <w:pPr>
        <w:pStyle w:val="ManualConsidrant"/>
        <w:rPr>
          <w:noProof/>
        </w:rPr>
      </w:pPr>
      <w:r>
        <w:t>(23)</w:t>
      </w:r>
      <w:r>
        <w:tab/>
      </w:r>
      <w:r>
        <w:rPr>
          <w:noProof/>
        </w:rPr>
        <w:t xml:space="preserve">Насърчаването на иновациите и технологичното развитие </w:t>
      </w:r>
      <w:r>
        <w:rPr>
          <w:noProof/>
        </w:rPr>
        <w:t>в отбранителната промишленост на Съюза следва да бъде съобразено с интересите на Съюза в областта на сигурността и отбраната. Съответно приносът на действието за тези интереси и за съвместно договорените от държавите членки приоритети по отношение на научн</w:t>
      </w:r>
      <w:r>
        <w:rPr>
          <w:noProof/>
        </w:rPr>
        <w:t>ите изследвания в областта на отбраната и по отношение на отбранителните способности следва да бъде един от критериите за отпускане на финансиране. В рамките на Съюза общите слабости в областта на свързаните с отбраната научни изследвания и на отбранителни</w:t>
      </w:r>
      <w:r>
        <w:rPr>
          <w:noProof/>
        </w:rPr>
        <w:t>те способности се установяват в рамките на общата политика за сигурност и отбрана (ОПСО), по-специално благодарение на всеобхватната стратегическа изследователска програма и плана за развитие на способностите. Други процедури в Съюза, като координираният г</w:t>
      </w:r>
      <w:r>
        <w:rPr>
          <w:noProof/>
        </w:rPr>
        <w:t>одишен преглед на отбраната и постоянното структурирано сътрудничество, ще подпомогнат изпълнението на съответните приоритети посредством очертаване и стимулиране на възможностите за засилено сътрудничество с оглед постигане на равнището на амбиция на ЕС в</w:t>
      </w:r>
      <w:r>
        <w:rPr>
          <w:noProof/>
        </w:rPr>
        <w:t xml:space="preserve"> областта на сигурността и отбраната. Когато е целесъобразно, също така могат да бъдат взети предвид определени регионални и международни приоритети, включително такива в рамките на Организацията на Северноатлантическия договор (НАТО), ако са в съответстви</w:t>
      </w:r>
      <w:r>
        <w:rPr>
          <w:noProof/>
        </w:rPr>
        <w:t>е с приоритетите на Съюза и не препятстват участието на която и да било държава членка или асоциирана държава, при едновременно отчитане на необходимостта да се избягва излишното дублиране.</w:t>
      </w:r>
    </w:p>
    <w:p w:rsidR="000B688B" w:rsidRDefault="00640F08">
      <w:pPr>
        <w:pStyle w:val="ManualConsidrant"/>
        <w:rPr>
          <w:noProof/>
        </w:rPr>
      </w:pPr>
      <w:r>
        <w:t>(24)</w:t>
      </w:r>
      <w:r>
        <w:tab/>
      </w:r>
      <w:r>
        <w:rPr>
          <w:noProof/>
        </w:rPr>
        <w:t xml:space="preserve">Допустимите действия, разработени в контекста на постоянното </w:t>
      </w:r>
      <w:r>
        <w:rPr>
          <w:noProof/>
        </w:rPr>
        <w:t>структурирано сътрудничество (ПСС), вписващо се в институционалната рамка на Съюза, би трябвало да гарантират трайно укрепване на сътрудничеството между правните субекти в различните държави членки и по този начин пряко да допринесат за постигането на цели</w:t>
      </w:r>
      <w:r>
        <w:rPr>
          <w:noProof/>
        </w:rPr>
        <w:t xml:space="preserve">те на фонда. Съответно, ако бъдат избрани, такива проекти следва да бъдат допустими за финансиране с по-висок процент. </w:t>
      </w:r>
    </w:p>
    <w:p w:rsidR="000B688B" w:rsidRDefault="00640F08">
      <w:pPr>
        <w:pStyle w:val="ManualConsidrant"/>
        <w:rPr>
          <w:noProof/>
        </w:rPr>
      </w:pPr>
      <w:r>
        <w:t>(25)</w:t>
      </w:r>
      <w:r>
        <w:tab/>
      </w:r>
      <w:r>
        <w:rPr>
          <w:noProof/>
        </w:rPr>
        <w:t>Комисията ще вземе под внимание другите дейности, финансирани по линия на рамковата програма „Хоризонт Европа“, за да се избегне не</w:t>
      </w:r>
      <w:r>
        <w:rPr>
          <w:noProof/>
        </w:rPr>
        <w:t>нужното дублиране и да се гарантира взаимното обогатяване между гражданските научни изследвания и научните изследвания в областта на отбраната.</w:t>
      </w:r>
    </w:p>
    <w:p w:rsidR="000B688B" w:rsidRDefault="00640F08">
      <w:pPr>
        <w:pStyle w:val="ManualConsidrant"/>
        <w:rPr>
          <w:noProof/>
        </w:rPr>
      </w:pPr>
      <w:r>
        <w:t>(26)</w:t>
      </w:r>
      <w:r>
        <w:tab/>
      </w:r>
      <w:r>
        <w:rPr>
          <w:noProof/>
        </w:rPr>
        <w:t xml:space="preserve">Киберсигурността и киберотбраната представляват предизвикателства, които с времето придобиват все по-важно </w:t>
      </w:r>
      <w:r>
        <w:rPr>
          <w:noProof/>
        </w:rPr>
        <w:t>значение. В тази връзка Комисията и върховният представител признаха необходимостта от установяване на синергии между действията в областта на киберотбраната, попадащи в обхвата на фонда, и инициативите на Съюза в областта на киберсигурността, като наприме</w:t>
      </w:r>
      <w:r>
        <w:rPr>
          <w:noProof/>
        </w:rPr>
        <w:t>р обявените в съвместното съобщение относно киберсигурността. Европейският център за промишлени, технологични и изследователски експертни познания в областта на киберсигурността, чието създаване предстои, по-специално следва да търси синергии между граждан</w:t>
      </w:r>
      <w:r>
        <w:rPr>
          <w:noProof/>
        </w:rPr>
        <w:t>ското и свързаното с отбраната измерение на киберсигурността. Той би могъл активно да подкрепя държавите членки и други заинтересовани страни, като предоставя експертни становища, споделя знания и улеснява сътрудничеството по отношение на проекти и действи</w:t>
      </w:r>
      <w:r>
        <w:rPr>
          <w:noProof/>
        </w:rPr>
        <w:t>я, както и по искане на държавите членки, и да действа като ръководител на проекти във връзка с Европейския фонд за отбрана,</w:t>
      </w:r>
    </w:p>
    <w:p w:rsidR="000B688B" w:rsidRDefault="00640F08">
      <w:pPr>
        <w:pStyle w:val="ManualConsidrant"/>
        <w:rPr>
          <w:noProof/>
        </w:rPr>
      </w:pPr>
      <w:r>
        <w:t>(27)</w:t>
      </w:r>
      <w:r>
        <w:tab/>
      </w:r>
      <w:r>
        <w:rPr>
          <w:noProof/>
        </w:rPr>
        <w:t>Следва да се осигури интегриран подход чрез обединяване на дейностите, обхванати от Подготвителното действие за научни изследв</w:t>
      </w:r>
      <w:r>
        <w:rPr>
          <w:noProof/>
        </w:rPr>
        <w:t>ания в областта на отбраната, предприето от Комисията, по смисъла на член [58, параграф 2, буква б)] от Регламент (ЕС, Евратом) 2018/... на Европейския парламент и на Съвета („Финансовия регламент“),  и от Европейската програма за промишлено развитие в обл</w:t>
      </w:r>
      <w:r>
        <w:rPr>
          <w:noProof/>
        </w:rPr>
        <w:t>астта на отбраната, създадена с Регламент (ЕО) № ... на Европейския парламент и на Съвета, с цел да се хармонизират условията за участие, да се създаде по-съгласуван набор от инструменти, да се увеличи иновативното и икономическото въздействие, както и тов</w:t>
      </w:r>
      <w:r>
        <w:rPr>
          <w:noProof/>
        </w:rPr>
        <w:t>а на споделените усилия, като същевременно се избегнат ненужното дублиране и фрагментарността. Благодарение на този интегриран подход се очаква фондът да допринесе за по-доброто използване на резултатите от научните изследвания в областта на отбраната, кат</w:t>
      </w:r>
      <w:r>
        <w:rPr>
          <w:noProof/>
        </w:rPr>
        <w:t>о скъсява дистанцията между научните изследвания и развойната дейност, при същевременно отчитане на спецификата на сектора на отбраната, и насърчава всички форми на иновация, включително революционните иновации, допускащи възможността за провал.</w:t>
      </w:r>
    </w:p>
    <w:p w:rsidR="000B688B" w:rsidRDefault="00640F08">
      <w:pPr>
        <w:pStyle w:val="ManualConsidrant"/>
        <w:rPr>
          <w:noProof/>
        </w:rPr>
      </w:pPr>
      <w:r>
        <w:t>(28)</w:t>
      </w:r>
      <w:r>
        <w:tab/>
      </w:r>
      <w:r>
        <w:rPr>
          <w:noProof/>
        </w:rPr>
        <w:t>Страт</w:t>
      </w:r>
      <w:r>
        <w:rPr>
          <w:noProof/>
        </w:rPr>
        <w:t xml:space="preserve">егическите цели на настоящия фонд ще се преследват също посредством финансови инструменти и бюджетни гаранции в рамките на компонента или компонентите на политиката [...] на фонда InvestEU. </w:t>
      </w:r>
    </w:p>
    <w:p w:rsidR="000B688B" w:rsidRDefault="00640F08">
      <w:pPr>
        <w:pStyle w:val="ManualConsidrant"/>
        <w:rPr>
          <w:noProof/>
        </w:rPr>
      </w:pPr>
      <w:r>
        <w:t>(29)</w:t>
      </w:r>
      <w:r>
        <w:tab/>
      </w:r>
      <w:r>
        <w:rPr>
          <w:noProof/>
        </w:rPr>
        <w:t>Финансовата подкрепа следва да се използва за справяне със с</w:t>
      </w:r>
      <w:r>
        <w:rPr>
          <w:noProof/>
        </w:rPr>
        <w:t>лучаи на неефективност на пазара или с неоптимални по отношение на инвестициите ситуации по адекватен начин, без да се дублира или изтласква частното финансиране или да се нарушава конкуренцията на вътрешния пазар. Действията следва да имат отчетлива европ</w:t>
      </w:r>
      <w:r>
        <w:rPr>
          <w:noProof/>
        </w:rPr>
        <w:t>ейска добавена стойност.</w:t>
      </w:r>
    </w:p>
    <w:p w:rsidR="000B688B" w:rsidRDefault="00640F08">
      <w:pPr>
        <w:pStyle w:val="ManualConsidrant"/>
        <w:rPr>
          <w:noProof/>
        </w:rPr>
      </w:pPr>
      <w:r>
        <w:t>(30)</w:t>
      </w:r>
      <w:r>
        <w:tab/>
      </w:r>
      <w:r>
        <w:rPr>
          <w:noProof/>
        </w:rPr>
        <w:t>Видовете финансиране и методите за изпълнение по настоящия Регламент следва да се избират в зависимост от възможностите им за осъществяване на специфичните цели на действията и за постигане на резултати, като се вземат предвид</w:t>
      </w:r>
      <w:r>
        <w:rPr>
          <w:noProof/>
        </w:rPr>
        <w:t xml:space="preserve">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суми, единни ставки и единични разходи, както и на предвиденото в член [125, пар</w:t>
      </w:r>
      <w:r>
        <w:rPr>
          <w:noProof/>
        </w:rPr>
        <w:t>аграф 1] от Финансовия регламент финансиране, което не е свързано с разходите.</w:t>
      </w:r>
    </w:p>
    <w:p w:rsidR="000B688B" w:rsidRDefault="00640F08">
      <w:pPr>
        <w:pStyle w:val="ManualConsidrant"/>
        <w:rPr>
          <w:noProof/>
        </w:rPr>
      </w:pPr>
      <w:r>
        <w:t>(31)</w:t>
      </w:r>
      <w:r>
        <w:tab/>
      </w:r>
      <w:r>
        <w:rPr>
          <w:noProof/>
        </w:rPr>
        <w:t>Комисията следва да изготвя годишни или многогодишни работни програми, съобразени с целите на програмата. При изготвянето на работната програма Комисията следва да бъде под</w:t>
      </w:r>
      <w:r>
        <w:rPr>
          <w:noProof/>
        </w:rPr>
        <w:t>помагана от комитет на държавите членки. За да се използва експертният ѝ опит в сектора на отбраната, на Европейската агенция по отбрана ще бъде предоставен статут на наблюдател в комитета на държавите членки. Предвид спецификата на сектора на отбраната, Е</w:t>
      </w:r>
      <w:r>
        <w:rPr>
          <w:noProof/>
        </w:rPr>
        <w:t>вропейската служба за външна дейност също следва да взема участие в работата на комитета на държавите членки.</w:t>
      </w:r>
    </w:p>
    <w:p w:rsidR="000B688B" w:rsidRDefault="00640F08">
      <w:pPr>
        <w:pStyle w:val="ManualConsidrant"/>
        <w:rPr>
          <w:noProof/>
        </w:rPr>
      </w:pPr>
      <w:r>
        <w:t>(32)</w:t>
      </w:r>
      <w:r>
        <w:tab/>
      </w:r>
      <w:r>
        <w:rPr>
          <w:noProof/>
        </w:rPr>
        <w:t xml:space="preserve">За да се осигурят единни условия за прилагането на настоящия регламент, на Комисията следва да се предоставят изпълнителни правомощия по отношение на приемането на работната програма, както и във връзка с отпускането на финансиране за избраните действия в </w:t>
      </w:r>
      <w:r>
        <w:rPr>
          <w:noProof/>
        </w:rPr>
        <w:t>областта на развойната дейност. При изпълнението на действия в областта на развойната дейност следва по-специално да бъде взета предвид спецификата на сектора на отбраната, а именно отговорността на държавите членки и/или асоциираните държави за процеса на</w:t>
      </w:r>
      <w:r>
        <w:rPr>
          <w:noProof/>
        </w:rPr>
        <w:t xml:space="preserve"> планиране и придобиване. Тези изпълнителни правомощия следва да се упражняват в съответствие с Регламент (ЕС) [№ 182/2011 на Европейския парламент и на Съвета]</w:t>
      </w:r>
      <w:r>
        <w:rPr>
          <w:rStyle w:val="FootnoteReference"/>
          <w:noProof/>
        </w:rPr>
        <w:footnoteReference w:id="9"/>
      </w:r>
      <w:r>
        <w:rPr>
          <w:noProof/>
        </w:rPr>
        <w:t>.</w:t>
      </w:r>
    </w:p>
    <w:p w:rsidR="000B688B" w:rsidRDefault="00640F08">
      <w:pPr>
        <w:pStyle w:val="ManualConsidrant"/>
        <w:rPr>
          <w:noProof/>
          <w:szCs w:val="24"/>
        </w:rPr>
      </w:pPr>
      <w:r>
        <w:t>(33)</w:t>
      </w:r>
      <w:r>
        <w:tab/>
      </w:r>
      <w:r>
        <w:rPr>
          <w:noProof/>
        </w:rPr>
        <w:t>С цел оказване на подкрепа за един отворен вътрешен пазар следва да бъде насърчавано уча</w:t>
      </w:r>
      <w:r>
        <w:rPr>
          <w:noProof/>
        </w:rPr>
        <w:t xml:space="preserve">стието на трансгранични МСП и дружества със средна пазарна капитализация, било като членове на консорциум, било като подизпълнители. </w:t>
      </w:r>
    </w:p>
    <w:p w:rsidR="000B688B" w:rsidRDefault="00640F08">
      <w:pPr>
        <w:pStyle w:val="ManualConsidrant"/>
        <w:rPr>
          <w:noProof/>
          <w:szCs w:val="24"/>
        </w:rPr>
      </w:pPr>
      <w:r>
        <w:t>(34)</w:t>
      </w:r>
      <w:r>
        <w:tab/>
      </w:r>
      <w:r>
        <w:rPr>
          <w:noProof/>
        </w:rPr>
        <w:t>Комисията следва да се стреми да поддържа диалог с държавите членки и сектора, за да осигури успеха на фонда.</w:t>
      </w:r>
    </w:p>
    <w:p w:rsidR="000B688B" w:rsidRDefault="00640F08">
      <w:pPr>
        <w:pStyle w:val="ManualConsidrant"/>
        <w:rPr>
          <w:noProof/>
          <w:szCs w:val="24"/>
        </w:rPr>
      </w:pPr>
      <w:r>
        <w:t>(35)</w:t>
      </w:r>
      <w:r>
        <w:tab/>
      </w:r>
      <w:r>
        <w:rPr>
          <w:noProof/>
        </w:rPr>
        <w:t xml:space="preserve">С </w:t>
      </w:r>
      <w:r>
        <w:rPr>
          <w:noProof/>
        </w:rPr>
        <w:t>настоящия регламент се определя финансов пакет за Европейския фонд за отбрана, който да представлява основната референтна сума по смисъла на [новото междуинституционално споразумение] между Европейския парламент, Съвета и Комисията относно бюджетната дисци</w:t>
      </w:r>
      <w:r>
        <w:rPr>
          <w:noProof/>
        </w:rPr>
        <w:t>плина, сътрудничеството по бюджетни въпроси и доброто финансово управление</w:t>
      </w:r>
      <w:r>
        <w:rPr>
          <w:rStyle w:val="FootnoteReference"/>
          <w:noProof/>
        </w:rPr>
        <w:footnoteReference w:id="10"/>
      </w:r>
      <w:r>
        <w:rPr>
          <w:noProof/>
        </w:rPr>
        <w:t xml:space="preserve"> за Европейския парламент и за Съвета в рамките на годишната бюджетна процедура.</w:t>
      </w:r>
    </w:p>
    <w:p w:rsidR="000B688B" w:rsidRDefault="00640F08">
      <w:pPr>
        <w:pStyle w:val="ManualConsidrant"/>
        <w:rPr>
          <w:noProof/>
          <w:szCs w:val="24"/>
        </w:rPr>
      </w:pPr>
      <w:r>
        <w:t>(36)</w:t>
      </w:r>
      <w:r>
        <w:tab/>
      </w:r>
      <w:r>
        <w:rPr>
          <w:noProof/>
        </w:rPr>
        <w:t>Финансовият регламент се прилага за фонда, освен ако е посочено друго. В него са определени пра</w:t>
      </w:r>
      <w:r>
        <w:rPr>
          <w:noProof/>
        </w:rPr>
        <w:t xml:space="preserve">вилата относно изпълнението на бюджета на Съюза, включително правилата относно безвъзмездните средства, наградите, поръчките, финансовата помощ, финансовите инструменти и бюджетните гаранции. </w:t>
      </w:r>
    </w:p>
    <w:p w:rsidR="000B688B" w:rsidRDefault="00640F08">
      <w:pPr>
        <w:pStyle w:val="ManualConsidrant"/>
        <w:rPr>
          <w:noProof/>
          <w:szCs w:val="24"/>
        </w:rPr>
      </w:pPr>
      <w:r>
        <w:t>(37)</w:t>
      </w:r>
      <w:r>
        <w:tab/>
      </w:r>
      <w:r>
        <w:rPr>
          <w:noProof/>
        </w:rPr>
        <w:t>По отношение на настоящия регламент се прилагат хоризонтал</w:t>
      </w:r>
      <w:r>
        <w:rPr>
          <w:noProof/>
        </w:rPr>
        <w:t>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регламент и определят по-специално процедурата за съставяне и изпълнение</w:t>
      </w:r>
      <w:r>
        <w:rPr>
          <w:noProof/>
        </w:rPr>
        <w:t xml:space="preserve"> на бюджета чрез безвъзмездни средства, поръчки, награди, непряко изпълнение, и предвиждат проверки на отговорността на финансовите участници. Правилата, приети на основание член 322 от ДФЕС, касаят също така защитата на бюджета на Съюза в случай на широко</w:t>
      </w:r>
      <w:r>
        <w:rPr>
          <w:noProof/>
        </w:rPr>
        <w:t xml:space="preserve">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доброто финансово управление и за ефикасно финансиране от ЕС.</w:t>
      </w:r>
    </w:p>
    <w:p w:rsidR="000B688B" w:rsidRDefault="00640F08">
      <w:pPr>
        <w:pStyle w:val="ManualConsidrant"/>
        <w:rPr>
          <w:noProof/>
          <w:szCs w:val="24"/>
        </w:rPr>
      </w:pPr>
      <w:r>
        <w:t>(38)</w:t>
      </w:r>
      <w:r>
        <w:tab/>
      </w:r>
      <w:r>
        <w:rPr>
          <w:noProof/>
        </w:rPr>
        <w:t>В съответствие с Финансовия регламент, Ре</w:t>
      </w:r>
      <w:r>
        <w:rPr>
          <w:noProof/>
        </w:rPr>
        <w:t>гламент (ЕС, Евратом) № 883/2013 на Европейския парламент и на Съвета</w:t>
      </w:r>
      <w:r>
        <w:rPr>
          <w:rStyle w:val="FootnoteReference"/>
          <w:noProof/>
        </w:rPr>
        <w:footnoteReference w:id="11"/>
      </w:r>
      <w:r>
        <w:rPr>
          <w:noProof/>
        </w:rPr>
        <w:t>, Регламент (ЕО, Евратом) № 2988/95 на Съвета</w:t>
      </w:r>
      <w:r>
        <w:rPr>
          <w:rStyle w:val="FootnoteReference"/>
          <w:noProof/>
        </w:rPr>
        <w:footnoteReference w:id="12"/>
      </w:r>
      <w:r>
        <w:rPr>
          <w:noProof/>
        </w:rPr>
        <w:t>, Регламент (Евратом, ЕО) № 2185/96 на Съвета</w:t>
      </w:r>
      <w:r>
        <w:rPr>
          <w:rStyle w:val="FootnoteReference"/>
          <w:noProof/>
        </w:rPr>
        <w:footnoteReference w:id="13"/>
      </w:r>
      <w:r>
        <w:rPr>
          <w:noProof/>
        </w:rPr>
        <w:t xml:space="preserve"> и Регламент (ЕС) 2017/1939 на Съвета</w:t>
      </w:r>
      <w:r>
        <w:rPr>
          <w:rStyle w:val="FootnoteReference"/>
          <w:noProof/>
        </w:rPr>
        <w:footnoteReference w:id="14"/>
      </w:r>
      <w:r>
        <w:rPr>
          <w:noProof/>
        </w:rPr>
        <w:t xml:space="preserve"> финансовите интереси на Съюза трябва да се защитават по</w:t>
      </w:r>
      <w:r>
        <w:rPr>
          <w:noProof/>
        </w:rPr>
        <w:t>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w:t>
      </w:r>
      <w:r>
        <w:rPr>
          <w:noProof/>
        </w:rPr>
        <w:t>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w:t>
      </w:r>
      <w:r>
        <w:rPr>
          <w:noProof/>
        </w:rPr>
        <w:t>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w:t>
      </w:r>
      <w:r>
        <w:rPr>
          <w:noProof/>
        </w:rPr>
        <w:t>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15"/>
      </w:r>
      <w:r>
        <w:rPr>
          <w:noProof/>
        </w:rPr>
        <w:t xml:space="preserve">. В съответствие с Финансовия регламент всички лица или субекти, получаващи средства от Съюза, оказват пълно сътрудничество за </w:t>
      </w:r>
      <w:r>
        <w:rPr>
          <w:noProof/>
        </w:rPr>
        <w:t>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w:t>
      </w:r>
      <w:r>
        <w:rPr>
          <w:noProof/>
        </w:rPr>
        <w:t>редоставят равностойни права.</w:t>
      </w:r>
    </w:p>
    <w:p w:rsidR="000B688B" w:rsidRDefault="00640F08">
      <w:pPr>
        <w:pStyle w:val="ManualConsidrant"/>
        <w:rPr>
          <w:noProof/>
          <w:szCs w:val="24"/>
        </w:rPr>
      </w:pPr>
      <w:r>
        <w:t>(39)</w:t>
      </w:r>
      <w:r>
        <w:tab/>
      </w:r>
      <w:r>
        <w:rPr>
          <w:noProof/>
        </w:rPr>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в което се предвижда изп</w:t>
      </w:r>
      <w:r>
        <w:rPr>
          <w:noProof/>
        </w:rPr>
        <w:t>ълнението на програмите да става с решение, прието съгласно посоченото споразумение.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на Европейскат</w:t>
      </w:r>
      <w:r>
        <w:rPr>
          <w:noProof/>
        </w:rPr>
        <w:t xml:space="preserve">а служба за борба с измамите (OLAF) и на Европейската сметна палата, за да могат те да упражняват в пълен обем съответните свои правомощия. </w:t>
      </w:r>
    </w:p>
    <w:p w:rsidR="000B688B" w:rsidRDefault="00640F08">
      <w:pPr>
        <w:pStyle w:val="ManualConsidrant"/>
        <w:rPr>
          <w:noProof/>
        </w:rPr>
      </w:pPr>
      <w:r>
        <w:t>(40)</w:t>
      </w:r>
      <w:r>
        <w:tab/>
      </w:r>
      <w:r>
        <w:rPr>
          <w:noProof/>
        </w:rPr>
        <w:t>В съответствие с точки 22 и 23 от Междуинституционалното споразумение от 13 април 2016 г. за по-добро законотв</w:t>
      </w:r>
      <w:r>
        <w:rPr>
          <w:noProof/>
        </w:rPr>
        <w:t>орчество, е необходимо настоящият регламент да се подложи на оценка въз основа на информацията, събрана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w:t>
      </w:r>
      <w:r>
        <w:rPr>
          <w:noProof/>
        </w:rPr>
        <w:t xml:space="preserve">ленки. Когато е целесъобразно, тези изисквания могат да включват измерими показатели, които да служат за основа за оценяване на въздействието на регламента по места. Комисията следва да извърши междинна оценка не по-късно от четири години след началото на </w:t>
      </w:r>
      <w:r>
        <w:rPr>
          <w:noProof/>
        </w:rPr>
        <w:t xml:space="preserve">изпълнението на фонда, а също и окончателна оценка в края на периода на изпълнение на фонда, като направи преглед на финансовите дейности с оглед на резултатите от финансово изпълнение и, доколкото е възможно в този момент, с оглед на тяхното въздействие. </w:t>
      </w:r>
      <w:r>
        <w:rPr>
          <w:noProof/>
        </w:rPr>
        <w:t>В доклада следва също така да се анализира трансграничното участие на МСП и на дружествата със средна пазарна капитализация в подкрепяните от фонда проекти, както и участието на МСП и на дружествата със средна пазарна капитализация в световната верига за с</w:t>
      </w:r>
      <w:r>
        <w:rPr>
          <w:noProof/>
        </w:rPr>
        <w:t>ъздаване на стойност, Комисията може също така да предложи да бъдат внесени изменения в настоящия регламент, за да отговори на евентуално ново развитие по време на изпълнението на фонда.</w:t>
      </w:r>
    </w:p>
    <w:p w:rsidR="000B688B" w:rsidRDefault="00640F08">
      <w:pPr>
        <w:pStyle w:val="ManualConsidrant"/>
        <w:rPr>
          <w:noProof/>
        </w:rPr>
      </w:pPr>
      <w:r>
        <w:t>(41)</w:t>
      </w:r>
      <w:r>
        <w:tab/>
      </w:r>
      <w:r>
        <w:rPr>
          <w:noProof/>
        </w:rPr>
        <w:t>Отчитайки колко важно е да се води борба с изменението на климат</w:t>
      </w:r>
      <w:r>
        <w:rPr>
          <w:noProof/>
        </w:rPr>
        <w:t>а в съответствие с ангажиментите на Съюза за изпълнение на Парижкото споразумение и целите на ООН за устойчиво развитие, фондът ще допринесе за интегрирането на действието по климата в политиките на Съюза и за постигането на общата цел 25 % от бюджетните р</w:t>
      </w:r>
      <w:r>
        <w:rPr>
          <w:noProof/>
        </w:rPr>
        <w:t>азходи на ЕС да са в подкрепа на целите в областта на климата. Съответните действия ще бъдат определени по време на подготовката и изпълнението на фонда и ще бъдат преразгледани в контекста на междинната му оценка.</w:t>
      </w:r>
    </w:p>
    <w:p w:rsidR="000B688B" w:rsidRDefault="00640F08">
      <w:pPr>
        <w:pStyle w:val="ManualConsidrant"/>
        <w:rPr>
          <w:noProof/>
        </w:rPr>
      </w:pPr>
      <w:r>
        <w:t>(42)</w:t>
      </w:r>
      <w:r>
        <w:tab/>
      </w:r>
      <w:r>
        <w:rPr>
          <w:noProof/>
        </w:rPr>
        <w:t>Тъй като фондът оказва подкрепа на с</w:t>
      </w:r>
      <w:r>
        <w:rPr>
          <w:noProof/>
        </w:rPr>
        <w:t>вързани с отбраната продукти и технологии само на етапа на научните изследвания и етапа на развойната дейност, по принцип Съюзът не би трябвало да се ползва с право на собственост или с права върху интелектуална собственост (ПИС) по отношение на продукти и</w:t>
      </w:r>
      <w:r>
        <w:rPr>
          <w:noProof/>
        </w:rPr>
        <w:t>ли технологии, които са резултат от финансираните действия, освен ако помощта от Съюза се предоставя чрез обществени поръчки. По отношение на действията в областта на научните изследвания обаче заинтересованите държави членки и асоциирани държави следва да</w:t>
      </w:r>
      <w:r>
        <w:rPr>
          <w:noProof/>
        </w:rPr>
        <w:t xml:space="preserve"> разполагат с възможността да използват резултатите от финансираните действия и да участват в последваща, основана на сътрудничество между тях, развойна дейност; поради това следва да се разрешат дерогациите от този принцип.</w:t>
      </w:r>
    </w:p>
    <w:p w:rsidR="000B688B" w:rsidRDefault="00640F08">
      <w:pPr>
        <w:pStyle w:val="ManualConsidrant"/>
        <w:rPr>
          <w:noProof/>
        </w:rPr>
      </w:pPr>
      <w:r>
        <w:t>(43)</w:t>
      </w:r>
      <w:r>
        <w:tab/>
      </w:r>
      <w:r>
        <w:rPr>
          <w:noProof/>
        </w:rPr>
        <w:t>Финансовата помощ от Съюза</w:t>
      </w:r>
      <w:r>
        <w:rPr>
          <w:noProof/>
        </w:rPr>
        <w:t xml:space="preserve"> следва да не засяга трансфера на свързани с отбраната продукти в рамките на Съюза в съответствие с Директива 2009/43/ЕО на Европейския парламент и на Съвета</w:t>
      </w:r>
      <w:r>
        <w:rPr>
          <w:rStyle w:val="FootnoteReference"/>
          <w:noProof/>
        </w:rPr>
        <w:footnoteReference w:id="16"/>
      </w:r>
      <w:r>
        <w:rPr>
          <w:noProof/>
        </w:rPr>
        <w:t xml:space="preserve">, нито износа на продукти, оборудване или технологии. </w:t>
      </w:r>
    </w:p>
    <w:p w:rsidR="000B688B" w:rsidRDefault="00640F08">
      <w:pPr>
        <w:pStyle w:val="ManualConsidrant"/>
        <w:rPr>
          <w:noProof/>
        </w:rPr>
      </w:pPr>
      <w:r>
        <w:t>(44)</w:t>
      </w:r>
      <w:r>
        <w:tab/>
      </w:r>
      <w:r>
        <w:rPr>
          <w:noProof/>
        </w:rPr>
        <w:t>Използването на чувствителна информаци</w:t>
      </w:r>
      <w:r>
        <w:rPr>
          <w:noProof/>
        </w:rPr>
        <w:t xml:space="preserve">я, свързана с предходни знания, или достъпът на неоправомощени лица до чувствителни резултати, генерирани от изследователски проекти, може да се отрази неблагоприятно върху интересите на Съюза съюз или на една или повече от неговите държави членки. Поради </w:t>
      </w:r>
      <w:r>
        <w:rPr>
          <w:noProof/>
        </w:rPr>
        <w:t>това боравенето с поверителни данни и класифицирана информация следва да се подчинява на съответната нормативна уредба на Съюза, включително на вътрешните правила на институциите, като например Решение (ЕС, Евратом) 2015/444 на Комисията</w:t>
      </w:r>
      <w:r>
        <w:rPr>
          <w:rStyle w:val="FootnoteReference"/>
          <w:noProof/>
        </w:rPr>
        <w:footnoteReference w:id="17"/>
      </w:r>
      <w:r>
        <w:rPr>
          <w:noProof/>
        </w:rPr>
        <w:t>.</w:t>
      </w:r>
    </w:p>
    <w:p w:rsidR="000B688B" w:rsidRDefault="00640F08">
      <w:pPr>
        <w:pStyle w:val="ManualConsidrant"/>
        <w:rPr>
          <w:noProof/>
        </w:rPr>
      </w:pPr>
      <w:r>
        <w:t>(45)</w:t>
      </w:r>
      <w:r>
        <w:tab/>
      </w:r>
      <w:r>
        <w:rPr>
          <w:noProof/>
        </w:rPr>
        <w:t xml:space="preserve">За да може </w:t>
      </w:r>
      <w:r>
        <w:rPr>
          <w:noProof/>
        </w:rPr>
        <w:t>да се допълват или изменят показателите за пътищата на въздействие, когато това се счете за необходимо, на Комисията следва да се делегира правомощието да приема актове в съответствие с член 290 от Договора за функционирането на Европейския съюз. Особено в</w:t>
      </w:r>
      <w:r>
        <w:rPr>
          <w:noProof/>
        </w:rPr>
        <w:t>ажно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залегнали в Междуинституционалното споразумение от 13 април 2016 г</w:t>
      </w:r>
      <w:r>
        <w:rPr>
          <w:noProof/>
        </w:rPr>
        <w:t>.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w:t>
      </w:r>
      <w:r>
        <w:rPr>
          <w:noProof/>
        </w:rPr>
        <w:t xml:space="preserve"> получават систематично достъп до заседанията на експертните групи на Комисията, занимаващи се с подготовката на делегираните актове.</w:t>
      </w:r>
    </w:p>
    <w:p w:rsidR="000B688B" w:rsidRDefault="00640F08">
      <w:pPr>
        <w:pStyle w:val="ManualConsidrant"/>
        <w:rPr>
          <w:noProof/>
        </w:rPr>
      </w:pPr>
      <w:r>
        <w:t>(46)</w:t>
      </w:r>
      <w:r>
        <w:tab/>
      </w:r>
      <w:r>
        <w:rPr>
          <w:noProof/>
        </w:rPr>
        <w:t xml:space="preserve">Комисията следва да управлява фонда при надлежно спазване на изискванията за поверителност и сигурност, по-специално </w:t>
      </w:r>
      <w:r>
        <w:rPr>
          <w:noProof/>
        </w:rPr>
        <w:t>що се отнася до класифицираната и чувствителната информация,</w:t>
      </w:r>
    </w:p>
    <w:p w:rsidR="000B688B" w:rsidRDefault="00640F08">
      <w:pPr>
        <w:pStyle w:val="Formuledadoption"/>
        <w:spacing w:before="360"/>
        <w:rPr>
          <w:noProof/>
          <w:szCs w:val="24"/>
        </w:rPr>
      </w:pPr>
      <w:r>
        <w:rPr>
          <w:noProof/>
        </w:rPr>
        <w:t>ПРИЕХА НАСТОЯЩИЯ РЕГЛАМЕНТ:</w:t>
      </w:r>
    </w:p>
    <w:p w:rsidR="000B688B" w:rsidRDefault="00640F08">
      <w:pPr>
        <w:pStyle w:val="PartTitle"/>
        <w:rPr>
          <w:noProof/>
        </w:rPr>
      </w:pPr>
      <w:r>
        <w:rPr>
          <w:noProof/>
        </w:rPr>
        <w:t>ДЯЛ I</w:t>
      </w:r>
      <w:r>
        <w:rPr>
          <w:noProof/>
        </w:rPr>
        <w:br/>
        <w:t>ОБЩОПРИЛОЖИМИ РАЗПОРЕДБИ</w:t>
      </w:r>
      <w:r>
        <w:rPr>
          <w:noProof/>
        </w:rPr>
        <w:br/>
        <w:t>ЗА НАУЧНОИЗСЛЕДОВАТЕЛСКАТА И РАЗВОЙНАТА ДЕЙНОСТ</w:t>
      </w:r>
    </w:p>
    <w:p w:rsidR="000B688B" w:rsidRDefault="00640F08">
      <w:pPr>
        <w:pStyle w:val="ChapterTitle"/>
        <w:rPr>
          <w:noProof/>
        </w:rPr>
      </w:pPr>
      <w:r>
        <w:rPr>
          <w:noProof/>
        </w:rPr>
        <w:t>ГЛАВА І</w:t>
      </w:r>
      <w:r>
        <w:rPr>
          <w:noProof/>
        </w:rPr>
        <w:br/>
        <w:t>ОБЩИ РАЗПОРЕДБИ</w:t>
      </w:r>
    </w:p>
    <w:p w:rsidR="000B688B" w:rsidRDefault="00640F08">
      <w:pPr>
        <w:pStyle w:val="Titrearticle"/>
        <w:rPr>
          <w:noProof/>
        </w:rPr>
      </w:pPr>
      <w:r>
        <w:rPr>
          <w:noProof/>
        </w:rPr>
        <w:t>Член 1</w:t>
      </w:r>
      <w:r>
        <w:rPr>
          <w:noProof/>
        </w:rPr>
        <w:br/>
        <w:t>Предмет</w:t>
      </w:r>
    </w:p>
    <w:p w:rsidR="000B688B" w:rsidRDefault="00640F08">
      <w:pPr>
        <w:rPr>
          <w:noProof/>
          <w:szCs w:val="24"/>
        </w:rPr>
      </w:pPr>
      <w:r>
        <w:rPr>
          <w:noProof/>
        </w:rPr>
        <w:t xml:space="preserve">С настоящия регламент се създава Европейският </w:t>
      </w:r>
      <w:r>
        <w:rPr>
          <w:noProof/>
        </w:rPr>
        <w:t>фонд за отбрана („фондът“).</w:t>
      </w:r>
    </w:p>
    <w:p w:rsidR="000B688B" w:rsidRDefault="00640F08">
      <w:pPr>
        <w:rPr>
          <w:noProof/>
          <w:szCs w:val="24"/>
        </w:rPr>
      </w:pPr>
      <w:r>
        <w:rPr>
          <w:noProof/>
        </w:rPr>
        <w:t>С него се определят целите на фонда, бюджетът за периода 2021—2027 г., формите на финансиране от Съюза и правилата за предоставяне на такова финансиране.</w:t>
      </w:r>
    </w:p>
    <w:p w:rsidR="000B688B" w:rsidRDefault="00640F08">
      <w:pPr>
        <w:pStyle w:val="Titrearticle"/>
        <w:rPr>
          <w:noProof/>
        </w:rPr>
      </w:pPr>
      <w:r>
        <w:rPr>
          <w:noProof/>
        </w:rPr>
        <w:t>Член 2</w:t>
      </w:r>
      <w:r>
        <w:rPr>
          <w:noProof/>
        </w:rPr>
        <w:br/>
        <w:t>Определения</w:t>
      </w:r>
    </w:p>
    <w:p w:rsidR="000B688B" w:rsidRDefault="00640F08">
      <w:pPr>
        <w:rPr>
          <w:noProof/>
        </w:rPr>
      </w:pPr>
      <w:r>
        <w:rPr>
          <w:noProof/>
        </w:rPr>
        <w:t>За целите на настоящия регламент се прилагат следните о</w:t>
      </w:r>
      <w:r>
        <w:rPr>
          <w:noProof/>
        </w:rPr>
        <w:t>пределения:</w:t>
      </w:r>
    </w:p>
    <w:p w:rsidR="000B688B" w:rsidRDefault="00640F08">
      <w:pPr>
        <w:pStyle w:val="Point0number"/>
        <w:numPr>
          <w:ilvl w:val="0"/>
          <w:numId w:val="14"/>
        </w:numPr>
        <w:rPr>
          <w:noProof/>
        </w:rPr>
      </w:pPr>
      <w:r>
        <w:rPr>
          <w:b/>
          <w:noProof/>
        </w:rPr>
        <w:t>„операции за смесено финансиране“</w:t>
      </w:r>
      <w:r>
        <w:rPr>
          <w:noProof/>
        </w:rPr>
        <w:t xml:space="preserve"> означава действия, подкрепени от бюджета на ЕС, включително в рамките на механизми за смесено финансиране по [член 2, параграф 6] от Финансовия регламент, при които се съчетават форми на неподлежаща на връщане </w:t>
      </w:r>
      <w:r>
        <w:rPr>
          <w:noProof/>
        </w:rPr>
        <w:t>подкрепа и/или финансови инструменти от бюджета на ЕС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rsidR="000B688B" w:rsidRDefault="00640F08">
      <w:pPr>
        <w:pStyle w:val="Point0number"/>
        <w:rPr>
          <w:noProof/>
        </w:rPr>
      </w:pPr>
      <w:r>
        <w:rPr>
          <w:b/>
          <w:noProof/>
        </w:rPr>
        <w:t>„контрол“</w:t>
      </w:r>
      <w:r>
        <w:rPr>
          <w:noProof/>
        </w:rPr>
        <w:t xml:space="preserve"> о</w:t>
      </w:r>
      <w:r>
        <w:rPr>
          <w:noProof/>
        </w:rPr>
        <w:t>значава способността за упражняване на решаващо пряко или косвено влияние върху правен субект посредством един или повече междинни правни субекти;</w:t>
      </w:r>
    </w:p>
    <w:p w:rsidR="000B688B" w:rsidRDefault="00640F08">
      <w:pPr>
        <w:pStyle w:val="Point0number"/>
        <w:rPr>
          <w:noProof/>
        </w:rPr>
      </w:pPr>
      <w:r>
        <w:rPr>
          <w:b/>
          <w:noProof/>
        </w:rPr>
        <w:t>„действие в областта на развойната дейност“</w:t>
      </w:r>
      <w:r>
        <w:rPr>
          <w:noProof/>
        </w:rPr>
        <w:t xml:space="preserve"> означава всяко действие, заключаващо се предимно в дейности с отб</w:t>
      </w:r>
      <w:r>
        <w:rPr>
          <w:noProof/>
        </w:rPr>
        <w:t>ранителна насоченост на етап развойна дейност, което обхваща нови продукти или технологии, или модернизирането на съществуващи такива, но без да включва производството или използването на оръжие;</w:t>
      </w:r>
    </w:p>
    <w:p w:rsidR="000B688B" w:rsidRDefault="00640F08">
      <w:pPr>
        <w:pStyle w:val="Point0number"/>
        <w:rPr>
          <w:noProof/>
        </w:rPr>
      </w:pPr>
      <w:r>
        <w:rPr>
          <w:b/>
          <w:noProof/>
        </w:rPr>
        <w:t>„революционна отбранителна технология“</w:t>
      </w:r>
      <w:r>
        <w:rPr>
          <w:noProof/>
        </w:rPr>
        <w:t xml:space="preserve"> означава технология, чието прилагане може радикално да промени представата за отбранителните действия и провеждането им;</w:t>
      </w:r>
    </w:p>
    <w:p w:rsidR="000B688B" w:rsidRDefault="00640F08">
      <w:pPr>
        <w:pStyle w:val="Point0number"/>
        <w:rPr>
          <w:noProof/>
        </w:rPr>
      </w:pPr>
      <w:r>
        <w:rPr>
          <w:b/>
          <w:noProof/>
        </w:rPr>
        <w:t>„изпълнителни управленски структури“</w:t>
      </w:r>
      <w:r>
        <w:rPr>
          <w:noProof/>
        </w:rPr>
        <w:t xml:space="preserve"> означава всеки или всички органи, назначени в съответствие с националното право, на които са възл</w:t>
      </w:r>
      <w:r>
        <w:rPr>
          <w:noProof/>
        </w:rPr>
        <w:t>ожени правомощия по определяне на стратегията, целите и цялостното ръководство на правния субект и които упражняват надзор и наблюдение над вземането на свързани с управлението решения;</w:t>
      </w:r>
    </w:p>
    <w:p w:rsidR="000B688B" w:rsidRDefault="00640F08">
      <w:pPr>
        <w:pStyle w:val="Point0number"/>
        <w:rPr>
          <w:noProof/>
        </w:rPr>
      </w:pPr>
      <w:r>
        <w:rPr>
          <w:b/>
          <w:noProof/>
        </w:rPr>
        <w:t>„правен субект“</w:t>
      </w:r>
      <w:r>
        <w:rPr>
          <w:noProof/>
        </w:rPr>
        <w:t xml:space="preserve"> означава физическо лице или юридическо лице, учредено </w:t>
      </w:r>
      <w:r>
        <w:rPr>
          <w:noProof/>
        </w:rPr>
        <w:t xml:space="preserve">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w:t>
      </w:r>
      <w:r>
        <w:rPr>
          <w:noProof/>
        </w:rPr>
        <w:t>регламент — субект, който няма правосубектност;</w:t>
      </w:r>
    </w:p>
    <w:p w:rsidR="000B688B" w:rsidRDefault="00640F08">
      <w:pPr>
        <w:pStyle w:val="Point0number"/>
        <w:rPr>
          <w:noProof/>
        </w:rPr>
      </w:pPr>
      <w:r>
        <w:rPr>
          <w:b/>
          <w:noProof/>
        </w:rPr>
        <w:t>„дружество със средна пазарна капитализация“</w:t>
      </w:r>
      <w:r>
        <w:rPr>
          <w:noProof/>
        </w:rPr>
        <w:t xml:space="preserve"> означава предприятие, което не е микро-, малко или средно предприятие (МСП) по смисъла на определението в Препоръка 2003/361/ЕО на Комисията</w:t>
      </w:r>
      <w:r>
        <w:rPr>
          <w:rStyle w:val="FootnoteReference"/>
          <w:noProof/>
        </w:rPr>
        <w:footnoteReference w:id="18"/>
      </w:r>
      <w:r>
        <w:rPr>
          <w:noProof/>
        </w:rPr>
        <w:t xml:space="preserve"> и е с до 3000 служите</w:t>
      </w:r>
      <w:r>
        <w:rPr>
          <w:noProof/>
        </w:rPr>
        <w:t>ли, като броят на служителите се изчислява в съответствие с членове 3, 4, 5 и 6 от дял I от приложението към същата препоръка;</w:t>
      </w:r>
    </w:p>
    <w:p w:rsidR="000B688B" w:rsidRDefault="00640F08">
      <w:pPr>
        <w:pStyle w:val="Point0number"/>
        <w:rPr>
          <w:noProof/>
        </w:rPr>
      </w:pPr>
      <w:r>
        <w:rPr>
          <w:b/>
          <w:noProof/>
        </w:rPr>
        <w:t>„обществена поръчка за продукти в предпазарен стадий“</w:t>
      </w:r>
      <w:r>
        <w:rPr>
          <w:noProof/>
        </w:rPr>
        <w:t xml:space="preserve"> означава обществена поръчка за научноизследователски и развойни услуги, пре</w:t>
      </w:r>
      <w:r>
        <w:rPr>
          <w:noProof/>
        </w:rPr>
        <w:t>дполагаща разпределяне на рисковете и ползите съобразно пазарните условия, както и поетапни конкурентни разработки в случаите на ясно разделяне на предоставените научноизследователски и развойни услуги от разработването на крайни продукти в търговски колич</w:t>
      </w:r>
      <w:r>
        <w:rPr>
          <w:noProof/>
        </w:rPr>
        <w:t>ества;</w:t>
      </w:r>
    </w:p>
    <w:p w:rsidR="000B688B" w:rsidRDefault="00640F08">
      <w:pPr>
        <w:pStyle w:val="Point0number"/>
        <w:rPr>
          <w:noProof/>
        </w:rPr>
      </w:pPr>
      <w:r>
        <w:rPr>
          <w:b/>
          <w:noProof/>
        </w:rPr>
        <w:t>„ръководител на проекти“</w:t>
      </w:r>
      <w:r>
        <w:rPr>
          <w:noProof/>
        </w:rPr>
        <w:t xml:space="preserve"> означава всеки възлагащ орган, установен в държава членка или асоциирана държава, създаден от държава членка или асоциирана държава, или група от държави членки и/или асоциирани държави, за управление на многонационални прое</w:t>
      </w:r>
      <w:r>
        <w:rPr>
          <w:noProof/>
        </w:rPr>
        <w:t xml:space="preserve">кти за въоръжаване на постоянна или на </w:t>
      </w:r>
      <w:r>
        <w:rPr>
          <w:i/>
          <w:noProof/>
        </w:rPr>
        <w:t>ad hoc</w:t>
      </w:r>
      <w:r>
        <w:rPr>
          <w:noProof/>
        </w:rPr>
        <w:t xml:space="preserve"> основа;</w:t>
      </w:r>
    </w:p>
    <w:p w:rsidR="000B688B" w:rsidRDefault="00640F08">
      <w:pPr>
        <w:pStyle w:val="Point0number"/>
        <w:rPr>
          <w:noProof/>
        </w:rPr>
      </w:pPr>
      <w:r>
        <w:rPr>
          <w:b/>
          <w:noProof/>
        </w:rPr>
        <w:t>„получател“</w:t>
      </w:r>
      <w:r>
        <w:rPr>
          <w:noProof/>
        </w:rPr>
        <w:t xml:space="preserve"> означава всеки правен субект, получаващ финансиране по линия на този фонд;</w:t>
      </w:r>
    </w:p>
    <w:p w:rsidR="000B688B" w:rsidRDefault="00640F08">
      <w:pPr>
        <w:pStyle w:val="Point0number"/>
        <w:rPr>
          <w:noProof/>
        </w:rPr>
      </w:pPr>
      <w:r>
        <w:rPr>
          <w:b/>
          <w:noProof/>
        </w:rPr>
        <w:t>„действие в областта на научните изследвания“</w:t>
      </w:r>
      <w:r>
        <w:rPr>
          <w:noProof/>
        </w:rPr>
        <w:t xml:space="preserve"> означава всяко действие, заключаващо се в научни изследвания, изключи</w:t>
      </w:r>
      <w:r>
        <w:rPr>
          <w:noProof/>
        </w:rPr>
        <w:t>телно фокусирани върху отбранителни приложения;</w:t>
      </w:r>
    </w:p>
    <w:p w:rsidR="000B688B" w:rsidRDefault="00640F08">
      <w:pPr>
        <w:pStyle w:val="Point0number"/>
        <w:rPr>
          <w:noProof/>
        </w:rPr>
      </w:pPr>
      <w:r>
        <w:rPr>
          <w:b/>
          <w:noProof/>
        </w:rPr>
        <w:t>„резултати“</w:t>
      </w:r>
      <w:r>
        <w:rPr>
          <w:noProof/>
        </w:rPr>
        <w:t xml:space="preserve"> означава всеки материален или нематериален ефект от действието, като например данни, ноу-хау или информация, независимо от тяхната форма или естество и независимо дали могат да бъдат обект на закр</w:t>
      </w:r>
      <w:r>
        <w:rPr>
          <w:noProof/>
        </w:rPr>
        <w:t>ила, както и всички права, свързани с тях, в т.ч. и правата върху интелектуална собственост;</w:t>
      </w:r>
    </w:p>
    <w:p w:rsidR="000B688B" w:rsidRDefault="00640F08">
      <w:pPr>
        <w:pStyle w:val="Point0number"/>
        <w:rPr>
          <w:noProof/>
        </w:rPr>
      </w:pPr>
      <w:r>
        <w:rPr>
          <w:b/>
          <w:noProof/>
        </w:rPr>
        <w:t>„специален доклад“</w:t>
      </w:r>
      <w:r>
        <w:rPr>
          <w:noProof/>
        </w:rPr>
        <w:t xml:space="preserve"> означава специфична предвидена престация на действие в областта на научните изследвания, обобщаващ резултатите от него, предоставяйки изчерпател</w:t>
      </w:r>
      <w:r>
        <w:rPr>
          <w:noProof/>
        </w:rPr>
        <w:t>на информация относно основните принципи, целите, действителните резултати, основни свойства, извършените изпитвания, потенциалните ползи, потенциалните отбранителни приложения и очаквания експлоатационен път на научните изследвания.</w:t>
      </w:r>
    </w:p>
    <w:p w:rsidR="000B688B" w:rsidRDefault="00640F08">
      <w:pPr>
        <w:pStyle w:val="Point0number"/>
        <w:rPr>
          <w:noProof/>
        </w:rPr>
      </w:pPr>
      <w:r>
        <w:rPr>
          <w:b/>
          <w:noProof/>
        </w:rPr>
        <w:t>„системен прототип“</w:t>
      </w:r>
      <w:r>
        <w:rPr>
          <w:noProof/>
        </w:rPr>
        <w:t xml:space="preserve"> оз</w:t>
      </w:r>
      <w:r>
        <w:rPr>
          <w:noProof/>
        </w:rPr>
        <w:t>начава образец на продукт или технология, който показва резултатите от функционирането на елемента в оперативна среда;</w:t>
      </w:r>
    </w:p>
    <w:p w:rsidR="000B688B" w:rsidRDefault="00640F08">
      <w:pPr>
        <w:pStyle w:val="Point0number"/>
        <w:rPr>
          <w:noProof/>
        </w:rPr>
      </w:pPr>
      <w:r>
        <w:rPr>
          <w:b/>
          <w:noProof/>
        </w:rPr>
        <w:t>„трета държава“</w:t>
      </w:r>
      <w:r>
        <w:rPr>
          <w:noProof/>
        </w:rPr>
        <w:t xml:space="preserve"> означава държава, която не е членка на Съюза;</w:t>
      </w:r>
    </w:p>
    <w:p w:rsidR="000B688B" w:rsidRDefault="00640F08">
      <w:pPr>
        <w:pStyle w:val="Point0number"/>
        <w:rPr>
          <w:noProof/>
        </w:rPr>
      </w:pPr>
      <w:r>
        <w:rPr>
          <w:b/>
          <w:noProof/>
        </w:rPr>
        <w:t>„неасоциирана трета държава“</w:t>
      </w:r>
      <w:r>
        <w:rPr>
          <w:noProof/>
        </w:rPr>
        <w:t xml:space="preserve"> означава трета държава, която не е асоциирана </w:t>
      </w:r>
      <w:r>
        <w:rPr>
          <w:noProof/>
        </w:rPr>
        <w:t>държава в съответствие с член 5;</w:t>
      </w:r>
    </w:p>
    <w:p w:rsidR="000B688B" w:rsidRDefault="00640F08">
      <w:pPr>
        <w:pStyle w:val="Point0number"/>
        <w:rPr>
          <w:noProof/>
        </w:rPr>
      </w:pPr>
      <w:r>
        <w:rPr>
          <w:b/>
          <w:noProof/>
        </w:rPr>
        <w:t>„субект от неасоциирана трета държава“</w:t>
      </w:r>
      <w:r>
        <w:rPr>
          <w:noProof/>
        </w:rPr>
        <w:t xml:space="preserve"> означава правен субект, установен в неасоциирана трета държава или чиито изпълнителни управленски структури се намират в неасоциирана трета държава.</w:t>
      </w:r>
    </w:p>
    <w:p w:rsidR="000B688B" w:rsidRDefault="00640F08">
      <w:pPr>
        <w:pStyle w:val="Titrearticle"/>
        <w:rPr>
          <w:noProof/>
          <w:szCs w:val="24"/>
        </w:rPr>
      </w:pPr>
      <w:r>
        <w:rPr>
          <w:noProof/>
        </w:rPr>
        <w:t>Член 3</w:t>
      </w:r>
      <w:r>
        <w:rPr>
          <w:noProof/>
        </w:rPr>
        <w:br/>
        <w:t>Цели на фонда</w:t>
      </w:r>
    </w:p>
    <w:p w:rsidR="000B688B" w:rsidRDefault="00640F08">
      <w:pPr>
        <w:pStyle w:val="ManualNumPar1"/>
        <w:rPr>
          <w:noProof/>
        </w:rPr>
      </w:pPr>
      <w:r>
        <w:t>1.</w:t>
      </w:r>
      <w:r>
        <w:tab/>
      </w:r>
      <w:r>
        <w:rPr>
          <w:noProof/>
        </w:rPr>
        <w:t xml:space="preserve">Общата цел </w:t>
      </w:r>
      <w:r>
        <w:rPr>
          <w:noProof/>
        </w:rPr>
        <w:t>на фонда е да насърчава конкурентоспособността, ефикасността и капацитета за иновации на европейската отбранителна промишленост, като оказва подкрепа за съвместните действия и трансграничното сътрудничество между правните субекти на цялата територия на Съю</w:t>
      </w:r>
      <w:r>
        <w:rPr>
          <w:noProof/>
        </w:rPr>
        <w:t>за, в т.ч. МСП и дружествата със средна пазарна капитализация, както и като стимулира по-доброто оползотворяване на потенциала на промишлеността за иновации, научни изследвания и технологично развитие, на всеки етап от промишления жизнен цикъл, и по този н</w:t>
      </w:r>
      <w:r>
        <w:rPr>
          <w:noProof/>
        </w:rPr>
        <w:t>ачин допринася за стратегическата автономност на Съюза. Фондът следва също така да допринесе за свободата на действие на Съюза и неговата автономност, по-специално в технологически и промишлен аспект.</w:t>
      </w:r>
    </w:p>
    <w:p w:rsidR="000B688B" w:rsidRDefault="00640F08">
      <w:pPr>
        <w:pStyle w:val="ManualNumPar1"/>
        <w:rPr>
          <w:noProof/>
        </w:rPr>
      </w:pPr>
      <w:r>
        <w:t>2.</w:t>
      </w:r>
      <w:r>
        <w:tab/>
      </w:r>
      <w:r>
        <w:rPr>
          <w:noProof/>
        </w:rPr>
        <w:t>Фондът има следните конкретни цели:</w:t>
      </w:r>
    </w:p>
    <w:p w:rsidR="000B688B" w:rsidRDefault="00640F08">
      <w:pPr>
        <w:pStyle w:val="Point1"/>
        <w:rPr>
          <w:noProof/>
        </w:rPr>
      </w:pPr>
      <w:r>
        <w:rPr>
          <w:noProof/>
        </w:rPr>
        <w:t>а)</w:t>
      </w:r>
      <w:r>
        <w:rPr>
          <w:noProof/>
        </w:rPr>
        <w:tab/>
        <w:t xml:space="preserve">да оказва </w:t>
      </w:r>
      <w:r>
        <w:rPr>
          <w:noProof/>
        </w:rPr>
        <w:t>подкрепа за съвместни научноизследователски проекти, които биха могли значително да подобрят ефикасността при използването на бъдещите способности, която подкрепа има за цел в максимална степен да поощрява иновациите и въвеждането на нови отбранителни прод</w:t>
      </w:r>
      <w:r>
        <w:rPr>
          <w:noProof/>
        </w:rPr>
        <w:t>укти и технологии, включително на революционни такива;</w:t>
      </w:r>
    </w:p>
    <w:p w:rsidR="000B688B" w:rsidRDefault="00640F08">
      <w:pPr>
        <w:pStyle w:val="Point1"/>
        <w:rPr>
          <w:noProof/>
        </w:rPr>
      </w:pPr>
      <w:r>
        <w:rPr>
          <w:noProof/>
        </w:rPr>
        <w:t>б)</w:t>
      </w:r>
      <w:r>
        <w:rPr>
          <w:noProof/>
        </w:rPr>
        <w:tab/>
        <w:t xml:space="preserve">да оказва подкрепа за съвместни развойни проекти, свързани с отбранителни продукти и технологии, съответстващи на приоритетите в областта на отбранителните способности, по които държавите членки са </w:t>
      </w:r>
      <w:r>
        <w:rPr>
          <w:noProof/>
        </w:rPr>
        <w:t>постигнали общо съгласие в рамките на общата външна политика и политиката на сигурност, като по този начин допринася за по-голяма ефикасност на разходите за отбрана в рамките на Съюза, постигане на по-големи икономии от мащаба, намаляване на риска от ненуж</w:t>
      </w:r>
      <w:r>
        <w:rPr>
          <w:noProof/>
        </w:rPr>
        <w:t>но дублиране, а оттам и за намаляване на фрагментарността на отбранителните продукти и технологии в целия Съюз. В крайна сметка фондът ще доведе до по-голяма оперативна съвместимост на способностите на държавите членки.</w:t>
      </w:r>
    </w:p>
    <w:p w:rsidR="000B688B" w:rsidRDefault="00640F08">
      <w:pPr>
        <w:pStyle w:val="Titrearticle"/>
        <w:rPr>
          <w:noProof/>
          <w:szCs w:val="24"/>
        </w:rPr>
      </w:pPr>
      <w:r>
        <w:rPr>
          <w:noProof/>
        </w:rPr>
        <w:t xml:space="preserve">Член 4 </w:t>
      </w:r>
      <w:r>
        <w:rPr>
          <w:noProof/>
        </w:rPr>
        <w:br/>
        <w:t>Бюджет</w:t>
      </w:r>
    </w:p>
    <w:p w:rsidR="000B688B" w:rsidRDefault="00640F08">
      <w:pPr>
        <w:pStyle w:val="ManualNumPar1"/>
        <w:rPr>
          <w:noProof/>
          <w:szCs w:val="24"/>
        </w:rPr>
      </w:pPr>
      <w:r>
        <w:t>1.</w:t>
      </w:r>
      <w:r>
        <w:tab/>
      </w:r>
      <w:r>
        <w:rPr>
          <w:noProof/>
        </w:rPr>
        <w:t xml:space="preserve">Финансовият пакет </w:t>
      </w:r>
      <w:r>
        <w:rPr>
          <w:noProof/>
        </w:rPr>
        <w:t>за целите на изпълнението на Европейския фонд за отбрана в периода 2021—2027 г. е в размер на 13 000 000 000 EUR по текущи цени</w:t>
      </w:r>
    </w:p>
    <w:p w:rsidR="000B688B" w:rsidRDefault="00640F08">
      <w:pPr>
        <w:pStyle w:val="ManualNumPar1"/>
        <w:rPr>
          <w:noProof/>
        </w:rPr>
      </w:pPr>
      <w:r>
        <w:t>2.</w:t>
      </w:r>
      <w:r>
        <w:tab/>
      </w:r>
      <w:r>
        <w:rPr>
          <w:noProof/>
        </w:rPr>
        <w:t>Индикативното разпределение на сумата, посочена в параграф 1, е, както следва:</w:t>
      </w:r>
    </w:p>
    <w:p w:rsidR="000B688B" w:rsidRDefault="00640F08">
      <w:pPr>
        <w:pStyle w:val="Point1"/>
        <w:rPr>
          <w:noProof/>
        </w:rPr>
      </w:pPr>
      <w:r>
        <w:rPr>
          <w:noProof/>
        </w:rPr>
        <w:t>а)</w:t>
      </w:r>
      <w:r>
        <w:rPr>
          <w:noProof/>
        </w:rPr>
        <w:tab/>
        <w:t>до 4 100 000 000 EUR — за „действия в облас</w:t>
      </w:r>
      <w:r>
        <w:rPr>
          <w:noProof/>
        </w:rPr>
        <w:t>тта на научните изследвания“;</w:t>
      </w:r>
    </w:p>
    <w:p w:rsidR="000B688B" w:rsidRDefault="00640F08">
      <w:pPr>
        <w:pStyle w:val="Point1"/>
        <w:rPr>
          <w:noProof/>
        </w:rPr>
      </w:pPr>
      <w:r>
        <w:rPr>
          <w:noProof/>
        </w:rPr>
        <w:t>б)</w:t>
      </w:r>
      <w:r>
        <w:rPr>
          <w:noProof/>
        </w:rPr>
        <w:tab/>
        <w:t>до 8 900 000 000 EUR — за „действия в областта на развойната дейност“.</w:t>
      </w:r>
    </w:p>
    <w:p w:rsidR="000B688B" w:rsidRDefault="00640F08">
      <w:pPr>
        <w:pStyle w:val="ManualNumPar1"/>
        <w:rPr>
          <w:noProof/>
        </w:rPr>
      </w:pPr>
      <w:r>
        <w:t>3.</w:t>
      </w:r>
      <w:r>
        <w:tab/>
      </w:r>
      <w:r>
        <w:rPr>
          <w:noProof/>
        </w:rPr>
        <w:t>Сумата, посочена в параграф 1, може да бъде използвана за техническа и административна помощ във връзка с изпълнението на фонда, като например подгот</w:t>
      </w:r>
      <w:r>
        <w:rPr>
          <w:noProof/>
        </w:rPr>
        <w:t>вителни, мониторингови, контролни, одитни и оценителни дейности, включително корпоративните информационни системи.</w:t>
      </w:r>
    </w:p>
    <w:p w:rsidR="000B688B" w:rsidRDefault="00640F08">
      <w:pPr>
        <w:pStyle w:val="ManualNumPar1"/>
        <w:rPr>
          <w:noProof/>
        </w:rPr>
      </w:pPr>
      <w:r>
        <w:t>4.</w:t>
      </w:r>
      <w:r>
        <w:tab/>
      </w:r>
      <w:r>
        <w:rPr>
          <w:noProof/>
        </w:rPr>
        <w:t>До 5 % от финансовия пакет по параграф 1 е предназначен за подкрепа на революционни технологии в областта на отбраната.</w:t>
      </w:r>
    </w:p>
    <w:p w:rsidR="000B688B" w:rsidRDefault="00640F08">
      <w:pPr>
        <w:pStyle w:val="ManualNumPar1"/>
        <w:rPr>
          <w:noProof/>
        </w:rPr>
      </w:pPr>
      <w:r>
        <w:t>5.</w:t>
      </w:r>
      <w:r>
        <w:tab/>
      </w:r>
      <w:r>
        <w:rPr>
          <w:noProof/>
        </w:rPr>
        <w:t>Финансовите сре</w:t>
      </w:r>
      <w:r>
        <w:rPr>
          <w:noProof/>
        </w:rPr>
        <w:t>дства, които са отпуснати на държавите членки при споделено управление, при поискване от тяхна страна могат да бъдат прехвърлени във фонда. Комисията ще изпълнява бюджета, що се отнася до тези средства, пряко в съответствие с [член 62, параграф 1, буква а)</w:t>
      </w:r>
      <w:r>
        <w:rPr>
          <w:noProof/>
        </w:rPr>
        <w:t>] от Финансовия регламент. Когато е възможно, тези средства се използват в полза на съответната държава членка.</w:t>
      </w:r>
    </w:p>
    <w:p w:rsidR="000B688B" w:rsidRDefault="00640F08">
      <w:pPr>
        <w:pStyle w:val="Titrearticle"/>
        <w:rPr>
          <w:noProof/>
        </w:rPr>
      </w:pPr>
      <w:r>
        <w:rPr>
          <w:noProof/>
        </w:rPr>
        <w:t>Член 5</w:t>
      </w:r>
      <w:r>
        <w:rPr>
          <w:noProof/>
        </w:rPr>
        <w:br/>
        <w:t xml:space="preserve">Асоциирани държави </w:t>
      </w:r>
    </w:p>
    <w:p w:rsidR="000B688B" w:rsidRDefault="00640F08">
      <w:pPr>
        <w:pStyle w:val="Text1"/>
        <w:spacing w:before="360"/>
        <w:ind w:left="0"/>
        <w:rPr>
          <w:noProof/>
        </w:rPr>
      </w:pPr>
      <w:r>
        <w:rPr>
          <w:noProof/>
        </w:rPr>
        <w:t>Фондът е отворен за държави — членки на Европейската асоциация за свободна търговия (ЕАСТ), които са членки на Европе</w:t>
      </w:r>
      <w:r>
        <w:rPr>
          <w:noProof/>
        </w:rPr>
        <w:t>йското икономическо пространство (ЕИП), в съответствие с условията, определени в Споразумението за ЕИП.</w:t>
      </w:r>
    </w:p>
    <w:p w:rsidR="000B688B" w:rsidRDefault="00640F08">
      <w:pPr>
        <w:pStyle w:val="Titrearticle"/>
        <w:spacing w:before="480"/>
        <w:rPr>
          <w:noProof/>
        </w:rPr>
      </w:pPr>
      <w:r>
        <w:rPr>
          <w:noProof/>
        </w:rPr>
        <w:t>Член 6</w:t>
      </w:r>
      <w:r>
        <w:rPr>
          <w:noProof/>
        </w:rPr>
        <w:br/>
        <w:t>Подкрепа за революционни технологии в областта на отбраната</w:t>
      </w:r>
    </w:p>
    <w:p w:rsidR="000B688B" w:rsidRDefault="00640F08">
      <w:pPr>
        <w:pStyle w:val="ManualNumPar1"/>
        <w:rPr>
          <w:noProof/>
        </w:rPr>
      </w:pPr>
      <w:r>
        <w:t>1.</w:t>
      </w:r>
      <w:r>
        <w:tab/>
      </w:r>
      <w:r>
        <w:rPr>
          <w:noProof/>
        </w:rPr>
        <w:t>Комисията отпуска финансиране, като прибягва до открити и публични консултации в о</w:t>
      </w:r>
      <w:r>
        <w:rPr>
          <w:noProof/>
        </w:rPr>
        <w:t>бластите на интервенция, определени в работните програми.</w:t>
      </w:r>
    </w:p>
    <w:p w:rsidR="000B688B" w:rsidRDefault="00640F08">
      <w:pPr>
        <w:pStyle w:val="ManualNumPar1"/>
        <w:rPr>
          <w:noProof/>
        </w:rPr>
      </w:pPr>
      <w:r>
        <w:t>2.</w:t>
      </w:r>
      <w:r>
        <w:tab/>
      </w:r>
      <w:r>
        <w:rPr>
          <w:noProof/>
        </w:rPr>
        <w:t>Комисията може за всеки един случай поотделно да намери най-подходящата форма на финансиране за целите на финансирането на иновативни решения.</w:t>
      </w:r>
    </w:p>
    <w:p w:rsidR="000B688B" w:rsidRDefault="00640F08">
      <w:pPr>
        <w:pStyle w:val="Titrearticle"/>
        <w:rPr>
          <w:noProof/>
          <w:szCs w:val="24"/>
        </w:rPr>
      </w:pPr>
      <w:r>
        <w:rPr>
          <w:noProof/>
        </w:rPr>
        <w:t>Член 7</w:t>
      </w:r>
      <w:r>
        <w:rPr>
          <w:noProof/>
        </w:rPr>
        <w:br/>
        <w:t>Етични аспекти</w:t>
      </w:r>
    </w:p>
    <w:p w:rsidR="000B688B" w:rsidRDefault="00640F08">
      <w:pPr>
        <w:pStyle w:val="ManualNumPar1"/>
        <w:rPr>
          <w:noProof/>
        </w:rPr>
      </w:pPr>
      <w:r>
        <w:t>1.</w:t>
      </w:r>
      <w:r>
        <w:tab/>
      </w:r>
      <w:r>
        <w:rPr>
          <w:noProof/>
        </w:rPr>
        <w:t xml:space="preserve">Действията по линия на фонда се осъществяват при спазване на етичните принципи и на националните, съюзните и международните норми в тази област. </w:t>
      </w:r>
    </w:p>
    <w:p w:rsidR="000B688B" w:rsidRDefault="00640F08">
      <w:pPr>
        <w:pStyle w:val="ManualNumPar1"/>
        <w:rPr>
          <w:noProof/>
        </w:rPr>
      </w:pPr>
      <w:r>
        <w:t>2.</w:t>
      </w:r>
      <w:r>
        <w:tab/>
      </w:r>
      <w:r>
        <w:rPr>
          <w:noProof/>
        </w:rPr>
        <w:t>Предложенията систематично се подлагат на преглед, за да се установи кои точно действия повдигат сложни или</w:t>
      </w:r>
      <w:r>
        <w:rPr>
          <w:noProof/>
        </w:rPr>
        <w:t xml:space="preserve"> сериозни етични въпроси и съответно да бъдат подложени на оценка техните етични аспекти. Прегледите и оценките на етичните аспекти се извършват от Комисията със съдействието на експерти по етичните въпроси в областта на отбраната. Комисията гарантира в ра</w:t>
      </w:r>
      <w:r>
        <w:rPr>
          <w:noProof/>
        </w:rPr>
        <w:t>мките на възможното прозрачността на процедурите по етични въпроси.</w:t>
      </w:r>
    </w:p>
    <w:p w:rsidR="000B688B" w:rsidRDefault="00640F08">
      <w:pPr>
        <w:pStyle w:val="ManualNumPar1"/>
        <w:rPr>
          <w:noProof/>
        </w:rPr>
      </w:pPr>
      <w:r>
        <w:t>3.</w:t>
      </w:r>
      <w:r>
        <w:tab/>
      </w:r>
      <w:r>
        <w:rPr>
          <w:noProof/>
        </w:rPr>
        <w:t>Преди началото на съответните дейности, участващите в действието субекти се снабдяват с всички разрешения или други задължителни документи от компетентните национални или местни комисии</w:t>
      </w:r>
      <w:r>
        <w:rPr>
          <w:noProof/>
        </w:rPr>
        <w:t xml:space="preserve"> по етичните въпроси, или други органи, като например органите за защита на данните. Документите се съхраняват в досието и се предават на Комисията. </w:t>
      </w:r>
    </w:p>
    <w:p w:rsidR="000B688B" w:rsidRDefault="00640F08">
      <w:pPr>
        <w:pStyle w:val="ManualNumPar1"/>
        <w:rPr>
          <w:noProof/>
        </w:rPr>
      </w:pPr>
      <w:r>
        <w:t>4.</w:t>
      </w:r>
      <w:r>
        <w:tab/>
      </w:r>
      <w:r>
        <w:rPr>
          <w:noProof/>
        </w:rPr>
        <w:t>При необходимост Комисията извършва проверки, касаещи етичните аспекти, по време на изпълнението на дей</w:t>
      </w:r>
      <w:r>
        <w:rPr>
          <w:noProof/>
        </w:rPr>
        <w:t>ствието.  Комисията извършва проверките по сериозни или сложни етични въпроси със съдействието на експерти по етичните въпроси в областта на отбраната.</w:t>
      </w:r>
    </w:p>
    <w:p w:rsidR="000B688B" w:rsidRDefault="00640F08">
      <w:pPr>
        <w:pStyle w:val="ManualNumPar1"/>
        <w:rPr>
          <w:noProof/>
        </w:rPr>
      </w:pPr>
      <w:r>
        <w:t>5.</w:t>
      </w:r>
      <w:r>
        <w:tab/>
      </w:r>
      <w:r>
        <w:rPr>
          <w:noProof/>
        </w:rPr>
        <w:t xml:space="preserve">Действията, които не са приемливи от етични съображения, могат да бъдат отхвърлени или прекратени по </w:t>
      </w:r>
      <w:r>
        <w:rPr>
          <w:noProof/>
        </w:rPr>
        <w:t>всяко време.</w:t>
      </w:r>
    </w:p>
    <w:p w:rsidR="000B688B" w:rsidRDefault="00640F08">
      <w:pPr>
        <w:pStyle w:val="ChapterTitle"/>
        <w:spacing w:before="480"/>
        <w:rPr>
          <w:noProof/>
        </w:rPr>
      </w:pPr>
      <w:r>
        <w:rPr>
          <w:noProof/>
        </w:rPr>
        <w:t>ГЛАВА ІІ</w:t>
      </w:r>
      <w:r>
        <w:rPr>
          <w:noProof/>
        </w:rPr>
        <w:br/>
        <w:t>ФИНАНСОВИ РАЗПОРЕДБИ</w:t>
      </w:r>
    </w:p>
    <w:p w:rsidR="000B688B" w:rsidRDefault="00640F08">
      <w:pPr>
        <w:pStyle w:val="Titrearticle"/>
        <w:rPr>
          <w:noProof/>
        </w:rPr>
      </w:pPr>
      <w:r>
        <w:rPr>
          <w:noProof/>
        </w:rPr>
        <w:t>Член 8</w:t>
      </w:r>
      <w:r>
        <w:rPr>
          <w:noProof/>
        </w:rPr>
        <w:br/>
        <w:t>Изпълнение и форми на финансиране от ЕС</w:t>
      </w:r>
    </w:p>
    <w:p w:rsidR="000B688B" w:rsidRDefault="00640F08">
      <w:pPr>
        <w:pStyle w:val="ManualNumPar1"/>
        <w:rPr>
          <w:noProof/>
        </w:rPr>
      </w:pPr>
      <w:r>
        <w:t>1.</w:t>
      </w:r>
      <w:r>
        <w:tab/>
      </w:r>
      <w:r>
        <w:rPr>
          <w:noProof/>
        </w:rPr>
        <w:t>Фондът се изпълнява при пряко управление в съответствие с Финансовия регламент.</w:t>
      </w:r>
    </w:p>
    <w:p w:rsidR="000B688B" w:rsidRDefault="00640F08">
      <w:pPr>
        <w:pStyle w:val="ManualNumPar1"/>
        <w:rPr>
          <w:noProof/>
        </w:rPr>
      </w:pPr>
      <w:r>
        <w:t>2.</w:t>
      </w:r>
      <w:r>
        <w:tab/>
      </w:r>
      <w:r>
        <w:rPr>
          <w:noProof/>
        </w:rPr>
        <w:t xml:space="preserve">Фондът може да предоставя финансиране под всяка една от формите, предвидени във </w:t>
      </w:r>
      <w:r>
        <w:rPr>
          <w:noProof/>
        </w:rPr>
        <w:t>Финансовия регламент, по-специално безвъзмездни средства, награди и обществени поръчки. Той може също така да предоставя финансиране под формата на финансови инструменти в рамките на операции за смесено финансиране.</w:t>
      </w:r>
    </w:p>
    <w:p w:rsidR="000B688B" w:rsidRDefault="000B688B">
      <w:pPr>
        <w:jc w:val="center"/>
        <w:rPr>
          <w:noProof/>
        </w:rPr>
      </w:pPr>
    </w:p>
    <w:p w:rsidR="000B688B" w:rsidRDefault="00640F08">
      <w:pPr>
        <w:keepNext/>
        <w:jc w:val="center"/>
        <w:rPr>
          <w:rFonts w:eastAsia="Calibri"/>
          <w:i/>
          <w:noProof/>
          <w:szCs w:val="24"/>
        </w:rPr>
      </w:pPr>
      <w:r>
        <w:rPr>
          <w:i/>
          <w:noProof/>
        </w:rPr>
        <w:t>Член 9</w:t>
      </w:r>
      <w:r>
        <w:rPr>
          <w:rFonts w:eastAsia="Calibri"/>
          <w:i/>
          <w:noProof/>
          <w:szCs w:val="24"/>
        </w:rPr>
        <w:br/>
      </w:r>
      <w:r>
        <w:rPr>
          <w:i/>
          <w:noProof/>
        </w:rPr>
        <w:t xml:space="preserve">Кумулативно, допълващо и </w:t>
      </w:r>
      <w:r>
        <w:rPr>
          <w:i/>
          <w:noProof/>
        </w:rPr>
        <w:t>комбинирано финансиране</w:t>
      </w:r>
    </w:p>
    <w:p w:rsidR="000B688B" w:rsidRDefault="00640F08">
      <w:pPr>
        <w:pStyle w:val="ManualNumPar1"/>
        <w:rPr>
          <w:noProof/>
        </w:rPr>
      </w:pPr>
      <w:r>
        <w:t>1.</w:t>
      </w:r>
      <w:r>
        <w:tab/>
      </w:r>
      <w:r>
        <w:rPr>
          <w:noProof/>
        </w:rPr>
        <w:t>Действие, за което е получено финансиране по линия на друга програма на Съюза, също така може да получи финансиране по линия на фонда, при условие че това финансиране не покрива същите разходи. Спрямо финансирането, което всяка п</w:t>
      </w:r>
      <w:r>
        <w:rPr>
          <w:noProof/>
        </w:rPr>
        <w:t>рограма/всеки фонд на Съюза предоставя за това действие, се прилагат нейните/неговите собствени правила. Кумулативното финансиране не надхвърля общия размер на допустимите разходи за действието, като подкрепата от страна на различните програми на Съюза мож</w:t>
      </w:r>
      <w:r>
        <w:rPr>
          <w:noProof/>
        </w:rPr>
        <w:t>е да бъде изчислена на пропорционална основа в съответствие с документите, в които са предвидени условията за тази подкрепа.</w:t>
      </w:r>
    </w:p>
    <w:p w:rsidR="000B688B" w:rsidRDefault="00640F08">
      <w:pPr>
        <w:pStyle w:val="ManualNumPar1"/>
        <w:rPr>
          <w:noProof/>
        </w:rPr>
      </w:pPr>
      <w:r>
        <w:t>2.</w:t>
      </w:r>
      <w:r>
        <w:tab/>
      </w:r>
      <w:r>
        <w:rPr>
          <w:noProof/>
        </w:rPr>
        <w:t xml:space="preserve">Действията, които са удостоени със знак за високи постижения или които в съпоставителен план отговарят едновременно на следните </w:t>
      </w:r>
      <w:r>
        <w:rPr>
          <w:noProof/>
        </w:rPr>
        <w:t xml:space="preserve">условия: </w:t>
      </w:r>
    </w:p>
    <w:p w:rsidR="000B688B" w:rsidRDefault="00640F08">
      <w:pPr>
        <w:pStyle w:val="Point1"/>
        <w:rPr>
          <w:rFonts w:eastAsia="Times New Roman"/>
          <w:noProof/>
          <w:szCs w:val="24"/>
        </w:rPr>
      </w:pPr>
      <w:r>
        <w:rPr>
          <w:noProof/>
        </w:rPr>
        <w:t>а)</w:t>
      </w:r>
      <w:r>
        <w:rPr>
          <w:noProof/>
        </w:rPr>
        <w:tab/>
        <w:t>били са подложени на оценка в рамките на покана за представяне на предложения по линия на фонда;</w:t>
      </w:r>
    </w:p>
    <w:p w:rsidR="000B688B" w:rsidRDefault="00640F08">
      <w:pPr>
        <w:pStyle w:val="Point1"/>
        <w:rPr>
          <w:noProof/>
        </w:rPr>
      </w:pPr>
      <w:r>
        <w:rPr>
          <w:noProof/>
        </w:rPr>
        <w:t>б)</w:t>
      </w:r>
      <w:r>
        <w:rPr>
          <w:noProof/>
        </w:rPr>
        <w:tab/>
        <w:t xml:space="preserve">съответстват на минималните изисквания за качество на тази покана за представяне на предложения; </w:t>
      </w:r>
    </w:p>
    <w:p w:rsidR="000B688B" w:rsidRDefault="00640F08">
      <w:pPr>
        <w:pStyle w:val="Point1"/>
        <w:rPr>
          <w:noProof/>
        </w:rPr>
      </w:pPr>
      <w:r>
        <w:rPr>
          <w:noProof/>
        </w:rPr>
        <w:t>в)</w:t>
      </w:r>
      <w:r>
        <w:rPr>
          <w:noProof/>
        </w:rPr>
        <w:tab/>
        <w:t xml:space="preserve">не могат да бъдат финансирани по линия на </w:t>
      </w:r>
      <w:r>
        <w:rPr>
          <w:noProof/>
        </w:rPr>
        <w:t>тази покана за представяне на предложения поради бюджетни ограничения,</w:t>
      </w:r>
    </w:p>
    <w:p w:rsidR="000B688B" w:rsidRDefault="00640F08">
      <w:pPr>
        <w:ind w:left="709"/>
        <w:rPr>
          <w:rFonts w:eastAsia="Times New Roman"/>
          <w:noProof/>
          <w:szCs w:val="24"/>
        </w:rPr>
      </w:pPr>
      <w:r>
        <w:rPr>
          <w:noProof/>
        </w:rPr>
        <w:t>могат да получават подкрепа по линия на Европейския фонд за регионално развитие, Кохезионния фонд, Европейския социален фонд или Европейския земеделски фонд за развитие на селските райо</w:t>
      </w:r>
      <w:r>
        <w:rPr>
          <w:noProof/>
        </w:rPr>
        <w:t xml:space="preserve">ни в съответствие с член [65], параграф 5 от Регламент (EС) XX [Регламента за общоприложимите разпоредби] и член [8] от Регламент (EС) XX [Финансиране, управление и мониторинг на общата селскостопанска политика], при условие че тези действия са съвместими </w:t>
      </w:r>
      <w:r>
        <w:rPr>
          <w:noProof/>
        </w:rPr>
        <w:t>с целите на съответната програма. Приложими са правилата на фонда, който предоставя финансовата подкрепа.</w:t>
      </w:r>
    </w:p>
    <w:p w:rsidR="000B688B" w:rsidRDefault="000B688B">
      <w:pPr>
        <w:jc w:val="center"/>
        <w:rPr>
          <w:noProof/>
        </w:rPr>
      </w:pPr>
    </w:p>
    <w:p w:rsidR="000B688B" w:rsidRDefault="000B688B">
      <w:pPr>
        <w:jc w:val="center"/>
        <w:rPr>
          <w:noProof/>
        </w:rPr>
      </w:pPr>
    </w:p>
    <w:p w:rsidR="000B688B" w:rsidRDefault="000B688B">
      <w:pPr>
        <w:jc w:val="center"/>
        <w:rPr>
          <w:noProof/>
        </w:rPr>
      </w:pPr>
    </w:p>
    <w:p w:rsidR="000B688B" w:rsidRDefault="00640F08">
      <w:pPr>
        <w:pStyle w:val="ChapterTitle"/>
        <w:spacing w:before="480"/>
        <w:rPr>
          <w:noProof/>
        </w:rPr>
      </w:pPr>
      <w:r>
        <w:rPr>
          <w:noProof/>
        </w:rPr>
        <w:t>ГЛАВА ІІІ</w:t>
      </w:r>
      <w:r>
        <w:rPr>
          <w:noProof/>
        </w:rPr>
        <w:br/>
        <w:t>БЕЗВЪЗМЕЗДНИ СРЕДСТВА</w:t>
      </w:r>
    </w:p>
    <w:p w:rsidR="000B688B" w:rsidRDefault="000B688B">
      <w:pPr>
        <w:jc w:val="center"/>
        <w:rPr>
          <w:noProof/>
        </w:rPr>
      </w:pPr>
    </w:p>
    <w:p w:rsidR="000B688B" w:rsidRDefault="00640F08">
      <w:pPr>
        <w:jc w:val="center"/>
        <w:rPr>
          <w:i/>
          <w:noProof/>
        </w:rPr>
      </w:pPr>
      <w:r>
        <w:rPr>
          <w:i/>
          <w:noProof/>
        </w:rPr>
        <w:t>Член 10</w:t>
      </w:r>
      <w:r>
        <w:rPr>
          <w:i/>
          <w:noProof/>
        </w:rPr>
        <w:br/>
        <w:t>Субекти, отговарящи на условията за финансиране</w:t>
      </w:r>
    </w:p>
    <w:p w:rsidR="000B688B" w:rsidRDefault="000B688B">
      <w:pPr>
        <w:jc w:val="center"/>
        <w:rPr>
          <w:noProof/>
        </w:rPr>
      </w:pPr>
    </w:p>
    <w:p w:rsidR="000B688B" w:rsidRDefault="00640F08">
      <w:pPr>
        <w:pStyle w:val="ManualNumPar1"/>
        <w:rPr>
          <w:noProof/>
        </w:rPr>
      </w:pPr>
      <w:r>
        <w:t>1.</w:t>
      </w:r>
      <w:r>
        <w:tab/>
      </w:r>
      <w:r>
        <w:rPr>
          <w:noProof/>
        </w:rPr>
        <w:t>Заявителите и техните подизпълнители отговарят на усло</w:t>
      </w:r>
      <w:r>
        <w:rPr>
          <w:noProof/>
        </w:rPr>
        <w:t>вията за финансиране, ако са установени в Съюза или в асоциирана държава, изпълнителните им управленски структури се намират в Съюза или в асоциирана държава, и не се намират под контрола на неасоциирана трета държава или на субект от неасоциирана трета дъ</w:t>
      </w:r>
      <w:r>
        <w:rPr>
          <w:noProof/>
        </w:rPr>
        <w:t xml:space="preserve">ржава. </w:t>
      </w:r>
    </w:p>
    <w:p w:rsidR="000B688B" w:rsidRDefault="00640F08">
      <w:pPr>
        <w:pStyle w:val="ManualNumPar1"/>
        <w:rPr>
          <w:noProof/>
        </w:rPr>
      </w:pPr>
      <w:r>
        <w:t>2.</w:t>
      </w:r>
      <w:r>
        <w:tab/>
      </w:r>
      <w:r>
        <w:rPr>
          <w:noProof/>
        </w:rPr>
        <w:t xml:space="preserve">Чрез дерогация от параграф 1 заявител, който е установен в Съюза или в асоциирана държава и се намира под контрола на неасоциирана трета държава или на субект от неасоциирана трета държава, може да отговаря на условията за финансиране, ако това </w:t>
      </w:r>
      <w:r>
        <w:rPr>
          <w:noProof/>
        </w:rPr>
        <w:t>е необходимо за постигането на целите на действието и при условие че участието му не застрашава интересите на Съюза и на неговите държавите членки в областта на сигурността. С цел да се осигури защитата на интересите на Съюза и на неговите държави членки в</w:t>
      </w:r>
      <w:r>
        <w:rPr>
          <w:noProof/>
        </w:rPr>
        <w:t xml:space="preserve"> областта на сигурността, поканата за представяне на предложения съдържа изискването заявителят да предостави информация, доказваща по-специално, че: </w:t>
      </w:r>
    </w:p>
    <w:p w:rsidR="000B688B" w:rsidRDefault="00640F08">
      <w:pPr>
        <w:pStyle w:val="Point1"/>
        <w:rPr>
          <w:noProof/>
        </w:rPr>
      </w:pPr>
      <w:r>
        <w:rPr>
          <w:noProof/>
        </w:rPr>
        <w:t>а)</w:t>
      </w:r>
      <w:r>
        <w:rPr>
          <w:noProof/>
        </w:rPr>
        <w:tab/>
        <w:t>контролът върху заявителя няма да бъде упражняван по начин, който ограничава под каквато и да било фор</w:t>
      </w:r>
      <w:r>
        <w:rPr>
          <w:noProof/>
        </w:rPr>
        <w:t>ма способността му да изпълнява и завърши действието;</w:t>
      </w:r>
    </w:p>
    <w:p w:rsidR="000B688B" w:rsidRDefault="00640F08">
      <w:pPr>
        <w:pStyle w:val="Point1"/>
        <w:rPr>
          <w:noProof/>
        </w:rPr>
      </w:pPr>
      <w:r>
        <w:rPr>
          <w:noProof/>
        </w:rPr>
        <w:t>б)</w:t>
      </w:r>
      <w:r>
        <w:rPr>
          <w:noProof/>
        </w:rPr>
        <w:tab/>
        <w:t xml:space="preserve">ще бъде предотвратен достъпът на неасоциирани трети държави или на субекти от неасоциирани трети държави до класифицирана и некласифицирана чувствителна информация, свързана с действието, както и че </w:t>
      </w:r>
      <w:r>
        <w:rPr>
          <w:noProof/>
        </w:rPr>
        <w:t>участващите в действието лица ще разполагат с национално удостоверение за надеждност от гледна точка на сигурността, издадено от държава членка или асоциирана държава;</w:t>
      </w:r>
    </w:p>
    <w:p w:rsidR="000B688B" w:rsidRDefault="00640F08">
      <w:pPr>
        <w:pStyle w:val="Point1"/>
        <w:rPr>
          <w:noProof/>
        </w:rPr>
      </w:pPr>
      <w:r>
        <w:rPr>
          <w:noProof/>
        </w:rPr>
        <w:t>в)</w:t>
      </w:r>
      <w:r>
        <w:rPr>
          <w:noProof/>
        </w:rPr>
        <w:tab/>
        <w:t>резултатите от действието остават за бенефициера и не подлежат на контрол или огранич</w:t>
      </w:r>
      <w:r>
        <w:rPr>
          <w:noProof/>
        </w:rPr>
        <w:t>ения от страна на неасоциирани трети държави или други субекти от неасоциирани трети държави по време на действието и в течение на определен период след неговото завършване.</w:t>
      </w:r>
    </w:p>
    <w:p w:rsidR="000B688B" w:rsidRDefault="00640F08">
      <w:pPr>
        <w:pStyle w:val="ManualNumPar1"/>
        <w:rPr>
          <w:noProof/>
        </w:rPr>
      </w:pPr>
      <w:r>
        <w:t>3.</w:t>
      </w:r>
      <w:r>
        <w:tab/>
      </w:r>
      <w:r>
        <w:rPr>
          <w:noProof/>
        </w:rPr>
        <w:t>Цялата инфраструктура и всички съоръжения, активи и ресурси, използвани в рамки</w:t>
      </w:r>
      <w:r>
        <w:rPr>
          <w:noProof/>
        </w:rPr>
        <w:t>те на действията, финансирани по линия на фонда, се намират на територията на Съюза или на асоциирани държави. Освен това при изпълнението на допустимо действие бенефициерите и техните подизпълнители си сътрудничат само с правни субекти, които са установен</w:t>
      </w:r>
      <w:r>
        <w:rPr>
          <w:noProof/>
        </w:rPr>
        <w:t>и в Съюза или в асоциирана държава и не се намират под контрола на неасоциирани трети държави или на субекти от неасоциирани трети държави.</w:t>
      </w:r>
    </w:p>
    <w:p w:rsidR="000B688B" w:rsidRDefault="00640F08">
      <w:pPr>
        <w:pStyle w:val="ManualNumPar1"/>
        <w:rPr>
          <w:noProof/>
        </w:rPr>
      </w:pPr>
      <w:r>
        <w:t>4.</w:t>
      </w:r>
      <w:r>
        <w:tab/>
      </w:r>
      <w:r>
        <w:rPr>
          <w:noProof/>
        </w:rPr>
        <w:t>Чрез дерогация от параграф 3 участващите в действието бенефициери и подизпълнители могат да използват своите акти</w:t>
      </w:r>
      <w:r>
        <w:rPr>
          <w:noProof/>
        </w:rPr>
        <w:t>ви, инфраструктура, съоръжения и ресурси, разположени или държани на територията на неасоциирана трета държава, ако това е необходимо за постигане на целите на действието и при условие че това няма да застраши сигурността на Съюза и на неговите държави чле</w:t>
      </w:r>
      <w:r>
        <w:rPr>
          <w:noProof/>
        </w:rPr>
        <w:t>нки. При същите условия, при изпълнение на допустимо действие бенефициерите и техните подизпълнители могат да си сътрудничат със субект, установен в неасоциирана трета държава. Разходите, свързани с използването на тази инфраструктура, съоръжения, активи и</w:t>
      </w:r>
      <w:r>
        <w:rPr>
          <w:noProof/>
        </w:rPr>
        <w:t xml:space="preserve">ли ресурси и с това сътрудничество, не са допустими по линия на фонда. </w:t>
      </w:r>
    </w:p>
    <w:p w:rsidR="000B688B" w:rsidRDefault="00640F08">
      <w:pPr>
        <w:pStyle w:val="ManualNumPar1"/>
        <w:rPr>
          <w:noProof/>
        </w:rPr>
      </w:pPr>
      <w:r>
        <w:t>5.</w:t>
      </w:r>
      <w:r>
        <w:tab/>
      </w:r>
      <w:r>
        <w:rPr>
          <w:noProof/>
        </w:rPr>
        <w:t>С цел да се осигури защитата на интересите на Съюза и на неговите държави членки в областта на сигурността, в поканата за представяне на предложения или в споразумението за отпускане на безвъзмездни средства се уточняват и други условия. Тези условия касая</w:t>
      </w:r>
      <w:r>
        <w:rPr>
          <w:noProof/>
        </w:rPr>
        <w:t xml:space="preserve">т по-специално разпоредбите относно собствеността върху резултатите от действието и достъпа до класифицирана и некласифицирана чувствителна информация, а също така гаранциите за сигурност на доставките. </w:t>
      </w:r>
    </w:p>
    <w:p w:rsidR="000B688B" w:rsidRDefault="00640F08">
      <w:pPr>
        <w:pStyle w:val="ManualNumPar1"/>
        <w:rPr>
          <w:noProof/>
        </w:rPr>
      </w:pPr>
      <w:r>
        <w:t>6.</w:t>
      </w:r>
      <w:r>
        <w:tab/>
      </w:r>
      <w:r>
        <w:rPr>
          <w:noProof/>
        </w:rPr>
        <w:t>Заявителите предоставят цялата относима информаци</w:t>
      </w:r>
      <w:r>
        <w:rPr>
          <w:noProof/>
        </w:rPr>
        <w:t xml:space="preserve">я, необходима за оценяване на критериите за допустимост и на условията, посочени в параграфи 1—4. </w:t>
      </w:r>
    </w:p>
    <w:p w:rsidR="000B688B" w:rsidRDefault="00640F08">
      <w:pPr>
        <w:pStyle w:val="ManualNumPar1"/>
        <w:rPr>
          <w:noProof/>
        </w:rPr>
      </w:pPr>
      <w:r>
        <w:t>7.</w:t>
      </w:r>
      <w:r>
        <w:tab/>
      </w:r>
      <w:r>
        <w:rPr>
          <w:noProof/>
        </w:rPr>
        <w:t>Заявленията, във връзка с които се изисква да бъдат извършени проверките, предвидени в параграф 2 или 4, могат да бъдат подавани единствено със съгласието</w:t>
      </w:r>
      <w:r>
        <w:rPr>
          <w:noProof/>
        </w:rPr>
        <w:t xml:space="preserve"> на държавата членка или асоциираната държава, в която е установен заявителят.</w:t>
      </w:r>
    </w:p>
    <w:p w:rsidR="000B688B" w:rsidRDefault="00640F08">
      <w:pPr>
        <w:pStyle w:val="ManualNumPar1"/>
        <w:rPr>
          <w:noProof/>
        </w:rPr>
      </w:pPr>
      <w:r>
        <w:t>8.</w:t>
      </w:r>
      <w:r>
        <w:tab/>
      </w:r>
      <w:r>
        <w:rPr>
          <w:noProof/>
        </w:rPr>
        <w:t>В случай на настъпила промяна по време на изпълнението на действие, която би могла да постави под въпрос спазването на тези критерии и условия, бенефициерът уведомява Комисия</w:t>
      </w:r>
      <w:r>
        <w:rPr>
          <w:noProof/>
        </w:rPr>
        <w:t>та, която преценява дали тези критерии и условия са все още изпълнени и проучва потенциалното въздействие върху финансирането на действието.</w:t>
      </w:r>
    </w:p>
    <w:p w:rsidR="000B688B" w:rsidRDefault="00640F08">
      <w:pPr>
        <w:pStyle w:val="ManualNumPar1"/>
        <w:rPr>
          <w:noProof/>
        </w:rPr>
      </w:pPr>
      <w:r>
        <w:t>9.</w:t>
      </w:r>
      <w:r>
        <w:tab/>
      </w:r>
      <w:r>
        <w:rPr>
          <w:noProof/>
        </w:rPr>
        <w:t>За целите на настоящия член, под „подизпълнители“ се разбират подизпълнителите, които са в преки договорни отнош</w:t>
      </w:r>
      <w:r>
        <w:rPr>
          <w:noProof/>
        </w:rPr>
        <w:t>ения с даден бенефициер, другите подизпълнители, на които се отпускат поне 10 % от общия размер на допустимите разходи за действието, и подизпълнителите, които може да се нуждаят от достъп до класифицирана информация по смисъла на Решение (ЕС, Евратом) 201</w:t>
      </w:r>
      <w:r>
        <w:rPr>
          <w:noProof/>
        </w:rPr>
        <w:t>5/444 на Комисията за целите на изпълнението на действието.</w:t>
      </w:r>
    </w:p>
    <w:p w:rsidR="000B688B" w:rsidRDefault="00640F08">
      <w:pPr>
        <w:pStyle w:val="Titrearticle"/>
        <w:rPr>
          <w:noProof/>
        </w:rPr>
      </w:pPr>
      <w:r>
        <w:rPr>
          <w:noProof/>
        </w:rPr>
        <w:t>Член 11</w:t>
      </w:r>
      <w:r>
        <w:rPr>
          <w:noProof/>
        </w:rPr>
        <w:br/>
        <w:t xml:space="preserve">Допустими действия </w:t>
      </w:r>
    </w:p>
    <w:p w:rsidR="000B688B" w:rsidRDefault="00640F08">
      <w:pPr>
        <w:pStyle w:val="ManualNumPar1"/>
        <w:rPr>
          <w:noProof/>
        </w:rPr>
      </w:pPr>
      <w:r>
        <w:t>1.</w:t>
      </w:r>
      <w:r>
        <w:tab/>
      </w:r>
      <w:r>
        <w:rPr>
          <w:noProof/>
        </w:rPr>
        <w:t xml:space="preserve">Допустими за финансиране са само действия, с които се постигат целите, посочени в член 3. </w:t>
      </w:r>
    </w:p>
    <w:p w:rsidR="000B688B" w:rsidRDefault="00640F08">
      <w:pPr>
        <w:pStyle w:val="ManualNumPar1"/>
        <w:rPr>
          <w:noProof/>
          <w:szCs w:val="24"/>
        </w:rPr>
      </w:pPr>
      <w:r>
        <w:t>2.</w:t>
      </w:r>
      <w:r>
        <w:tab/>
      </w:r>
      <w:r>
        <w:rPr>
          <w:noProof/>
        </w:rPr>
        <w:t>Фондът предоставя подкрепа за действия, обхващащи както нови продукти и</w:t>
      </w:r>
      <w:r>
        <w:rPr>
          <w:noProof/>
        </w:rPr>
        <w:t xml:space="preserve"> технологии, така и усъвършенстването на съществуващи продукти и технологии, при които използването на вече съществуваща информация, необходима за целите на усъвършенстването, не е — било то пряко или непряко — предмет на ограничение от страна на неасоциир</w:t>
      </w:r>
      <w:r>
        <w:rPr>
          <w:noProof/>
        </w:rPr>
        <w:t>ани трети държави или субекти от неасоциирани трети държави.</w:t>
      </w:r>
    </w:p>
    <w:p w:rsidR="000B688B" w:rsidRDefault="00640F08">
      <w:pPr>
        <w:pStyle w:val="ManualNumPar1"/>
        <w:rPr>
          <w:noProof/>
          <w:szCs w:val="24"/>
        </w:rPr>
      </w:pPr>
      <w:r>
        <w:t>3.</w:t>
      </w:r>
      <w:r>
        <w:tab/>
      </w:r>
      <w:r>
        <w:rPr>
          <w:noProof/>
        </w:rPr>
        <w:t>Допустимото действие се отнася до един или повече от следните елементи:</w:t>
      </w:r>
    </w:p>
    <w:p w:rsidR="000B688B" w:rsidRDefault="00640F08">
      <w:pPr>
        <w:pStyle w:val="Point1"/>
        <w:rPr>
          <w:noProof/>
        </w:rPr>
      </w:pPr>
      <w:r>
        <w:rPr>
          <w:noProof/>
        </w:rPr>
        <w:t>а)</w:t>
      </w:r>
      <w:r>
        <w:rPr>
          <w:noProof/>
        </w:rPr>
        <w:tab/>
        <w:t>дейности, насочени към създаване, укрепване и подобряване на нови знания и отбранителни технологии, които могат да им</w:t>
      </w:r>
      <w:r>
        <w:rPr>
          <w:noProof/>
        </w:rPr>
        <w:t>ат значими последици в областта на отбраната;</w:t>
      </w:r>
    </w:p>
    <w:p w:rsidR="000B688B" w:rsidRDefault="00640F08">
      <w:pPr>
        <w:pStyle w:val="Point1"/>
        <w:rPr>
          <w:noProof/>
        </w:rPr>
      </w:pPr>
      <w:r>
        <w:rPr>
          <w:noProof/>
        </w:rPr>
        <w:t>б)</w:t>
      </w:r>
      <w:r>
        <w:rPr>
          <w:noProof/>
        </w:rPr>
        <w:tab/>
        <w:t xml:space="preserve">дейности, насочени към увеличаване на оперативната съвместимост и на устойчивостта, включително към сигурното генериране на данни и сигурния обмен на данни, овладяване на критичните отбранителни технологии, </w:t>
      </w:r>
      <w:r>
        <w:rPr>
          <w:noProof/>
        </w:rPr>
        <w:t>укрепване на сигурността на доставките или създаване на условия за ефикасното използване на резултатите за целите на отбранителни продукти и технологии;</w:t>
      </w:r>
    </w:p>
    <w:p w:rsidR="000B688B" w:rsidRDefault="00640F08">
      <w:pPr>
        <w:pStyle w:val="Point1"/>
        <w:rPr>
          <w:noProof/>
        </w:rPr>
      </w:pPr>
      <w:r>
        <w:rPr>
          <w:noProof/>
        </w:rPr>
        <w:t>в)</w:t>
      </w:r>
      <w:r>
        <w:rPr>
          <w:noProof/>
        </w:rPr>
        <w:tab/>
        <w:t>проучвания, като например проучвания за осъществимост с цел да се проучи осъществимостта на нова или</w:t>
      </w:r>
      <w:r>
        <w:rPr>
          <w:noProof/>
        </w:rPr>
        <w:t xml:space="preserve"> усъвършенствана технология, продукт, процес, услуга, решение или статистически данни за отбранителната промишленост и проекти за организиране на събирането на данни;</w:t>
      </w:r>
    </w:p>
    <w:p w:rsidR="000B688B" w:rsidRDefault="00640F08">
      <w:pPr>
        <w:pStyle w:val="Point1"/>
        <w:rPr>
          <w:noProof/>
        </w:rPr>
      </w:pPr>
      <w:r>
        <w:rPr>
          <w:noProof/>
        </w:rPr>
        <w:t>г)</w:t>
      </w:r>
      <w:r>
        <w:rPr>
          <w:noProof/>
        </w:rPr>
        <w:tab/>
        <w:t>проектиране на отбранителен продукт, материален или нематериален компонент или техноло</w:t>
      </w:r>
      <w:r>
        <w:rPr>
          <w:noProof/>
        </w:rPr>
        <w:t>гия, както и определяне на техническите спецификации за проектирането, които може да включват частични изпитвания за намаляване на риска в промишлена или представителна среда;</w:t>
      </w:r>
    </w:p>
    <w:p w:rsidR="000B688B" w:rsidRDefault="00640F08">
      <w:pPr>
        <w:pStyle w:val="Point1"/>
        <w:rPr>
          <w:noProof/>
        </w:rPr>
      </w:pPr>
      <w:r>
        <w:rPr>
          <w:noProof/>
        </w:rPr>
        <w:t>д)</w:t>
      </w:r>
      <w:r>
        <w:rPr>
          <w:noProof/>
        </w:rPr>
        <w:tab/>
        <w:t>разработване на модел на отбранителен продукт, материален или нематериален ко</w:t>
      </w:r>
      <w:r>
        <w:rPr>
          <w:noProof/>
        </w:rPr>
        <w:t>мпонент или технология, който е в състояние да покаже резултатите от функционирането на елемента в оперативна среда (системен прототип);</w:t>
      </w:r>
    </w:p>
    <w:p w:rsidR="000B688B" w:rsidRDefault="00640F08">
      <w:pPr>
        <w:pStyle w:val="Point1"/>
        <w:rPr>
          <w:noProof/>
        </w:rPr>
      </w:pPr>
      <w:r>
        <w:rPr>
          <w:noProof/>
        </w:rPr>
        <w:t>е)</w:t>
      </w:r>
      <w:r>
        <w:rPr>
          <w:noProof/>
        </w:rPr>
        <w:tab/>
        <w:t>изпитване на отбранителен продукт, материален или нематериален компонент или технология;</w:t>
      </w:r>
    </w:p>
    <w:p w:rsidR="000B688B" w:rsidRDefault="00640F08">
      <w:pPr>
        <w:pStyle w:val="Point1"/>
        <w:rPr>
          <w:noProof/>
        </w:rPr>
      </w:pPr>
      <w:r>
        <w:rPr>
          <w:noProof/>
        </w:rPr>
        <w:t>ж)</w:t>
      </w:r>
      <w:r>
        <w:rPr>
          <w:noProof/>
        </w:rPr>
        <w:tab/>
        <w:t>атестация на отбранителе</w:t>
      </w:r>
      <w:r>
        <w:rPr>
          <w:noProof/>
        </w:rPr>
        <w:t>н продукт, материален или нематериален компонент или технология. Атестацията представлява цялостният процес, чрез който се демонстрира, че проектирането на даден отбранителен продукт, материален или нематериален компонент или технология отговаря на определ</w:t>
      </w:r>
      <w:r>
        <w:rPr>
          <w:noProof/>
        </w:rPr>
        <w:t>ените изисквания. Този процес осигурява обективни доказателства за това, че са изпълнени специфични изисквания на проектирането;</w:t>
      </w:r>
    </w:p>
    <w:p w:rsidR="000B688B" w:rsidRDefault="00640F08">
      <w:pPr>
        <w:pStyle w:val="Point1"/>
        <w:rPr>
          <w:noProof/>
        </w:rPr>
      </w:pPr>
      <w:r>
        <w:rPr>
          <w:noProof/>
        </w:rPr>
        <w:t>з)</w:t>
      </w:r>
      <w:r>
        <w:rPr>
          <w:noProof/>
        </w:rPr>
        <w:tab/>
        <w:t>сертифициране на отбранителен продукт, материален или нематериален компонент или технология. Сертифицирането е процесът, чре</w:t>
      </w:r>
      <w:r>
        <w:rPr>
          <w:noProof/>
        </w:rPr>
        <w:t>з който национален орган удостоверява, че отбранителният продукт, материалният или нематериалният компонент или технологията е в съответствие с приложимите регламенти;</w:t>
      </w:r>
    </w:p>
    <w:p w:rsidR="000B688B" w:rsidRDefault="00640F08">
      <w:pPr>
        <w:pStyle w:val="Point1"/>
        <w:rPr>
          <w:noProof/>
        </w:rPr>
      </w:pPr>
      <w:r>
        <w:rPr>
          <w:noProof/>
        </w:rPr>
        <w:t>и)</w:t>
      </w:r>
      <w:r>
        <w:rPr>
          <w:noProof/>
        </w:rPr>
        <w:tab/>
        <w:t>разработване на технологии или активи, които увеличават ефикасността през целия жизне</w:t>
      </w:r>
      <w:r>
        <w:rPr>
          <w:noProof/>
        </w:rPr>
        <w:t>н цикъл на отбранителните продукти и технологии.</w:t>
      </w:r>
    </w:p>
    <w:p w:rsidR="000B688B" w:rsidRDefault="00640F08">
      <w:pPr>
        <w:pStyle w:val="Point1"/>
        <w:rPr>
          <w:noProof/>
        </w:rPr>
      </w:pPr>
      <w:r>
        <w:rPr>
          <w:noProof/>
        </w:rPr>
        <w:t>й)</w:t>
      </w:r>
      <w:r>
        <w:rPr>
          <w:noProof/>
        </w:rPr>
        <w:tab/>
        <w:t>дейности за разпространение на резултатите, прояви за установяване на контакти и дейности за повишаване на осведомеността.</w:t>
      </w:r>
    </w:p>
    <w:p w:rsidR="000B688B" w:rsidRDefault="00640F08">
      <w:pPr>
        <w:pStyle w:val="ManualNumPar1"/>
        <w:rPr>
          <w:noProof/>
          <w:szCs w:val="24"/>
        </w:rPr>
      </w:pPr>
      <w:r>
        <w:t>4.</w:t>
      </w:r>
      <w:r>
        <w:tab/>
      </w:r>
      <w:r>
        <w:rPr>
          <w:noProof/>
        </w:rPr>
        <w:t>Освен ако не е предвидено друго в работната програма, посочена в член 27, дейс</w:t>
      </w:r>
      <w:r>
        <w:rPr>
          <w:noProof/>
        </w:rPr>
        <w:t>твието се предприема в сътрудничество между най-малко три правни субекта, установени в най-малко три различни държави членки и/или асоциирани държави. Поне три от тези отговарящи на условията за финансиране субекти, установени в най-малко две държави членк</w:t>
      </w:r>
      <w:r>
        <w:rPr>
          <w:noProof/>
        </w:rPr>
        <w:t>и и/или асоциирани държави, не могат да са фактически контролирани — било то пряко или косвено — от същия субект, нито взаимно да се контролират, през целия период на изпълнение на действието.</w:t>
      </w:r>
    </w:p>
    <w:p w:rsidR="000B688B" w:rsidRDefault="00640F08">
      <w:pPr>
        <w:pStyle w:val="ManualNumPar1"/>
        <w:rPr>
          <w:noProof/>
        </w:rPr>
      </w:pPr>
      <w:r>
        <w:t>5.</w:t>
      </w:r>
      <w:r>
        <w:tab/>
      </w:r>
      <w:r>
        <w:rPr>
          <w:noProof/>
        </w:rPr>
        <w:t>Параграф 4 не се прилага за действията, посочени в параграф </w:t>
      </w:r>
      <w:r>
        <w:rPr>
          <w:noProof/>
        </w:rPr>
        <w:t>3, букви в) и й) и за действията, посочени в член 6.</w:t>
      </w:r>
    </w:p>
    <w:p w:rsidR="000B688B" w:rsidRDefault="00640F08">
      <w:pPr>
        <w:pStyle w:val="ManualNumPar1"/>
        <w:rPr>
          <w:noProof/>
        </w:rPr>
      </w:pPr>
      <w:r>
        <w:t>6.</w:t>
      </w:r>
      <w:r>
        <w:tab/>
      </w:r>
      <w:r>
        <w:rPr>
          <w:noProof/>
        </w:rPr>
        <w:t>Действията за разработване на продукти и технологии, чиято употреба, разработване или производство са забранени от приложимото международно право, не са допустими.</w:t>
      </w:r>
    </w:p>
    <w:p w:rsidR="000B688B" w:rsidRDefault="00640F08">
      <w:pPr>
        <w:pStyle w:val="Titrearticle"/>
        <w:rPr>
          <w:noProof/>
        </w:rPr>
      </w:pPr>
      <w:r>
        <w:rPr>
          <w:noProof/>
        </w:rPr>
        <w:t>Член 12</w:t>
      </w:r>
      <w:r>
        <w:rPr>
          <w:noProof/>
        </w:rPr>
        <w:br/>
        <w:t>Процедура за подбор и за отп</w:t>
      </w:r>
      <w:r>
        <w:rPr>
          <w:noProof/>
        </w:rPr>
        <w:t>ускане на финансирането</w:t>
      </w:r>
    </w:p>
    <w:p w:rsidR="000B688B" w:rsidRDefault="00640F08">
      <w:pPr>
        <w:pStyle w:val="ManualNumPar1"/>
        <w:rPr>
          <w:noProof/>
          <w:szCs w:val="24"/>
        </w:rPr>
      </w:pPr>
      <w:r>
        <w:t>1.</w:t>
      </w:r>
      <w:r>
        <w:tab/>
      </w:r>
      <w:r>
        <w:rPr>
          <w:noProof/>
        </w:rPr>
        <w:t>Безвъзмездни средства могат да бъдат отпускани — без публикуване на покана за представяне на предложения — на правните субекти, определени в работната програма в съответствие с член [195, буква д)] от Финансовия регламент.</w:t>
      </w:r>
    </w:p>
    <w:p w:rsidR="000B688B" w:rsidRDefault="00640F08">
      <w:pPr>
        <w:pStyle w:val="ManualNumPar1"/>
        <w:rPr>
          <w:noProof/>
        </w:rPr>
      </w:pPr>
      <w:r>
        <w:t>2.</w:t>
      </w:r>
      <w:r>
        <w:tab/>
      </w:r>
      <w:r>
        <w:rPr>
          <w:noProof/>
        </w:rPr>
        <w:t>Ком</w:t>
      </w:r>
      <w:r>
        <w:rPr>
          <w:noProof/>
        </w:rPr>
        <w:t xml:space="preserve">исията отпуска финансирането за подбраните действия след всяка покана за представяне на предложения или като приложи член [195, буква д)] от Финансовия регламент. </w:t>
      </w:r>
    </w:p>
    <w:p w:rsidR="000B688B" w:rsidRDefault="00640F08">
      <w:pPr>
        <w:pStyle w:val="ManualNumPar1"/>
        <w:rPr>
          <w:noProof/>
        </w:rPr>
      </w:pPr>
      <w:r>
        <w:t>3.</w:t>
      </w:r>
      <w:r>
        <w:tab/>
      </w:r>
      <w:r>
        <w:rPr>
          <w:noProof/>
        </w:rPr>
        <w:t>При отпускането на финансиране за действия в областта на развойната дейност Комисията дей</w:t>
      </w:r>
      <w:r>
        <w:rPr>
          <w:noProof/>
        </w:rPr>
        <w:t>ства чрез актове за изпълнение, приемани в съответствие с процедурата по член 28, параграф 2.</w:t>
      </w:r>
    </w:p>
    <w:p w:rsidR="000B688B" w:rsidRDefault="00640F08">
      <w:pPr>
        <w:pStyle w:val="Titrearticle"/>
        <w:rPr>
          <w:noProof/>
        </w:rPr>
      </w:pPr>
      <w:r>
        <w:rPr>
          <w:noProof/>
        </w:rPr>
        <w:t>Член 13</w:t>
      </w:r>
      <w:r>
        <w:rPr>
          <w:noProof/>
        </w:rPr>
        <w:br/>
        <w:t>Критерии за отпускане</w:t>
      </w:r>
    </w:p>
    <w:p w:rsidR="000B688B" w:rsidRDefault="00640F08">
      <w:pPr>
        <w:pStyle w:val="ManualNumPar1"/>
        <w:rPr>
          <w:noProof/>
          <w:szCs w:val="24"/>
        </w:rPr>
      </w:pPr>
      <w:r>
        <w:t>1.</w:t>
      </w:r>
      <w:r>
        <w:tab/>
      </w:r>
      <w:r>
        <w:rPr>
          <w:noProof/>
        </w:rPr>
        <w:t>Всяко предложение се оценява въз основа на следните критерии:</w:t>
      </w:r>
    </w:p>
    <w:p w:rsidR="000B688B" w:rsidRDefault="00640F08">
      <w:pPr>
        <w:pStyle w:val="Point1"/>
        <w:rPr>
          <w:noProof/>
        </w:rPr>
      </w:pPr>
      <w:r>
        <w:rPr>
          <w:noProof/>
        </w:rPr>
        <w:t>а)</w:t>
      </w:r>
      <w:r>
        <w:rPr>
          <w:noProof/>
        </w:rPr>
        <w:tab/>
        <w:t>принос към върховите постижения или потенциал за революционен пр</w:t>
      </w:r>
      <w:r>
        <w:rPr>
          <w:noProof/>
        </w:rPr>
        <w:t>обив в областта на отбраната, който се установява по-специално чрез изтъкване на значителните предимства на очакваните резултати от предложеното действие пред съществуващите продукти или технологии;</w:t>
      </w:r>
    </w:p>
    <w:p w:rsidR="000B688B" w:rsidRDefault="00640F08">
      <w:pPr>
        <w:pStyle w:val="Point1"/>
        <w:rPr>
          <w:noProof/>
        </w:rPr>
      </w:pPr>
      <w:r>
        <w:rPr>
          <w:noProof/>
        </w:rPr>
        <w:t>б)</w:t>
      </w:r>
      <w:r>
        <w:rPr>
          <w:noProof/>
        </w:rPr>
        <w:tab/>
        <w:t>принос към иновациите и технологичното развитие на евр</w:t>
      </w:r>
      <w:r>
        <w:rPr>
          <w:noProof/>
        </w:rPr>
        <w:t xml:space="preserve">опейската отбранителна промишленост, по-специално като се покаже, че предложеното действие включва новаторски или чисто нови подходи и концепции, перспективни нови технологични подобрения или прилагането на технологии или концепции, които преди това не са </w:t>
      </w:r>
      <w:r>
        <w:rPr>
          <w:noProof/>
        </w:rPr>
        <w:t>били прилагани в отбранителния сектор;</w:t>
      </w:r>
    </w:p>
    <w:p w:rsidR="000B688B" w:rsidRDefault="00640F08">
      <w:pPr>
        <w:pStyle w:val="Point1"/>
        <w:rPr>
          <w:noProof/>
        </w:rPr>
      </w:pPr>
      <w:r>
        <w:rPr>
          <w:noProof/>
        </w:rPr>
        <w:t>в)</w:t>
      </w:r>
      <w:r>
        <w:rPr>
          <w:noProof/>
        </w:rPr>
        <w:tab/>
        <w:t>принос към конкурентоспособността на европейската отбранителна промишленост, по-специално чрез създаване на нови пазарни възможности и ускоряване растежа на дружествата в целия Съюз;</w:t>
      </w:r>
    </w:p>
    <w:p w:rsidR="000B688B" w:rsidRDefault="00640F08">
      <w:pPr>
        <w:pStyle w:val="Point1"/>
        <w:rPr>
          <w:noProof/>
        </w:rPr>
      </w:pPr>
      <w:r>
        <w:rPr>
          <w:noProof/>
        </w:rPr>
        <w:t>г)</w:t>
      </w:r>
      <w:r>
        <w:rPr>
          <w:noProof/>
        </w:rPr>
        <w:tab/>
        <w:t>принос за интересите на Съюз</w:t>
      </w:r>
      <w:r>
        <w:rPr>
          <w:noProof/>
        </w:rPr>
        <w:t>а в областта на сигурността и отбраната в съответствие с приоритетите, посочени в член 3, параграф 2, а когато е целесъобразно — и с тези, залегнали в регионалните и международните споразумения за сътрудничество;</w:t>
      </w:r>
    </w:p>
    <w:p w:rsidR="000B688B" w:rsidRDefault="00640F08">
      <w:pPr>
        <w:pStyle w:val="Point1"/>
        <w:rPr>
          <w:noProof/>
        </w:rPr>
      </w:pPr>
      <w:r>
        <w:rPr>
          <w:noProof/>
        </w:rPr>
        <w:t>д)</w:t>
      </w:r>
      <w:r>
        <w:rPr>
          <w:noProof/>
        </w:rPr>
        <w:tab/>
        <w:t>принос за установяването на ново трансгр</w:t>
      </w:r>
      <w:r>
        <w:rPr>
          <w:noProof/>
        </w:rPr>
        <w:t>анично сътрудничество между правни субекти, по-специално за МСП, които са установени в държави членки и/или асоциирани държави, различни от тези, в които са установени субектите от консорциума, които не са МСП;</w:t>
      </w:r>
    </w:p>
    <w:p w:rsidR="000B688B" w:rsidRDefault="00640F08">
      <w:pPr>
        <w:pStyle w:val="Point1"/>
        <w:rPr>
          <w:noProof/>
        </w:rPr>
      </w:pPr>
      <w:r>
        <w:rPr>
          <w:noProof/>
        </w:rPr>
        <w:t>е)</w:t>
      </w:r>
      <w:r>
        <w:rPr>
          <w:noProof/>
        </w:rPr>
        <w:tab/>
        <w:t>качество и ефикасност на изпълнението на д</w:t>
      </w:r>
      <w:r>
        <w:rPr>
          <w:noProof/>
        </w:rPr>
        <w:t>ействието.</w:t>
      </w:r>
    </w:p>
    <w:p w:rsidR="000B688B" w:rsidRDefault="00640F08">
      <w:pPr>
        <w:pStyle w:val="ManualNumPar1"/>
        <w:rPr>
          <w:noProof/>
        </w:rPr>
      </w:pPr>
      <w:r>
        <w:t>2.</w:t>
      </w:r>
      <w:r>
        <w:tab/>
      </w:r>
      <w:r>
        <w:rPr>
          <w:noProof/>
        </w:rPr>
        <w:t xml:space="preserve">В съответствие с параграф 1, буква г) могат да бъдат взети под внимание регионални и международни приоритети, по-специално за да се избегне ненужно дублиране, при условие че те служат на интересите на Съюза в областта на сигурността и </w:t>
      </w:r>
      <w:r>
        <w:rPr>
          <w:noProof/>
        </w:rPr>
        <w:t>отбраната и не изключват участието на никоя държава членка.</w:t>
      </w:r>
    </w:p>
    <w:p w:rsidR="000B688B" w:rsidRDefault="000B688B">
      <w:pPr>
        <w:pStyle w:val="Text1"/>
        <w:ind w:left="0"/>
        <w:rPr>
          <w:noProof/>
        </w:rPr>
      </w:pPr>
    </w:p>
    <w:p w:rsidR="000B688B" w:rsidRDefault="00640F08">
      <w:pPr>
        <w:pStyle w:val="Titrearticle"/>
        <w:rPr>
          <w:noProof/>
        </w:rPr>
      </w:pPr>
      <w:r>
        <w:rPr>
          <w:noProof/>
        </w:rPr>
        <w:t>Член 14</w:t>
      </w:r>
      <w:r>
        <w:rPr>
          <w:noProof/>
        </w:rPr>
        <w:br/>
        <w:t>Проценти на съфинансиране</w:t>
      </w:r>
    </w:p>
    <w:p w:rsidR="000B688B" w:rsidRDefault="00640F08">
      <w:pPr>
        <w:pStyle w:val="ManualNumPar1"/>
        <w:rPr>
          <w:noProof/>
        </w:rPr>
      </w:pPr>
      <w:r>
        <w:t>1.</w:t>
      </w:r>
      <w:r>
        <w:tab/>
      </w:r>
      <w:r>
        <w:rPr>
          <w:noProof/>
        </w:rPr>
        <w:t>Фондът може да финансира до 100 % от допустимите разходи за дадено действие, без да се засяга принципът на съфинансиране.</w:t>
      </w:r>
    </w:p>
    <w:p w:rsidR="000B688B" w:rsidRDefault="00640F08">
      <w:pPr>
        <w:pStyle w:val="ManualNumPar1"/>
        <w:rPr>
          <w:noProof/>
        </w:rPr>
      </w:pPr>
      <w:r>
        <w:t>2.</w:t>
      </w:r>
      <w:r>
        <w:tab/>
      </w:r>
      <w:r>
        <w:rPr>
          <w:noProof/>
        </w:rPr>
        <w:t>Чрез дерогация от параграф 1:</w:t>
      </w:r>
    </w:p>
    <w:p w:rsidR="000B688B" w:rsidRDefault="00640F08">
      <w:pPr>
        <w:pStyle w:val="Point1"/>
        <w:rPr>
          <w:noProof/>
        </w:rPr>
      </w:pPr>
      <w:r>
        <w:rPr>
          <w:noProof/>
        </w:rPr>
        <w:t>а)</w:t>
      </w:r>
      <w:r>
        <w:rPr>
          <w:noProof/>
        </w:rPr>
        <w:tab/>
      </w:r>
      <w:r>
        <w:rPr>
          <w:noProof/>
        </w:rPr>
        <w:t>за действия по член 11, параграф 3, буква д) финансовата помощ от фонда не надхвърля 20 % от допустимите разходи за действието;</w:t>
      </w:r>
    </w:p>
    <w:p w:rsidR="000B688B" w:rsidRDefault="00640F08">
      <w:pPr>
        <w:pStyle w:val="Point1"/>
        <w:rPr>
          <w:noProof/>
        </w:rPr>
      </w:pPr>
      <w:r>
        <w:rPr>
          <w:noProof/>
        </w:rPr>
        <w:t>б)</w:t>
      </w:r>
      <w:r>
        <w:rPr>
          <w:noProof/>
        </w:rPr>
        <w:tab/>
        <w:t>за действия по член 11, параграф 3, букви е)—и) финансовата помощ от фонда не надхвърля 80 % от допустимите разходи за действ</w:t>
      </w:r>
      <w:r>
        <w:rPr>
          <w:noProof/>
        </w:rPr>
        <w:t>ието.</w:t>
      </w:r>
    </w:p>
    <w:p w:rsidR="000B688B" w:rsidRDefault="00640F08">
      <w:pPr>
        <w:pStyle w:val="ManualNumPar1"/>
        <w:rPr>
          <w:noProof/>
        </w:rPr>
      </w:pPr>
      <w:r>
        <w:t>3.</w:t>
      </w:r>
      <w:r>
        <w:tab/>
      </w:r>
      <w:r>
        <w:rPr>
          <w:noProof/>
        </w:rPr>
        <w:t>За действията в областта на развойната дейност, процентът на финансиране се увеличава в следните случаи:</w:t>
      </w:r>
    </w:p>
    <w:p w:rsidR="000B688B" w:rsidRDefault="00640F08">
      <w:pPr>
        <w:pStyle w:val="Point1"/>
        <w:rPr>
          <w:noProof/>
        </w:rPr>
      </w:pPr>
      <w:r>
        <w:rPr>
          <w:noProof/>
        </w:rPr>
        <w:t>а)</w:t>
      </w:r>
      <w:r>
        <w:rPr>
          <w:noProof/>
        </w:rPr>
        <w:tab/>
        <w:t>действие, осъществявано в контекста на постоянното структурирано сътрудничество, установено по силата на Решение (ОВППС) 2017/2315 на Съвет</w:t>
      </w:r>
      <w:r>
        <w:rPr>
          <w:noProof/>
        </w:rPr>
        <w:t>а от 11 декември 2017 г., може да се ползва от процент на финансиране, увеличен с допълнителни 10 процентни пункта;</w:t>
      </w:r>
    </w:p>
    <w:p w:rsidR="000B688B" w:rsidRDefault="00640F08">
      <w:pPr>
        <w:pStyle w:val="Point1"/>
        <w:rPr>
          <w:noProof/>
        </w:rPr>
      </w:pPr>
      <w:r>
        <w:rPr>
          <w:noProof/>
        </w:rPr>
        <w:t>б)</w:t>
      </w:r>
      <w:r>
        <w:rPr>
          <w:noProof/>
        </w:rPr>
        <w:tab/>
        <w:t>в случай на консорциум, същият се ползва от процент на финансиране, увеличен с определен брой процентни пунктове, равняващ се на процента</w:t>
      </w:r>
      <w:r>
        <w:rPr>
          <w:noProof/>
        </w:rPr>
        <w:t xml:space="preserve"> от общия размер на допустимите разходи, отпуснат за МСП, установени в държава членка или в асоциирана държава, различна от тези, в които са установени членовете на консорциума, които не са МСП;</w:t>
      </w:r>
    </w:p>
    <w:p w:rsidR="000B688B" w:rsidRDefault="00640F08">
      <w:pPr>
        <w:pStyle w:val="Point1"/>
        <w:rPr>
          <w:noProof/>
          <w:color w:val="000000" w:themeColor="text1"/>
        </w:rPr>
      </w:pPr>
      <w:r>
        <w:rPr>
          <w:noProof/>
        </w:rPr>
        <w:t>в)</w:t>
      </w:r>
      <w:r>
        <w:rPr>
          <w:noProof/>
        </w:rPr>
        <w:tab/>
        <w:t>в случай на консорциум, същият се ползва от процент на фин</w:t>
      </w:r>
      <w:r>
        <w:rPr>
          <w:noProof/>
        </w:rPr>
        <w:t>ансиране, увеличен с определен брой процентни пунктове, равняващ се на една четвърт от процента от общия размер на допустимите разходи, отпуснат на дружества със средна пазарна капитализация, установени в държава членка или в асоциирана държава, различна о</w:t>
      </w:r>
      <w:r>
        <w:rPr>
          <w:noProof/>
        </w:rPr>
        <w:t>т тези, в които са установени другите членове на консорциума, които не са нито МСП, нито предприятия със средна капитализация;</w:t>
      </w:r>
    </w:p>
    <w:p w:rsidR="000B688B" w:rsidRDefault="00640F08">
      <w:pPr>
        <w:pStyle w:val="Point1"/>
        <w:rPr>
          <w:noProof/>
          <w:color w:val="000000" w:themeColor="text1"/>
        </w:rPr>
      </w:pPr>
      <w:r>
        <w:rPr>
          <w:noProof/>
        </w:rPr>
        <w:t>г)</w:t>
      </w:r>
      <w:r>
        <w:rPr>
          <w:noProof/>
        </w:rPr>
        <w:tab/>
        <w:t>общото увеличение на процента на финансиране на едно действие не надвишава 30 процентни пункта.</w:t>
      </w:r>
    </w:p>
    <w:p w:rsidR="000B688B" w:rsidRDefault="00640F08">
      <w:pPr>
        <w:pStyle w:val="Titrearticle"/>
        <w:spacing w:before="480"/>
        <w:rPr>
          <w:noProof/>
        </w:rPr>
      </w:pPr>
      <w:r>
        <w:rPr>
          <w:noProof/>
        </w:rPr>
        <w:t>Член 15</w:t>
      </w:r>
      <w:r>
        <w:rPr>
          <w:noProof/>
        </w:rPr>
        <w:br/>
        <w:t>Финансов капацитет</w:t>
      </w:r>
    </w:p>
    <w:p w:rsidR="000B688B" w:rsidRDefault="00640F08">
      <w:pPr>
        <w:autoSpaceDE w:val="0"/>
        <w:autoSpaceDN w:val="0"/>
        <w:adjustRightInd w:val="0"/>
        <w:spacing w:before="60" w:after="60"/>
        <w:contextualSpacing/>
        <w:rPr>
          <w:noProof/>
          <w:szCs w:val="24"/>
        </w:rPr>
      </w:pPr>
      <w:r>
        <w:rPr>
          <w:noProof/>
        </w:rPr>
        <w:t>Чре</w:t>
      </w:r>
      <w:r>
        <w:rPr>
          <w:noProof/>
        </w:rPr>
        <w:t>з дерогация от член [198] от Финансовия регламент:</w:t>
      </w:r>
    </w:p>
    <w:p w:rsidR="000B688B" w:rsidRDefault="00640F08">
      <w:pPr>
        <w:pStyle w:val="Point0"/>
        <w:rPr>
          <w:noProof/>
        </w:rPr>
      </w:pPr>
      <w:r>
        <w:rPr>
          <w:noProof/>
        </w:rPr>
        <w:t>а)</w:t>
      </w:r>
      <w:r>
        <w:rPr>
          <w:noProof/>
        </w:rPr>
        <w:tab/>
        <w:t>се проверява финансовият капацитет само на координатора и само ако исканото от Съюза финансиране е равно на 500 000 EUR или по-високо от тази сума. Независимо от това, при наличие на основания за усъмня</w:t>
      </w:r>
      <w:r>
        <w:rPr>
          <w:noProof/>
        </w:rPr>
        <w:t>ване във финансовия капацитет Комисията проверява финансовия капацитет и на други заявители или координатори, когато исканото финансиране е под посочения в първото изречение праг;</w:t>
      </w:r>
    </w:p>
    <w:p w:rsidR="000B688B" w:rsidRDefault="00640F08">
      <w:pPr>
        <w:pStyle w:val="Point0"/>
        <w:rPr>
          <w:noProof/>
        </w:rPr>
      </w:pPr>
      <w:r>
        <w:rPr>
          <w:noProof/>
        </w:rPr>
        <w:t>б)</w:t>
      </w:r>
      <w:r>
        <w:rPr>
          <w:noProof/>
        </w:rPr>
        <w:tab/>
        <w:t>не се проверява финансовият капацитет на правни субекти, чиято жизнеспосо</w:t>
      </w:r>
      <w:r>
        <w:rPr>
          <w:noProof/>
        </w:rPr>
        <w:t>бност е гарантирана от държава членка, както и на университетите;</w:t>
      </w:r>
    </w:p>
    <w:p w:rsidR="000B688B" w:rsidRDefault="00640F08">
      <w:pPr>
        <w:pStyle w:val="Point0"/>
        <w:rPr>
          <w:noProof/>
        </w:rPr>
      </w:pPr>
      <w:r>
        <w:rPr>
          <w:noProof/>
        </w:rPr>
        <w:t>в)</w:t>
      </w:r>
      <w:r>
        <w:rPr>
          <w:noProof/>
        </w:rPr>
        <w:tab/>
        <w:t>ако финансовият капацитет е структурно гарантиран от друг правен субект, се проверява финансовият капацитет на този субект.</w:t>
      </w:r>
    </w:p>
    <w:p w:rsidR="000B688B" w:rsidRDefault="00640F08">
      <w:pPr>
        <w:pStyle w:val="Titrearticle"/>
        <w:spacing w:before="480"/>
        <w:rPr>
          <w:noProof/>
        </w:rPr>
      </w:pPr>
      <w:r>
        <w:rPr>
          <w:noProof/>
        </w:rPr>
        <w:t>Член 16</w:t>
      </w:r>
      <w:r>
        <w:rPr>
          <w:noProof/>
        </w:rPr>
        <w:br/>
        <w:t>Непреки разходи</w:t>
      </w:r>
    </w:p>
    <w:p w:rsidR="000B688B" w:rsidRDefault="00640F08">
      <w:pPr>
        <w:pStyle w:val="ManualNumPar1"/>
        <w:rPr>
          <w:noProof/>
        </w:rPr>
      </w:pPr>
      <w:r>
        <w:t>1.</w:t>
      </w:r>
      <w:r>
        <w:tab/>
      </w:r>
      <w:r>
        <w:rPr>
          <w:noProof/>
        </w:rPr>
        <w:t>Непреките допустими разходи се опред</w:t>
      </w:r>
      <w:r>
        <w:rPr>
          <w:noProof/>
        </w:rPr>
        <w:t>елят, като се прилага единна ставка в размер на 25 % от общия размер на преките допустими разходи, с изключение на преките допустими разходи за договори за подизпълнение, финансовата подкрепа за трети страни и евентуалните единични разходи или еднократни с</w:t>
      </w:r>
      <w:r>
        <w:rPr>
          <w:noProof/>
        </w:rPr>
        <w:t>уми, които включват непреки разходи.</w:t>
      </w:r>
    </w:p>
    <w:p w:rsidR="000B688B" w:rsidRDefault="00640F08">
      <w:pPr>
        <w:pStyle w:val="ManualNumPar1"/>
        <w:rPr>
          <w:noProof/>
          <w:szCs w:val="24"/>
        </w:rPr>
      </w:pPr>
      <w:r>
        <w:t>2.</w:t>
      </w:r>
      <w:r>
        <w:tab/>
      </w:r>
      <w:r>
        <w:rPr>
          <w:noProof/>
        </w:rPr>
        <w:t>Непреките допустими разходи извън единната ставка от 25 % могат, ако това е целесъобразно, да бъдат определени в съответствие с обичайните практики на бенефициера за определяне и анализ на разходите въз основа на дей</w:t>
      </w:r>
      <w:r>
        <w:rPr>
          <w:noProof/>
        </w:rPr>
        <w:t>ствителните непреки разходи, при условие че тези практики за определяне и анализ на разходите се приемат от националните органи по сравними схеми за финансиране в съответствие с член [185] от Финансовия регламент и се съобщават на Комисията.</w:t>
      </w:r>
    </w:p>
    <w:p w:rsidR="000B688B" w:rsidRDefault="00640F08">
      <w:pPr>
        <w:pStyle w:val="Titrearticle"/>
        <w:rPr>
          <w:noProof/>
        </w:rPr>
      </w:pPr>
      <w:r>
        <w:rPr>
          <w:noProof/>
        </w:rPr>
        <w:t>Член 17</w:t>
      </w:r>
      <w:r>
        <w:rPr>
          <w:noProof/>
        </w:rPr>
        <w:br/>
        <w:t>Използ</w:t>
      </w:r>
      <w:r>
        <w:rPr>
          <w:noProof/>
        </w:rPr>
        <w:t>ване на единствена еднократна сума или на финансов принос, който не е свързан с разходите</w:t>
      </w:r>
    </w:p>
    <w:p w:rsidR="000B688B" w:rsidRDefault="00640F08">
      <w:pPr>
        <w:pStyle w:val="ManualNumPar1"/>
        <w:rPr>
          <w:noProof/>
        </w:rPr>
      </w:pPr>
      <w:r>
        <w:t>1.</w:t>
      </w:r>
      <w:r>
        <w:tab/>
      </w:r>
      <w:r>
        <w:rPr>
          <w:noProof/>
        </w:rPr>
        <w:t>За безвъзмездните средства, отпускани за действия по член 11, параграф 3, буква д) и други действия, при които основната част от бюджета се финансира от държави чл</w:t>
      </w:r>
      <w:r>
        <w:rPr>
          <w:noProof/>
        </w:rPr>
        <w:t>енки и/или асоциирани държави, Комисията може да използва:</w:t>
      </w:r>
    </w:p>
    <w:p w:rsidR="000B688B" w:rsidRDefault="00640F08">
      <w:pPr>
        <w:pStyle w:val="Point1"/>
        <w:rPr>
          <w:noProof/>
        </w:rPr>
      </w:pPr>
      <w:r>
        <w:rPr>
          <w:noProof/>
        </w:rPr>
        <w:t>а)</w:t>
      </w:r>
      <w:r>
        <w:rPr>
          <w:noProof/>
        </w:rPr>
        <w:tab/>
        <w:t>финансов принос, който не е свързан с разходите, по смисъла на член [180, параграф 3] от Финансовия регламент, който се основава на постигането на резултати, измерено спрямо предварително опреде</w:t>
      </w:r>
      <w:r>
        <w:rPr>
          <w:noProof/>
        </w:rPr>
        <w:t>лени етапни цели или чрез показатели за качество на изпълнението, или</w:t>
      </w:r>
    </w:p>
    <w:p w:rsidR="000B688B" w:rsidRDefault="00640F08">
      <w:pPr>
        <w:pStyle w:val="Point1"/>
        <w:rPr>
          <w:noProof/>
        </w:rPr>
      </w:pPr>
      <w:r>
        <w:rPr>
          <w:noProof/>
        </w:rPr>
        <w:t>б)</w:t>
      </w:r>
      <w:r>
        <w:rPr>
          <w:noProof/>
        </w:rPr>
        <w:tab/>
        <w:t>единствена еднократна сума по смисъла на член [182] от Финансовия регламент, която се основа на предварителния бюджет на действието, който вече е одобрен от националните органи на съф</w:t>
      </w:r>
      <w:r>
        <w:rPr>
          <w:noProof/>
        </w:rPr>
        <w:t>инансиращите държави членки и асоциирани държави.</w:t>
      </w:r>
    </w:p>
    <w:p w:rsidR="000B688B" w:rsidRDefault="00640F08">
      <w:pPr>
        <w:pStyle w:val="ManualNumPar1"/>
        <w:rPr>
          <w:noProof/>
        </w:rPr>
      </w:pPr>
      <w:r>
        <w:t>2.</w:t>
      </w:r>
      <w:r>
        <w:tab/>
      </w:r>
      <w:r>
        <w:rPr>
          <w:noProof/>
        </w:rPr>
        <w:t>Непреките разходи се включват в еднократната сума.</w:t>
      </w:r>
    </w:p>
    <w:p w:rsidR="000B688B" w:rsidRDefault="00640F08">
      <w:pPr>
        <w:pStyle w:val="Titrearticle"/>
        <w:rPr>
          <w:noProof/>
          <w:szCs w:val="24"/>
        </w:rPr>
      </w:pPr>
      <w:r>
        <w:rPr>
          <w:noProof/>
        </w:rPr>
        <w:t>Член 18</w:t>
      </w:r>
      <w:r>
        <w:rPr>
          <w:noProof/>
        </w:rPr>
        <w:br/>
        <w:t>Обществени поръчки за продукти в предпазарен стадий</w:t>
      </w:r>
    </w:p>
    <w:p w:rsidR="000B688B" w:rsidRDefault="00640F08">
      <w:pPr>
        <w:pStyle w:val="ManualNumPar1"/>
        <w:rPr>
          <w:noProof/>
        </w:rPr>
      </w:pPr>
      <w:r>
        <w:t>1.</w:t>
      </w:r>
      <w:r>
        <w:tab/>
      </w:r>
      <w:r>
        <w:rPr>
          <w:noProof/>
        </w:rPr>
        <w:t xml:space="preserve">Съюзът може да оказва подкрепа за обществени поръчки за продукти в предпазарен стадий, </w:t>
      </w:r>
      <w:r>
        <w:rPr>
          <w:noProof/>
        </w:rPr>
        <w:t>като предоставя безвъзмездни средства на възлагащи органи или възложители по смисъла на директиви 2014/24/ЕС</w:t>
      </w:r>
      <w:r>
        <w:rPr>
          <w:rStyle w:val="FootnoteReference"/>
          <w:noProof/>
        </w:rPr>
        <w:footnoteReference w:id="19"/>
      </w:r>
      <w:r>
        <w:rPr>
          <w:noProof/>
        </w:rPr>
        <w:t>, 2014/25/ЕС</w:t>
      </w:r>
      <w:r>
        <w:rPr>
          <w:rStyle w:val="FootnoteReference"/>
          <w:noProof/>
        </w:rPr>
        <w:footnoteReference w:id="20"/>
      </w:r>
      <w:r>
        <w:rPr>
          <w:noProof/>
        </w:rPr>
        <w:t xml:space="preserve"> и 2009/81/ЕО</w:t>
      </w:r>
      <w:r>
        <w:rPr>
          <w:rStyle w:val="FootnoteReference"/>
          <w:noProof/>
        </w:rPr>
        <w:footnoteReference w:id="21"/>
      </w:r>
      <w:r>
        <w:rPr>
          <w:noProof/>
        </w:rPr>
        <w:t xml:space="preserve"> на Европейския парламент и на Съвета, които съвместно закупуват научноизследователски и развойни услуги в областта на о</w:t>
      </w:r>
      <w:r>
        <w:rPr>
          <w:noProof/>
        </w:rPr>
        <w:t xml:space="preserve">тбраната или координират процедурите си за възлагане на обществени поръчки. </w:t>
      </w:r>
    </w:p>
    <w:p w:rsidR="000B688B" w:rsidRDefault="00640F08">
      <w:pPr>
        <w:pStyle w:val="ManualNumPar1"/>
        <w:rPr>
          <w:noProof/>
          <w:color w:val="000000" w:themeColor="text1"/>
        </w:rPr>
      </w:pPr>
      <w:r>
        <w:t>2.</w:t>
      </w:r>
      <w:r>
        <w:tab/>
      </w:r>
      <w:r>
        <w:rPr>
          <w:noProof/>
        </w:rPr>
        <w:t>Процедурите за възлагане на обществени поръчки:</w:t>
      </w:r>
    </w:p>
    <w:p w:rsidR="000B688B" w:rsidRDefault="00640F08">
      <w:pPr>
        <w:pStyle w:val="Point1"/>
        <w:rPr>
          <w:noProof/>
        </w:rPr>
      </w:pPr>
      <w:r>
        <w:rPr>
          <w:noProof/>
        </w:rPr>
        <w:t>а)</w:t>
      </w:r>
      <w:r>
        <w:rPr>
          <w:noProof/>
        </w:rPr>
        <w:tab/>
        <w:t>са в съответствие с разпоредбите на настоящия регламент;</w:t>
      </w:r>
    </w:p>
    <w:p w:rsidR="000B688B" w:rsidRDefault="00640F08">
      <w:pPr>
        <w:pStyle w:val="Point1"/>
        <w:rPr>
          <w:noProof/>
        </w:rPr>
      </w:pPr>
      <w:r>
        <w:rPr>
          <w:noProof/>
        </w:rPr>
        <w:t>б)</w:t>
      </w:r>
      <w:r>
        <w:rPr>
          <w:noProof/>
        </w:rPr>
        <w:tab/>
        <w:t>могат да разрешат сключването на няколко договора в рамките на ед</w:t>
      </w:r>
      <w:r>
        <w:rPr>
          <w:noProof/>
        </w:rPr>
        <w:t>на процедура (възлагане на няколко доставчици);</w:t>
      </w:r>
    </w:p>
    <w:p w:rsidR="000B688B" w:rsidRDefault="00640F08">
      <w:pPr>
        <w:pStyle w:val="Point1"/>
        <w:rPr>
          <w:noProof/>
          <w:color w:val="000000" w:themeColor="text1"/>
        </w:rPr>
      </w:pPr>
      <w:r>
        <w:rPr>
          <w:noProof/>
        </w:rPr>
        <w:t>в)</w:t>
      </w:r>
      <w:r>
        <w:rPr>
          <w:noProof/>
        </w:rPr>
        <w:tab/>
        <w:t>предвиждат възлагане на поръчките на участника или участниците в тръжната процедура, предлагащи най-добро съотношение между качество и цена.</w:t>
      </w:r>
    </w:p>
    <w:p w:rsidR="000B688B" w:rsidRDefault="00640F08">
      <w:pPr>
        <w:pStyle w:val="Titrearticle"/>
        <w:rPr>
          <w:noProof/>
        </w:rPr>
      </w:pPr>
      <w:r>
        <w:rPr>
          <w:noProof/>
        </w:rPr>
        <w:t>Член 19</w:t>
      </w:r>
      <w:r>
        <w:rPr>
          <w:noProof/>
        </w:rPr>
        <w:br/>
        <w:t>Гаранционен фонд</w:t>
      </w:r>
    </w:p>
    <w:p w:rsidR="000B688B" w:rsidRDefault="00640F08">
      <w:pPr>
        <w:pStyle w:val="Titrearticle"/>
        <w:jc w:val="both"/>
        <w:rPr>
          <w:i w:val="0"/>
          <w:noProof/>
        </w:rPr>
      </w:pPr>
      <w:r>
        <w:rPr>
          <w:i w:val="0"/>
          <w:noProof/>
        </w:rPr>
        <w:t>Вноските във взаимен застрахователен ме</w:t>
      </w:r>
      <w:r>
        <w:rPr>
          <w:i w:val="0"/>
          <w:noProof/>
        </w:rPr>
        <w:t>ханизъм могат да покрият риска, свързан с възстановяването на средства, дължими от получателите, и се смятат за достатъчна гаранция по смисъла на Финансовия регламент. Прилагат се разпоредбите на [член X от] Регламент ХХХ [приемник на Регламента относно Га</w:t>
      </w:r>
      <w:r>
        <w:rPr>
          <w:i w:val="0"/>
          <w:noProof/>
        </w:rPr>
        <w:t>ранционния фонд].</w:t>
      </w:r>
    </w:p>
    <w:p w:rsidR="000B688B" w:rsidRDefault="000B688B">
      <w:pPr>
        <w:rPr>
          <w:noProof/>
        </w:rPr>
      </w:pPr>
    </w:p>
    <w:p w:rsidR="000B688B" w:rsidRDefault="00640F08">
      <w:pPr>
        <w:spacing w:before="360"/>
        <w:jc w:val="center"/>
        <w:rPr>
          <w:noProof/>
        </w:rPr>
      </w:pPr>
      <w:r>
        <w:rPr>
          <w:b/>
          <w:noProof/>
        </w:rPr>
        <w:t>ГЛАВА IV</w:t>
      </w:r>
      <w:r>
        <w:rPr>
          <w:b/>
          <w:noProof/>
        </w:rPr>
        <w:br/>
        <w:t>ДРУГИ ФОРМИ НА ФИНАНСИРАНЕ ОТ СЪЮЗА</w:t>
      </w:r>
    </w:p>
    <w:p w:rsidR="000B688B" w:rsidRDefault="00640F08">
      <w:pPr>
        <w:pStyle w:val="Titrearticle"/>
        <w:rPr>
          <w:noProof/>
        </w:rPr>
      </w:pPr>
      <w:r>
        <w:rPr>
          <w:noProof/>
        </w:rPr>
        <w:t>Член 20</w:t>
      </w:r>
      <w:r>
        <w:rPr>
          <w:noProof/>
        </w:rPr>
        <w:br/>
        <w:t>Условия за допустимост за поръчките и наградите</w:t>
      </w:r>
    </w:p>
    <w:p w:rsidR="000B688B" w:rsidRDefault="00640F08">
      <w:pPr>
        <w:pStyle w:val="Titrearticle"/>
        <w:jc w:val="both"/>
        <w:rPr>
          <w:i w:val="0"/>
          <w:noProof/>
        </w:rPr>
      </w:pPr>
      <w:r>
        <w:rPr>
          <w:i w:val="0"/>
          <w:noProof/>
        </w:rPr>
        <w:t>Когато това е необходимо за защитата на съществен интерес на Съюза и на неговите държави членки в областта на сигурността, Комисията опр</w:t>
      </w:r>
      <w:r>
        <w:rPr>
          <w:i w:val="0"/>
          <w:noProof/>
        </w:rPr>
        <w:t>еделя необходимите условия за допустимост, които са приложими за възлагането на поръчки или наградите, финансирани от Фонда. За тази цел специално внимание се обръща на необходимостта получателите да са установени в Съюза или в асоциирани държави, да се ан</w:t>
      </w:r>
      <w:r>
        <w:rPr>
          <w:i w:val="0"/>
          <w:noProof/>
        </w:rPr>
        <w:t xml:space="preserve">гажират да изпълняват съответните дейности в пределите на Съюза и да не са фактически контролирани от неасоциирани трети държави или субекти от неасоциирани трети държави. Тези условия се включват в документите във връзка с поръчката или наградата, според </w:t>
      </w:r>
      <w:r>
        <w:rPr>
          <w:i w:val="0"/>
          <w:noProof/>
        </w:rPr>
        <w:t>случая, и се прилагат за целия жизнен цикъл на произтичащия договор.</w:t>
      </w:r>
    </w:p>
    <w:p w:rsidR="000B688B" w:rsidRDefault="00640F08">
      <w:pPr>
        <w:pStyle w:val="Titrearticle"/>
        <w:rPr>
          <w:noProof/>
        </w:rPr>
      </w:pPr>
      <w:r>
        <w:rPr>
          <w:noProof/>
        </w:rPr>
        <w:t>Член 21</w:t>
      </w:r>
      <w:r>
        <w:rPr>
          <w:noProof/>
        </w:rPr>
        <w:br/>
        <w:t>Операции за смесено финансиране</w:t>
      </w:r>
    </w:p>
    <w:p w:rsidR="000B688B" w:rsidRDefault="00640F08">
      <w:pPr>
        <w:autoSpaceDE w:val="0"/>
        <w:autoSpaceDN w:val="0"/>
        <w:adjustRightInd w:val="0"/>
        <w:spacing w:before="60" w:after="60"/>
        <w:contextualSpacing/>
        <w:rPr>
          <w:noProof/>
          <w:color w:val="000000" w:themeColor="text1"/>
        </w:rPr>
      </w:pPr>
      <w:r>
        <w:rPr>
          <w:noProof/>
          <w:color w:val="000000" w:themeColor="text1"/>
        </w:rPr>
        <w:t xml:space="preserve">Операциите за смесено финансиране, за които е взето решение по линия на фонда, се изпълняват в съответствие с [Регламента за InvestEU] и дял Х от </w:t>
      </w:r>
      <w:r>
        <w:rPr>
          <w:noProof/>
          <w:color w:val="000000" w:themeColor="text1"/>
        </w:rPr>
        <w:t>Финансовия регламент.</w:t>
      </w:r>
    </w:p>
    <w:p w:rsidR="000B688B" w:rsidRDefault="000B688B">
      <w:pPr>
        <w:pStyle w:val="Text1"/>
        <w:spacing w:before="360"/>
        <w:ind w:left="0"/>
        <w:rPr>
          <w:noProof/>
          <w:szCs w:val="24"/>
        </w:rPr>
      </w:pPr>
    </w:p>
    <w:p w:rsidR="000B688B" w:rsidRDefault="00640F08">
      <w:pPr>
        <w:pStyle w:val="PartTitle"/>
        <w:rPr>
          <w:noProof/>
        </w:rPr>
      </w:pPr>
      <w:r>
        <w:rPr>
          <w:noProof/>
        </w:rPr>
        <w:t>ДЯЛ II</w:t>
      </w:r>
      <w:r>
        <w:rPr>
          <w:noProof/>
        </w:rPr>
        <w:br/>
        <w:t>СПЕЦИАЛНИ РАЗПОРЕДБИ,</w:t>
      </w:r>
      <w:r>
        <w:rPr>
          <w:noProof/>
        </w:rPr>
        <w:br/>
        <w:t>ПРИЛОЖИМИ ЗА НАУЧНИТЕ ИЗСЛЕДВАНИЯ</w:t>
      </w:r>
    </w:p>
    <w:p w:rsidR="000B688B" w:rsidRDefault="00640F08">
      <w:pPr>
        <w:pStyle w:val="Titrearticle"/>
        <w:rPr>
          <w:noProof/>
          <w:szCs w:val="24"/>
        </w:rPr>
      </w:pPr>
      <w:r>
        <w:rPr>
          <w:noProof/>
        </w:rPr>
        <w:t>Член 22</w:t>
      </w:r>
      <w:r>
        <w:rPr>
          <w:noProof/>
        </w:rPr>
        <w:br/>
        <w:t>Собственост върху резултатите</w:t>
      </w:r>
    </w:p>
    <w:p w:rsidR="000B688B" w:rsidRDefault="00640F08">
      <w:pPr>
        <w:pStyle w:val="ManualNumPar1"/>
        <w:rPr>
          <w:rFonts w:eastAsia="Arial Unicode MS"/>
          <w:noProof/>
          <w:szCs w:val="24"/>
        </w:rPr>
      </w:pPr>
      <w:r>
        <w:t>1.</w:t>
      </w:r>
      <w:r>
        <w:tab/>
      </w:r>
      <w:r>
        <w:rPr>
          <w:noProof/>
        </w:rPr>
        <w:t>Резултатите от действията са собственост на бенефициерите, които са ги генерирали. Когато правни субекти съвместно генерират резу</w:t>
      </w:r>
      <w:r>
        <w:rPr>
          <w:noProof/>
        </w:rPr>
        <w:t xml:space="preserve">лтатите, но не може да бъде установен съответният им принос или не е възможно да се отделят един от друг тези съвместно постигнати резултати, резултатите са тяхна обща собственост. </w:t>
      </w:r>
    </w:p>
    <w:p w:rsidR="000B688B" w:rsidRDefault="00640F08">
      <w:pPr>
        <w:pStyle w:val="ManualNumPar1"/>
        <w:rPr>
          <w:noProof/>
        </w:rPr>
      </w:pPr>
      <w:r>
        <w:t>2.</w:t>
      </w:r>
      <w:r>
        <w:tab/>
      </w:r>
      <w:r>
        <w:rPr>
          <w:noProof/>
        </w:rPr>
        <w:t>Когато помощта от Съюза се предоставя под формата на обществена поръчка</w:t>
      </w:r>
      <w:r>
        <w:rPr>
          <w:noProof/>
        </w:rPr>
        <w:t xml:space="preserve">, резултатите са собственост на Съюза. По тяхно изрично искане държавите членки и асоциираните държави се ползват с права на достъп до резултатите, който е безплатен. </w:t>
      </w:r>
    </w:p>
    <w:p w:rsidR="000B688B" w:rsidRDefault="00640F08">
      <w:pPr>
        <w:pStyle w:val="ManualNumPar1"/>
        <w:rPr>
          <w:noProof/>
        </w:rPr>
      </w:pPr>
      <w:r>
        <w:t>3.</w:t>
      </w:r>
      <w:r>
        <w:tab/>
      </w:r>
      <w:r>
        <w:rPr>
          <w:noProof/>
        </w:rPr>
        <w:t>Когато това е оправдано, по силата на споразумението за отпускане на безвъзмездни сре</w:t>
      </w:r>
      <w:r>
        <w:rPr>
          <w:noProof/>
        </w:rPr>
        <w:t>дства може да се изисква резултатите от действията, получаващи подкрепа по линия на фонда, да не подлежат на никакъв контрол или ограничаване, било то пряко или косвено — посредством един или повече междинни правни субекта, включително по отношение на тран</w:t>
      </w:r>
      <w:r>
        <w:rPr>
          <w:noProof/>
        </w:rPr>
        <w:t>сфера на технологии, от страна на неасоциирана трета държава или на субект от неасоциирана трета държава.</w:t>
      </w:r>
    </w:p>
    <w:p w:rsidR="000B688B" w:rsidRDefault="00640F08">
      <w:pPr>
        <w:pStyle w:val="ManualNumPar1"/>
        <w:rPr>
          <w:noProof/>
        </w:rPr>
      </w:pPr>
      <w:r>
        <w:t>4.</w:t>
      </w:r>
      <w:r>
        <w:tab/>
      </w:r>
      <w:r>
        <w:rPr>
          <w:noProof/>
        </w:rPr>
        <w:t>Когато това е оправдано, със споразумението за отпускане на безвъзмездни средства се урежда правото на Комисията да бъде уведомена за прехвърлянето</w:t>
      </w:r>
      <w:r>
        <w:rPr>
          <w:noProof/>
        </w:rPr>
        <w:t xml:space="preserve"> на собствеността върху резултатите или за предоставянето на лиценз по отношение на резултатите на неасоциирана трета държава или субект от неасоциирана трета държава, и да им се противопостави. Такива прехвърляния не могат да противоречат на интересите на</w:t>
      </w:r>
      <w:r>
        <w:rPr>
          <w:noProof/>
        </w:rPr>
        <w:t xml:space="preserve"> Съюза и на неговите държави членки в областта на отбраната и сигурността, нито на целите на настоящия регламент, посочени в член 3.</w:t>
      </w:r>
    </w:p>
    <w:p w:rsidR="000B688B" w:rsidRDefault="00640F08">
      <w:pPr>
        <w:pStyle w:val="ManualNumPar1"/>
        <w:rPr>
          <w:rFonts w:eastAsia="Arial Unicode MS"/>
          <w:noProof/>
          <w:szCs w:val="24"/>
        </w:rPr>
      </w:pPr>
      <w:r>
        <w:t>5.</w:t>
      </w:r>
      <w:r>
        <w:tab/>
      </w:r>
      <w:r>
        <w:rPr>
          <w:noProof/>
        </w:rPr>
        <w:t>Националните органи на държавите членки и на асоциираните държави се ползват с права на достъп до специалния доклад на п</w:t>
      </w:r>
      <w:r>
        <w:rPr>
          <w:noProof/>
        </w:rPr>
        <w:t>роект, който е получил финансиране от Съюза. Такива права на достъп се предоставят безвъзмездно и се прехвърлят от Комисията на държавите членки и асоциираните държави, след като тя се увери, че са налице съответни задължения във връзка с поверителността.</w:t>
      </w:r>
    </w:p>
    <w:p w:rsidR="000B688B" w:rsidRDefault="00640F08">
      <w:pPr>
        <w:pStyle w:val="ManualNumPar1"/>
        <w:rPr>
          <w:rFonts w:eastAsia="Arial Unicode MS"/>
          <w:noProof/>
          <w:szCs w:val="24"/>
        </w:rPr>
      </w:pPr>
      <w:r>
        <w:t>6.</w:t>
      </w:r>
      <w:r>
        <w:tab/>
      </w:r>
      <w:r>
        <w:rPr>
          <w:noProof/>
        </w:rPr>
        <w:t>Националните органи на държавите членки и на асоциираните държави използват специалния доклад единствено за цели, свързани с използването от или за нуждите на техните въоръжени сили, или техните сили за сигурност или разузнавателни формирования, включит</w:t>
      </w:r>
      <w:r>
        <w:rPr>
          <w:noProof/>
        </w:rPr>
        <w:t>елно в рамките на своите програми за сътрудничество. Такова използване включва, без това изброяване да е изчерпателно, проучването, оценката, анализа, научните изследвания, проектирането, развойната дейност, производството, подобрението, видоизменението, п</w:t>
      </w:r>
      <w:r>
        <w:rPr>
          <w:noProof/>
        </w:rPr>
        <w:t>оддръжката, поправката, основния ремонт, както и приемането и сертифицирането на продуктите, експлоатацията, обучението, обезвреждането, други проектантски услуги и разгръщането на продукта, а също така оценката и изготвянето на техническите изисквания във</w:t>
      </w:r>
      <w:r>
        <w:rPr>
          <w:noProof/>
        </w:rPr>
        <w:t xml:space="preserve"> връзка с възлагането на обществени поръчки.</w:t>
      </w:r>
    </w:p>
    <w:p w:rsidR="000B688B" w:rsidRDefault="00640F08">
      <w:pPr>
        <w:pStyle w:val="ManualNumPar1"/>
        <w:rPr>
          <w:noProof/>
        </w:rPr>
      </w:pPr>
      <w:r>
        <w:t>7.</w:t>
      </w:r>
      <w:r>
        <w:tab/>
      </w:r>
      <w:r>
        <w:rPr>
          <w:noProof/>
        </w:rPr>
        <w:t>Бенефициерите безвъзмездно предоставят права на достъп до своите резултати на институциите, органите или агенциите на Съюза, за надлежно обоснованите цели на разработването, прилагането и мониторинга на полит</w:t>
      </w:r>
      <w:r>
        <w:rPr>
          <w:noProof/>
        </w:rPr>
        <w:t xml:space="preserve">иките или програмите на Съюза. Тези права на достъп се свеждат до използването с нетърговска и неконкурентна цел. </w:t>
      </w:r>
    </w:p>
    <w:p w:rsidR="000B688B" w:rsidRDefault="00640F08">
      <w:pPr>
        <w:pStyle w:val="ManualNumPar1"/>
        <w:rPr>
          <w:noProof/>
        </w:rPr>
      </w:pPr>
      <w:r>
        <w:t>8.</w:t>
      </w:r>
      <w:r>
        <w:tab/>
      </w:r>
      <w:r>
        <w:rPr>
          <w:noProof/>
        </w:rPr>
        <w:t xml:space="preserve">В споразуменията за отпускане на безвъзмездни средства и в договорите за възлагане на обществени поръчки за продукти в предпазарен стадий </w:t>
      </w:r>
      <w:r>
        <w:rPr>
          <w:noProof/>
        </w:rPr>
        <w:t>се формулират специални разпоредби относно собствеността, правата на достъп и лицензирането, за да се гарантира максималното оползотворяване на резултатите и да се избегне всякакво несправедливо предимство. Възлагащите органи се ползват като минимум с прав</w:t>
      </w:r>
      <w:r>
        <w:rPr>
          <w:noProof/>
        </w:rPr>
        <w:t>а на безвъзмезден достъп до резултатите за тяхна собствена употреба и с правото да предоставят, или да изискват от получателите да предоставят, на трети страни неизключителни лицензи, за да използват резултатите при справедливи и разумни условия, без право</w:t>
      </w:r>
      <w:r>
        <w:rPr>
          <w:noProof/>
        </w:rPr>
        <w:t xml:space="preserve"> на преотстъпване на лиценза. Всички държави членки и асоциираните държави се ползват безвъзмездно с достъп до специалния доклад. Ако изпълнителят по договора не успее да постигне търговска реализация на резултатите в рамките на определен период след възла</w:t>
      </w:r>
      <w:r>
        <w:rPr>
          <w:noProof/>
        </w:rPr>
        <w:t>гането на обществената поръчка за продукти в предпазарен стадий, както е предвидено в договора, той прехвърля на възлагащите органи собствеността върху резултатите.</w:t>
      </w:r>
    </w:p>
    <w:p w:rsidR="000B688B" w:rsidRDefault="00640F08">
      <w:pPr>
        <w:pStyle w:val="PartTitle"/>
        <w:rPr>
          <w:noProof/>
        </w:rPr>
      </w:pPr>
      <w:r>
        <w:rPr>
          <w:noProof/>
        </w:rPr>
        <w:t>ДЯЛ III</w:t>
      </w:r>
      <w:r>
        <w:rPr>
          <w:noProof/>
        </w:rPr>
        <w:br/>
        <w:t>СПЕЦИАЛНИ РАЗПОРЕДБИ,</w:t>
      </w:r>
      <w:r>
        <w:rPr>
          <w:noProof/>
        </w:rPr>
        <w:br/>
        <w:t>ПРИЛОЖИМИ ЗА РАЗВОЙНАТА ДЕЙНОСТ</w:t>
      </w:r>
    </w:p>
    <w:p w:rsidR="000B688B" w:rsidRDefault="00640F08">
      <w:pPr>
        <w:pStyle w:val="Titrearticle"/>
        <w:rPr>
          <w:noProof/>
          <w:color w:val="000000" w:themeColor="text1"/>
        </w:rPr>
      </w:pPr>
      <w:r>
        <w:rPr>
          <w:noProof/>
        </w:rPr>
        <w:t>Член 23</w:t>
      </w:r>
      <w:r>
        <w:rPr>
          <w:noProof/>
        </w:rPr>
        <w:br/>
        <w:t>Допълнителни критерии</w:t>
      </w:r>
      <w:r>
        <w:rPr>
          <w:noProof/>
        </w:rPr>
        <w:t xml:space="preserve"> за допустимост</w:t>
      </w:r>
    </w:p>
    <w:p w:rsidR="000B688B" w:rsidRDefault="00640F08">
      <w:pPr>
        <w:pStyle w:val="ManualNumPar1"/>
        <w:rPr>
          <w:noProof/>
        </w:rPr>
      </w:pPr>
      <w:r>
        <w:t>1.</w:t>
      </w:r>
      <w:r>
        <w:tab/>
      </w:r>
      <w:r>
        <w:rPr>
          <w:noProof/>
        </w:rPr>
        <w:t>Когато е приложимо, консорциумът удостоверява, че разходите за дадено допустимо действие, които не са обхванати от подкрепата на Съюза, ще бъдат покрити от други източници на финансиране, като например вноски на държави членки и/или асоц</w:t>
      </w:r>
      <w:r>
        <w:rPr>
          <w:noProof/>
        </w:rPr>
        <w:t>иирани държави или съфинансиране от правни субекти.</w:t>
      </w:r>
    </w:p>
    <w:p w:rsidR="000B688B" w:rsidRDefault="00640F08">
      <w:pPr>
        <w:pStyle w:val="ManualNumPar1"/>
        <w:rPr>
          <w:noProof/>
        </w:rPr>
      </w:pPr>
      <w:r>
        <w:t>2.</w:t>
      </w:r>
      <w:r>
        <w:tab/>
      </w:r>
      <w:r>
        <w:rPr>
          <w:noProof/>
        </w:rPr>
        <w:t>Когато е свързано с действия по член 11, параграф 3, буква г), действието се основава на хармонизирани изисквания за способностите, съвместно договорени от съответните държави членки и/или асоциирани д</w:t>
      </w:r>
      <w:r>
        <w:rPr>
          <w:noProof/>
        </w:rPr>
        <w:t xml:space="preserve">ържави. </w:t>
      </w:r>
    </w:p>
    <w:p w:rsidR="000B688B" w:rsidRDefault="00640F08">
      <w:pPr>
        <w:pStyle w:val="ManualNumPar1"/>
        <w:rPr>
          <w:noProof/>
        </w:rPr>
      </w:pPr>
      <w:r>
        <w:t>3.</w:t>
      </w:r>
      <w:r>
        <w:tab/>
      </w:r>
      <w:r>
        <w:rPr>
          <w:noProof/>
        </w:rPr>
        <w:t>За действията по член 11, параграф 3, букви д)—з) консорциумът удостоверява чрез документи, издадени от националните органи, че:</w:t>
      </w:r>
    </w:p>
    <w:p w:rsidR="000B688B" w:rsidRDefault="00640F08">
      <w:pPr>
        <w:pStyle w:val="Point1"/>
        <w:rPr>
          <w:noProof/>
        </w:rPr>
      </w:pPr>
      <w:r>
        <w:rPr>
          <w:noProof/>
        </w:rPr>
        <w:t>а)</w:t>
      </w:r>
      <w:r>
        <w:rPr>
          <w:noProof/>
        </w:rPr>
        <w:tab/>
        <w:t>най-малко две държави членки и/или асоциираните държави възнамеряват координирано да се снабдят с крайния продук</w:t>
      </w:r>
      <w:r>
        <w:rPr>
          <w:noProof/>
        </w:rPr>
        <w:t xml:space="preserve">т или да използват технологията, което включва съвместното снабдяване; </w:t>
      </w:r>
    </w:p>
    <w:p w:rsidR="000B688B" w:rsidRDefault="00640F08">
      <w:pPr>
        <w:pStyle w:val="Point1"/>
        <w:rPr>
          <w:noProof/>
        </w:rPr>
      </w:pPr>
      <w:r>
        <w:rPr>
          <w:noProof/>
        </w:rPr>
        <w:t>б)</w:t>
      </w:r>
      <w:r>
        <w:rPr>
          <w:noProof/>
        </w:rPr>
        <w:tab/>
        <w:t>действието се основава на общите технически спецификации, съвместно договорени от държавите членки и/или асоциираните държави, които съфинансират действието.</w:t>
      </w:r>
    </w:p>
    <w:p w:rsidR="000B688B" w:rsidRDefault="00640F08">
      <w:pPr>
        <w:pStyle w:val="Titrearticle"/>
        <w:rPr>
          <w:noProof/>
        </w:rPr>
      </w:pPr>
      <w:r>
        <w:rPr>
          <w:noProof/>
        </w:rPr>
        <w:t>Член 24</w:t>
      </w:r>
      <w:r>
        <w:rPr>
          <w:noProof/>
        </w:rPr>
        <w:br/>
        <w:t>Допълнителни кр</w:t>
      </w:r>
      <w:r>
        <w:rPr>
          <w:noProof/>
        </w:rPr>
        <w:t>итерии за отпускане</w:t>
      </w:r>
    </w:p>
    <w:p w:rsidR="000B688B" w:rsidRDefault="00640F08">
      <w:pPr>
        <w:spacing w:before="360"/>
        <w:rPr>
          <w:noProof/>
        </w:rPr>
      </w:pPr>
      <w:r>
        <w:rPr>
          <w:noProof/>
        </w:rPr>
        <w:t>В допълнение към критериите за отпускане, посочени в член 13, работната програма може също така да вземе под внимание:</w:t>
      </w:r>
    </w:p>
    <w:p w:rsidR="000B688B" w:rsidRDefault="00640F08">
      <w:pPr>
        <w:pStyle w:val="Point1"/>
        <w:rPr>
          <w:noProof/>
        </w:rPr>
      </w:pPr>
      <w:r>
        <w:rPr>
          <w:noProof/>
        </w:rPr>
        <w:t>а)</w:t>
      </w:r>
      <w:r>
        <w:rPr>
          <w:noProof/>
        </w:rPr>
        <w:tab/>
        <w:t>приноса за повишаване на ефективността през целия жизнен цикъл на отбранителните продукти и технологии, включителн</w:t>
      </w:r>
      <w:r>
        <w:rPr>
          <w:noProof/>
        </w:rPr>
        <w:t>о ефективността на разходите и потенциала за синергии в процеса на снабдяване и поддръжка и в процеса на обезвреждане;</w:t>
      </w:r>
    </w:p>
    <w:p w:rsidR="000B688B" w:rsidRDefault="00640F08">
      <w:pPr>
        <w:pStyle w:val="Point1"/>
        <w:rPr>
          <w:noProof/>
        </w:rPr>
      </w:pPr>
      <w:r>
        <w:rPr>
          <w:noProof/>
        </w:rPr>
        <w:t>б)</w:t>
      </w:r>
      <w:r>
        <w:rPr>
          <w:noProof/>
        </w:rPr>
        <w:tab/>
        <w:t>степента на сътрудничество между държавите членки в рамките на допустимото действие.</w:t>
      </w:r>
    </w:p>
    <w:p w:rsidR="000B688B" w:rsidRDefault="00640F08">
      <w:pPr>
        <w:pStyle w:val="Titrearticle"/>
        <w:rPr>
          <w:noProof/>
          <w:szCs w:val="24"/>
        </w:rPr>
      </w:pPr>
      <w:r>
        <w:rPr>
          <w:noProof/>
        </w:rPr>
        <w:t>Член 25</w:t>
      </w:r>
      <w:r>
        <w:rPr>
          <w:noProof/>
        </w:rPr>
        <w:br/>
        <w:t>Собственост върху резултатите</w:t>
      </w:r>
    </w:p>
    <w:p w:rsidR="000B688B" w:rsidRDefault="00640F08">
      <w:pPr>
        <w:pStyle w:val="ManualNumPar1"/>
        <w:rPr>
          <w:noProof/>
        </w:rPr>
      </w:pPr>
      <w:r>
        <w:t>1.</w:t>
      </w:r>
      <w:r>
        <w:tab/>
      </w:r>
      <w:r>
        <w:rPr>
          <w:noProof/>
        </w:rPr>
        <w:t>Съюзът н</w:t>
      </w:r>
      <w:r>
        <w:rPr>
          <w:noProof/>
        </w:rPr>
        <w:t>яма права на собственост върху продуктите или технологиите, получени в резултат на действия в областта на развойната дейност, нито права върху интелектуална собственост по отношение на резултатите от действията.</w:t>
      </w:r>
    </w:p>
    <w:p w:rsidR="000B688B" w:rsidRDefault="00640F08">
      <w:pPr>
        <w:pStyle w:val="ManualNumPar1"/>
        <w:rPr>
          <w:rFonts w:eastAsia="Arial Unicode MS"/>
          <w:noProof/>
          <w:szCs w:val="24"/>
        </w:rPr>
      </w:pPr>
      <w:r>
        <w:t>2.</w:t>
      </w:r>
      <w:r>
        <w:tab/>
      </w:r>
      <w:r>
        <w:rPr>
          <w:noProof/>
        </w:rPr>
        <w:t>Резултатите от действията, за които се по</w:t>
      </w:r>
      <w:r>
        <w:rPr>
          <w:noProof/>
        </w:rPr>
        <w:t>лучава подкрепа от фонда, не подлежат на никакъв контрол или ограничение от страна на неасоциирани трети държави или субекти от неасоциирани трети държави, било то пряко или косвено — чрез един или повече междинни правни субекта, включително по отношение н</w:t>
      </w:r>
      <w:r>
        <w:rPr>
          <w:noProof/>
        </w:rPr>
        <w:t>а трансфера на технологии.</w:t>
      </w:r>
    </w:p>
    <w:p w:rsidR="000B688B" w:rsidRDefault="00640F08">
      <w:pPr>
        <w:pStyle w:val="ManualNumPar1"/>
        <w:rPr>
          <w:noProof/>
        </w:rPr>
      </w:pPr>
      <w:r>
        <w:t>3.</w:t>
      </w:r>
      <w:r>
        <w:tab/>
      </w:r>
      <w:r>
        <w:rPr>
          <w:noProof/>
        </w:rPr>
        <w:t xml:space="preserve">Що се отнася до резултатите, генерирани от получателите, Комисията се уведомява за всяко прехвърляне на собственост или предоставяне на лиценз на неасоциирани трети държави. Подобно прехвърляне на собственост или предоставяне </w:t>
      </w:r>
      <w:r>
        <w:rPr>
          <w:noProof/>
        </w:rPr>
        <w:t>на лиценз не може да противоречи нито на интересите на Съюза и на неговите държави членки в областта на отбраната и сигурността, нито на целите на настоящия регламент, посочени в член 3; в противен случай ще се наложи да бъдат възстановени средствата, пред</w:t>
      </w:r>
      <w:r>
        <w:rPr>
          <w:noProof/>
        </w:rPr>
        <w:t>оставени по линия на фонда.</w:t>
      </w:r>
    </w:p>
    <w:p w:rsidR="000B688B" w:rsidRDefault="00640F08">
      <w:pPr>
        <w:pStyle w:val="ManualNumPar1"/>
        <w:rPr>
          <w:rFonts w:eastAsia="Arial Unicode MS"/>
          <w:noProof/>
          <w:szCs w:val="24"/>
        </w:rPr>
      </w:pPr>
      <w:r>
        <w:t>4.</w:t>
      </w:r>
      <w:r>
        <w:tab/>
      </w:r>
      <w:r>
        <w:rPr>
          <w:noProof/>
        </w:rPr>
        <w:t>Чрез дерогация от параграф 1, когато помощта от Съюза се предоставя под формата на обществена поръчка, Съюзът е собственик на резултатите, а държавите членки и/или асоциираните държави имат правото безплатно да се сдобият с н</w:t>
      </w:r>
      <w:r>
        <w:rPr>
          <w:noProof/>
        </w:rPr>
        <w:t>еизключителен лиценз за използването на резултатите по тяхно писмено искане.</w:t>
      </w:r>
    </w:p>
    <w:p w:rsidR="000B688B" w:rsidRDefault="00640F08">
      <w:pPr>
        <w:pStyle w:val="Titrearticle"/>
        <w:rPr>
          <w:noProof/>
          <w:szCs w:val="24"/>
        </w:rPr>
      </w:pPr>
      <w:r>
        <w:rPr>
          <w:noProof/>
        </w:rPr>
        <w:t>Член 26</w:t>
      </w:r>
      <w:r>
        <w:rPr>
          <w:noProof/>
        </w:rPr>
        <w:br/>
        <w:t>Уведомяване на ръководителя на проекта</w:t>
      </w:r>
    </w:p>
    <w:p w:rsidR="000B688B" w:rsidRDefault="00640F08">
      <w:pPr>
        <w:spacing w:before="360"/>
        <w:rPr>
          <w:noProof/>
        </w:rPr>
      </w:pPr>
      <w:r>
        <w:rPr>
          <w:noProof/>
        </w:rPr>
        <w:t xml:space="preserve">В случаите, в които държавите членки и асоциираните държави назначават ръководител на проекта, Комисията извършва плащането в полза </w:t>
      </w:r>
      <w:r>
        <w:rPr>
          <w:noProof/>
        </w:rPr>
        <w:t>на получателите, след като уведоми за това ръководителя на проекта.</w:t>
      </w:r>
    </w:p>
    <w:p w:rsidR="000B688B" w:rsidRDefault="000B688B">
      <w:pPr>
        <w:spacing w:before="0" w:after="200" w:line="276" w:lineRule="auto"/>
        <w:jc w:val="left"/>
        <w:rPr>
          <w:noProof/>
        </w:rPr>
      </w:pPr>
    </w:p>
    <w:p w:rsidR="000B688B" w:rsidRDefault="00640F08">
      <w:pPr>
        <w:pStyle w:val="PartTitle"/>
        <w:rPr>
          <w:noProof/>
        </w:rPr>
      </w:pPr>
      <w:r>
        <w:rPr>
          <w:noProof/>
        </w:rPr>
        <w:t>ДЯЛ IV</w:t>
      </w:r>
      <w:r>
        <w:rPr>
          <w:noProof/>
        </w:rPr>
        <w:br/>
        <w:t>УПРАВЛЕНИЕ, МОНИТОРИНГ,</w:t>
      </w:r>
      <w:r>
        <w:rPr>
          <w:noProof/>
        </w:rPr>
        <w:br/>
        <w:t>ОЦЕНКА И КОНТРОЛ</w:t>
      </w:r>
    </w:p>
    <w:p w:rsidR="000B688B" w:rsidRDefault="00640F08">
      <w:pPr>
        <w:pStyle w:val="Titrearticle"/>
        <w:spacing w:before="480"/>
        <w:rPr>
          <w:noProof/>
          <w:szCs w:val="24"/>
        </w:rPr>
      </w:pPr>
      <w:r>
        <w:rPr>
          <w:noProof/>
        </w:rPr>
        <w:t xml:space="preserve">Член 27 </w:t>
      </w:r>
      <w:r>
        <w:rPr>
          <w:noProof/>
        </w:rPr>
        <w:br/>
        <w:t>Работни програми</w:t>
      </w:r>
    </w:p>
    <w:p w:rsidR="000B688B" w:rsidRDefault="00640F08">
      <w:pPr>
        <w:pStyle w:val="ManualNumPar1"/>
        <w:rPr>
          <w:noProof/>
        </w:rPr>
      </w:pPr>
      <w:r>
        <w:t>1.</w:t>
      </w:r>
      <w:r>
        <w:tab/>
      </w:r>
      <w:r>
        <w:rPr>
          <w:noProof/>
        </w:rPr>
        <w:t xml:space="preserve">Фондът се изпълнява чрез годишни и многогодишни работни програми, изготвяни в съответствие с член [110] от </w:t>
      </w:r>
      <w:r>
        <w:rPr>
          <w:noProof/>
        </w:rPr>
        <w:t>Финансовия регламент. В работните програми се определя, когато това е уместно, общата сума, запазена за операции за смесено финансиране.</w:t>
      </w:r>
    </w:p>
    <w:p w:rsidR="000B688B" w:rsidRDefault="00640F08">
      <w:pPr>
        <w:pStyle w:val="ManualNumPar1"/>
        <w:rPr>
          <w:noProof/>
        </w:rPr>
      </w:pPr>
      <w:r>
        <w:t>2.</w:t>
      </w:r>
      <w:r>
        <w:tab/>
      </w:r>
      <w:r>
        <w:rPr>
          <w:noProof/>
        </w:rPr>
        <w:t>Комисията приема работните програми чрез актове за изпълнение в съответствие с процедурата, посочена в член 28, пара</w:t>
      </w:r>
      <w:r>
        <w:rPr>
          <w:noProof/>
        </w:rPr>
        <w:t>граф 2.</w:t>
      </w:r>
    </w:p>
    <w:p w:rsidR="000B688B" w:rsidRDefault="00640F08">
      <w:pPr>
        <w:pStyle w:val="Titrearticle"/>
        <w:rPr>
          <w:noProof/>
        </w:rPr>
      </w:pPr>
      <w:r>
        <w:rPr>
          <w:noProof/>
        </w:rPr>
        <w:t>Член 28</w:t>
      </w:r>
      <w:r>
        <w:rPr>
          <w:noProof/>
        </w:rPr>
        <w:br/>
        <w:t xml:space="preserve">Комитет </w:t>
      </w:r>
    </w:p>
    <w:p w:rsidR="000B688B" w:rsidRDefault="00640F08">
      <w:pPr>
        <w:pStyle w:val="ManualNumPar1"/>
        <w:rPr>
          <w:noProof/>
          <w:szCs w:val="24"/>
        </w:rPr>
      </w:pPr>
      <w:r>
        <w:t>1.</w:t>
      </w:r>
      <w:r>
        <w:tab/>
      </w:r>
      <w:r>
        <w:rPr>
          <w:noProof/>
        </w:rPr>
        <w:t>Комисията се подпомага от комитет по смисъла на Регламент (ЕС) № 182/2011. Европейската агенция по отбрана е поканена в качеството на наблюдател да представя мнения и експертни становища. Европейската служба за външна дейност съ</w:t>
      </w:r>
      <w:r>
        <w:rPr>
          <w:noProof/>
        </w:rPr>
        <w:t xml:space="preserve">що е поканена да присъства. </w:t>
      </w:r>
    </w:p>
    <w:p w:rsidR="000B688B" w:rsidRDefault="00640F08">
      <w:pPr>
        <w:pStyle w:val="ManualNumPar1"/>
        <w:rPr>
          <w:noProof/>
          <w:szCs w:val="24"/>
        </w:rPr>
      </w:pPr>
      <w:r>
        <w:t>2.</w:t>
      </w:r>
      <w:r>
        <w:tab/>
      </w:r>
      <w:r>
        <w:rPr>
          <w:noProof/>
        </w:rPr>
        <w:t>При позоваване на настоящия параграф се прилага член 5 от Регламент (ЕС) № 182/2011.</w:t>
      </w:r>
    </w:p>
    <w:p w:rsidR="000B688B" w:rsidRDefault="00640F08">
      <w:pPr>
        <w:pStyle w:val="Titrearticle"/>
        <w:rPr>
          <w:noProof/>
        </w:rPr>
      </w:pPr>
      <w:r>
        <w:rPr>
          <w:noProof/>
        </w:rPr>
        <w:t>Член 29</w:t>
      </w:r>
      <w:r>
        <w:rPr>
          <w:noProof/>
        </w:rPr>
        <w:br/>
        <w:t>Независими експерти</w:t>
      </w:r>
    </w:p>
    <w:p w:rsidR="000B688B" w:rsidRDefault="00640F08">
      <w:pPr>
        <w:pStyle w:val="ManualNumPar1"/>
        <w:rPr>
          <w:noProof/>
          <w:szCs w:val="24"/>
        </w:rPr>
      </w:pPr>
      <w:r>
        <w:t>1.</w:t>
      </w:r>
      <w:r>
        <w:tab/>
      </w:r>
      <w:r>
        <w:rPr>
          <w:noProof/>
        </w:rPr>
        <w:t xml:space="preserve">Комисията назначава независими експерти, които да оказват съдействие при оценяването на предложенията в </w:t>
      </w:r>
      <w:r>
        <w:rPr>
          <w:noProof/>
        </w:rPr>
        <w:t>съответствие с член [237] от Финансовия регламент. Той може също така да назначава независими експерти за оказване на консултации или съдействие при мониторинга на изпълнението на изпълняваните действия.</w:t>
      </w:r>
    </w:p>
    <w:p w:rsidR="000B688B" w:rsidRDefault="00640F08">
      <w:pPr>
        <w:pStyle w:val="ManualNumPar1"/>
        <w:rPr>
          <w:noProof/>
        </w:rPr>
      </w:pPr>
      <w:r>
        <w:t>2.</w:t>
      </w:r>
      <w:r>
        <w:tab/>
      </w:r>
      <w:r>
        <w:rPr>
          <w:noProof/>
        </w:rPr>
        <w:t>Независимите експерти са граждани на Съюза, набра</w:t>
      </w:r>
      <w:r>
        <w:rPr>
          <w:noProof/>
        </w:rPr>
        <w:t>ни и подбрани въз основа на покани за заявяване на интерес, адресирани към имащите отношение организации, като например министерства на отбраната и агенции на тяхно подчинение, научноизследователски институти, университети, бизнес сдружения или предприятия</w:t>
      </w:r>
      <w:r>
        <w:rPr>
          <w:noProof/>
        </w:rPr>
        <w:t xml:space="preserve"> от сектора на отбраната, с оглед съставяне на списък с експерти.  Чрез дерогация от член [237] от Финансовия регламент този списък не се оповестява публично. </w:t>
      </w:r>
    </w:p>
    <w:p w:rsidR="000B688B" w:rsidRDefault="00640F08">
      <w:pPr>
        <w:pStyle w:val="ManualNumPar1"/>
        <w:rPr>
          <w:noProof/>
          <w:szCs w:val="24"/>
        </w:rPr>
      </w:pPr>
      <w:r>
        <w:t>3.</w:t>
      </w:r>
      <w:r>
        <w:tab/>
      </w:r>
      <w:r>
        <w:rPr>
          <w:noProof/>
        </w:rPr>
        <w:t>Независимите експерти разполагат със съответно удостоверение за надеждност от гледна точка на</w:t>
      </w:r>
      <w:r>
        <w:rPr>
          <w:noProof/>
        </w:rPr>
        <w:t xml:space="preserve"> сигурността, издадено от държава членка. </w:t>
      </w:r>
    </w:p>
    <w:p w:rsidR="000B688B" w:rsidRDefault="00640F08">
      <w:pPr>
        <w:pStyle w:val="ManualNumPar1"/>
        <w:rPr>
          <w:noProof/>
        </w:rPr>
      </w:pPr>
      <w:r>
        <w:t>4.</w:t>
      </w:r>
      <w:r>
        <w:tab/>
      </w:r>
      <w:r>
        <w:rPr>
          <w:noProof/>
        </w:rPr>
        <w:t>Комитетът, предвиден в член 28, получава всяка година списъка на експертите.</w:t>
      </w:r>
    </w:p>
    <w:p w:rsidR="000B688B" w:rsidRDefault="00640F08">
      <w:pPr>
        <w:pStyle w:val="ManualNumPar1"/>
        <w:rPr>
          <w:noProof/>
          <w:szCs w:val="24"/>
        </w:rPr>
      </w:pPr>
      <w:r>
        <w:t>5.</w:t>
      </w:r>
      <w:r>
        <w:tab/>
      </w:r>
      <w:r>
        <w:rPr>
          <w:noProof/>
        </w:rPr>
        <w:t>Независимите експерти се избират въз основа на техните умения, опит и познания, необходими за изпълнението на възложените им задач</w:t>
      </w:r>
      <w:r>
        <w:rPr>
          <w:noProof/>
        </w:rPr>
        <w:t xml:space="preserve">и. </w:t>
      </w:r>
    </w:p>
    <w:p w:rsidR="000B688B" w:rsidRDefault="00640F08">
      <w:pPr>
        <w:pStyle w:val="Titrearticle"/>
        <w:rPr>
          <w:rStyle w:val="ilfuvd"/>
          <w:b/>
          <w:bCs/>
          <w:noProof/>
        </w:rPr>
      </w:pPr>
      <w:r>
        <w:rPr>
          <w:noProof/>
        </w:rPr>
        <w:t>Член 30</w:t>
      </w:r>
      <w:r>
        <w:rPr>
          <w:noProof/>
        </w:rPr>
        <w:br/>
      </w:r>
      <w:r>
        <w:rPr>
          <w:rStyle w:val="ilfuvd"/>
          <w:noProof/>
        </w:rPr>
        <w:t>Прилагане на правилата относно класифицираната информация</w:t>
      </w:r>
    </w:p>
    <w:p w:rsidR="000B688B" w:rsidRDefault="000B688B">
      <w:pPr>
        <w:rPr>
          <w:noProof/>
        </w:rPr>
      </w:pPr>
    </w:p>
    <w:p w:rsidR="000B688B" w:rsidRDefault="00640F08">
      <w:pPr>
        <w:pStyle w:val="ManualNumPar1"/>
        <w:rPr>
          <w:noProof/>
        </w:rPr>
      </w:pPr>
      <w:r>
        <w:t>1.</w:t>
      </w:r>
      <w:r>
        <w:tab/>
      </w:r>
      <w:r>
        <w:rPr>
          <w:noProof/>
        </w:rPr>
        <w:t>В рамките на приложното поле на настоящия регламент:</w:t>
      </w:r>
    </w:p>
    <w:p w:rsidR="000B688B" w:rsidRDefault="00640F08">
      <w:pPr>
        <w:pStyle w:val="Point1"/>
        <w:rPr>
          <w:noProof/>
        </w:rPr>
      </w:pPr>
      <w:r>
        <w:rPr>
          <w:noProof/>
        </w:rPr>
        <w:t>а)</w:t>
      </w:r>
      <w:r>
        <w:rPr>
          <w:noProof/>
        </w:rPr>
        <w:tab/>
        <w:t>всяка държава членка или асоциирана държава гарантира, че нейната национална нормативна уредба в областта на сигурността предл</w:t>
      </w:r>
      <w:r>
        <w:rPr>
          <w:noProof/>
        </w:rPr>
        <w:t>ага равнище на защита на класифицираната информация на ЕС, което е равностойно на предоставяното от правилата относно сигурността, фигуриращи в Решение (ЕС, Евратом) 2015/444 на Комисията от 13 март 2015 г. относно правилата за сигурност за защита на класи</w:t>
      </w:r>
      <w:r>
        <w:rPr>
          <w:noProof/>
        </w:rPr>
        <w:t>фицираната информация на ЕС</w:t>
      </w:r>
      <w:r>
        <w:rPr>
          <w:rStyle w:val="FootnoteReference"/>
          <w:noProof/>
        </w:rPr>
        <w:footnoteReference w:id="22"/>
      </w:r>
      <w:r>
        <w:rPr>
          <w:noProof/>
        </w:rPr>
        <w:t>, и от правилата на Съвета относно сигурността, фигуриращи в приложенията към Решение 2013/488/ЕС</w:t>
      </w:r>
      <w:r>
        <w:rPr>
          <w:rStyle w:val="FootnoteReference"/>
          <w:noProof/>
        </w:rPr>
        <w:footnoteReference w:id="23"/>
      </w:r>
      <w:r>
        <w:rPr>
          <w:noProof/>
        </w:rPr>
        <w:t>;</w:t>
      </w:r>
    </w:p>
    <w:p w:rsidR="000B688B" w:rsidRDefault="00640F08">
      <w:pPr>
        <w:pStyle w:val="Point1"/>
        <w:rPr>
          <w:noProof/>
        </w:rPr>
      </w:pPr>
      <w:r>
        <w:rPr>
          <w:noProof/>
        </w:rPr>
        <w:t>б)</w:t>
      </w:r>
      <w:r>
        <w:rPr>
          <w:noProof/>
        </w:rPr>
        <w:tab/>
        <w:t xml:space="preserve">държавите членки и асоциираните държави своевременно уведомяват Комисията за националната си нормативна уредба в областта на </w:t>
      </w:r>
      <w:r>
        <w:rPr>
          <w:noProof/>
        </w:rPr>
        <w:t>сигурността, упомената в буква а);</w:t>
      </w:r>
    </w:p>
    <w:p w:rsidR="000B688B" w:rsidRDefault="00640F08">
      <w:pPr>
        <w:pStyle w:val="Point1"/>
        <w:rPr>
          <w:noProof/>
        </w:rPr>
      </w:pPr>
      <w:r>
        <w:rPr>
          <w:noProof/>
        </w:rPr>
        <w:t>в)</w:t>
      </w:r>
      <w:r>
        <w:rPr>
          <w:noProof/>
        </w:rPr>
        <w:tab/>
        <w:t>физическите лица, които пребивават в трети държави, и юридическите лица, които са установени в неасоциирани трети държави, могат да работят с класифицирана информация на ЕС във връзка с фонда само ако спрямо тях в съот</w:t>
      </w:r>
      <w:r>
        <w:rPr>
          <w:noProof/>
        </w:rPr>
        <w:t>ветните държави се прилагат разпоредби относно сигурността, които осигуряват степен на защита, най-малкото равностойна на степента, осигурена с правилата на Комисията относно сигурността, фигуриращи в Решение (ЕС, Евратом) 2015/444 на Комисията, и с правил</w:t>
      </w:r>
      <w:r>
        <w:rPr>
          <w:noProof/>
        </w:rPr>
        <w:t>ата на Съвета относно сигурността, фигуриращи в приложенията към Решение 2013/488/EС. Равностойността на разпоредбите в областта на сигурността, прилагани в трета държава или международна организация, се определя в споразумение за сигурност на информацията</w:t>
      </w:r>
      <w:r>
        <w:rPr>
          <w:noProof/>
        </w:rPr>
        <w:t>, включващо въпроси, свързани с индустриалната сигурност , ако е уместно, и сключено между Съюза и тази трета държава или международна организация в съответствие с процедурата, предвидена в член 218 от ДФЕС, и като се взема предвид член 13 от Решение 2013/</w:t>
      </w:r>
      <w:r>
        <w:rPr>
          <w:noProof/>
        </w:rPr>
        <w:t>488/ЕС;</w:t>
      </w:r>
    </w:p>
    <w:p w:rsidR="000B688B" w:rsidRDefault="00640F08">
      <w:pPr>
        <w:pStyle w:val="Point1"/>
        <w:rPr>
          <w:noProof/>
        </w:rPr>
      </w:pPr>
      <w:r>
        <w:rPr>
          <w:noProof/>
        </w:rPr>
        <w:t>г)</w:t>
      </w:r>
      <w:r>
        <w:rPr>
          <w:noProof/>
        </w:rPr>
        <w:tab/>
        <w:t>без да се засягат член 13 от Решение 2013/488/EС и правилата в областта на промишлената сигурност, установени в Решение (ЕС, Евратом) 2015/444/EО, достъпът до класифицирана информация на ЕС може да бъде разрешен на физическо или юридическо лице,</w:t>
      </w:r>
      <w:r>
        <w:rPr>
          <w:noProof/>
        </w:rPr>
        <w:t xml:space="preserve"> трета държава или международна организация, ако се прецени във всеки един конкретен случай, че това е необходимо с оглед на естеството и съдържанието на тази информация, потребността на получателя да я узнае и предимствата за Съюза.</w:t>
      </w:r>
    </w:p>
    <w:p w:rsidR="000B688B" w:rsidRDefault="00640F08">
      <w:pPr>
        <w:pStyle w:val="ManualNumPar1"/>
        <w:rPr>
          <w:noProof/>
        </w:rPr>
      </w:pPr>
      <w:r>
        <w:t>2.</w:t>
      </w:r>
      <w:r>
        <w:tab/>
      </w:r>
      <w:r>
        <w:rPr>
          <w:noProof/>
        </w:rPr>
        <w:t>В случай че действи</w:t>
      </w:r>
      <w:r>
        <w:rPr>
          <w:noProof/>
        </w:rPr>
        <w:t xml:space="preserve">ята включват, изискват и/или съдържат класифицирана информация, компетентният финансиращ орган уточнява в тръжната документация мерките и изискванията, необходими за гарантиране сигурността на тази информация на изискваното равнище. </w:t>
      </w:r>
    </w:p>
    <w:p w:rsidR="000B688B" w:rsidRDefault="00640F08">
      <w:pPr>
        <w:pStyle w:val="ManualNumPar1"/>
        <w:rPr>
          <w:rFonts w:eastAsia="Arial Unicode MS"/>
          <w:noProof/>
          <w:szCs w:val="24"/>
        </w:rPr>
      </w:pPr>
      <w:r>
        <w:t>3.</w:t>
      </w:r>
      <w:r>
        <w:tab/>
      </w:r>
      <w:r>
        <w:rPr>
          <w:noProof/>
        </w:rPr>
        <w:t xml:space="preserve">С цел да се улесни </w:t>
      </w:r>
      <w:r>
        <w:rPr>
          <w:noProof/>
        </w:rPr>
        <w:t>обменът на чувствителна информация между Комисията, получателите и, ако е приложимо, държавите членки, Комисията създава система за електронен обмен на информация.</w:t>
      </w:r>
    </w:p>
    <w:p w:rsidR="000B688B" w:rsidRDefault="00640F08">
      <w:pPr>
        <w:pStyle w:val="Titrearticle"/>
        <w:rPr>
          <w:noProof/>
        </w:rPr>
      </w:pPr>
      <w:r>
        <w:rPr>
          <w:noProof/>
        </w:rPr>
        <w:t>Член 31</w:t>
      </w:r>
      <w:r>
        <w:rPr>
          <w:noProof/>
        </w:rPr>
        <w:br/>
        <w:t>Мониторинг и докладване</w:t>
      </w:r>
    </w:p>
    <w:p w:rsidR="000B688B" w:rsidRDefault="00640F08">
      <w:pPr>
        <w:pStyle w:val="ManualNumPar1"/>
        <w:rPr>
          <w:rFonts w:eastAsia="Arial Unicode MS"/>
          <w:noProof/>
          <w:szCs w:val="24"/>
        </w:rPr>
      </w:pPr>
      <w:r>
        <w:t>1.</w:t>
      </w:r>
      <w:r>
        <w:tab/>
      </w:r>
      <w:r>
        <w:rPr>
          <w:noProof/>
        </w:rPr>
        <w:t>Показателите във връзка с мониторинга на изпълнението и н</w:t>
      </w:r>
      <w:r>
        <w:rPr>
          <w:noProof/>
        </w:rPr>
        <w:t xml:space="preserve">апредъка на фонда към постигане на общите и специфичните цели, определени в член 3, са поместени в приложението. </w:t>
      </w:r>
    </w:p>
    <w:p w:rsidR="000B688B" w:rsidRDefault="00640F08">
      <w:pPr>
        <w:pStyle w:val="ManualNumPar1"/>
        <w:rPr>
          <w:rFonts w:eastAsia="Arial Unicode MS"/>
          <w:noProof/>
          <w:szCs w:val="24"/>
        </w:rPr>
      </w:pPr>
      <w:r>
        <w:t>2.</w:t>
      </w:r>
      <w:r>
        <w:tab/>
      </w:r>
      <w:r>
        <w:rPr>
          <w:noProof/>
        </w:rPr>
        <w:t xml:space="preserve">За да се гарантира ефикасна оценка на напредъка на фонда към постигане на неговите цели, на Комисията се предоставя правомощието да приема </w:t>
      </w:r>
      <w:r>
        <w:rPr>
          <w:noProof/>
        </w:rPr>
        <w:t>делегирани актове в съответствие с член 36 за изменение на приложението с цел преразглеждане или допълване на показателите, когато счете това за необходимо, и да допълва настоящия регламент с разпоредби относно въвеждането на рамка за мониторинг и оценка.</w:t>
      </w:r>
    </w:p>
    <w:p w:rsidR="000B688B" w:rsidRDefault="00640F08">
      <w:pPr>
        <w:pStyle w:val="ManualNumPar1"/>
        <w:rPr>
          <w:rFonts w:eastAsia="Arial Unicode MS"/>
          <w:noProof/>
          <w:szCs w:val="24"/>
        </w:rPr>
      </w:pPr>
      <w:r>
        <w:t>3.</w:t>
      </w:r>
      <w:r>
        <w:tab/>
      </w:r>
      <w:r>
        <w:rPr>
          <w:noProof/>
        </w:rPr>
        <w:t xml:space="preserve">Комисията редовно следи изпълнението на фонда и ежегодно докладва за постигнатия напредък. Комисията въвежда необходимия за тази цел механизъм за мониторинг. </w:t>
      </w:r>
    </w:p>
    <w:p w:rsidR="000B688B" w:rsidRDefault="00640F08">
      <w:pPr>
        <w:pStyle w:val="ManualNumPar1"/>
        <w:rPr>
          <w:noProof/>
        </w:rPr>
      </w:pPr>
      <w:r>
        <w:t>4.</w:t>
      </w:r>
      <w:r>
        <w:tab/>
      </w:r>
      <w:r>
        <w:rPr>
          <w:noProof/>
        </w:rPr>
        <w:t>Системата за отчитане на качеството на изпълнението трябва да гарантира ефикасното, ефектив</w:t>
      </w:r>
      <w:r>
        <w:rPr>
          <w:noProof/>
        </w:rPr>
        <w:t>но и навременно събиране на данните за мониторинга на изпълнението на фонда и на резултатите от него. За тази цел на получателите на средства от Съюза се налагат пропорционални изисквания за докладване.</w:t>
      </w:r>
    </w:p>
    <w:p w:rsidR="000B688B" w:rsidRDefault="00640F08">
      <w:pPr>
        <w:pStyle w:val="Titrearticle"/>
        <w:rPr>
          <w:i w:val="0"/>
          <w:noProof/>
          <w:szCs w:val="24"/>
        </w:rPr>
      </w:pPr>
      <w:r>
        <w:rPr>
          <w:noProof/>
        </w:rPr>
        <w:t xml:space="preserve">Член 32 </w:t>
      </w:r>
      <w:r>
        <w:rPr>
          <w:noProof/>
        </w:rPr>
        <w:br/>
        <w:t>Оценка на фонда</w:t>
      </w:r>
    </w:p>
    <w:p w:rsidR="000B688B" w:rsidRDefault="00640F08">
      <w:pPr>
        <w:pStyle w:val="ManualNumPar1"/>
        <w:rPr>
          <w:rFonts w:eastAsia="Arial Unicode MS"/>
          <w:noProof/>
          <w:szCs w:val="24"/>
        </w:rPr>
      </w:pPr>
      <w:r>
        <w:t>1.</w:t>
      </w:r>
      <w:r>
        <w:tab/>
      </w:r>
      <w:r>
        <w:rPr>
          <w:noProof/>
        </w:rPr>
        <w:t xml:space="preserve">Провеждат се навременни </w:t>
      </w:r>
      <w:r>
        <w:rPr>
          <w:noProof/>
        </w:rPr>
        <w:t>оценки, които да послужат в процеса на вземане на решения.</w:t>
      </w:r>
    </w:p>
    <w:p w:rsidR="000B688B" w:rsidRDefault="00640F08">
      <w:pPr>
        <w:pStyle w:val="ManualNumPar1"/>
        <w:rPr>
          <w:noProof/>
        </w:rPr>
      </w:pPr>
      <w:r>
        <w:t>2.</w:t>
      </w:r>
      <w:r>
        <w:tab/>
      </w:r>
      <w:r>
        <w:rPr>
          <w:noProof/>
        </w:rPr>
        <w:t>Междинната оценка на фонда се извършва, след като за изпълнението на фонда се натрупа достатъчно информация, но не по-късно от четири години след започване на изпълнението на фонда. В доклада за</w:t>
      </w:r>
      <w:r>
        <w:rPr>
          <w:noProof/>
        </w:rPr>
        <w:t xml:space="preserve"> междинна оценка, изготвен не по-късно от 31 юли 2024 г., се включва, по-специално, анализ на управлението на фонда, изпълнението в процентно изражение, резултатите по отношение на възложените проекти, включително участието на МСП и на дружества със средна</w:t>
      </w:r>
      <w:r>
        <w:rPr>
          <w:noProof/>
        </w:rPr>
        <w:t xml:space="preserve"> пазарна капитализация и степента на тяхното трансгранично участие, и финансирането, предоставено в съответствие с член [195] от Финансовия регламент. Комисията може да представя предложения за подходящи изменения на настоящия регламент.</w:t>
      </w:r>
    </w:p>
    <w:p w:rsidR="000B688B" w:rsidRDefault="00640F08">
      <w:pPr>
        <w:pStyle w:val="ManualNumPar1"/>
        <w:rPr>
          <w:noProof/>
          <w:szCs w:val="24"/>
        </w:rPr>
      </w:pPr>
      <w:r>
        <w:t>3.</w:t>
      </w:r>
      <w:r>
        <w:tab/>
      </w:r>
      <w:r>
        <w:rPr>
          <w:noProof/>
        </w:rPr>
        <w:t>В края на срока</w:t>
      </w:r>
      <w:r>
        <w:rPr>
          <w:noProof/>
        </w:rPr>
        <w:t xml:space="preserve"> за изпълнение на програмата, но не по-късно от четири години след 31 декември 2031 г., Комисията извършва окончателна оценка за изпълнението на фонда. Окончателният доклад за оценка включва резултатите от изпълнението и, доколкото е възможно с оглед на гр</w:t>
      </w:r>
      <w:r>
        <w:rPr>
          <w:noProof/>
        </w:rPr>
        <w:t>афика за изпълнението, въздействието на фонда. Въз основа на съответни консултации с държавите членки и асоциираните държави, както и с основните заинтересовани страни, в доклада се оценява по-специално напредъкът към постигане на целите, посочени в член 3</w:t>
      </w:r>
      <w:r>
        <w:rPr>
          <w:noProof/>
        </w:rPr>
        <w:t xml:space="preserve">.  В доклада също така се анализира трансграничното участие, включително на МСП и дружества със средна пазарна капитализация, в изпълняваните по фонда проекти, както и интегрирането на МСП и дружествата със средна пазарна капитализация в световната верига </w:t>
      </w:r>
      <w:r>
        <w:rPr>
          <w:noProof/>
        </w:rPr>
        <w:t>за създаване на стойност. Оценката съдържа също така информация относно държавите на произход на получателите и при възможност — относно разпределянето на генерираните права върху интелектуална собственост.</w:t>
      </w:r>
    </w:p>
    <w:p w:rsidR="000B688B" w:rsidRDefault="00640F08">
      <w:pPr>
        <w:pStyle w:val="ManualNumPar1"/>
        <w:rPr>
          <w:noProof/>
        </w:rPr>
      </w:pPr>
      <w:r>
        <w:t>4.</w:t>
      </w:r>
      <w:r>
        <w:tab/>
      </w:r>
      <w:r>
        <w:rPr>
          <w:noProof/>
        </w:rPr>
        <w:t>Комисията представя заключенията от оценките и</w:t>
      </w:r>
      <w:r>
        <w:rPr>
          <w:noProof/>
        </w:rPr>
        <w:t xml:space="preserve"> своите наблюдения на Европейския парламент, Съвета, Европейския икономически и социален комитет и Комитета на регионите.</w:t>
      </w:r>
    </w:p>
    <w:p w:rsidR="000B688B" w:rsidRDefault="00640F08">
      <w:pPr>
        <w:pStyle w:val="Titrearticle"/>
        <w:rPr>
          <w:noProof/>
        </w:rPr>
      </w:pPr>
      <w:r>
        <w:rPr>
          <w:noProof/>
        </w:rPr>
        <w:t>Член 33</w:t>
      </w:r>
      <w:r>
        <w:rPr>
          <w:noProof/>
        </w:rPr>
        <w:br/>
        <w:t>Одити</w:t>
      </w:r>
    </w:p>
    <w:p w:rsidR="000B688B" w:rsidRDefault="00640F08">
      <w:pPr>
        <w:rPr>
          <w:noProof/>
          <w:szCs w:val="24"/>
        </w:rPr>
      </w:pPr>
      <w:r>
        <w:rPr>
          <w:noProof/>
        </w:rPr>
        <w:t>Одитите относно използването на приноса от Съюза, проведени от лица или субекти, включително от различни от тези, на кои</w:t>
      </w:r>
      <w:r>
        <w:rPr>
          <w:noProof/>
        </w:rPr>
        <w:t>то институции или органи на Съюза са възложили извършването на одити, съставляват основата на общата увереност по член [127] от Финансовия регламент. Европейската сметна палата проверява отчетите за всички приходи и разходи на Съюза в съответствие с член 2</w:t>
      </w:r>
      <w:r>
        <w:rPr>
          <w:noProof/>
        </w:rPr>
        <w:t>87 от ДФЕС.</w:t>
      </w:r>
    </w:p>
    <w:p w:rsidR="000B688B" w:rsidRDefault="00640F08">
      <w:pPr>
        <w:pStyle w:val="Titrearticle"/>
        <w:rPr>
          <w:noProof/>
        </w:rPr>
      </w:pPr>
      <w:r>
        <w:rPr>
          <w:noProof/>
        </w:rPr>
        <w:t>Член 34</w:t>
      </w:r>
      <w:r>
        <w:rPr>
          <w:noProof/>
        </w:rPr>
        <w:br/>
        <w:t>Защита на финансовите интереси на Съюза</w:t>
      </w:r>
    </w:p>
    <w:p w:rsidR="000B688B" w:rsidRDefault="00640F08">
      <w:pPr>
        <w:rPr>
          <w:noProof/>
        </w:rPr>
      </w:pPr>
      <w:r>
        <w:rPr>
          <w:noProof/>
        </w:rPr>
        <w:t xml:space="preserve">Когато трета държава участва във фонда по силата на решение в рамките на международно споразумение или по силата на друг правен инструмент, третата държава предоставя необходимите права и достъп </w:t>
      </w:r>
      <w:r>
        <w:rPr>
          <w:noProof/>
        </w:rPr>
        <w:t>на отговорния разпоредител с бюджетни кредити, Европейската служба за борба с измамите (OLAF) и Европейската сметна палата, за да могат те да упражняват в пълна степен съответните си правомощия. По отношение на OLAF тези права включват правото да се извърш</w:t>
      </w:r>
      <w:r>
        <w:rPr>
          <w:noProof/>
        </w:rPr>
        <w:t>ват разследвания, включително проверки и инспекции на място, предвидено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rsidR="000B688B" w:rsidRDefault="00640F08">
      <w:pPr>
        <w:pStyle w:val="Titrearticle"/>
        <w:rPr>
          <w:noProof/>
        </w:rPr>
      </w:pPr>
      <w:r>
        <w:rPr>
          <w:noProof/>
        </w:rPr>
        <w:t>Член 35</w:t>
      </w:r>
      <w:r>
        <w:rPr>
          <w:noProof/>
        </w:rPr>
        <w:br/>
        <w:t>Информация, кому</w:t>
      </w:r>
      <w:r>
        <w:rPr>
          <w:noProof/>
        </w:rPr>
        <w:t>никация и публичност</w:t>
      </w:r>
    </w:p>
    <w:p w:rsidR="000B688B" w:rsidRDefault="00640F08">
      <w:pPr>
        <w:pStyle w:val="ManualNumPar1"/>
        <w:rPr>
          <w:rFonts w:eastAsia="Arial Unicode MS"/>
          <w:noProof/>
          <w:szCs w:val="24"/>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w:t>
      </w:r>
      <w:r>
        <w:rPr>
          <w:noProof/>
        </w:rPr>
        <w:t>рционална целева информация на различни видове публика, включително медиите и обществеността.</w:t>
      </w:r>
    </w:p>
    <w:p w:rsidR="000B688B" w:rsidRDefault="00640F08">
      <w:pPr>
        <w:pStyle w:val="ManualNumPar1"/>
        <w:rPr>
          <w:noProof/>
          <w:szCs w:val="24"/>
        </w:rPr>
      </w:pPr>
      <w:r>
        <w:t>2.</w:t>
      </w:r>
      <w:r>
        <w:tab/>
      </w:r>
      <w:r>
        <w:rPr>
          <w:noProof/>
        </w:rPr>
        <w:t>Комисията осъществява информационни и комуникационни дейности по отношение на фонда и неговите действия и резултати. Финансовите ресурси, отпуснати на фонда, д</w:t>
      </w:r>
      <w:r>
        <w:rPr>
          <w:noProof/>
        </w:rPr>
        <w:t>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0B688B" w:rsidRDefault="00640F08">
      <w:pPr>
        <w:pStyle w:val="PartTitle"/>
        <w:rPr>
          <w:i/>
          <w:noProof/>
        </w:rPr>
      </w:pPr>
      <w:r>
        <w:rPr>
          <w:noProof/>
        </w:rPr>
        <w:t>ДЯЛ VДЕЛЕГИРАНИ АКТОВЕ, ПРЕХОДНИ И ЗАКЛЮЧИТЕЛНИ РАЗПОРЕДБИ</w:t>
      </w:r>
    </w:p>
    <w:p w:rsidR="000B688B" w:rsidRDefault="00640F08">
      <w:pPr>
        <w:spacing w:line="276" w:lineRule="auto"/>
        <w:jc w:val="center"/>
        <w:rPr>
          <w:rFonts w:eastAsia="Times New Roman"/>
          <w:i/>
          <w:noProof/>
          <w:szCs w:val="24"/>
        </w:rPr>
      </w:pPr>
      <w:r>
        <w:rPr>
          <w:i/>
          <w:noProof/>
        </w:rPr>
        <w:t>Член 36</w:t>
      </w:r>
      <w:r>
        <w:rPr>
          <w:i/>
          <w:noProof/>
          <w:szCs w:val="24"/>
        </w:rPr>
        <w:br/>
      </w:r>
      <w:r>
        <w:rPr>
          <w:i/>
          <w:noProof/>
        </w:rPr>
        <w:t>Делегирани актове</w:t>
      </w:r>
    </w:p>
    <w:p w:rsidR="000B688B" w:rsidRDefault="00640F08">
      <w:pPr>
        <w:pStyle w:val="ManualNumPar1"/>
        <w:rPr>
          <w:noProof/>
          <w:szCs w:val="24"/>
        </w:rPr>
      </w:pPr>
      <w:r>
        <w:t>1.</w:t>
      </w:r>
      <w:r>
        <w:tab/>
      </w:r>
      <w:r>
        <w:rPr>
          <w:noProof/>
        </w:rPr>
        <w:t xml:space="preserve">Правомощието да приема </w:t>
      </w:r>
      <w:r>
        <w:rPr>
          <w:noProof/>
        </w:rPr>
        <w:t xml:space="preserve">делегирани актове, посочено в член 31, се предоставя на Комисията за неопределен срок, считано от датата на влизане в сила на настоящия регламент. </w:t>
      </w:r>
    </w:p>
    <w:p w:rsidR="000B688B" w:rsidRDefault="00640F08">
      <w:pPr>
        <w:pStyle w:val="ManualNumPar1"/>
        <w:rPr>
          <w:noProof/>
          <w:szCs w:val="24"/>
        </w:rPr>
      </w:pPr>
      <w:r>
        <w:t>2.</w:t>
      </w:r>
      <w:r>
        <w:tab/>
      </w:r>
      <w:r>
        <w:rPr>
          <w:noProof/>
        </w:rPr>
        <w:t>Делегирането на правомощия, посочено в член 31, може да бъде оттеглено по всяко време от Европейския парл</w:t>
      </w:r>
      <w:r>
        <w:rPr>
          <w:noProof/>
        </w:rPr>
        <w:t xml:space="preserve">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w:t>
      </w:r>
      <w:r>
        <w:rPr>
          <w:noProof/>
        </w:rPr>
        <w:t xml:space="preserve">То не засяга действителността на делегираните актове, които вече са в сила. </w:t>
      </w:r>
    </w:p>
    <w:p w:rsidR="000B688B" w:rsidRDefault="00640F08">
      <w:pPr>
        <w:pStyle w:val="ManualNumPar1"/>
        <w:rPr>
          <w:noProof/>
          <w:szCs w:val="24"/>
        </w:rPr>
      </w:pPr>
      <w:r>
        <w:t>3.</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w:t>
      </w:r>
      <w:r>
        <w:rPr>
          <w:noProof/>
        </w:rPr>
        <w:t>мение от 13 април 2016 г. за по-добро законотворчество.</w:t>
      </w:r>
    </w:p>
    <w:p w:rsidR="000B688B" w:rsidRDefault="00640F08">
      <w:pPr>
        <w:pStyle w:val="ManualNumPar1"/>
        <w:rPr>
          <w:noProof/>
          <w:szCs w:val="24"/>
        </w:rPr>
      </w:pPr>
      <w:r>
        <w:t>4.</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rsidR="000B688B" w:rsidRDefault="00640F08">
      <w:pPr>
        <w:pStyle w:val="ManualNumPar1"/>
        <w:rPr>
          <w:noProof/>
          <w:szCs w:val="24"/>
        </w:rPr>
      </w:pPr>
      <w:r>
        <w:t>5.</w:t>
      </w:r>
      <w:r>
        <w:tab/>
      </w:r>
      <w:r>
        <w:rPr>
          <w:noProof/>
        </w:rPr>
        <w:t>Делегиран акт, приет съгласно член 31, влиза в сила единствено ако нито Евро</w:t>
      </w:r>
      <w:r>
        <w:rPr>
          <w:noProof/>
        </w:rPr>
        <w:t>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w:t>
      </w:r>
      <w:r>
        <w:rPr>
          <w:noProof/>
        </w:rPr>
        <w:t>ма да представят възражения. Посоченият срок се удължава с два месеца по инициатива на Европейския парламент или на Съвета.</w:t>
      </w:r>
    </w:p>
    <w:p w:rsidR="000B688B" w:rsidRDefault="00640F08">
      <w:pPr>
        <w:pStyle w:val="Titrearticle"/>
        <w:rPr>
          <w:rStyle w:val="ilfuvd"/>
          <w:i w:val="0"/>
          <w:iCs/>
          <w:noProof/>
          <w:szCs w:val="24"/>
        </w:rPr>
      </w:pPr>
      <w:r>
        <w:rPr>
          <w:rStyle w:val="ilfuvd"/>
          <w:noProof/>
        </w:rPr>
        <w:t>Член 37</w:t>
      </w:r>
    </w:p>
    <w:p w:rsidR="000B688B" w:rsidRDefault="00640F08">
      <w:pPr>
        <w:jc w:val="center"/>
        <w:rPr>
          <w:rStyle w:val="ilfuvd"/>
          <w:bCs/>
          <w:i/>
          <w:noProof/>
        </w:rPr>
      </w:pPr>
      <w:r>
        <w:rPr>
          <w:rStyle w:val="ilfuvd"/>
          <w:i/>
          <w:noProof/>
        </w:rPr>
        <w:t>Отмяна</w:t>
      </w:r>
    </w:p>
    <w:p w:rsidR="000B688B" w:rsidRDefault="00640F08">
      <w:pPr>
        <w:pStyle w:val="ManualNumPar1"/>
        <w:rPr>
          <w:noProof/>
        </w:rPr>
      </w:pPr>
      <w:r>
        <w:t>1.</w:t>
      </w:r>
      <w:r>
        <w:tab/>
      </w:r>
      <w:r>
        <w:rPr>
          <w:noProof/>
        </w:rPr>
        <w:t xml:space="preserve">Регламент (ЕС) № .../... (Европейска програма за промишлено развитие в областта на отбраната) се отменя, считано от 1 януари 2021 г. </w:t>
      </w:r>
    </w:p>
    <w:p w:rsidR="000B688B" w:rsidRDefault="00640F08">
      <w:pPr>
        <w:pStyle w:val="Titrearticle"/>
        <w:rPr>
          <w:noProof/>
        </w:rPr>
      </w:pPr>
      <w:r>
        <w:rPr>
          <w:noProof/>
        </w:rPr>
        <w:t>Член 38</w:t>
      </w:r>
      <w:r>
        <w:rPr>
          <w:noProof/>
        </w:rPr>
        <w:br/>
        <w:t xml:space="preserve">Преходни разпоредби </w:t>
      </w:r>
    </w:p>
    <w:p w:rsidR="000B688B" w:rsidRDefault="00640F08">
      <w:pPr>
        <w:pStyle w:val="ManualNumPar1"/>
        <w:rPr>
          <w:rFonts w:eastAsia="Arial Unicode MS"/>
          <w:noProof/>
          <w:szCs w:val="24"/>
        </w:rPr>
      </w:pPr>
      <w:r>
        <w:t>1.</w:t>
      </w:r>
      <w:r>
        <w:tab/>
      </w:r>
      <w:r>
        <w:rPr>
          <w:noProof/>
        </w:rPr>
        <w:t>Настоящият регламент не засяга продължаването или изменението на съответните действия — до</w:t>
      </w:r>
      <w:r>
        <w:rPr>
          <w:noProof/>
        </w:rPr>
        <w:t xml:space="preserve"> тяхното приключване — съгласно [Регламента за Европейската програма за промишлено развитие в областта на отбраната], който продължава да се прилага за съответните действия до тяхното приключване. </w:t>
      </w:r>
    </w:p>
    <w:p w:rsidR="000B688B" w:rsidRDefault="00640F08">
      <w:pPr>
        <w:pStyle w:val="ManualNumPar1"/>
        <w:rPr>
          <w:rFonts w:eastAsia="Arial Unicode MS"/>
          <w:noProof/>
          <w:szCs w:val="24"/>
        </w:rPr>
      </w:pPr>
      <w:r>
        <w:t>2.</w:t>
      </w:r>
      <w:r>
        <w:tab/>
      </w:r>
      <w:r>
        <w:rPr>
          <w:noProof/>
        </w:rPr>
        <w:t>Финансовият пакет за фонда може да обхваща и разходи за</w:t>
      </w:r>
      <w:r>
        <w:rPr>
          <w:noProof/>
        </w:rPr>
        <w:t xml:space="preserve"> техническа и административна помощ, необходими, за да се гарантира преходът между фонда и мерките, приети съгласно нейните предшественици — [Регламента за Европейската програма за промишлено развитие в областта на отбраната], както и подготвителното дейст</w:t>
      </w:r>
      <w:r>
        <w:rPr>
          <w:noProof/>
        </w:rPr>
        <w:t>вие за научни изследвания в областта на отбраната.</w:t>
      </w:r>
    </w:p>
    <w:p w:rsidR="000B688B" w:rsidRDefault="00640F08">
      <w:pPr>
        <w:pStyle w:val="ManualNumPar1"/>
        <w:rPr>
          <w:noProof/>
          <w:szCs w:val="24"/>
        </w:rPr>
      </w:pPr>
      <w:r>
        <w:t>3.</w:t>
      </w:r>
      <w:r>
        <w:tab/>
      </w:r>
      <w:r>
        <w:rPr>
          <w:noProof/>
        </w:rPr>
        <w:t>Ако е необходимо, в бюджета могат да се записват бюджетни кредити за поети задължения след 2027 г. за покриване на разходите, предвидени в член 4, параграф 4, с цел да се гарантира управлението на дейст</w:t>
      </w:r>
      <w:r>
        <w:rPr>
          <w:noProof/>
        </w:rPr>
        <w:t>вията, които не са приключили до 31 декември 2027 г.</w:t>
      </w:r>
    </w:p>
    <w:p w:rsidR="000B688B" w:rsidRDefault="00640F08">
      <w:pPr>
        <w:pStyle w:val="Titrearticle"/>
        <w:rPr>
          <w:noProof/>
        </w:rPr>
      </w:pPr>
      <w:r>
        <w:rPr>
          <w:noProof/>
        </w:rPr>
        <w:t>Член 39</w:t>
      </w:r>
      <w:r>
        <w:rPr>
          <w:noProof/>
        </w:rPr>
        <w:br/>
        <w:t>Влизане в сила</w:t>
      </w:r>
    </w:p>
    <w:p w:rsidR="000B688B" w:rsidRDefault="00640F08">
      <w:pPr>
        <w:rPr>
          <w:noProof/>
          <w:szCs w:val="24"/>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 Той се прилага от 1 януари 2021 г.</w:t>
      </w:r>
    </w:p>
    <w:p w:rsidR="000B688B" w:rsidRDefault="00640F08">
      <w:pPr>
        <w:pStyle w:val="Applicationdirecte"/>
        <w:spacing w:before="0"/>
        <w:rPr>
          <w:noProof/>
          <w:szCs w:val="24"/>
        </w:rPr>
      </w:pPr>
      <w:r>
        <w:rPr>
          <w:noProof/>
        </w:rPr>
        <w:t>Настоящият регламент е зад</w:t>
      </w:r>
      <w:r>
        <w:rPr>
          <w:noProof/>
        </w:rPr>
        <w:t>ължителен в своята цялост и се прилага пряко във всички държави членки.</w:t>
      </w:r>
    </w:p>
    <w:p w:rsidR="000B688B" w:rsidRDefault="00640F08" w:rsidP="00640F08">
      <w:pPr>
        <w:pStyle w:val="Fait"/>
        <w:rPr>
          <w:noProof/>
        </w:rPr>
      </w:pPr>
      <w:r w:rsidRPr="00640F08">
        <w:t xml:space="preserve">Съставено в Брюксел на </w:t>
      </w:r>
      <w:r w:rsidRPr="00640F08">
        <w:rPr>
          <w:rStyle w:val="Marker"/>
        </w:rPr>
        <w:t>[…]</w:t>
      </w:r>
      <w:r w:rsidRPr="00640F08">
        <w:t xml:space="preserve"> година.</w:t>
      </w:r>
    </w:p>
    <w:p w:rsidR="000B688B" w:rsidRDefault="00640F08">
      <w:pPr>
        <w:pStyle w:val="Institutionquisigne"/>
        <w:tabs>
          <w:tab w:val="clear" w:pos="4252"/>
          <w:tab w:val="left" w:pos="5387"/>
        </w:tabs>
        <w:rPr>
          <w:noProof/>
          <w:szCs w:val="24"/>
        </w:rPr>
      </w:pPr>
      <w:r>
        <w:rPr>
          <w:noProof/>
        </w:rPr>
        <w:t>За Европейския парламент</w:t>
      </w:r>
      <w:r>
        <w:rPr>
          <w:noProof/>
        </w:rPr>
        <w:tab/>
        <w:t>За Съвета</w:t>
      </w:r>
    </w:p>
    <w:p w:rsidR="000B688B" w:rsidRDefault="00640F08">
      <w:pPr>
        <w:pStyle w:val="Personnequisigne"/>
        <w:tabs>
          <w:tab w:val="clear" w:pos="4252"/>
          <w:tab w:val="left" w:pos="5387"/>
        </w:tabs>
        <w:rPr>
          <w:noProof/>
          <w:szCs w:val="24"/>
        </w:rPr>
      </w:pPr>
      <w:r>
        <w:rPr>
          <w:noProof/>
        </w:rPr>
        <w:t>Председател</w:t>
      </w:r>
      <w:r>
        <w:rPr>
          <w:noProof/>
        </w:rPr>
        <w:tab/>
        <w:t>Председател</w:t>
      </w:r>
    </w:p>
    <w:p w:rsidR="000B688B" w:rsidRDefault="000B688B">
      <w:pPr>
        <w:rPr>
          <w:noProof/>
        </w:rPr>
        <w:sectPr w:rsidR="000B688B" w:rsidSect="00640F08">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rsidR="000B688B" w:rsidRDefault="00640F08">
      <w:pPr>
        <w:pStyle w:val="Fichefinanciretitre"/>
        <w:rPr>
          <w:noProof/>
        </w:rPr>
      </w:pPr>
      <w:r>
        <w:rPr>
          <w:noProof/>
        </w:rPr>
        <w:t xml:space="preserve">ЗАКОНОДАТЕЛНА ФИНАНСОВА </w:t>
      </w:r>
      <w:r>
        <w:rPr>
          <w:noProof/>
        </w:rPr>
        <w:t>ОБОСНОВКА</w:t>
      </w:r>
    </w:p>
    <w:p w:rsidR="000B688B" w:rsidRDefault="00640F08">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rsidR="000B688B" w:rsidRDefault="00640F08">
      <w:pPr>
        <w:keepNext/>
        <w:tabs>
          <w:tab w:val="left" w:pos="850"/>
        </w:tabs>
        <w:ind w:left="850" w:hanging="850"/>
        <w:outlineLvl w:val="1"/>
        <w:rPr>
          <w:noProof/>
        </w:rPr>
      </w:pPr>
      <w:r>
        <w:rPr>
          <w:noProof/>
        </w:rPr>
        <w:tab/>
        <w:t>1.1.</w:t>
      </w:r>
      <w:r>
        <w:rPr>
          <w:noProof/>
        </w:rPr>
        <w:tab/>
        <w:t xml:space="preserve">Наименование на предложението/инициативата </w:t>
      </w:r>
    </w:p>
    <w:p w:rsidR="000B688B" w:rsidRDefault="00640F08">
      <w:pPr>
        <w:keepNext/>
        <w:tabs>
          <w:tab w:val="left" w:pos="850"/>
        </w:tabs>
        <w:ind w:left="850" w:hanging="850"/>
        <w:outlineLvl w:val="1"/>
        <w:rPr>
          <w:noProof/>
        </w:rPr>
      </w:pPr>
      <w:r>
        <w:rPr>
          <w:noProof/>
        </w:rPr>
        <w:tab/>
        <w:t>1.2.</w:t>
      </w:r>
      <w:r>
        <w:rPr>
          <w:noProof/>
        </w:rPr>
        <w:tab/>
        <w:t xml:space="preserve">Съответни области на политиката </w:t>
      </w:r>
      <w:r>
        <w:rPr>
          <w:i/>
          <w:noProof/>
        </w:rPr>
        <w:t>(програмен клъстер)</w:t>
      </w:r>
    </w:p>
    <w:p w:rsidR="000B688B" w:rsidRDefault="00640F08">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rsidR="000B688B" w:rsidRDefault="00640F08">
      <w:pPr>
        <w:keepNext/>
        <w:tabs>
          <w:tab w:val="left" w:pos="850"/>
        </w:tabs>
        <w:ind w:left="850" w:hanging="850"/>
        <w:outlineLvl w:val="1"/>
        <w:rPr>
          <w:noProof/>
        </w:rPr>
      </w:pPr>
      <w:r>
        <w:rPr>
          <w:noProof/>
        </w:rPr>
        <w:tab/>
        <w:t>1.4.</w:t>
      </w:r>
      <w:r>
        <w:rPr>
          <w:noProof/>
        </w:rPr>
        <w:tab/>
        <w:t xml:space="preserve">Мотиви за предложението/инициативата </w:t>
      </w:r>
    </w:p>
    <w:p w:rsidR="000B688B" w:rsidRDefault="00640F08">
      <w:pPr>
        <w:keepNext/>
        <w:tabs>
          <w:tab w:val="left" w:pos="850"/>
        </w:tabs>
        <w:ind w:left="850" w:hanging="850"/>
        <w:outlineLvl w:val="1"/>
        <w:rPr>
          <w:noProof/>
        </w:rPr>
      </w:pPr>
      <w:r>
        <w:rPr>
          <w:noProof/>
        </w:rPr>
        <w:tab/>
        <w:t>1.5.</w:t>
      </w:r>
      <w:r>
        <w:rPr>
          <w:noProof/>
        </w:rPr>
        <w:tab/>
      </w:r>
      <w:r>
        <w:rPr>
          <w:noProof/>
        </w:rPr>
        <w:t xml:space="preserve">Срок на действие и финансово отражение </w:t>
      </w:r>
    </w:p>
    <w:p w:rsidR="000B688B" w:rsidRDefault="00640F08">
      <w:pPr>
        <w:keepNext/>
        <w:tabs>
          <w:tab w:val="left" w:pos="850"/>
        </w:tabs>
        <w:ind w:left="850" w:hanging="850"/>
        <w:outlineLvl w:val="1"/>
        <w:rPr>
          <w:noProof/>
        </w:rPr>
      </w:pPr>
      <w:r>
        <w:rPr>
          <w:noProof/>
        </w:rPr>
        <w:tab/>
        <w:t>1.6.</w:t>
      </w:r>
      <w:r>
        <w:rPr>
          <w:noProof/>
        </w:rPr>
        <w:tab/>
        <w:t xml:space="preserve">Планирани методи на управление </w:t>
      </w:r>
    </w:p>
    <w:p w:rsidR="000B688B" w:rsidRDefault="00640F08">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rsidR="000B688B" w:rsidRDefault="00640F08">
      <w:pPr>
        <w:keepNext/>
        <w:tabs>
          <w:tab w:val="left" w:pos="850"/>
        </w:tabs>
        <w:ind w:left="850" w:hanging="850"/>
        <w:outlineLvl w:val="1"/>
        <w:rPr>
          <w:noProof/>
        </w:rPr>
      </w:pPr>
      <w:r>
        <w:rPr>
          <w:noProof/>
        </w:rPr>
        <w:tab/>
        <w:t>2.1.</w:t>
      </w:r>
      <w:r>
        <w:rPr>
          <w:noProof/>
        </w:rPr>
        <w:tab/>
        <w:t xml:space="preserve">Правила за мониторинг и докладване </w:t>
      </w:r>
    </w:p>
    <w:p w:rsidR="000B688B" w:rsidRDefault="00640F08">
      <w:pPr>
        <w:keepNext/>
        <w:tabs>
          <w:tab w:val="left" w:pos="850"/>
        </w:tabs>
        <w:ind w:left="850" w:hanging="850"/>
        <w:outlineLvl w:val="1"/>
        <w:rPr>
          <w:noProof/>
        </w:rPr>
      </w:pPr>
      <w:r>
        <w:rPr>
          <w:noProof/>
        </w:rPr>
        <w:tab/>
        <w:t>2.2.</w:t>
      </w:r>
      <w:r>
        <w:rPr>
          <w:noProof/>
        </w:rPr>
        <w:tab/>
        <w:t xml:space="preserve">Система за управление и контрол </w:t>
      </w:r>
    </w:p>
    <w:p w:rsidR="000B688B" w:rsidRDefault="00640F08">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rsidR="000B688B" w:rsidRDefault="00640F08">
      <w:pPr>
        <w:keepNext/>
        <w:tabs>
          <w:tab w:val="left" w:pos="850"/>
        </w:tabs>
        <w:spacing w:before="360"/>
        <w:ind w:left="850" w:hanging="850"/>
        <w:outlineLvl w:val="0"/>
        <w:rPr>
          <w:b/>
          <w:smallCaps/>
          <w:noProof/>
        </w:rPr>
      </w:pPr>
      <w:r>
        <w:rPr>
          <w:b/>
          <w:smallCaps/>
          <w:noProof/>
        </w:rPr>
        <w:t>3.</w:t>
      </w:r>
      <w:r>
        <w:rPr>
          <w:noProof/>
        </w:rPr>
        <w:tab/>
      </w:r>
      <w:r>
        <w:rPr>
          <w:b/>
          <w:smallCaps/>
          <w:noProof/>
        </w:rPr>
        <w:t>ОЧАКВАНО ФИНАНС</w:t>
      </w:r>
      <w:r>
        <w:rPr>
          <w:b/>
          <w:smallCaps/>
          <w:noProof/>
        </w:rPr>
        <w:t xml:space="preserve">ОВО ОТРАЖЕНИЕ НА ПРЕДЛОЖЕНИЕТО/ИНИЦИАТИВАТА </w:t>
      </w:r>
    </w:p>
    <w:p w:rsidR="000B688B" w:rsidRDefault="00640F08">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rsidR="000B688B" w:rsidRDefault="00640F08">
      <w:pPr>
        <w:keepNext/>
        <w:tabs>
          <w:tab w:val="left" w:pos="850"/>
        </w:tabs>
        <w:ind w:left="850" w:hanging="850"/>
        <w:outlineLvl w:val="1"/>
        <w:rPr>
          <w:b/>
          <w:noProof/>
        </w:rPr>
      </w:pPr>
      <w:r>
        <w:rPr>
          <w:noProof/>
        </w:rPr>
        <w:tab/>
        <w:t>3.2.</w:t>
      </w:r>
      <w:r>
        <w:rPr>
          <w:noProof/>
        </w:rPr>
        <w:tab/>
        <w:t>Очаквано отражение върху разходите</w:t>
      </w:r>
      <w:r>
        <w:rPr>
          <w:b/>
          <w:noProof/>
        </w:rPr>
        <w:t xml:space="preserve"> </w:t>
      </w:r>
    </w:p>
    <w:p w:rsidR="000B688B" w:rsidRDefault="00640F08">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rsidR="000B688B" w:rsidRDefault="00640F08">
      <w:pPr>
        <w:keepNext/>
        <w:tabs>
          <w:tab w:val="left" w:pos="850"/>
        </w:tabs>
        <w:ind w:left="850" w:hanging="850"/>
        <w:outlineLvl w:val="2"/>
        <w:rPr>
          <w:i/>
          <w:noProof/>
        </w:rPr>
      </w:pPr>
      <w:r>
        <w:rPr>
          <w:noProof/>
        </w:rPr>
        <w:tab/>
      </w:r>
      <w:r>
        <w:rPr>
          <w:i/>
          <w:noProof/>
        </w:rPr>
        <w:t>3.2.2.</w:t>
      </w:r>
      <w:r>
        <w:rPr>
          <w:noProof/>
        </w:rPr>
        <w:tab/>
      </w:r>
      <w:r>
        <w:rPr>
          <w:i/>
          <w:noProof/>
        </w:rPr>
        <w:t>Очаквано отражен</w:t>
      </w:r>
      <w:r>
        <w:rPr>
          <w:i/>
          <w:noProof/>
        </w:rPr>
        <w:t>ие върху бюджетните кредити за административни разходи</w:t>
      </w:r>
    </w:p>
    <w:p w:rsidR="000B688B" w:rsidRDefault="00640F08">
      <w:pPr>
        <w:keepNext/>
        <w:tabs>
          <w:tab w:val="left" w:pos="850"/>
        </w:tabs>
        <w:ind w:left="850" w:hanging="850"/>
        <w:outlineLvl w:val="2"/>
        <w:rPr>
          <w:i/>
          <w:noProof/>
        </w:rPr>
      </w:pPr>
      <w:r>
        <w:rPr>
          <w:noProof/>
        </w:rPr>
        <w:tab/>
      </w:r>
      <w:r>
        <w:rPr>
          <w:i/>
          <w:noProof/>
        </w:rPr>
        <w:t>3.2.3.</w:t>
      </w:r>
      <w:r>
        <w:rPr>
          <w:noProof/>
        </w:rPr>
        <w:tab/>
      </w:r>
      <w:r>
        <w:rPr>
          <w:i/>
          <w:noProof/>
        </w:rPr>
        <w:t xml:space="preserve">Финансов принос от трети страни </w:t>
      </w:r>
    </w:p>
    <w:p w:rsidR="000B688B" w:rsidRDefault="00640F08">
      <w:pPr>
        <w:keepNext/>
        <w:tabs>
          <w:tab w:val="left" w:pos="850"/>
        </w:tabs>
        <w:ind w:left="850" w:hanging="850"/>
        <w:jc w:val="left"/>
        <w:outlineLvl w:val="1"/>
        <w:rPr>
          <w:noProof/>
        </w:rPr>
        <w:sectPr w:rsidR="000B688B" w:rsidSect="00640F08">
          <w:pgSz w:w="11907" w:h="16840" w:code="9"/>
          <w:pgMar w:top="709" w:right="992" w:bottom="851" w:left="993" w:header="709" w:footer="709" w:gutter="0"/>
          <w:pgNumType w:start="1"/>
          <w:cols w:space="720"/>
          <w:docGrid w:linePitch="360"/>
        </w:sectPr>
      </w:pPr>
      <w:r>
        <w:rPr>
          <w:noProof/>
        </w:rPr>
        <w:tab/>
        <w:t>3.3.</w:t>
      </w:r>
      <w:r>
        <w:rPr>
          <w:noProof/>
        </w:rPr>
        <w:tab/>
        <w:t>Очаквано отражение върху приходите</w:t>
      </w:r>
    </w:p>
    <w:p w:rsidR="000B688B" w:rsidRDefault="00640F08">
      <w:pPr>
        <w:jc w:val="center"/>
        <w:rPr>
          <w:b/>
          <w:noProof/>
          <w:u w:val="single"/>
        </w:rPr>
      </w:pPr>
      <w:r>
        <w:rPr>
          <w:b/>
          <w:noProof/>
          <w:u w:val="single"/>
        </w:rPr>
        <w:t>ЗАКОНОДАТЕЛНА ФИНАНСОВА ОБОСНОВКА</w:t>
      </w:r>
    </w:p>
    <w:p w:rsidR="000B688B" w:rsidRDefault="00640F08">
      <w:pPr>
        <w:pStyle w:val="ManualHeading1"/>
        <w:rPr>
          <w:noProof/>
        </w:rPr>
      </w:pPr>
      <w:r>
        <w:t>1.</w:t>
      </w:r>
      <w:r>
        <w:tab/>
      </w:r>
      <w:r>
        <w:rPr>
          <w:noProof/>
        </w:rPr>
        <w:t xml:space="preserve">РАМКА НА ПРЕДЛОЖЕНИЕТО/ИНИЦИАТИВАТА </w:t>
      </w:r>
    </w:p>
    <w:p w:rsidR="000B688B" w:rsidRDefault="00640F08">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0B688B" w:rsidRDefault="00640F08">
      <w:pPr>
        <w:ind w:left="850"/>
        <w:rPr>
          <w:noProof/>
          <w:color w:val="0000FF"/>
        </w:rPr>
      </w:pPr>
      <w:r>
        <w:rPr>
          <w:noProof/>
          <w:color w:val="0000FF"/>
        </w:rPr>
        <w:t>Предложение за Регламент на Европейския парламент и на Съвета за създаване на Европейски фонд за отбрана за периода 2021—2027 г.</w:t>
      </w:r>
    </w:p>
    <w:p w:rsidR="000B688B" w:rsidRDefault="00640F08">
      <w:pPr>
        <w:pStyle w:val="ManualHeading2"/>
        <w:rPr>
          <w:noProof/>
          <w:szCs w:val="24"/>
        </w:rPr>
      </w:pPr>
      <w:r>
        <w:t>1.2.</w:t>
      </w:r>
      <w:r>
        <w:tab/>
      </w:r>
      <w:r>
        <w:rPr>
          <w:noProof/>
        </w:rPr>
        <w:t xml:space="preserve">Съответни области на политиката </w:t>
      </w:r>
      <w:r>
        <w:rPr>
          <w:i/>
          <w:noProof/>
        </w:rPr>
        <w:t>(програмен клъстер)</w:t>
      </w:r>
    </w:p>
    <w:p w:rsidR="000B688B" w:rsidRDefault="00640F08">
      <w:pPr>
        <w:ind w:left="850"/>
        <w:rPr>
          <w:noProof/>
          <w:color w:val="0000FF"/>
        </w:rPr>
      </w:pPr>
      <w:r>
        <w:rPr>
          <w:noProof/>
          <w:color w:val="0000FF"/>
        </w:rPr>
        <w:t>Сигурност и отбрана</w:t>
      </w:r>
    </w:p>
    <w:p w:rsidR="000B688B" w:rsidRDefault="00640F08">
      <w:pPr>
        <w:pStyle w:val="ManualHeading2"/>
        <w:rPr>
          <w:noProof/>
          <w:szCs w:val="24"/>
        </w:rPr>
      </w:pPr>
      <w:r>
        <w:t>1.3.</w:t>
      </w:r>
      <w:r>
        <w:tab/>
      </w:r>
      <w:r>
        <w:rPr>
          <w:noProof/>
        </w:rPr>
        <w:t>П</w:t>
      </w:r>
      <w:r>
        <w:rPr>
          <w:noProof/>
        </w:rPr>
        <w:t xml:space="preserve">редложението/инициативата е във връзка с: </w:t>
      </w:r>
    </w:p>
    <w:p w:rsidR="000B688B" w:rsidRDefault="00640F08">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rsidR="000B688B" w:rsidRDefault="00640F08">
      <w:pPr>
        <w:ind w:left="850"/>
        <w:rPr>
          <w:noProof/>
          <w:color w:val="0000FF"/>
        </w:rPr>
      </w:pPr>
      <w:r>
        <w:rPr>
          <w:noProof/>
          <w:sz w:val="22"/>
        </w:rPr>
        <w:sym w:font="Wingdings" w:char="F0FE"/>
      </w:r>
      <w:r>
        <w:rPr>
          <w:i/>
          <w:noProof/>
          <w:sz w:val="22"/>
        </w:rPr>
        <w:t xml:space="preserve"> </w:t>
      </w:r>
      <w:r>
        <w:rPr>
          <w:b/>
          <w:noProof/>
        </w:rPr>
        <w:t>ново действие след пилотен проект/подготвително действие</w:t>
      </w:r>
      <w:r>
        <w:rPr>
          <w:rStyle w:val="FootnoteReference"/>
          <w:noProof/>
        </w:rPr>
        <w:footnoteReference w:id="24"/>
      </w:r>
      <w:r>
        <w:rPr>
          <w:noProof/>
          <w:sz w:val="22"/>
        </w:rPr>
        <w:t xml:space="preserve"> </w:t>
      </w:r>
      <w:r>
        <w:rPr>
          <w:noProof/>
          <w:color w:val="0000FF"/>
        </w:rPr>
        <w:t xml:space="preserve">— за компонента на Европейския фонд за отбрана за приложни научни изследвания в областта на отбраната </w:t>
      </w:r>
    </w:p>
    <w:p w:rsidR="000B688B" w:rsidRDefault="00640F08">
      <w:pPr>
        <w:ind w:left="850"/>
        <w:rPr>
          <w:noProof/>
          <w:color w:val="0000FF"/>
        </w:rPr>
      </w:pPr>
      <w:r>
        <w:rPr>
          <w:noProof/>
          <w:sz w:val="22"/>
        </w:rPr>
        <w:sym w:font="Wingdings" w:char="F0FE"/>
      </w:r>
      <w:r>
        <w:rPr>
          <w:i/>
          <w:noProof/>
          <w:sz w:val="22"/>
        </w:rPr>
        <w:t xml:space="preserve"> </w:t>
      </w:r>
      <w:r>
        <w:rPr>
          <w:b/>
          <w:noProof/>
        </w:rPr>
        <w:t xml:space="preserve">продължаване на съществуващо </w:t>
      </w:r>
      <w:r>
        <w:rPr>
          <w:b/>
          <w:noProof/>
        </w:rPr>
        <w:t>действие</w:t>
      </w:r>
      <w:r>
        <w:rPr>
          <w:noProof/>
          <w:sz w:val="22"/>
        </w:rPr>
        <w:t xml:space="preserve"> </w:t>
      </w:r>
      <w:r>
        <w:rPr>
          <w:noProof/>
          <w:color w:val="0000FF"/>
        </w:rPr>
        <w:t xml:space="preserve"> — за компонента на Европейския фонд за отбрана за разработване на отбранителни способности</w:t>
      </w:r>
    </w:p>
    <w:p w:rsidR="000B688B" w:rsidRDefault="00640F08">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rsidR="000B688B" w:rsidRDefault="00640F08">
      <w:pPr>
        <w:pStyle w:val="ManualHeading2"/>
        <w:rPr>
          <w:noProof/>
          <w:szCs w:val="24"/>
        </w:rPr>
      </w:pPr>
      <w:r>
        <w:t>1.4.</w:t>
      </w:r>
      <w:r>
        <w:tab/>
      </w:r>
      <w:r>
        <w:rPr>
          <w:noProof/>
        </w:rPr>
        <w:t xml:space="preserve">Мотиви за предложението/инициативата </w:t>
      </w:r>
    </w:p>
    <w:p w:rsidR="000B688B" w:rsidRDefault="00640F08">
      <w:pPr>
        <w:pStyle w:val="ManualHeading3"/>
        <w:rPr>
          <w:noProof/>
        </w:rPr>
      </w:pPr>
      <w:r>
        <w:t>1.4.1.</w:t>
      </w:r>
      <w:r>
        <w:tab/>
      </w:r>
      <w:r>
        <w:rPr>
          <w:noProof/>
        </w:rPr>
        <w:t>Изисквания, които трябва</w:t>
      </w:r>
      <w:r>
        <w:rPr>
          <w:noProof/>
        </w:rPr>
        <w:t xml:space="preserve"> да бъдат изпълнени в краткосрочна или дългосрочна перспектива, включително подробен график за изпълнението на инициативата</w:t>
      </w:r>
    </w:p>
    <w:p w:rsidR="000B688B" w:rsidRDefault="00640F08">
      <w:pPr>
        <w:ind w:left="850"/>
        <w:rPr>
          <w:noProof/>
          <w:color w:val="0000FF"/>
        </w:rPr>
      </w:pPr>
      <w:r>
        <w:rPr>
          <w:noProof/>
          <w:color w:val="0000FF"/>
        </w:rPr>
        <w:t>Правното основание на законодателното предложение за създаване на Европейски фонд за отбрана са членове 173 (промишленост) и 182 (из</w:t>
      </w:r>
      <w:r>
        <w:rPr>
          <w:noProof/>
          <w:color w:val="0000FF"/>
        </w:rPr>
        <w:t>следователска дейност) от ДФЕС.  Общата цел на фонда е повишаване на конкурентоспособността на отбранителната промишленост.</w:t>
      </w:r>
    </w:p>
    <w:p w:rsidR="000B688B" w:rsidRDefault="00640F08">
      <w:pPr>
        <w:ind w:left="850"/>
        <w:rPr>
          <w:noProof/>
          <w:color w:val="0000FF"/>
        </w:rPr>
      </w:pPr>
      <w:r>
        <w:rPr>
          <w:noProof/>
          <w:color w:val="0000FF"/>
        </w:rPr>
        <w:t>Регламентът за Европейския фонд за отбрана ще даде възможност на Комисията да създаде програма за финансиране, която да се изпълнява</w:t>
      </w:r>
      <w:r>
        <w:rPr>
          <w:noProof/>
          <w:color w:val="0000FF"/>
        </w:rPr>
        <w:t xml:space="preserve"> предимно чрез безвъзмездни средства, отпускани след годишна покана за представяне на предложения, и в съответствие с работни програми, приети по процедурата на комитология.</w:t>
      </w:r>
    </w:p>
    <w:p w:rsidR="000B688B" w:rsidRDefault="00640F08">
      <w:pPr>
        <w:ind w:left="850"/>
        <w:rPr>
          <w:noProof/>
          <w:color w:val="0000FF"/>
        </w:rPr>
      </w:pPr>
      <w:r>
        <w:rPr>
          <w:noProof/>
          <w:color w:val="0000FF"/>
        </w:rPr>
        <w:t>Необходимо е да бъде подготвен пълен набор от процедури (финансови, правни, ИТ, въ</w:t>
      </w:r>
      <w:r>
        <w:rPr>
          <w:noProof/>
          <w:color w:val="0000FF"/>
        </w:rPr>
        <w:t xml:space="preserve">в връзка с обработката на чувствителна информация), документи и формуляри на база на опита, натрупан при изпълнението на Подготвителното действие във връзка с научни изследвания в областта на отбраната  (2016—2018 г.) и Европейската програма за промишлено </w:t>
      </w:r>
      <w:r>
        <w:rPr>
          <w:noProof/>
          <w:color w:val="0000FF"/>
        </w:rPr>
        <w:t>развитие в областта на отбраната (2019—2020 г.).</w:t>
      </w:r>
    </w:p>
    <w:p w:rsidR="000B688B" w:rsidRDefault="000B688B">
      <w:pPr>
        <w:ind w:left="850"/>
        <w:rPr>
          <w:noProof/>
          <w:color w:val="0000FF"/>
        </w:rPr>
      </w:pPr>
    </w:p>
    <w:p w:rsidR="000B688B" w:rsidRDefault="00640F08">
      <w:pPr>
        <w:pStyle w:val="ManualHeading3"/>
        <w:rPr>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w:t>
      </w:r>
      <w:r>
        <w:rPr>
          <w:noProof/>
        </w:rPr>
        <w:t>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0B688B" w:rsidRDefault="00640F08">
      <w:pPr>
        <w:ind w:left="850"/>
        <w:rPr>
          <w:noProof/>
        </w:rPr>
      </w:pPr>
      <w:r>
        <w:rPr>
          <w:noProof/>
        </w:rPr>
        <w:t>Основания за действие на европейско равнище (предварит</w:t>
      </w:r>
      <w:r>
        <w:rPr>
          <w:noProof/>
        </w:rPr>
        <w:t>елна оценка)</w:t>
      </w:r>
    </w:p>
    <w:p w:rsidR="000B688B" w:rsidRDefault="00640F08">
      <w:pPr>
        <w:ind w:left="850"/>
        <w:rPr>
          <w:noProof/>
          <w:color w:val="0000FF"/>
        </w:rPr>
      </w:pPr>
      <w:r>
        <w:rPr>
          <w:noProof/>
          <w:color w:val="0000FF"/>
        </w:rPr>
        <w:t>Научноизследователските проекти в отбраната понастоящем се управляват почти изключително на национално равнище, а етапът на изследвания и разработка е най-рисковият. Поради ограничените национални бюджетни средства тези етапи в болшинството дъ</w:t>
      </w:r>
      <w:r>
        <w:rPr>
          <w:noProof/>
          <w:color w:val="0000FF"/>
        </w:rPr>
        <w:t>ржави членки не получават финансиране, което води до зависимост от готови, вече разработени търговски продукти и от техните доставчици.</w:t>
      </w:r>
    </w:p>
    <w:p w:rsidR="000B688B" w:rsidRDefault="00640F08">
      <w:pPr>
        <w:ind w:left="850"/>
        <w:rPr>
          <w:noProof/>
          <w:color w:val="0000FF"/>
        </w:rPr>
      </w:pPr>
      <w:r>
        <w:rPr>
          <w:noProof/>
          <w:color w:val="0000FF"/>
        </w:rPr>
        <w:t>Европейският сектор на отбраната губи поради ниското равнище на инвестициите и се характеризира с фрагментарност по прот</w:t>
      </w:r>
      <w:r>
        <w:rPr>
          <w:noProof/>
          <w:color w:val="0000FF"/>
        </w:rPr>
        <w:t>ежение на националните граници, което поражда постоянно дублиране. Прегледът на състоянието на отбранителните промишлени сектори в отделни държави в Съюза разкрива нарастващи дефицити, остаряващи технологии и липса на нови програми, най-вече за сътрудничес</w:t>
      </w:r>
      <w:r>
        <w:rPr>
          <w:noProof/>
          <w:color w:val="0000FF"/>
        </w:rPr>
        <w:t>тво. Трансграничното сътрудничество може да допринесе за по-добро реализиране на ефектите от мащаба чрез намаляване на дублирането и създаване на възможности за разработване на необходимите продукти и технологии.</w:t>
      </w:r>
    </w:p>
    <w:p w:rsidR="000B688B" w:rsidRDefault="00640F08">
      <w:pPr>
        <w:ind w:left="850"/>
        <w:rPr>
          <w:noProof/>
          <w:color w:val="0000FF"/>
        </w:rPr>
      </w:pPr>
      <w:r>
        <w:rPr>
          <w:noProof/>
          <w:color w:val="0000FF"/>
        </w:rPr>
        <w:t xml:space="preserve">Липсата на координация и съгласуваност </w:t>
      </w:r>
      <w:r>
        <w:rPr>
          <w:noProof/>
          <w:color w:val="0000FF"/>
        </w:rPr>
        <w:t>между държавите членки също поставя европейската отбранителна промишленост в неизгодно конкурентно положение спрямо международните ѝ партньори, като същевременно продължава да бъде основен източник на разходи за националния бюджет и сериозна пречка за осъщ</w:t>
      </w:r>
      <w:r>
        <w:rPr>
          <w:noProof/>
          <w:color w:val="0000FF"/>
        </w:rPr>
        <w:t>ествяването на общата политика за сигурност и отбрана (ОПСО).</w:t>
      </w:r>
    </w:p>
    <w:p w:rsidR="000B688B" w:rsidRDefault="00640F08">
      <w:pPr>
        <w:ind w:left="850"/>
        <w:rPr>
          <w:noProof/>
        </w:rPr>
      </w:pPr>
      <w:r>
        <w:rPr>
          <w:noProof/>
        </w:rPr>
        <w:t>Очаквана генерирана добавена стойност от ЕС (ex-post)</w:t>
      </w:r>
    </w:p>
    <w:p w:rsidR="000B688B" w:rsidRDefault="00640F08">
      <w:pPr>
        <w:ind w:left="850"/>
        <w:rPr>
          <w:noProof/>
          <w:color w:val="0000FF"/>
        </w:rPr>
      </w:pPr>
      <w:r>
        <w:rPr>
          <w:noProof/>
          <w:color w:val="0000FF"/>
        </w:rPr>
        <w:t>Действията на равнището на Съюза ще осигурят добавена стойност чрез по-нататъшно насърчаване на промишленото сътрудничество в областта на от</w:t>
      </w:r>
      <w:r>
        <w:rPr>
          <w:noProof/>
          <w:color w:val="0000FF"/>
        </w:rPr>
        <w:t>браната чрез положителни стимули за иновациите, включително в технологии с революционен ефект, по отношение на проектите за приложни научни изследвания в отбраната и за разработването на продукти и технологии в областта на отбраната, които не могат да бъда</w:t>
      </w:r>
      <w:r>
        <w:rPr>
          <w:noProof/>
          <w:color w:val="0000FF"/>
        </w:rPr>
        <w:t>т реализирани на национално равнище поради разходите и свързаните с тях рискове.</w:t>
      </w:r>
    </w:p>
    <w:p w:rsidR="000B688B" w:rsidRDefault="00640F08">
      <w:pPr>
        <w:ind w:left="850"/>
        <w:rPr>
          <w:noProof/>
          <w:color w:val="0000FF"/>
        </w:rPr>
      </w:pPr>
      <w:r>
        <w:rPr>
          <w:noProof/>
          <w:color w:val="0000FF"/>
        </w:rPr>
        <w:t>Подкрепата на Европейския съюз ще даде възможност на отбранителната промишленост да насочи необходимите средства към проекти, които често надхвърлят възможностите на отделната</w:t>
      </w:r>
      <w:r>
        <w:rPr>
          <w:noProof/>
          <w:color w:val="0000FF"/>
        </w:rPr>
        <w:t xml:space="preserve"> държава: естеството на тези проекти и разходите за тях превръщат транснационалното сътрудничество в необходимост.</w:t>
      </w:r>
    </w:p>
    <w:p w:rsidR="000B688B" w:rsidRDefault="00640F08">
      <w:pPr>
        <w:ind w:left="850"/>
        <w:rPr>
          <w:noProof/>
        </w:rPr>
      </w:pPr>
      <w:r>
        <w:rPr>
          <w:noProof/>
          <w:color w:val="0000FF"/>
        </w:rPr>
        <w:t xml:space="preserve">Общите технически спецификации, които ще залегнат като нормативно изискване в регламента, ще благоприятстват приемането на общи стандарти за </w:t>
      </w:r>
      <w:r>
        <w:rPr>
          <w:noProof/>
          <w:color w:val="0000FF"/>
        </w:rPr>
        <w:t>държавите членки и техните промишлени сектори на отбраната, което ще доведе до по-добро и по-ефикасно сътрудничество.</w:t>
      </w:r>
    </w:p>
    <w:p w:rsidR="000B688B" w:rsidRDefault="00640F08">
      <w:pPr>
        <w:pStyle w:val="ManualHeading3"/>
        <w:rPr>
          <w:noProof/>
          <w:szCs w:val="24"/>
        </w:rPr>
      </w:pPr>
      <w:r>
        <w:t>1.4.3.</w:t>
      </w:r>
      <w:r>
        <w:tab/>
      </w:r>
      <w:r>
        <w:rPr>
          <w:noProof/>
        </w:rPr>
        <w:t>Изводи от подобен опит в миналото</w:t>
      </w:r>
    </w:p>
    <w:p w:rsidR="000B688B" w:rsidRDefault="00640F08">
      <w:pPr>
        <w:ind w:left="850"/>
        <w:rPr>
          <w:noProof/>
        </w:rPr>
      </w:pPr>
      <w:r>
        <w:rPr>
          <w:noProof/>
          <w:color w:val="0000FF"/>
        </w:rPr>
        <w:t>Пилотното действие и подготвителното действие относно отбраната в рамките на компонента „Приложни</w:t>
      </w:r>
      <w:r>
        <w:rPr>
          <w:noProof/>
          <w:color w:val="0000FF"/>
        </w:rPr>
        <w:t xml:space="preserve"> научни изследвания“ и Европейската програма за промишлено развитие в областта на отбраната по компонента „Развитие на отбранителни способности“ са сходни с предлаганите действия: придобитият по тези програми опит, по-специално що се отнася до режима на уп</w:t>
      </w:r>
      <w:r>
        <w:rPr>
          <w:noProof/>
          <w:color w:val="0000FF"/>
        </w:rPr>
        <w:t>равление, се използва за определяне на механизма за управление и проследяване на Европейския фонд за отбрана.</w:t>
      </w:r>
    </w:p>
    <w:p w:rsidR="000B688B" w:rsidRDefault="00640F08">
      <w:pPr>
        <w:pStyle w:val="ManualHeading3"/>
        <w:rPr>
          <w:noProof/>
          <w:szCs w:val="24"/>
        </w:rPr>
      </w:pPr>
      <w:r>
        <w:t>1.4.</w:t>
      </w:r>
      <w:proofErr w:type="spellStart"/>
      <w:r>
        <w:t>4</w:t>
      </w:r>
      <w:proofErr w:type="spellEnd"/>
      <w:r>
        <w:t>.</w:t>
      </w:r>
      <w:r>
        <w:tab/>
      </w:r>
      <w:r>
        <w:rPr>
          <w:noProof/>
        </w:rPr>
        <w:t>Съгласуваност и евентуална синергия с други актове</w:t>
      </w:r>
    </w:p>
    <w:p w:rsidR="000B688B" w:rsidRDefault="00640F08">
      <w:pPr>
        <w:ind w:left="850"/>
        <w:rPr>
          <w:noProof/>
          <w:color w:val="0000FF"/>
        </w:rPr>
      </w:pPr>
      <w:r>
        <w:rPr>
          <w:noProof/>
          <w:color w:val="0000FF"/>
        </w:rPr>
        <w:t xml:space="preserve">Ще се търсят синергии с други програми за научни изследвания и иновации, изпълнявани от </w:t>
      </w:r>
      <w:r>
        <w:rPr>
          <w:noProof/>
          <w:color w:val="0000FF"/>
        </w:rPr>
        <w:t>други дирекции на Европейската комисия:</w:t>
      </w:r>
    </w:p>
    <w:p w:rsidR="000B688B" w:rsidRDefault="00640F08">
      <w:pPr>
        <w:ind w:left="850"/>
        <w:rPr>
          <w:noProof/>
          <w:color w:val="0000FF"/>
        </w:rPr>
      </w:pPr>
      <w:r>
        <w:rPr>
          <w:noProof/>
          <w:color w:val="0000FF"/>
        </w:rPr>
        <w:t>- проектите, които ще бъдат финансирани от Европейския фонд за отбрана, могат да извлекат ползи от резултатите от проекти за граждански научни изследвания или такива с двойна употреба, финансирани по „Хоризонт Европа</w:t>
      </w:r>
      <w:r>
        <w:rPr>
          <w:noProof/>
          <w:color w:val="0000FF"/>
        </w:rPr>
        <w:t>“, например в сферата на въздушния и водния транспорт.</w:t>
      </w:r>
    </w:p>
    <w:p w:rsidR="000B688B" w:rsidRDefault="00640F08">
      <w:pPr>
        <w:ind w:left="850"/>
        <w:rPr>
          <w:noProof/>
          <w:color w:val="0000FF"/>
        </w:rPr>
      </w:pPr>
      <w:r>
        <w:rPr>
          <w:noProof/>
          <w:color w:val="0000FF"/>
        </w:rPr>
        <w:t>- очаква се също така реципрочно действие, в случаите когато проектите, финансирани по „Хоризонт Европа“, могат да извлекат ползи от резултати от проекти, подкрепени от Европейския фонд за отбрана:  ту</w:t>
      </w:r>
      <w:r>
        <w:rPr>
          <w:noProof/>
          <w:color w:val="0000FF"/>
        </w:rPr>
        <w:t>к е отразен опитът на САЩ от Агенцията за авангардни научни изследвания в отбраната (DARPA), който показва, че резултатите от проекти в сферата на отбраната са в полза на гражданския сектор. Европейският фонд за отбрана може да окаже влияние върху редица с</w:t>
      </w:r>
      <w:r>
        <w:rPr>
          <w:noProof/>
          <w:color w:val="0000FF"/>
        </w:rPr>
        <w:t>ектори, сред които транспортът, комуникациите, енергетиката и много други.</w:t>
      </w:r>
    </w:p>
    <w:p w:rsidR="000B688B" w:rsidRDefault="00640F08">
      <w:pPr>
        <w:ind w:left="850"/>
        <w:rPr>
          <w:noProof/>
          <w:color w:val="0000FF"/>
        </w:rPr>
      </w:pPr>
      <w:r>
        <w:rPr>
          <w:noProof/>
          <w:color w:val="0000FF"/>
        </w:rPr>
        <w:t>С цел да се постигне в максимална степен синергия и координация на програмите за научни изследвания и иновации възвращаемостта на инвестициите и съгласуваността ще се гарантират чре</w:t>
      </w:r>
      <w:r>
        <w:rPr>
          <w:noProof/>
          <w:color w:val="0000FF"/>
        </w:rPr>
        <w:t xml:space="preserve">з ефикасно сътрудничество. </w:t>
      </w:r>
    </w:p>
    <w:p w:rsidR="000B688B" w:rsidRDefault="00640F08">
      <w:pPr>
        <w:keepNext/>
        <w:outlineLvl w:val="1"/>
        <w:rPr>
          <w:rFonts w:eastAsiaTheme="majorEastAsia"/>
          <w:b/>
          <w:noProof/>
          <w:szCs w:val="24"/>
        </w:rPr>
      </w:pPr>
      <w:r>
        <w:rPr>
          <w:noProof/>
        </w:rPr>
        <w:br w:type="page"/>
      </w:r>
      <w:r>
        <w:rPr>
          <w:rFonts w:eastAsiaTheme="majorEastAsia"/>
          <w:b/>
          <w:noProof/>
        </w:rPr>
        <w:t xml:space="preserve">Срок на действие и финансово отражение </w:t>
      </w:r>
    </w:p>
    <w:p w:rsidR="000B688B" w:rsidRDefault="00640F08">
      <w:pPr>
        <w:ind w:left="850"/>
        <w:rPr>
          <w:noProof/>
        </w:rPr>
      </w:pPr>
      <w:r>
        <w:rPr>
          <w:noProof/>
        </w:rPr>
        <w:sym w:font="Wingdings" w:char="F0FE"/>
      </w:r>
      <w:r>
        <w:rPr>
          <w:b/>
          <w:i/>
          <w:noProof/>
        </w:rPr>
        <w:t xml:space="preserve"> </w:t>
      </w:r>
      <w:r>
        <w:rPr>
          <w:b/>
          <w:noProof/>
        </w:rPr>
        <w:t xml:space="preserve">ограничен срок на действие </w:t>
      </w:r>
    </w:p>
    <w:p w:rsidR="000B688B" w:rsidRDefault="00640F08">
      <w:pPr>
        <w:pStyle w:val="Text2"/>
        <w:rPr>
          <w:noProof/>
        </w:rPr>
      </w:pPr>
      <w:r>
        <w:rPr>
          <w:noProof/>
        </w:rPr>
        <w:sym w:font="Wingdings" w:char="F0FE"/>
      </w:r>
      <w:r>
        <w:rPr>
          <w:noProof/>
        </w:rPr>
        <w:tab/>
        <w:t xml:space="preserve">в сила от </w:t>
      </w:r>
      <w:r>
        <w:t>1.</w:t>
      </w:r>
      <w:proofErr w:type="spellStart"/>
      <w:r>
        <w:t>1</w:t>
      </w:r>
      <w:proofErr w:type="spellEnd"/>
      <w:r>
        <w:t>.2021 г. до 31.12.2027 г.</w:t>
      </w:r>
    </w:p>
    <w:p w:rsidR="000B688B" w:rsidRDefault="00640F08">
      <w:pPr>
        <w:pStyle w:val="Text2"/>
        <w:rPr>
          <w:noProof/>
        </w:rPr>
      </w:pPr>
      <w:r>
        <w:rPr>
          <w:noProof/>
        </w:rPr>
        <w:sym w:font="Wingdings" w:char="F0FE"/>
      </w:r>
      <w:r>
        <w:rPr>
          <w:noProof/>
        </w:rPr>
        <w:tab/>
        <w:t xml:space="preserve">Финансово отражение от </w:t>
      </w:r>
      <w:r>
        <w:t>1.</w:t>
      </w:r>
      <w:proofErr w:type="spellStart"/>
      <w:r>
        <w:t>1</w:t>
      </w:r>
      <w:proofErr w:type="spellEnd"/>
      <w:r>
        <w:t>.2021 г. до 31.12.2027 г.</w:t>
      </w:r>
      <w:r>
        <w:rPr>
          <w:noProof/>
        </w:rPr>
        <w:t xml:space="preserve"> за бюджетни кредити за поети задължения и от </w:t>
      </w:r>
      <w:r>
        <w:t>1.</w:t>
      </w:r>
      <w:proofErr w:type="spellStart"/>
      <w:r>
        <w:t>1</w:t>
      </w:r>
      <w:proofErr w:type="spellEnd"/>
      <w:r>
        <w:t>.2021 г. до 31</w:t>
      </w:r>
      <w:r>
        <w:t>.12.2033 г.</w:t>
      </w:r>
      <w:r>
        <w:rPr>
          <w:noProof/>
        </w:rPr>
        <w:t xml:space="preserve"> за бюджетни кредити за плащания. </w:t>
      </w:r>
    </w:p>
    <w:p w:rsidR="000B688B" w:rsidRDefault="00640F08">
      <w:pPr>
        <w:ind w:left="850"/>
        <w:rPr>
          <w:noProof/>
        </w:rPr>
      </w:pPr>
      <w:r>
        <w:rPr>
          <w:noProof/>
        </w:rPr>
        <w:sym w:font="Wingdings" w:char="F0A8"/>
      </w:r>
      <w:r>
        <w:rPr>
          <w:b/>
          <w:i/>
          <w:noProof/>
        </w:rPr>
        <w:t xml:space="preserve"> </w:t>
      </w:r>
      <w:r>
        <w:rPr>
          <w:b/>
          <w:noProof/>
        </w:rPr>
        <w:t>неограничен срок на действие</w:t>
      </w:r>
    </w:p>
    <w:p w:rsidR="000B688B" w:rsidRDefault="00640F08">
      <w:pPr>
        <w:tabs>
          <w:tab w:val="num" w:pos="1134"/>
        </w:tabs>
        <w:ind w:left="1134" w:hanging="283"/>
        <w:rPr>
          <w:rFonts w:eastAsia="Times New Roman"/>
          <w:noProof/>
        </w:rPr>
      </w:pPr>
      <w:r>
        <w:rPr>
          <w:noProof/>
        </w:rPr>
        <w:t>Изпълнение с период на започване на дейност от ГГГГ до ГГГГ,</w:t>
      </w:r>
    </w:p>
    <w:p w:rsidR="000B688B" w:rsidRDefault="00640F08">
      <w:pPr>
        <w:tabs>
          <w:tab w:val="num" w:pos="1134"/>
        </w:tabs>
        <w:ind w:left="1134" w:hanging="283"/>
        <w:rPr>
          <w:rFonts w:eastAsia="Times New Roman"/>
          <w:noProof/>
        </w:rPr>
      </w:pPr>
      <w:r>
        <w:rPr>
          <w:noProof/>
        </w:rPr>
        <w:t>последван от функциониране с пълен капацитет.</w:t>
      </w:r>
    </w:p>
    <w:p w:rsidR="000B688B" w:rsidRDefault="00640F08">
      <w:pPr>
        <w:keepNext/>
        <w:outlineLvl w:val="1"/>
        <w:rPr>
          <w:rFonts w:eastAsiaTheme="majorEastAsia"/>
          <w:b/>
          <w:noProof/>
          <w:szCs w:val="24"/>
        </w:rPr>
      </w:pPr>
      <w:r>
        <w:rPr>
          <w:rFonts w:eastAsiaTheme="majorEastAsia"/>
          <w:b/>
          <w:noProof/>
        </w:rPr>
        <w:t>Планирани методи на управление</w:t>
      </w:r>
      <w:r>
        <w:rPr>
          <w:rStyle w:val="FootnoteReference"/>
          <w:noProof/>
        </w:rPr>
        <w:footnoteReference w:id="25"/>
      </w:r>
      <w:r>
        <w:rPr>
          <w:rFonts w:eastAsiaTheme="majorEastAsia"/>
          <w:b/>
          <w:noProof/>
          <w:vertAlign w:val="superscript"/>
        </w:rPr>
        <w:t xml:space="preserve"> </w:t>
      </w:r>
    </w:p>
    <w:p w:rsidR="000B688B" w:rsidRDefault="00640F08">
      <w:pPr>
        <w:ind w:left="850"/>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0B688B" w:rsidRDefault="00640F08">
      <w:pPr>
        <w:pStyle w:val="Text2"/>
        <w:rPr>
          <w:rFonts w:cs="EUAlbertina"/>
          <w:noProof/>
        </w:rPr>
      </w:pPr>
      <w:r>
        <w:rPr>
          <w:noProof/>
        </w:rPr>
        <w:sym w:font="Wingdings" w:char="F0FE"/>
      </w:r>
      <w:r>
        <w:rPr>
          <w:noProof/>
        </w:rPr>
        <w:t xml:space="preserve"> от не</w:t>
      </w:r>
      <w:r>
        <w:rPr>
          <w:noProof/>
        </w:rPr>
        <w:t xml:space="preserve">йните служби, включително от нейния персонал в делегациите на Съюза; </w:t>
      </w:r>
    </w:p>
    <w:p w:rsidR="000B688B" w:rsidRDefault="00640F08">
      <w:pPr>
        <w:pStyle w:val="Text2"/>
        <w:rPr>
          <w:rFonts w:eastAsia="Times New Roman"/>
          <w:noProof/>
        </w:rPr>
      </w:pPr>
      <w:r>
        <w:rPr>
          <w:noProof/>
        </w:rPr>
        <w:sym w:font="Wingdings" w:char="F0FE"/>
      </w:r>
      <w:r>
        <w:rPr>
          <w:noProof/>
        </w:rPr>
        <w:t xml:space="preserve"> от изпълнителните агенции.</w:t>
      </w:r>
    </w:p>
    <w:p w:rsidR="000B688B" w:rsidRDefault="00640F08">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0B688B" w:rsidRDefault="00640F08">
      <w:pPr>
        <w:ind w:left="850"/>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неасоциирани трети държави или органи, определени от тях;</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международни организации и техните агенции (да се уточни);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ЕИБ и Европейския инвестиционен фонд;</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органите, посочени в членове 70 и 71 от Финансовия регламент;</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публичноправни органи;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w:t>
      </w:r>
      <w:r>
        <w:rPr>
          <w:noProof/>
        </w:rPr>
        <w:t>ходящи финансови гаранции;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0B688B" w:rsidRDefault="00640F08">
      <w:pPr>
        <w:tabs>
          <w:tab w:val="num" w:pos="1134"/>
        </w:tabs>
        <w:ind w:left="1134" w:hanging="283"/>
        <w:rPr>
          <w:noProof/>
        </w:rPr>
      </w:pPr>
      <w:r>
        <w:rPr>
          <w:noProof/>
        </w:rPr>
        <w:t xml:space="preserve">Забележки </w:t>
      </w:r>
    </w:p>
    <w:p w:rsidR="000B688B" w:rsidRDefault="00640F08">
      <w:pPr>
        <w:ind w:left="850"/>
        <w:rPr>
          <w:noProof/>
          <w:color w:val="0000FF"/>
        </w:rPr>
      </w:pPr>
      <w:r>
        <w:rPr>
          <w:noProof/>
          <w:color w:val="0000FF"/>
        </w:rPr>
        <w:t>Фондът се изпълнява при пряко управление в съответствие с Финансо</w:t>
      </w:r>
      <w:r>
        <w:rPr>
          <w:noProof/>
          <w:color w:val="0000FF"/>
        </w:rPr>
        <w:t>вия регламент.</w:t>
      </w:r>
    </w:p>
    <w:p w:rsidR="000B688B" w:rsidRDefault="00640F08">
      <w:pPr>
        <w:ind w:left="850"/>
        <w:rPr>
          <w:noProof/>
          <w:color w:val="0000FF"/>
        </w:rPr>
      </w:pPr>
      <w:r>
        <w:rPr>
          <w:noProof/>
          <w:color w:val="0000FF"/>
        </w:rPr>
        <w:t>В зависимост от резултата от един бъдещ анализ на разходите и ползите по-голямата част от бюджета би могла да бъде изпълнена чрез делегиране на изпълнителна агенция</w:t>
      </w:r>
      <w:r>
        <w:rPr>
          <w:rStyle w:val="FootnoteReference"/>
        </w:rPr>
        <w:footnoteReference w:id="26"/>
      </w:r>
      <w:r>
        <w:rPr>
          <w:noProof/>
          <w:color w:val="0000FF"/>
        </w:rPr>
        <w:t>.</w:t>
      </w:r>
    </w:p>
    <w:p w:rsidR="000B688B" w:rsidRDefault="00640F08">
      <w:pPr>
        <w:pStyle w:val="ManualHeading1"/>
        <w:rPr>
          <w:noProof/>
          <w:szCs w:val="24"/>
        </w:rPr>
      </w:pPr>
      <w:r>
        <w:t>2.</w:t>
      </w:r>
      <w:r>
        <w:tab/>
      </w:r>
      <w:r>
        <w:rPr>
          <w:noProof/>
        </w:rPr>
        <w:t xml:space="preserve">МЕРКИ ЗА УПРАВЛЕНИЕ </w:t>
      </w:r>
    </w:p>
    <w:p w:rsidR="000B688B" w:rsidRDefault="00640F08">
      <w:pPr>
        <w:pStyle w:val="ManualHeading2"/>
        <w:rPr>
          <w:noProof/>
        </w:rPr>
      </w:pPr>
      <w:r>
        <w:t>2.1.</w:t>
      </w:r>
      <w:r>
        <w:tab/>
      </w:r>
      <w:r>
        <w:rPr>
          <w:noProof/>
        </w:rPr>
        <w:t xml:space="preserve">Правила за мониторинг и докладване </w:t>
      </w:r>
    </w:p>
    <w:p w:rsidR="000B688B" w:rsidRDefault="00640F08">
      <w:pPr>
        <w:ind w:left="850"/>
        <w:rPr>
          <w:i/>
          <w:noProof/>
          <w:sz w:val="20"/>
          <w:u w:val="single"/>
        </w:rPr>
      </w:pPr>
      <w:r>
        <w:rPr>
          <w:i/>
          <w:noProof/>
          <w:sz w:val="20"/>
        </w:rPr>
        <w:t>Да се пос</w:t>
      </w:r>
      <w:r>
        <w:rPr>
          <w:i/>
          <w:noProof/>
          <w:sz w:val="20"/>
        </w:rPr>
        <w:t>очат честотата и условията.</w:t>
      </w:r>
    </w:p>
    <w:p w:rsidR="000B688B" w:rsidRDefault="00640F08">
      <w:pPr>
        <w:ind w:left="850"/>
        <w:rPr>
          <w:noProof/>
          <w:color w:val="0000FF"/>
        </w:rPr>
      </w:pPr>
      <w:r>
        <w:rPr>
          <w:noProof/>
          <w:color w:val="0000FF"/>
        </w:rPr>
        <w:t xml:space="preserve">В съответствие с член 29 от предлагания Регламент за създаване на Европейски фонд за отбрана за периода 2021—2027 г. Комисията ще осъществява редовен мониторинг на изпълнението на програмата и ежегодно ще докладва за напредъка, </w:t>
      </w:r>
      <w:r>
        <w:rPr>
          <w:noProof/>
          <w:color w:val="0000FF"/>
        </w:rPr>
        <w:t xml:space="preserve">като проверява финансовите дейности и оценява постигнатите резултати. </w:t>
      </w:r>
    </w:p>
    <w:p w:rsidR="000B688B" w:rsidRDefault="00640F08">
      <w:pPr>
        <w:ind w:left="850"/>
        <w:rPr>
          <w:noProof/>
        </w:rPr>
      </w:pPr>
      <w:r>
        <w:rPr>
          <w:noProof/>
          <w:color w:val="0000FF"/>
        </w:rPr>
        <w:t>Събраните данни следва да дадат възможност на Комисията да докладва за напредъка в съответствие с член [38, параграф 3, буква д) от Регламент 966/2012], като препраща към специфичните ц</w:t>
      </w:r>
      <w:r>
        <w:rPr>
          <w:noProof/>
          <w:color w:val="0000FF"/>
        </w:rPr>
        <w:t>ели, посочени в член 3, параграф 2 от проекта за регламент.</w:t>
      </w:r>
    </w:p>
    <w:p w:rsidR="000B688B" w:rsidRDefault="00640F08">
      <w:pPr>
        <w:pStyle w:val="ManualHeading2"/>
        <w:rPr>
          <w:noProof/>
          <w:szCs w:val="24"/>
        </w:rPr>
      </w:pPr>
      <w:r>
        <w:t>2.</w:t>
      </w:r>
      <w:proofErr w:type="spellStart"/>
      <w:r>
        <w:t>2</w:t>
      </w:r>
      <w:proofErr w:type="spellEnd"/>
      <w:r>
        <w:t>.</w:t>
      </w:r>
      <w:r>
        <w:tab/>
      </w:r>
      <w:r>
        <w:rPr>
          <w:noProof/>
        </w:rPr>
        <w:t xml:space="preserve">Системи за управление и контрол </w:t>
      </w:r>
    </w:p>
    <w:p w:rsidR="000B688B" w:rsidRDefault="00640F08">
      <w:pPr>
        <w:pStyle w:val="ManualHeading3"/>
        <w:rPr>
          <w:noProof/>
        </w:rPr>
      </w:pPr>
      <w:r>
        <w:t>2.</w:t>
      </w:r>
      <w:proofErr w:type="spellStart"/>
      <w:r>
        <w:t>2</w:t>
      </w:r>
      <w:proofErr w:type="spellEnd"/>
      <w:r>
        <w:t>.1.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rsidR="000B688B" w:rsidRDefault="00640F08">
      <w:pPr>
        <w:ind w:left="850"/>
        <w:rPr>
          <w:noProof/>
          <w:color w:val="0000FF"/>
        </w:rPr>
      </w:pPr>
      <w:r>
        <w:rPr>
          <w:b/>
          <w:noProof/>
          <w:color w:val="0000FF"/>
        </w:rPr>
        <w:t>Методи на управление</w:t>
      </w:r>
      <w:r>
        <w:rPr>
          <w:noProof/>
          <w:color w:val="0000FF"/>
        </w:rPr>
        <w:t>: Плановете на Комисията са да изпълнява Европейския фонд за отбрана при пряко управление (включително чрез изпълнителни агенции като предпочитан вариант).</w:t>
      </w:r>
    </w:p>
    <w:p w:rsidR="000B688B" w:rsidRDefault="00640F08">
      <w:pPr>
        <w:ind w:left="850"/>
        <w:rPr>
          <w:noProof/>
          <w:color w:val="0000FF"/>
        </w:rPr>
      </w:pPr>
      <w:r>
        <w:rPr>
          <w:noProof/>
          <w:color w:val="0000FF"/>
        </w:rPr>
        <w:t>Използването на прякото управление като метод за основната част от бюджета, предвидена за Европейски</w:t>
      </w:r>
      <w:r>
        <w:rPr>
          <w:noProof/>
          <w:color w:val="0000FF"/>
        </w:rPr>
        <w:t>я фонд за отбрана, разграничава ясно отговорностите (изпълнение от страна на разпоредители с бюджетни кредити), скъсява веригата на реализация (съкращава „периода за отпускане“ и „периода за плащане“) и намалява разходите за изпълнението (без такси за упра</w:t>
      </w:r>
      <w:r>
        <w:rPr>
          <w:noProof/>
          <w:color w:val="0000FF"/>
        </w:rPr>
        <w:t>вление).</w:t>
      </w:r>
    </w:p>
    <w:p w:rsidR="000B688B" w:rsidRDefault="00640F08">
      <w:pPr>
        <w:ind w:left="850"/>
        <w:rPr>
          <w:noProof/>
          <w:color w:val="0000FF"/>
        </w:rPr>
      </w:pPr>
      <w:r>
        <w:rPr>
          <w:b/>
          <w:noProof/>
          <w:color w:val="0000FF"/>
        </w:rPr>
        <w:t>Механизми за изпълнение на финансирането</w:t>
      </w:r>
      <w:r>
        <w:rPr>
          <w:noProof/>
          <w:color w:val="0000FF"/>
        </w:rPr>
        <w:t>: Безвъзмездните средства ще бъдат основният инструмент на Европейския фонд за отбрана, включително за подпомагане на обществени поръчки за продукти в предпазарен стадий, обявени от държавите членки. В облас</w:t>
      </w:r>
      <w:r>
        <w:rPr>
          <w:noProof/>
          <w:color w:val="0000FF"/>
        </w:rPr>
        <w:t>тта на революционните иновации могат да бъдат използвани награди.</w:t>
      </w:r>
    </w:p>
    <w:p w:rsidR="000B688B" w:rsidRDefault="00640F08">
      <w:pPr>
        <w:ind w:left="850"/>
        <w:rPr>
          <w:noProof/>
          <w:color w:val="0000FF"/>
        </w:rPr>
      </w:pPr>
      <w:r>
        <w:rPr>
          <w:noProof/>
          <w:color w:val="0000FF"/>
        </w:rPr>
        <w:t>- Безвъзмездни средства: В по-голямата част от държавите членки научните изследвания в областта на отбраната не получават достатъчно финансиране или изобщо не получават финансиране, а промиш</w:t>
      </w:r>
      <w:r>
        <w:rPr>
          <w:noProof/>
          <w:color w:val="0000FF"/>
        </w:rPr>
        <w:t>леността от своя страна има малко възможности за възстановяване на инвестициите в НИРД (национален пазар само с един купувач, свиване на националния бюджет за отбрана, рисковани възможности за износ). Стимулите за научна дейност в сферата на отбраната в ЕС</w:t>
      </w:r>
      <w:r>
        <w:rPr>
          <w:noProof/>
          <w:color w:val="0000FF"/>
        </w:rPr>
        <w:t xml:space="preserve"> трябва да идват от безвъзмездни средства, обхващащи 100 % от допустимите разходи. Същата логика се прилага като правило за разработването на съвместни действия (проучвания, общо сертифициране и др.) и за подпомагането на обществени поръчки за продукти в п</w:t>
      </w:r>
      <w:r>
        <w:rPr>
          <w:noProof/>
          <w:color w:val="0000FF"/>
        </w:rPr>
        <w:t>редпазарен стадий на държавите членки, с изключение на действия по създаване на прототипи, при които процентът на съфинансиране ще бъде по-нисък (подход на допълване — съфинансиране от 20 до 50 %).</w:t>
      </w:r>
    </w:p>
    <w:p w:rsidR="000B688B" w:rsidRDefault="00640F08">
      <w:pPr>
        <w:ind w:left="850"/>
        <w:rPr>
          <w:noProof/>
          <w:color w:val="0000FF"/>
        </w:rPr>
      </w:pPr>
      <w:r>
        <w:rPr>
          <w:noProof/>
          <w:color w:val="0000FF"/>
        </w:rPr>
        <w:t>- Наградите могат да бъдат използвани с цел насърчаване на</w:t>
      </w:r>
      <w:r>
        <w:rPr>
          <w:noProof/>
          <w:color w:val="0000FF"/>
        </w:rPr>
        <w:t xml:space="preserve"> революционните иновации от страна на множество заинтересовани страни (университети, МСП, научни центрове и др.) и идентифицирането на нови технологии или съчетаното използване по нов начин на съществуващи технологии, които могат да отговорят на потребност</w:t>
      </w:r>
      <w:r>
        <w:rPr>
          <w:noProof/>
          <w:color w:val="0000FF"/>
        </w:rPr>
        <w:t>и в сферата на отбраната. При такава парадигма е трудно да се направи оценка на разходите и наградата изглежда един икономичен инструмент в сравнение с безвъзмездните средства (всички средства са за единствения победител).</w:t>
      </w:r>
    </w:p>
    <w:p w:rsidR="000B688B" w:rsidRDefault="00640F08">
      <w:pPr>
        <w:ind w:left="850"/>
        <w:rPr>
          <w:noProof/>
          <w:color w:val="0000FF"/>
        </w:rPr>
      </w:pPr>
      <w:r>
        <w:rPr>
          <w:b/>
          <w:noProof/>
          <w:color w:val="0000FF"/>
        </w:rPr>
        <w:t>Механизми по отношение на плащани</w:t>
      </w:r>
      <w:r>
        <w:rPr>
          <w:b/>
          <w:noProof/>
          <w:color w:val="0000FF"/>
        </w:rPr>
        <w:t>ята</w:t>
      </w:r>
      <w:r>
        <w:rPr>
          <w:noProof/>
          <w:color w:val="0000FF"/>
        </w:rPr>
        <w:t>: Където е възможно, ще бъде избирано използването на безвъзмездни средства на базата на крайните продукти, включително единствени еднократни суми, с цел намаляване на разходите за изпълнение на Европейския фонд за отбрана:</w:t>
      </w:r>
    </w:p>
    <w:p w:rsidR="000B688B" w:rsidRDefault="00640F08">
      <w:pPr>
        <w:ind w:left="850"/>
        <w:rPr>
          <w:noProof/>
          <w:color w:val="0000FF"/>
        </w:rPr>
      </w:pPr>
      <w:r>
        <w:rPr>
          <w:noProof/>
          <w:color w:val="0000FF"/>
        </w:rPr>
        <w:t>- очакваните резултати и съот</w:t>
      </w:r>
      <w:r>
        <w:rPr>
          <w:noProof/>
          <w:color w:val="0000FF"/>
        </w:rPr>
        <w:t>ветстващите на тях предвидени престации (документи) ще бъдат посочвани в споразуменията за отпускане на безвъзмездни средства и ще дават възможност за уравняване на предварителното финансиране;</w:t>
      </w:r>
    </w:p>
    <w:p w:rsidR="000B688B" w:rsidRDefault="00640F08">
      <w:pPr>
        <w:ind w:left="850"/>
        <w:rPr>
          <w:noProof/>
          <w:color w:val="0000FF"/>
        </w:rPr>
      </w:pPr>
      <w:r>
        <w:rPr>
          <w:noProof/>
          <w:color w:val="0000FF"/>
        </w:rPr>
        <w:t>- за оценка на задоволителното изпълнение на договорените очак</w:t>
      </w:r>
      <w:r>
        <w:rPr>
          <w:noProof/>
          <w:color w:val="0000FF"/>
        </w:rPr>
        <w:t>вани резултати ще се разчита на експертните познания на трети страни, избрани от Комисията с оглед на техните технически познания. Плащанията ще се извършват въз основа на доклад за оценка.</w:t>
      </w:r>
    </w:p>
    <w:p w:rsidR="000B688B" w:rsidRDefault="00640F08">
      <w:pPr>
        <w:ind w:left="850"/>
        <w:rPr>
          <w:b/>
          <w:noProof/>
          <w:color w:val="0000FF"/>
        </w:rPr>
      </w:pPr>
      <w:r>
        <w:rPr>
          <w:b/>
          <w:noProof/>
          <w:color w:val="0000FF"/>
        </w:rPr>
        <w:t>Стратегия за контрол</w:t>
      </w:r>
    </w:p>
    <w:p w:rsidR="000B688B" w:rsidRDefault="00640F08">
      <w:pPr>
        <w:ind w:left="850"/>
        <w:rPr>
          <w:noProof/>
          <w:color w:val="0000FF"/>
        </w:rPr>
      </w:pPr>
      <w:r>
        <w:rPr>
          <w:noProof/>
          <w:color w:val="0000FF"/>
        </w:rPr>
        <w:t xml:space="preserve">Където е възможно, при действията, </w:t>
      </w:r>
      <w:r>
        <w:rPr>
          <w:noProof/>
          <w:color w:val="0000FF"/>
        </w:rPr>
        <w:t>изпълнявани при пряко управление, Комисията ще използва инструменти (обществени поръчки, безвъзмездни средства, награди), при които допустимите разходи се оценяват предварително и се възстановяват/изплащат на база на предвидени престации (доклади), показва</w:t>
      </w:r>
      <w:r>
        <w:rPr>
          <w:noProof/>
          <w:color w:val="0000FF"/>
        </w:rPr>
        <w:t>щи, че очакваните резултати, определени в споразумението за отпускане на безвъзмездни средства (технически приложения) са изпълнени. Широкото използване на еднократни суми и единични разходи, договорени предварително, ще ограничава процента на грешка под 2</w:t>
      </w:r>
      <w:r>
        <w:rPr>
          <w:noProof/>
          <w:color w:val="0000FF"/>
        </w:rPr>
        <w:t xml:space="preserve"> на сто.</w:t>
      </w:r>
    </w:p>
    <w:p w:rsidR="000B688B" w:rsidRDefault="00640F08">
      <w:pPr>
        <w:ind w:left="850"/>
        <w:rPr>
          <w:noProof/>
        </w:rPr>
      </w:pPr>
      <w:r>
        <w:rPr>
          <w:noProof/>
          <w:color w:val="0000FF"/>
        </w:rPr>
        <w:t>Където е необходимо, ще бъде направена качествена оценка на предвидените престации от страна на независими експерти, наети от Комисията или — в специфични случаи (прототипи) — от ръководителя на проекта, избран заедно с държавите членки (синхрониз</w:t>
      </w:r>
      <w:r>
        <w:rPr>
          <w:noProof/>
          <w:color w:val="0000FF"/>
        </w:rPr>
        <w:t>иране на интересите).</w:t>
      </w:r>
    </w:p>
    <w:p w:rsidR="000B688B" w:rsidRDefault="00640F08">
      <w:pPr>
        <w:pStyle w:val="ManualHeading3"/>
        <w:rPr>
          <w:noProof/>
          <w:szCs w:val="24"/>
        </w:rPr>
      </w:pPr>
      <w:r>
        <w:t>2.</w:t>
      </w:r>
      <w:proofErr w:type="spellStart"/>
      <w:r>
        <w:t>2</w:t>
      </w:r>
      <w:proofErr w:type="spellEnd"/>
      <w:r>
        <w:t>.2.</w:t>
      </w:r>
      <w:r>
        <w:tab/>
      </w:r>
      <w:r>
        <w:rPr>
          <w:noProof/>
        </w:rPr>
        <w:t>Информация относно установените рискове и системите за вътрешен контрол, създадени с цел намаляването им</w:t>
      </w:r>
    </w:p>
    <w:p w:rsidR="000B688B" w:rsidRDefault="00640F08">
      <w:pPr>
        <w:ind w:left="850"/>
        <w:rPr>
          <w:noProof/>
          <w:color w:val="0000FF"/>
        </w:rPr>
      </w:pPr>
      <w:r>
        <w:rPr>
          <w:noProof/>
          <w:color w:val="0000FF"/>
        </w:rPr>
        <w:t>Идентифицираните рискове за изпълнението на Европейския фонд за отбрана са:</w:t>
      </w:r>
    </w:p>
    <w:p w:rsidR="000B688B" w:rsidRDefault="00640F08">
      <w:pPr>
        <w:ind w:left="850"/>
        <w:rPr>
          <w:noProof/>
          <w:color w:val="0000FF"/>
        </w:rPr>
      </w:pPr>
      <w:r>
        <w:rPr>
          <w:b/>
          <w:noProof/>
          <w:color w:val="0000FF"/>
        </w:rPr>
        <w:t>Рискове, свързани с графика</w:t>
      </w:r>
      <w:r>
        <w:rPr>
          <w:noProof/>
        </w:rPr>
        <w:t>:</w:t>
      </w:r>
      <w:r>
        <w:rPr>
          <w:noProof/>
          <w:color w:val="0000FF"/>
        </w:rPr>
        <w:t xml:space="preserve">  Проблеми със спа</w:t>
      </w:r>
      <w:r>
        <w:rPr>
          <w:noProof/>
          <w:color w:val="0000FF"/>
        </w:rPr>
        <w:t xml:space="preserve">зването на крайните срокове, закъснения в изпълнението.  </w:t>
      </w:r>
    </w:p>
    <w:p w:rsidR="000B688B" w:rsidRDefault="00640F08">
      <w:pPr>
        <w:ind w:left="850"/>
        <w:rPr>
          <w:noProof/>
          <w:color w:val="0000FF"/>
        </w:rPr>
      </w:pPr>
      <w:r>
        <w:rPr>
          <w:noProof/>
          <w:color w:val="0000FF"/>
        </w:rPr>
        <w:t>Изпълнението при пряко управление следва да намали рисковете, тъй като изпълнението от разпоредител с бюджетни кредити (в т.ч. изпълнителни агенции) съкращава „периода за отпускане“ (TTG) и „периода</w:t>
      </w:r>
      <w:r>
        <w:rPr>
          <w:noProof/>
          <w:color w:val="0000FF"/>
        </w:rPr>
        <w:t xml:space="preserve"> за плащане“ (TTP) в сравнение с изпълнението чрез  вторично оправомощени лица, тъй като ще бъдат избегнати следните стъпки: </w:t>
      </w:r>
    </w:p>
    <w:p w:rsidR="000B688B" w:rsidRDefault="00640F08">
      <w:pPr>
        <w:ind w:left="850"/>
        <w:rPr>
          <w:noProof/>
          <w:color w:val="0000FF"/>
        </w:rPr>
      </w:pPr>
      <w:r>
        <w:rPr>
          <w:noProof/>
          <w:color w:val="0000FF"/>
        </w:rPr>
        <w:t>- договаряне, подготовка и подписване на споразумение за делегиране,</w:t>
      </w:r>
    </w:p>
    <w:p w:rsidR="000B688B" w:rsidRDefault="00640F08">
      <w:pPr>
        <w:ind w:left="850"/>
        <w:rPr>
          <w:noProof/>
          <w:color w:val="0000FF"/>
        </w:rPr>
      </w:pPr>
      <w:r>
        <w:rPr>
          <w:noProof/>
          <w:color w:val="0000FF"/>
        </w:rPr>
        <w:t>- подписване на ежегодно споразумение за прехвърляне на средс</w:t>
      </w:r>
      <w:r>
        <w:rPr>
          <w:noProof/>
          <w:color w:val="0000FF"/>
        </w:rPr>
        <w:t>тва преди предоставяне на бюджетните кредити за поети задължения и за плащания на вторично оправомощеното лице,</w:t>
      </w:r>
    </w:p>
    <w:p w:rsidR="000B688B" w:rsidRDefault="00640F08">
      <w:pPr>
        <w:ind w:left="850"/>
        <w:rPr>
          <w:noProof/>
          <w:color w:val="0000FF"/>
        </w:rPr>
      </w:pPr>
      <w:r>
        <w:rPr>
          <w:noProof/>
          <w:color w:val="0000FF"/>
        </w:rPr>
        <w:t xml:space="preserve">- финансово управление на свързани споразумения за прехвърляне на средства. </w:t>
      </w:r>
    </w:p>
    <w:p w:rsidR="000B688B" w:rsidRDefault="00640F08">
      <w:pPr>
        <w:ind w:left="850"/>
        <w:rPr>
          <w:noProof/>
          <w:color w:val="0000FF"/>
        </w:rPr>
      </w:pPr>
      <w:r>
        <w:rPr>
          <w:b/>
          <w:noProof/>
          <w:color w:val="0000FF"/>
        </w:rPr>
        <w:t>Управленски риск и риск от неусвояване</w:t>
      </w:r>
      <w:r>
        <w:rPr>
          <w:noProof/>
        </w:rPr>
        <w:t>:</w:t>
      </w:r>
      <w:r>
        <w:rPr>
          <w:noProof/>
          <w:color w:val="0000FF"/>
        </w:rPr>
        <w:t xml:space="preserve">  </w:t>
      </w:r>
    </w:p>
    <w:p w:rsidR="000B688B" w:rsidRDefault="00640F08">
      <w:pPr>
        <w:ind w:left="850"/>
        <w:rPr>
          <w:noProof/>
          <w:color w:val="0000FF"/>
        </w:rPr>
      </w:pPr>
      <w:r>
        <w:rPr>
          <w:noProof/>
          <w:color w:val="0000FF"/>
        </w:rPr>
        <w:t>- Липса на сътрудничество</w:t>
      </w:r>
      <w:r>
        <w:rPr>
          <w:noProof/>
          <w:color w:val="0000FF"/>
        </w:rPr>
        <w:t xml:space="preserve"> между държавите членки по време на  комитологията. </w:t>
      </w:r>
    </w:p>
    <w:p w:rsidR="000B688B" w:rsidRDefault="00640F08">
      <w:pPr>
        <w:ind w:left="850"/>
        <w:rPr>
          <w:noProof/>
          <w:color w:val="0000FF"/>
        </w:rPr>
      </w:pPr>
      <w:r>
        <w:rPr>
          <w:noProof/>
          <w:color w:val="0000FF"/>
        </w:rPr>
        <w:t>Практиката, разработена по подготвителното действие и по Европейската програма за промишлено развитие в областта на отбраната, при която държавите членки интерактивно участват още от момента на изготвяне</w:t>
      </w:r>
      <w:r>
        <w:rPr>
          <w:noProof/>
          <w:color w:val="0000FF"/>
        </w:rPr>
        <w:t xml:space="preserve"> на работните програми, следва да ограничи този риск.</w:t>
      </w:r>
    </w:p>
    <w:p w:rsidR="000B688B" w:rsidRDefault="00640F08">
      <w:pPr>
        <w:ind w:left="850"/>
        <w:rPr>
          <w:noProof/>
          <w:color w:val="0000FF"/>
        </w:rPr>
      </w:pPr>
      <w:r>
        <w:rPr>
          <w:noProof/>
          <w:color w:val="0000FF"/>
        </w:rPr>
        <w:t>- Липса на привлекателност на Европейския фонд за отбрана за националната промишленост, по-специално поради неуместно боравене с чувствителна информация от страна на Комисията или поради прекомерна бюро</w:t>
      </w:r>
      <w:r>
        <w:rPr>
          <w:noProof/>
          <w:color w:val="0000FF"/>
        </w:rPr>
        <w:t xml:space="preserve">крация при изпълнението на механизмите. </w:t>
      </w:r>
    </w:p>
    <w:p w:rsidR="000B688B" w:rsidRDefault="00640F08">
      <w:pPr>
        <w:ind w:left="850"/>
        <w:rPr>
          <w:noProof/>
          <w:color w:val="0000FF"/>
        </w:rPr>
      </w:pPr>
      <w:r>
        <w:rPr>
          <w:noProof/>
          <w:color w:val="0000FF"/>
        </w:rPr>
        <w:t>Ще бъде създадена специална мрежа/система за обмен на чувствителна информация и, където е необходимо, правилата за прозрачност временно няма да се прилагат при наличие на надлежни мотиви (класифицирана информация, з</w:t>
      </w:r>
      <w:r>
        <w:rPr>
          <w:noProof/>
          <w:color w:val="0000FF"/>
        </w:rPr>
        <w:t>ащитата на личните данни, промишлена тайна). За оценката на заявленията за безвъзмездни средства Комисията ще разчита на независими експерти, които имат подходящи разрешения за достъп до класифицирана информация, издадени от държава членка. Комисията ще га</w:t>
      </w:r>
      <w:r>
        <w:rPr>
          <w:noProof/>
          <w:color w:val="0000FF"/>
        </w:rPr>
        <w:t>рантира, че между експертите се извършва подходяща ротация.</w:t>
      </w:r>
    </w:p>
    <w:p w:rsidR="000B688B" w:rsidRDefault="00640F08">
      <w:pPr>
        <w:ind w:left="850"/>
        <w:rPr>
          <w:noProof/>
          <w:color w:val="0000FF"/>
        </w:rPr>
      </w:pPr>
      <w:r>
        <w:rPr>
          <w:noProof/>
          <w:color w:val="0000FF"/>
        </w:rPr>
        <w:t>Когато това е възможно, Комисията ще разчита на обичайните счетоводни практики на заинтересованите страни, като използва единични разходи.</w:t>
      </w:r>
    </w:p>
    <w:p w:rsidR="000B688B" w:rsidRDefault="00640F08">
      <w:pPr>
        <w:ind w:left="850"/>
        <w:rPr>
          <w:noProof/>
          <w:color w:val="0000FF"/>
        </w:rPr>
      </w:pPr>
      <w:r>
        <w:rPr>
          <w:b/>
          <w:noProof/>
          <w:color w:val="0000FF"/>
        </w:rPr>
        <w:t>Финансов риск</w:t>
      </w:r>
      <w:r>
        <w:rPr>
          <w:noProof/>
        </w:rPr>
        <w:t>:</w:t>
      </w:r>
      <w:r>
        <w:rPr>
          <w:noProof/>
          <w:color w:val="0000FF"/>
        </w:rPr>
        <w:t xml:space="preserve">  </w:t>
      </w:r>
    </w:p>
    <w:p w:rsidR="000B688B" w:rsidRDefault="00640F08">
      <w:pPr>
        <w:ind w:left="850"/>
        <w:rPr>
          <w:noProof/>
          <w:color w:val="0000FF"/>
        </w:rPr>
      </w:pPr>
      <w:r>
        <w:rPr>
          <w:noProof/>
          <w:color w:val="0000FF"/>
        </w:rPr>
        <w:t>- Високи разходи за управление, по-специ</w:t>
      </w:r>
      <w:r>
        <w:rPr>
          <w:noProof/>
          <w:color w:val="0000FF"/>
        </w:rPr>
        <w:t>ално за контрол;</w:t>
      </w:r>
    </w:p>
    <w:p w:rsidR="000B688B" w:rsidRDefault="00640F08">
      <w:pPr>
        <w:ind w:left="850"/>
        <w:rPr>
          <w:noProof/>
          <w:color w:val="0000FF"/>
        </w:rPr>
      </w:pPr>
      <w:r>
        <w:rPr>
          <w:noProof/>
          <w:color w:val="0000FF"/>
        </w:rPr>
        <w:t xml:space="preserve">- Слабо усвояване на бюджета (закъснения, липса на привлекателност или лошо определени условия за допустимост); </w:t>
      </w:r>
    </w:p>
    <w:p w:rsidR="000B688B" w:rsidRDefault="00640F08">
      <w:pPr>
        <w:ind w:left="850"/>
        <w:rPr>
          <w:noProof/>
          <w:color w:val="0000FF"/>
        </w:rPr>
      </w:pPr>
      <w:r>
        <w:rPr>
          <w:noProof/>
          <w:color w:val="0000FF"/>
        </w:rPr>
        <w:t>- Висок процент на грешка поради недопустими разходи и недобро разбиране на финансовите правила на ЕС от страна на бенефициери</w:t>
      </w:r>
      <w:r>
        <w:rPr>
          <w:noProof/>
          <w:color w:val="0000FF"/>
        </w:rPr>
        <w:t xml:space="preserve">те или вторично оправомощените лица. </w:t>
      </w:r>
    </w:p>
    <w:p w:rsidR="000B688B" w:rsidRDefault="00640F08">
      <w:pPr>
        <w:ind w:left="850"/>
        <w:rPr>
          <w:noProof/>
          <w:color w:val="0000FF"/>
        </w:rPr>
      </w:pPr>
      <w:r>
        <w:rPr>
          <w:noProof/>
          <w:color w:val="0000FF"/>
        </w:rPr>
        <w:t xml:space="preserve">Комисията предвижда фондът да се изпълнява чрез разпоредители с бюджетни кредити (включително изпълнителни агенции), разполагащи с обучени и комплектувани екипи. Това гарантира доброто познаване на финансовите правила </w:t>
      </w:r>
      <w:r>
        <w:rPr>
          <w:noProof/>
          <w:color w:val="0000FF"/>
        </w:rPr>
        <w:t xml:space="preserve">и правилата за договаряне от страна на екипа на Европейския фонд за отбрана, работещ по изпълнението на фонда. С цел да се гарантира добро разбиране от страна на бенефициерите на техните задължения за докладване и на приложимите финансови правила ще бъдат </w:t>
      </w:r>
      <w:r>
        <w:rPr>
          <w:noProof/>
          <w:color w:val="0000FF"/>
        </w:rPr>
        <w:t>организирани семинари за тях.</w:t>
      </w:r>
    </w:p>
    <w:p w:rsidR="000B688B" w:rsidRDefault="00640F08">
      <w:pPr>
        <w:ind w:left="850"/>
        <w:rPr>
          <w:noProof/>
          <w:color w:val="0000FF"/>
        </w:rPr>
      </w:pPr>
      <w:r>
        <w:rPr>
          <w:noProof/>
          <w:color w:val="0000FF"/>
        </w:rPr>
        <w:t>Освен това Комисията предвижда опростени правила за финансиране с инструменти на базата на крайни продукти (например единствени еднократни суми за допълване на финансиране (прототипи)) и висока единна ставка за непреките разхо</w:t>
      </w:r>
      <w:r>
        <w:rPr>
          <w:noProof/>
          <w:color w:val="0000FF"/>
        </w:rPr>
        <w:t xml:space="preserve">ди (± 25 %). В споразуменията за отпускане на безвъзмездни средства ще се включват ясни и разумно изпълними очаквани крайни продукти, на базата на които ще се извършват плащанията. </w:t>
      </w:r>
    </w:p>
    <w:p w:rsidR="000B688B" w:rsidRDefault="00640F08">
      <w:pPr>
        <w:ind w:left="850"/>
        <w:rPr>
          <w:noProof/>
          <w:color w:val="0000FF"/>
        </w:rPr>
      </w:pPr>
      <w:r>
        <w:rPr>
          <w:noProof/>
          <w:color w:val="0000FF"/>
        </w:rPr>
        <w:t>Това следва да ограничи последващите проверки по входящите продукти (факту</w:t>
      </w:r>
      <w:r>
        <w:rPr>
          <w:noProof/>
          <w:color w:val="0000FF"/>
        </w:rPr>
        <w:t>ри, формуляри за изработени часове) и да ги съсредоточи върху крайните продукти (демонстрационен проект, прототип, доклада за сертифициране), като така се намалят разходите за проверките и процентът на грешка.</w:t>
      </w:r>
    </w:p>
    <w:p w:rsidR="000B688B" w:rsidRDefault="00640F08">
      <w:pPr>
        <w:ind w:left="850"/>
        <w:rPr>
          <w:noProof/>
          <w:color w:val="0000FF"/>
        </w:rPr>
      </w:pPr>
      <w:r>
        <w:rPr>
          <w:b/>
          <w:noProof/>
          <w:color w:val="0000FF"/>
        </w:rPr>
        <w:t>Технически рискове</w:t>
      </w:r>
      <w:r>
        <w:rPr>
          <w:noProof/>
        </w:rPr>
        <w:t>:</w:t>
      </w:r>
      <w:r>
        <w:rPr>
          <w:noProof/>
          <w:color w:val="0000FF"/>
        </w:rPr>
        <w:t xml:space="preserve"> Трудности при специфични развойни проекти (етични аспекти, право върху интелектуална собственост);  технически проблеми; ниско равнище на качеството на изпълнението като научноизследователски и развойни резултати. </w:t>
      </w:r>
    </w:p>
    <w:p w:rsidR="000B688B" w:rsidRDefault="00640F08">
      <w:pPr>
        <w:ind w:left="850"/>
        <w:rPr>
          <w:noProof/>
          <w:color w:val="0000FF"/>
        </w:rPr>
      </w:pPr>
      <w:r>
        <w:rPr>
          <w:noProof/>
          <w:color w:val="0000FF"/>
        </w:rPr>
        <w:t>В образците на споразумения за отпускане</w:t>
      </w:r>
      <w:r>
        <w:rPr>
          <w:noProof/>
          <w:color w:val="0000FF"/>
        </w:rPr>
        <w:t xml:space="preserve"> на безвъзмездни средства ще бъдат определени ясни правила в областта на правото върху интелектуална собственост в сферата на научноизследователската и развойната дейност. Всички заявления за безвъзмездни средства ще бъдат проверявани от етична комисия (въ</w:t>
      </w:r>
      <w:r>
        <w:rPr>
          <w:noProof/>
          <w:color w:val="0000FF"/>
        </w:rPr>
        <w:t>ншни експерти), преди да бъдат избрани с цел да се гарантира, че са в съответствие с международните конвенции. Макар че подборът на развойни проекти ще бъде на базата на разумните шансове за производство (необходимо съфинансиране от държавите членки), липс</w:t>
      </w:r>
      <w:r>
        <w:rPr>
          <w:noProof/>
          <w:color w:val="0000FF"/>
        </w:rPr>
        <w:t>ата на резултати или лошите резултати са неделима част от научноизследователската дейност, в която правото на неуспех следва да бъде изначално прието.</w:t>
      </w:r>
    </w:p>
    <w:p w:rsidR="000B688B" w:rsidRDefault="00640F08">
      <w:pPr>
        <w:ind w:left="850"/>
        <w:rPr>
          <w:noProof/>
          <w:color w:val="0000FF"/>
        </w:rPr>
      </w:pPr>
      <w:r>
        <w:rPr>
          <w:b/>
          <w:noProof/>
          <w:color w:val="0000FF"/>
        </w:rPr>
        <w:t>Риск за репутацията</w:t>
      </w:r>
      <w:r>
        <w:rPr>
          <w:noProof/>
        </w:rPr>
        <w:t>:</w:t>
      </w:r>
      <w:r>
        <w:rPr>
          <w:noProof/>
          <w:color w:val="0000FF"/>
        </w:rPr>
        <w:t xml:space="preserve"> Очаквани трудности с някои неправителствени организации, които оспорват мотивите за </w:t>
      </w:r>
      <w:r>
        <w:rPr>
          <w:noProof/>
          <w:color w:val="0000FF"/>
        </w:rPr>
        <w:t xml:space="preserve">създаването на Европейския фонд за отбрана и ще оспорват неговото изпълнение на всички равнища. </w:t>
      </w:r>
    </w:p>
    <w:p w:rsidR="000B688B" w:rsidRDefault="00640F08">
      <w:pPr>
        <w:ind w:left="850"/>
        <w:rPr>
          <w:noProof/>
        </w:rPr>
      </w:pPr>
      <w:r>
        <w:rPr>
          <w:noProof/>
          <w:color w:val="0000FF"/>
        </w:rPr>
        <w:t>Комисията предвижда специално фокусирани комуникационни дейности — включително използване на кризисни комуникационни услуги — с цел обосноваване на съществуван</w:t>
      </w:r>
      <w:r>
        <w:rPr>
          <w:noProof/>
          <w:color w:val="0000FF"/>
        </w:rPr>
        <w:t>ето и дейността на Европейския фонд за отбрана на равнището на Съюза.</w:t>
      </w:r>
    </w:p>
    <w:p w:rsidR="000B688B" w:rsidRDefault="00640F08">
      <w:pPr>
        <w:pStyle w:val="ManualHeading3"/>
        <w:rPr>
          <w:noProof/>
        </w:rPr>
      </w:pPr>
      <w:r>
        <w:t>2.</w:t>
      </w:r>
      <w:proofErr w:type="spellStart"/>
      <w:r>
        <w:t>2</w:t>
      </w:r>
      <w:proofErr w:type="spellEnd"/>
      <w:r>
        <w:t>.3.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w:t>
      </w:r>
      <w:r>
        <w:rPr>
          <w:noProof/>
        </w:rPr>
        <w:t xml:space="preserve">от грешки (при плащане и при приключване) </w:t>
      </w:r>
    </w:p>
    <w:p w:rsidR="000B688B" w:rsidRDefault="00640F08">
      <w:pPr>
        <w:ind w:left="850"/>
        <w:rPr>
          <w:noProof/>
          <w:color w:val="0000FF"/>
        </w:rPr>
      </w:pPr>
      <w:r>
        <w:rPr>
          <w:noProof/>
          <w:color w:val="0000FF"/>
        </w:rPr>
        <w:t>За основната част от бюджета на програмата ще се прилага пряко управление. Въз основа на опита на Комисията при управлението на безвъзмездни средства общите разходи за контрол на фонда от Комисията се очаква да въ</w:t>
      </w:r>
      <w:r>
        <w:rPr>
          <w:noProof/>
          <w:color w:val="0000FF"/>
        </w:rPr>
        <w:t>злязат на около 0,1 % от съответните управлявани средства.</w:t>
      </w:r>
    </w:p>
    <w:p w:rsidR="000B688B" w:rsidRDefault="00640F08">
      <w:pPr>
        <w:ind w:left="850"/>
        <w:rPr>
          <w:noProof/>
        </w:rPr>
      </w:pPr>
      <w:r>
        <w:rPr>
          <w:noProof/>
          <w:color w:val="0000FF"/>
        </w:rPr>
        <w:t xml:space="preserve">По отношение на очаквания процент на грешка целта е той да се поддържа под прага от 2 %. Комисията счита, че изпълнението на програмата при пряко управление с подготвени (опитен персонал, </w:t>
      </w:r>
      <w:r>
        <w:rPr>
          <w:noProof/>
          <w:color w:val="0000FF"/>
        </w:rPr>
        <w:t>евентуално наети като КНЕ) и добре комплектувани екипи, работещи в рамките на оправомощените разпоредители с бюджетни кредити, които прилагат ясни правила и използват по подходящ начин инструменти на базата на крайни продукти, ще задържат процента на грешк</w:t>
      </w:r>
      <w:r>
        <w:rPr>
          <w:noProof/>
          <w:color w:val="0000FF"/>
        </w:rPr>
        <w:t>а под 2-процентния праг на значимост.</w:t>
      </w:r>
    </w:p>
    <w:p w:rsidR="000B688B" w:rsidRDefault="00640F08">
      <w:pPr>
        <w:pStyle w:val="ManualHeading2"/>
        <w:rPr>
          <w:noProof/>
          <w:szCs w:val="24"/>
        </w:rPr>
      </w:pPr>
      <w:r>
        <w:t>2.3.</w:t>
      </w:r>
      <w:r>
        <w:tab/>
      </w:r>
      <w:r>
        <w:rPr>
          <w:noProof/>
        </w:rPr>
        <w:t xml:space="preserve">Мерки за предотвратяване на измами и нередности </w:t>
      </w:r>
    </w:p>
    <w:p w:rsidR="000B688B" w:rsidRDefault="00640F08">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0B688B" w:rsidRDefault="00640F08">
      <w:pPr>
        <w:ind w:left="850"/>
        <w:rPr>
          <w:noProof/>
          <w:color w:val="0000FF"/>
        </w:rPr>
      </w:pPr>
      <w:r>
        <w:rPr>
          <w:noProof/>
          <w:color w:val="0000FF"/>
        </w:rPr>
        <w:t>Европейската служба за борба с измамите (OLAF</w:t>
      </w:r>
      <w:r>
        <w:rPr>
          <w:noProof/>
          <w:color w:val="0000FF"/>
        </w:rPr>
        <w:t xml:space="preserve">) разполага с правомощието да провежда разследвания във връзка с операции, подкрепяни в рамките на настоящата инициатива. </w:t>
      </w:r>
    </w:p>
    <w:p w:rsidR="000B688B" w:rsidRDefault="00640F08">
      <w:pPr>
        <w:ind w:left="850"/>
        <w:rPr>
          <w:noProof/>
          <w:color w:val="0000FF"/>
        </w:rPr>
      </w:pPr>
      <w:r>
        <w:rPr>
          <w:noProof/>
          <w:color w:val="0000FF"/>
        </w:rPr>
        <w:t>Споразуменията, произтичащи от настоящия регламент, включително споразуменията, сключени със субекти от трети неасоциирани държави ил</w:t>
      </w:r>
      <w:r>
        <w:rPr>
          <w:noProof/>
          <w:color w:val="0000FF"/>
        </w:rPr>
        <w:t>и с международни организации, предвиждат надзор и финансов контрол от страна на Комисията или от страна на  упълномощени от нея представители, както и одити от Сметната палата или OLAF, извършвани на място при необходимост. Посещенията на място ще се извър</w:t>
      </w:r>
      <w:r>
        <w:rPr>
          <w:noProof/>
          <w:color w:val="0000FF"/>
        </w:rPr>
        <w:t>шват от служители на Комисията, които имат необходимите разрешения за достъп до класифицирана информация.</w:t>
      </w:r>
    </w:p>
    <w:p w:rsidR="000B688B" w:rsidRDefault="00640F08">
      <w:pPr>
        <w:ind w:left="850"/>
        <w:rPr>
          <w:noProof/>
        </w:rPr>
      </w:pPr>
      <w:r>
        <w:rPr>
          <w:noProof/>
          <w:color w:val="0000FF"/>
        </w:rPr>
        <w:t>И на последно място, контролът от страна на държави членки върху списъка на подбраните проекти, както и участието на някои държави членки като съфинас</w:t>
      </w:r>
      <w:r>
        <w:rPr>
          <w:noProof/>
          <w:color w:val="0000FF"/>
        </w:rPr>
        <w:t>иращи субекти на най-големите проекти, ще ограничи риска от измами, накърняващи интересите на данъкоплатците (съгласуване на интересите на донорите). Фокусът върху резултатите, който се предвижда за инструментите на базата на крайни продукти, ще ограничи н</w:t>
      </w:r>
      <w:r>
        <w:rPr>
          <w:noProof/>
          <w:color w:val="0000FF"/>
        </w:rPr>
        <w:t>ередностите.</w:t>
      </w:r>
    </w:p>
    <w:p w:rsidR="000B688B" w:rsidRDefault="000B688B">
      <w:pPr>
        <w:rPr>
          <w:noProof/>
        </w:rPr>
        <w:sectPr w:rsidR="000B688B" w:rsidSect="00640F08">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0B688B" w:rsidRDefault="00640F08">
      <w:pPr>
        <w:pStyle w:val="ManualHeading1"/>
        <w:rPr>
          <w:noProof/>
          <w:szCs w:val="24"/>
        </w:rPr>
      </w:pPr>
      <w:r>
        <w:t>3.</w:t>
      </w:r>
      <w:r>
        <w:tab/>
      </w:r>
      <w:r>
        <w:rPr>
          <w:noProof/>
        </w:rPr>
        <w:t xml:space="preserve">ОЧАКВАНО ФИНАНСОВО ОТРАЖЕНИЕ НА ПРЕДЛОЖЕНИЕТО/ИНИЦИАТИВАТА </w:t>
      </w:r>
    </w:p>
    <w:p w:rsidR="000B688B" w:rsidRDefault="00640F08">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7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3960"/>
        <w:gridCol w:w="1080"/>
        <w:gridCol w:w="956"/>
        <w:gridCol w:w="1080"/>
        <w:gridCol w:w="956"/>
        <w:gridCol w:w="1448"/>
      </w:tblGrid>
      <w:tr w:rsidR="000B688B">
        <w:tc>
          <w:tcPr>
            <w:tcW w:w="1316" w:type="dxa"/>
            <w:vMerge w:val="restart"/>
            <w:vAlign w:val="center"/>
          </w:tcPr>
          <w:p w:rsidR="000B688B" w:rsidRDefault="00640F08">
            <w:pPr>
              <w:spacing w:before="60" w:after="60"/>
              <w:jc w:val="center"/>
              <w:rPr>
                <w:noProof/>
              </w:rPr>
            </w:pPr>
            <w:r>
              <w:rPr>
                <w:noProof/>
                <w:sz w:val="18"/>
              </w:rPr>
              <w:t>Функция от многогодишната фи</w:t>
            </w:r>
            <w:r>
              <w:rPr>
                <w:noProof/>
                <w:sz w:val="18"/>
              </w:rPr>
              <w:t>нансова рамка</w:t>
            </w:r>
          </w:p>
        </w:tc>
        <w:tc>
          <w:tcPr>
            <w:tcW w:w="3960" w:type="dxa"/>
            <w:vAlign w:val="center"/>
          </w:tcPr>
          <w:p w:rsidR="000B688B" w:rsidRDefault="00640F08">
            <w:pPr>
              <w:spacing w:before="60" w:after="60"/>
              <w:jc w:val="center"/>
              <w:rPr>
                <w:noProof/>
              </w:rPr>
            </w:pPr>
            <w:r>
              <w:rPr>
                <w:noProof/>
                <w:sz w:val="20"/>
              </w:rPr>
              <w:t>Бюджетен ред</w:t>
            </w:r>
          </w:p>
        </w:tc>
        <w:tc>
          <w:tcPr>
            <w:tcW w:w="1080" w:type="dxa"/>
            <w:vAlign w:val="center"/>
          </w:tcPr>
          <w:p w:rsidR="000B688B" w:rsidRDefault="00640F08">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0B688B" w:rsidRDefault="00640F08">
            <w:pPr>
              <w:spacing w:before="60" w:after="60"/>
              <w:jc w:val="center"/>
              <w:rPr>
                <w:noProof/>
              </w:rPr>
            </w:pPr>
            <w:r>
              <w:rPr>
                <w:noProof/>
                <w:sz w:val="20"/>
              </w:rPr>
              <w:t xml:space="preserve">Финансов принос </w:t>
            </w:r>
          </w:p>
        </w:tc>
      </w:tr>
      <w:tr w:rsidR="000B688B">
        <w:tc>
          <w:tcPr>
            <w:tcW w:w="1316" w:type="dxa"/>
            <w:vMerge/>
            <w:vAlign w:val="center"/>
          </w:tcPr>
          <w:p w:rsidR="000B688B" w:rsidRDefault="000B688B">
            <w:pPr>
              <w:jc w:val="center"/>
              <w:rPr>
                <w:noProof/>
              </w:rPr>
            </w:pPr>
          </w:p>
        </w:tc>
        <w:tc>
          <w:tcPr>
            <w:tcW w:w="3960" w:type="dxa"/>
            <w:vAlign w:val="center"/>
          </w:tcPr>
          <w:p w:rsidR="000B688B" w:rsidRDefault="00640F08">
            <w:pPr>
              <w:rPr>
                <w:noProof/>
              </w:rPr>
            </w:pPr>
            <w:r>
              <w:rPr>
                <w:noProof/>
                <w:sz w:val="20"/>
              </w:rPr>
              <w:t>Номер</w:t>
            </w:r>
            <w:r>
              <w:rPr>
                <w:noProof/>
                <w:sz w:val="22"/>
              </w:rPr>
              <w:br/>
            </w:r>
            <w:r>
              <w:rPr>
                <w:noProof/>
                <w:color w:val="0000FF"/>
                <w:sz w:val="22"/>
              </w:rPr>
              <w:t xml:space="preserve">5 - </w:t>
            </w:r>
            <w:r>
              <w:t>Сигурност и отбрана</w:t>
            </w:r>
          </w:p>
        </w:tc>
        <w:tc>
          <w:tcPr>
            <w:tcW w:w="1080" w:type="dxa"/>
            <w:vAlign w:val="center"/>
          </w:tcPr>
          <w:p w:rsidR="000B688B" w:rsidRDefault="00640F08">
            <w:pPr>
              <w:jc w:val="center"/>
              <w:rPr>
                <w:noProof/>
              </w:rPr>
            </w:pPr>
            <w:r>
              <w:rPr>
                <w:noProof/>
                <w:sz w:val="18"/>
              </w:rPr>
              <w:t>Многогод./едногод</w:t>
            </w:r>
            <w:r>
              <w:rPr>
                <w:rStyle w:val="FootnoteReference"/>
                <w:noProof/>
              </w:rPr>
              <w:footnoteReference w:id="27"/>
            </w:r>
            <w:r>
              <w:rPr>
                <w:noProof/>
              </w:rPr>
              <w:t>.</w:t>
            </w:r>
          </w:p>
        </w:tc>
        <w:tc>
          <w:tcPr>
            <w:tcW w:w="956" w:type="dxa"/>
            <w:vAlign w:val="center"/>
          </w:tcPr>
          <w:p w:rsidR="000B688B" w:rsidRDefault="00640F08">
            <w:pPr>
              <w:jc w:val="center"/>
              <w:rPr>
                <w:noProof/>
              </w:rPr>
            </w:pPr>
            <w:r>
              <w:rPr>
                <w:noProof/>
                <w:sz w:val="18"/>
              </w:rPr>
              <w:t>от държави от ЕАСТ</w:t>
            </w:r>
            <w:r>
              <w:rPr>
                <w:rStyle w:val="FootnoteReference"/>
                <w:noProof/>
              </w:rPr>
              <w:footnoteReference w:id="28"/>
            </w:r>
          </w:p>
          <w:p w:rsidR="000B688B" w:rsidRDefault="000B688B">
            <w:pPr>
              <w:spacing w:before="0" w:after="0"/>
              <w:jc w:val="center"/>
              <w:rPr>
                <w:b/>
                <w:noProof/>
                <w:sz w:val="18"/>
              </w:rPr>
            </w:pPr>
          </w:p>
        </w:tc>
        <w:tc>
          <w:tcPr>
            <w:tcW w:w="1080" w:type="dxa"/>
            <w:vAlign w:val="center"/>
          </w:tcPr>
          <w:p w:rsidR="000B688B" w:rsidRDefault="00640F08">
            <w:pPr>
              <w:jc w:val="center"/>
              <w:rPr>
                <w:noProof/>
              </w:rPr>
            </w:pPr>
            <w:r>
              <w:rPr>
                <w:noProof/>
                <w:sz w:val="18"/>
              </w:rPr>
              <w:t>от държави кандидатки</w:t>
            </w:r>
            <w:r>
              <w:rPr>
                <w:rStyle w:val="FootnoteReference"/>
                <w:noProof/>
              </w:rPr>
              <w:footnoteReference w:id="29"/>
            </w:r>
          </w:p>
          <w:p w:rsidR="000B688B" w:rsidRDefault="000B688B">
            <w:pPr>
              <w:spacing w:before="0" w:after="0"/>
              <w:jc w:val="center"/>
              <w:rPr>
                <w:noProof/>
                <w:sz w:val="18"/>
              </w:rPr>
            </w:pPr>
          </w:p>
        </w:tc>
        <w:tc>
          <w:tcPr>
            <w:tcW w:w="956" w:type="dxa"/>
            <w:vAlign w:val="center"/>
          </w:tcPr>
          <w:p w:rsidR="000B688B" w:rsidRDefault="00640F08">
            <w:pPr>
              <w:jc w:val="center"/>
              <w:rPr>
                <w:noProof/>
                <w:sz w:val="18"/>
              </w:rPr>
            </w:pPr>
            <w:r>
              <w:rPr>
                <w:noProof/>
                <w:sz w:val="18"/>
              </w:rPr>
              <w:t>от неасоциирани трети държави</w:t>
            </w:r>
          </w:p>
        </w:tc>
        <w:tc>
          <w:tcPr>
            <w:tcW w:w="1448" w:type="dxa"/>
            <w:vAlign w:val="center"/>
          </w:tcPr>
          <w:p w:rsidR="000B688B" w:rsidRDefault="00640F08">
            <w:pPr>
              <w:jc w:val="center"/>
              <w:rPr>
                <w:noProof/>
              </w:rPr>
            </w:pPr>
            <w:r>
              <w:rPr>
                <w:noProof/>
                <w:sz w:val="16"/>
              </w:rPr>
              <w:t xml:space="preserve">по смисъла на член [21, параграф 2, буква б)] от Финансовия регламент </w:t>
            </w:r>
          </w:p>
        </w:tc>
      </w:tr>
      <w:tr w:rsidR="000B688B">
        <w:tc>
          <w:tcPr>
            <w:tcW w:w="1316" w:type="dxa"/>
            <w:vAlign w:val="center"/>
          </w:tcPr>
          <w:p w:rsidR="000B688B" w:rsidRDefault="000B688B">
            <w:pPr>
              <w:jc w:val="center"/>
              <w:rPr>
                <w:noProof/>
                <w:color w:val="0000FF"/>
              </w:rPr>
            </w:pPr>
          </w:p>
        </w:tc>
        <w:tc>
          <w:tcPr>
            <w:tcW w:w="3960" w:type="dxa"/>
            <w:vAlign w:val="center"/>
          </w:tcPr>
          <w:p w:rsidR="000B688B" w:rsidRDefault="00640F08">
            <w:pPr>
              <w:spacing w:before="60"/>
              <w:rPr>
                <w:noProof/>
                <w:color w:val="0000FF"/>
              </w:rPr>
            </w:pPr>
            <w:r>
              <w:t>13.02.01 - Развитие на способностите</w:t>
            </w:r>
          </w:p>
        </w:tc>
        <w:tc>
          <w:tcPr>
            <w:tcW w:w="1080" w:type="dxa"/>
            <w:vAlign w:val="center"/>
          </w:tcPr>
          <w:p w:rsidR="000B688B" w:rsidRDefault="00640F08">
            <w:pPr>
              <w:jc w:val="center"/>
              <w:rPr>
                <w:noProof/>
                <w:color w:val="0000FF"/>
              </w:rPr>
            </w:pPr>
            <w:r>
              <w:rPr>
                <w:noProof/>
                <w:color w:val="0000FF"/>
              </w:rPr>
              <w:t>Многогод.</w:t>
            </w:r>
          </w:p>
        </w:tc>
        <w:tc>
          <w:tcPr>
            <w:tcW w:w="956" w:type="dxa"/>
            <w:vAlign w:val="center"/>
          </w:tcPr>
          <w:p w:rsidR="000B688B" w:rsidRDefault="00640F08">
            <w:pPr>
              <w:jc w:val="center"/>
            </w:pPr>
            <w:r>
              <w:t>ДА</w:t>
            </w:r>
          </w:p>
        </w:tc>
        <w:tc>
          <w:tcPr>
            <w:tcW w:w="1080" w:type="dxa"/>
            <w:vAlign w:val="center"/>
          </w:tcPr>
          <w:p w:rsidR="000B688B" w:rsidRDefault="00640F08">
            <w:pPr>
              <w:jc w:val="center"/>
            </w:pPr>
            <w:r>
              <w:t>НЕ</w:t>
            </w:r>
          </w:p>
        </w:tc>
        <w:tc>
          <w:tcPr>
            <w:tcW w:w="956" w:type="dxa"/>
            <w:vAlign w:val="center"/>
          </w:tcPr>
          <w:p w:rsidR="000B688B" w:rsidRDefault="00640F08">
            <w:pPr>
              <w:jc w:val="center"/>
            </w:pPr>
            <w:r>
              <w:t>НЕ</w:t>
            </w:r>
          </w:p>
        </w:tc>
        <w:tc>
          <w:tcPr>
            <w:tcW w:w="1448" w:type="dxa"/>
            <w:vAlign w:val="center"/>
          </w:tcPr>
          <w:p w:rsidR="000B688B" w:rsidRDefault="00640F08">
            <w:pPr>
              <w:jc w:val="center"/>
            </w:pPr>
            <w:r>
              <w:t>НЕ</w:t>
            </w:r>
          </w:p>
        </w:tc>
      </w:tr>
      <w:tr w:rsidR="000B688B">
        <w:tc>
          <w:tcPr>
            <w:tcW w:w="1316" w:type="dxa"/>
            <w:vAlign w:val="center"/>
          </w:tcPr>
          <w:p w:rsidR="000B688B" w:rsidRDefault="000B688B">
            <w:pPr>
              <w:jc w:val="center"/>
              <w:rPr>
                <w:noProof/>
                <w:color w:val="0000FF"/>
              </w:rPr>
            </w:pPr>
          </w:p>
        </w:tc>
        <w:tc>
          <w:tcPr>
            <w:tcW w:w="3960" w:type="dxa"/>
            <w:vAlign w:val="center"/>
          </w:tcPr>
          <w:p w:rsidR="000B688B" w:rsidRDefault="00640F08">
            <w:pPr>
              <w:spacing w:before="60"/>
            </w:pPr>
            <w:r>
              <w:t>13.02.02 – Научни изследвания в областта на отбраната</w:t>
            </w:r>
          </w:p>
        </w:tc>
        <w:tc>
          <w:tcPr>
            <w:tcW w:w="1080" w:type="dxa"/>
            <w:vAlign w:val="center"/>
          </w:tcPr>
          <w:p w:rsidR="000B688B" w:rsidRDefault="00640F08">
            <w:pPr>
              <w:jc w:val="center"/>
              <w:rPr>
                <w:noProof/>
                <w:color w:val="0000FF"/>
              </w:rPr>
            </w:pPr>
            <w:r>
              <w:rPr>
                <w:noProof/>
                <w:color w:val="0000FF"/>
              </w:rPr>
              <w:t>Многогод.</w:t>
            </w:r>
          </w:p>
        </w:tc>
        <w:tc>
          <w:tcPr>
            <w:tcW w:w="956" w:type="dxa"/>
          </w:tcPr>
          <w:p w:rsidR="000B688B" w:rsidRDefault="00640F08">
            <w:pPr>
              <w:jc w:val="center"/>
            </w:pPr>
            <w:r>
              <w:t>ДА</w:t>
            </w:r>
          </w:p>
        </w:tc>
        <w:tc>
          <w:tcPr>
            <w:tcW w:w="1080" w:type="dxa"/>
          </w:tcPr>
          <w:p w:rsidR="000B688B" w:rsidRDefault="00640F08">
            <w:pPr>
              <w:jc w:val="center"/>
            </w:pPr>
            <w:r>
              <w:t>НЕ</w:t>
            </w:r>
          </w:p>
        </w:tc>
        <w:tc>
          <w:tcPr>
            <w:tcW w:w="956" w:type="dxa"/>
          </w:tcPr>
          <w:p w:rsidR="000B688B" w:rsidRDefault="00640F08">
            <w:pPr>
              <w:jc w:val="center"/>
            </w:pPr>
            <w:r>
              <w:t>НЕ</w:t>
            </w:r>
          </w:p>
        </w:tc>
        <w:tc>
          <w:tcPr>
            <w:tcW w:w="1448" w:type="dxa"/>
          </w:tcPr>
          <w:p w:rsidR="000B688B" w:rsidRDefault="00640F08">
            <w:pPr>
              <w:jc w:val="center"/>
            </w:pPr>
            <w:r>
              <w:t>НЕ</w:t>
            </w:r>
          </w:p>
        </w:tc>
      </w:tr>
      <w:tr w:rsidR="000B688B">
        <w:tc>
          <w:tcPr>
            <w:tcW w:w="1316" w:type="dxa"/>
            <w:vAlign w:val="center"/>
          </w:tcPr>
          <w:p w:rsidR="000B688B" w:rsidRDefault="000B688B">
            <w:pPr>
              <w:jc w:val="center"/>
              <w:rPr>
                <w:noProof/>
                <w:color w:val="0000FF"/>
              </w:rPr>
            </w:pPr>
          </w:p>
        </w:tc>
        <w:tc>
          <w:tcPr>
            <w:tcW w:w="3960" w:type="dxa"/>
            <w:vAlign w:val="center"/>
          </w:tcPr>
          <w:p w:rsidR="000B688B" w:rsidRDefault="00640F08">
            <w:pPr>
              <w:spacing w:before="60"/>
            </w:pPr>
            <w:r>
              <w:t>13.01.01 – Административна подкрепа</w:t>
            </w:r>
          </w:p>
        </w:tc>
        <w:tc>
          <w:tcPr>
            <w:tcW w:w="1080" w:type="dxa"/>
            <w:vAlign w:val="center"/>
          </w:tcPr>
          <w:p w:rsidR="000B688B" w:rsidRDefault="00640F08">
            <w:pPr>
              <w:jc w:val="center"/>
              <w:rPr>
                <w:noProof/>
                <w:color w:val="0000FF"/>
              </w:rPr>
            </w:pPr>
            <w:r>
              <w:rPr>
                <w:noProof/>
                <w:color w:val="0000FF"/>
              </w:rPr>
              <w:t>Едногод.</w:t>
            </w:r>
          </w:p>
        </w:tc>
        <w:tc>
          <w:tcPr>
            <w:tcW w:w="956" w:type="dxa"/>
          </w:tcPr>
          <w:p w:rsidR="000B688B" w:rsidRDefault="00640F08">
            <w:pPr>
              <w:jc w:val="center"/>
            </w:pPr>
            <w:r>
              <w:t>ДА</w:t>
            </w:r>
          </w:p>
        </w:tc>
        <w:tc>
          <w:tcPr>
            <w:tcW w:w="1080" w:type="dxa"/>
          </w:tcPr>
          <w:p w:rsidR="000B688B" w:rsidRDefault="00640F08">
            <w:pPr>
              <w:jc w:val="center"/>
            </w:pPr>
            <w:r>
              <w:t>НЕ</w:t>
            </w:r>
          </w:p>
        </w:tc>
        <w:tc>
          <w:tcPr>
            <w:tcW w:w="956" w:type="dxa"/>
          </w:tcPr>
          <w:p w:rsidR="000B688B" w:rsidRDefault="00640F08">
            <w:pPr>
              <w:jc w:val="center"/>
            </w:pPr>
            <w:r>
              <w:t>НЕ</w:t>
            </w:r>
          </w:p>
        </w:tc>
        <w:tc>
          <w:tcPr>
            <w:tcW w:w="1448" w:type="dxa"/>
          </w:tcPr>
          <w:p w:rsidR="000B688B" w:rsidRDefault="00640F08">
            <w:pPr>
              <w:jc w:val="center"/>
            </w:pPr>
            <w:r>
              <w:t>НЕ</w:t>
            </w:r>
          </w:p>
        </w:tc>
      </w:tr>
    </w:tbl>
    <w:p w:rsidR="000B688B" w:rsidRDefault="000B688B">
      <w:pPr>
        <w:rPr>
          <w:noProof/>
        </w:rPr>
        <w:sectPr w:rsidR="000B688B" w:rsidSect="00640F08">
          <w:pgSz w:w="11907" w:h="16840" w:code="1"/>
          <w:pgMar w:top="1134" w:right="1418" w:bottom="1134" w:left="1418" w:header="709" w:footer="709" w:gutter="0"/>
          <w:cols w:space="708"/>
          <w:docGrid w:linePitch="360"/>
        </w:sectPr>
      </w:pPr>
    </w:p>
    <w:p w:rsidR="000B688B" w:rsidRDefault="00640F08">
      <w:pPr>
        <w:pStyle w:val="ManualHeading2"/>
        <w:rPr>
          <w:noProof/>
          <w:szCs w:val="24"/>
        </w:rPr>
      </w:pPr>
      <w:r>
        <w:t>3.2.</w:t>
      </w:r>
      <w:r>
        <w:tab/>
      </w:r>
      <w:r>
        <w:rPr>
          <w:noProof/>
        </w:rPr>
        <w:t xml:space="preserve">Очаквано отражение върху разходите </w:t>
      </w:r>
    </w:p>
    <w:p w:rsidR="000B688B" w:rsidRDefault="00640F08">
      <w:pPr>
        <w:pStyle w:val="ManualHeading3"/>
        <w:rPr>
          <w:noProof/>
          <w:u w:val="single"/>
        </w:rPr>
      </w:pPr>
      <w:r>
        <w:t>3.2.1.</w:t>
      </w:r>
      <w:r>
        <w:tab/>
      </w:r>
      <w:r>
        <w:rPr>
          <w:noProof/>
        </w:rPr>
        <w:t xml:space="preserve">Обобщение на очакваното отражение върху разходите </w:t>
      </w:r>
    </w:p>
    <w:p w:rsidR="000B688B" w:rsidRDefault="00640F08">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B688B">
        <w:trPr>
          <w:jc w:val="center"/>
        </w:trPr>
        <w:tc>
          <w:tcPr>
            <w:tcW w:w="4744" w:type="dxa"/>
            <w:shd w:val="thinDiagStripe" w:color="C0C0C0" w:fill="auto"/>
            <w:vAlign w:val="center"/>
          </w:tcPr>
          <w:p w:rsidR="000B688B" w:rsidRDefault="00640F08">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0B688B" w:rsidRDefault="00640F08">
            <w:pPr>
              <w:spacing w:before="60" w:after="60"/>
              <w:jc w:val="center"/>
              <w:rPr>
                <w:noProof/>
              </w:rPr>
            </w:pPr>
            <w:r>
              <w:rPr>
                <w:b/>
                <w:noProof/>
                <w:sz w:val="22"/>
              </w:rPr>
              <w:t>5</w:t>
            </w:r>
          </w:p>
        </w:tc>
        <w:tc>
          <w:tcPr>
            <w:tcW w:w="7817" w:type="dxa"/>
            <w:vAlign w:val="center"/>
          </w:tcPr>
          <w:p w:rsidR="000B688B" w:rsidRDefault="00640F08">
            <w:pPr>
              <w:spacing w:before="60" w:after="60"/>
              <w:rPr>
                <w:noProof/>
              </w:rPr>
            </w:pPr>
            <w:r>
              <w:t>Сигурност и отбрана</w:t>
            </w:r>
          </w:p>
        </w:tc>
      </w:tr>
    </w:tbl>
    <w:p w:rsidR="000B688B" w:rsidRDefault="000B688B">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0B688B">
        <w:trPr>
          <w:jc w:val="center"/>
        </w:trPr>
        <w:tc>
          <w:tcPr>
            <w:tcW w:w="6197" w:type="dxa"/>
            <w:gridSpan w:val="3"/>
            <w:tcBorders>
              <w:top w:val="nil"/>
              <w:left w:val="nil"/>
              <w:bottom w:val="nil"/>
              <w:right w:val="single" w:sz="4" w:space="0" w:color="auto"/>
            </w:tcBorders>
            <w:vAlign w:val="center"/>
          </w:tcPr>
          <w:p w:rsidR="000B688B" w:rsidRDefault="000B688B">
            <w:pPr>
              <w:jc w:val="center"/>
              <w:rPr>
                <w:b/>
                <w:noProof/>
                <w:sz w:val="20"/>
              </w:rPr>
            </w:pPr>
          </w:p>
        </w:tc>
        <w:tc>
          <w:tcPr>
            <w:tcW w:w="868" w:type="dxa"/>
            <w:tcBorders>
              <w:left w:val="single" w:sz="4" w:space="0" w:color="auto"/>
            </w:tcBorders>
            <w:vAlign w:val="center"/>
          </w:tcPr>
          <w:p w:rsidR="000B688B" w:rsidRDefault="00640F08">
            <w:pPr>
              <w:jc w:val="center"/>
              <w:rPr>
                <w:b/>
                <w:noProof/>
                <w:sz w:val="20"/>
              </w:rPr>
            </w:pPr>
            <w:r>
              <w:rPr>
                <w:b/>
                <w:noProof/>
                <w:sz w:val="20"/>
              </w:rPr>
              <w:t>2021 г.</w:t>
            </w:r>
          </w:p>
        </w:tc>
        <w:tc>
          <w:tcPr>
            <w:tcW w:w="868" w:type="dxa"/>
            <w:vAlign w:val="center"/>
          </w:tcPr>
          <w:p w:rsidR="000B688B" w:rsidRDefault="00640F08">
            <w:pPr>
              <w:jc w:val="center"/>
              <w:rPr>
                <w:b/>
                <w:noProof/>
                <w:sz w:val="20"/>
              </w:rPr>
            </w:pPr>
            <w:r>
              <w:rPr>
                <w:b/>
                <w:noProof/>
                <w:sz w:val="20"/>
              </w:rPr>
              <w:t>2022 г.</w:t>
            </w:r>
          </w:p>
        </w:tc>
        <w:tc>
          <w:tcPr>
            <w:tcW w:w="868" w:type="dxa"/>
            <w:vAlign w:val="center"/>
          </w:tcPr>
          <w:p w:rsidR="000B688B" w:rsidRDefault="00640F08">
            <w:pPr>
              <w:jc w:val="center"/>
              <w:rPr>
                <w:b/>
                <w:noProof/>
                <w:sz w:val="20"/>
              </w:rPr>
            </w:pPr>
            <w:r>
              <w:rPr>
                <w:b/>
                <w:noProof/>
                <w:sz w:val="20"/>
              </w:rPr>
              <w:t>2023 г.</w:t>
            </w:r>
          </w:p>
        </w:tc>
        <w:tc>
          <w:tcPr>
            <w:tcW w:w="868" w:type="dxa"/>
            <w:vAlign w:val="center"/>
          </w:tcPr>
          <w:p w:rsidR="000B688B" w:rsidRDefault="00640F08">
            <w:pPr>
              <w:jc w:val="center"/>
              <w:rPr>
                <w:b/>
                <w:noProof/>
                <w:sz w:val="20"/>
              </w:rPr>
            </w:pPr>
            <w:r>
              <w:rPr>
                <w:b/>
                <w:noProof/>
                <w:sz w:val="20"/>
              </w:rPr>
              <w:t>2024 г.</w:t>
            </w:r>
          </w:p>
        </w:tc>
        <w:tc>
          <w:tcPr>
            <w:tcW w:w="868" w:type="dxa"/>
            <w:vAlign w:val="center"/>
          </w:tcPr>
          <w:p w:rsidR="000B688B" w:rsidRDefault="00640F08">
            <w:pPr>
              <w:jc w:val="center"/>
              <w:rPr>
                <w:b/>
                <w:noProof/>
                <w:sz w:val="18"/>
              </w:rPr>
            </w:pPr>
            <w:r>
              <w:rPr>
                <w:b/>
                <w:noProof/>
                <w:sz w:val="18"/>
              </w:rPr>
              <w:t>2025 г.</w:t>
            </w:r>
          </w:p>
        </w:tc>
        <w:tc>
          <w:tcPr>
            <w:tcW w:w="868" w:type="dxa"/>
            <w:vAlign w:val="center"/>
          </w:tcPr>
          <w:p w:rsidR="000B688B" w:rsidRDefault="00640F08">
            <w:pPr>
              <w:jc w:val="center"/>
              <w:rPr>
                <w:b/>
                <w:noProof/>
                <w:sz w:val="18"/>
              </w:rPr>
            </w:pPr>
            <w:r>
              <w:rPr>
                <w:b/>
                <w:noProof/>
                <w:sz w:val="18"/>
              </w:rPr>
              <w:t>2026 г.</w:t>
            </w:r>
          </w:p>
        </w:tc>
        <w:tc>
          <w:tcPr>
            <w:tcW w:w="868" w:type="dxa"/>
            <w:vAlign w:val="center"/>
          </w:tcPr>
          <w:p w:rsidR="000B688B" w:rsidRDefault="00640F08">
            <w:pPr>
              <w:jc w:val="center"/>
              <w:rPr>
                <w:b/>
                <w:noProof/>
                <w:sz w:val="18"/>
              </w:rPr>
            </w:pPr>
            <w:r>
              <w:rPr>
                <w:b/>
                <w:noProof/>
                <w:sz w:val="18"/>
              </w:rPr>
              <w:t>2027 г.</w:t>
            </w:r>
          </w:p>
        </w:tc>
        <w:tc>
          <w:tcPr>
            <w:tcW w:w="909" w:type="dxa"/>
          </w:tcPr>
          <w:p w:rsidR="000B688B" w:rsidRDefault="00640F08">
            <w:pPr>
              <w:jc w:val="center"/>
              <w:rPr>
                <w:b/>
                <w:i/>
                <w:noProof/>
                <w:sz w:val="20"/>
              </w:rPr>
            </w:pPr>
            <w:r>
              <w:rPr>
                <w:b/>
                <w:i/>
                <w:noProof/>
                <w:sz w:val="20"/>
              </w:rPr>
              <w:t>След 2027 г.</w:t>
            </w:r>
          </w:p>
        </w:tc>
        <w:tc>
          <w:tcPr>
            <w:tcW w:w="1289" w:type="dxa"/>
            <w:vAlign w:val="center"/>
          </w:tcPr>
          <w:p w:rsidR="000B688B" w:rsidRDefault="00640F08">
            <w:pPr>
              <w:jc w:val="center"/>
              <w:rPr>
                <w:b/>
                <w:noProof/>
                <w:sz w:val="20"/>
              </w:rPr>
            </w:pPr>
            <w:r>
              <w:rPr>
                <w:b/>
                <w:noProof/>
                <w:sz w:val="20"/>
              </w:rPr>
              <w:t>ОБЩО</w:t>
            </w:r>
          </w:p>
        </w:tc>
      </w:tr>
      <w:tr w:rsidR="000B688B">
        <w:trPr>
          <w:trHeight w:val="433"/>
          <w:jc w:val="center"/>
        </w:trPr>
        <w:tc>
          <w:tcPr>
            <w:tcW w:w="4103" w:type="dxa"/>
            <w:vMerge w:val="restart"/>
            <w:vAlign w:val="center"/>
          </w:tcPr>
          <w:p w:rsidR="000B688B" w:rsidRDefault="00640F08">
            <w:pPr>
              <w:rPr>
                <w:noProof/>
              </w:rPr>
            </w:pPr>
            <w:r>
              <w:rPr>
                <w:noProof/>
                <w:sz w:val="20"/>
              </w:rPr>
              <w:t xml:space="preserve">13.02.01 - Развитие на способностите  </w:t>
            </w:r>
          </w:p>
        </w:tc>
        <w:tc>
          <w:tcPr>
            <w:tcW w:w="1440" w:type="dxa"/>
            <w:vAlign w:val="center"/>
          </w:tcPr>
          <w:p w:rsidR="000B688B" w:rsidRDefault="00640F08">
            <w:pPr>
              <w:spacing w:before="20" w:after="20"/>
              <w:jc w:val="left"/>
              <w:rPr>
                <w:noProof/>
                <w:sz w:val="18"/>
              </w:rPr>
            </w:pPr>
            <w:r>
              <w:rPr>
                <w:noProof/>
                <w:sz w:val="18"/>
              </w:rPr>
              <w:t>Поети задължения</w:t>
            </w:r>
          </w:p>
        </w:tc>
        <w:tc>
          <w:tcPr>
            <w:tcW w:w="654" w:type="dxa"/>
            <w:vAlign w:val="center"/>
          </w:tcPr>
          <w:p w:rsidR="000B688B" w:rsidRDefault="00640F08">
            <w:pPr>
              <w:spacing w:before="20" w:after="20"/>
              <w:jc w:val="center"/>
              <w:rPr>
                <w:noProof/>
                <w:sz w:val="14"/>
              </w:rPr>
            </w:pPr>
            <w:r>
              <w:rPr>
                <w:noProof/>
                <w:sz w:val="14"/>
              </w:rPr>
              <w:t>(1)</w:t>
            </w:r>
          </w:p>
        </w:tc>
        <w:tc>
          <w:tcPr>
            <w:tcW w:w="868" w:type="dxa"/>
            <w:vAlign w:val="center"/>
          </w:tcPr>
          <w:p w:rsidR="000B688B" w:rsidRDefault="00640F08">
            <w:pPr>
              <w:spacing w:before="20" w:after="20"/>
              <w:jc w:val="center"/>
              <w:rPr>
                <w:noProof/>
                <w:color w:val="0070C0"/>
                <w:sz w:val="16"/>
                <w:szCs w:val="16"/>
              </w:rPr>
            </w:pPr>
            <w:r>
              <w:rPr>
                <w:noProof/>
                <w:color w:val="0070C0"/>
                <w:sz w:val="16"/>
              </w:rPr>
              <w:t>996,515</w:t>
            </w:r>
          </w:p>
        </w:tc>
        <w:tc>
          <w:tcPr>
            <w:tcW w:w="868" w:type="dxa"/>
            <w:vAlign w:val="center"/>
          </w:tcPr>
          <w:p w:rsidR="000B688B" w:rsidRDefault="00640F08">
            <w:pPr>
              <w:spacing w:before="20" w:after="20"/>
              <w:jc w:val="center"/>
              <w:rPr>
                <w:noProof/>
                <w:color w:val="0070C0"/>
                <w:sz w:val="16"/>
                <w:szCs w:val="16"/>
              </w:rPr>
            </w:pPr>
            <w:r>
              <w:rPr>
                <w:noProof/>
                <w:color w:val="0070C0"/>
                <w:sz w:val="16"/>
              </w:rPr>
              <w:t>995,939</w:t>
            </w:r>
          </w:p>
        </w:tc>
        <w:tc>
          <w:tcPr>
            <w:tcW w:w="868" w:type="dxa"/>
            <w:vAlign w:val="center"/>
          </w:tcPr>
          <w:p w:rsidR="000B688B" w:rsidRDefault="00640F08">
            <w:pPr>
              <w:spacing w:before="20" w:after="20"/>
              <w:jc w:val="center"/>
              <w:rPr>
                <w:noProof/>
                <w:color w:val="0070C0"/>
                <w:sz w:val="16"/>
                <w:szCs w:val="16"/>
              </w:rPr>
            </w:pPr>
            <w:r>
              <w:rPr>
                <w:noProof/>
                <w:color w:val="0070C0"/>
                <w:sz w:val="16"/>
              </w:rPr>
              <w:t>995,357</w:t>
            </w:r>
          </w:p>
        </w:tc>
        <w:tc>
          <w:tcPr>
            <w:tcW w:w="868" w:type="dxa"/>
            <w:vAlign w:val="center"/>
          </w:tcPr>
          <w:p w:rsidR="000B688B" w:rsidRDefault="00640F08">
            <w:pPr>
              <w:spacing w:before="20" w:after="20"/>
              <w:jc w:val="center"/>
              <w:rPr>
                <w:noProof/>
                <w:color w:val="0070C0"/>
                <w:sz w:val="16"/>
                <w:szCs w:val="16"/>
              </w:rPr>
            </w:pPr>
            <w:r>
              <w:rPr>
                <w:noProof/>
                <w:color w:val="0070C0"/>
                <w:sz w:val="16"/>
              </w:rPr>
              <w:t>1 095,012</w:t>
            </w:r>
          </w:p>
        </w:tc>
        <w:tc>
          <w:tcPr>
            <w:tcW w:w="868" w:type="dxa"/>
            <w:vAlign w:val="center"/>
          </w:tcPr>
          <w:p w:rsidR="000B688B" w:rsidRDefault="00640F08">
            <w:pPr>
              <w:spacing w:before="20" w:after="20"/>
              <w:jc w:val="center"/>
              <w:rPr>
                <w:noProof/>
                <w:color w:val="0070C0"/>
                <w:sz w:val="16"/>
                <w:szCs w:val="16"/>
              </w:rPr>
            </w:pPr>
            <w:r>
              <w:rPr>
                <w:noProof/>
                <w:color w:val="0070C0"/>
                <w:sz w:val="16"/>
              </w:rPr>
              <w:t>1 294,543</w:t>
            </w:r>
          </w:p>
        </w:tc>
        <w:tc>
          <w:tcPr>
            <w:tcW w:w="868" w:type="dxa"/>
            <w:vAlign w:val="center"/>
          </w:tcPr>
          <w:p w:rsidR="000B688B" w:rsidRDefault="00640F08">
            <w:pPr>
              <w:spacing w:before="20" w:after="20"/>
              <w:jc w:val="center"/>
              <w:rPr>
                <w:noProof/>
                <w:color w:val="0070C0"/>
                <w:sz w:val="16"/>
                <w:szCs w:val="16"/>
              </w:rPr>
            </w:pPr>
            <w:r>
              <w:rPr>
                <w:noProof/>
                <w:color w:val="0070C0"/>
                <w:sz w:val="16"/>
              </w:rPr>
              <w:t>1 494,266</w:t>
            </w:r>
          </w:p>
        </w:tc>
        <w:tc>
          <w:tcPr>
            <w:tcW w:w="868" w:type="dxa"/>
            <w:vAlign w:val="center"/>
          </w:tcPr>
          <w:p w:rsidR="000B688B" w:rsidRDefault="00640F08">
            <w:pPr>
              <w:spacing w:before="20" w:after="20"/>
              <w:jc w:val="center"/>
              <w:rPr>
                <w:noProof/>
                <w:color w:val="0070C0"/>
                <w:sz w:val="16"/>
                <w:szCs w:val="16"/>
              </w:rPr>
            </w:pPr>
            <w:r>
              <w:rPr>
                <w:noProof/>
                <w:color w:val="0070C0"/>
                <w:sz w:val="16"/>
              </w:rPr>
              <w:t>1 993,374</w:t>
            </w:r>
          </w:p>
        </w:tc>
        <w:tc>
          <w:tcPr>
            <w:tcW w:w="909" w:type="dxa"/>
            <w:shd w:val="clear" w:color="auto" w:fill="A6A6A6"/>
            <w:vAlign w:val="center"/>
          </w:tcPr>
          <w:p w:rsidR="000B688B" w:rsidRDefault="000B688B">
            <w:pPr>
              <w:spacing w:before="20" w:after="20"/>
              <w:jc w:val="right"/>
              <w:rPr>
                <w:b/>
                <w:noProof/>
                <w:color w:val="0070C0"/>
                <w:sz w:val="17"/>
                <w:szCs w:val="17"/>
              </w:rPr>
            </w:pPr>
          </w:p>
        </w:tc>
        <w:tc>
          <w:tcPr>
            <w:tcW w:w="1289" w:type="dxa"/>
            <w:vAlign w:val="center"/>
          </w:tcPr>
          <w:p w:rsidR="000B688B" w:rsidRDefault="00640F08">
            <w:pPr>
              <w:spacing w:before="20" w:after="20"/>
              <w:jc w:val="right"/>
              <w:rPr>
                <w:noProof/>
                <w:color w:val="0070C0"/>
                <w:sz w:val="18"/>
                <w:szCs w:val="18"/>
              </w:rPr>
            </w:pPr>
            <w:r>
              <w:rPr>
                <w:noProof/>
                <w:color w:val="0070C0"/>
                <w:sz w:val="18"/>
              </w:rPr>
              <w:t>8 865,006</w:t>
            </w:r>
          </w:p>
        </w:tc>
      </w:tr>
      <w:tr w:rsidR="000B688B">
        <w:trPr>
          <w:trHeight w:val="411"/>
          <w:jc w:val="center"/>
        </w:trPr>
        <w:tc>
          <w:tcPr>
            <w:tcW w:w="4103" w:type="dxa"/>
            <w:vMerge/>
          </w:tcPr>
          <w:p w:rsidR="000B688B" w:rsidRDefault="000B688B">
            <w:pPr>
              <w:jc w:val="center"/>
              <w:rPr>
                <w:noProof/>
                <w:sz w:val="20"/>
              </w:rPr>
            </w:pPr>
          </w:p>
        </w:tc>
        <w:tc>
          <w:tcPr>
            <w:tcW w:w="1440" w:type="dxa"/>
            <w:vAlign w:val="center"/>
          </w:tcPr>
          <w:p w:rsidR="000B688B" w:rsidRDefault="00640F08">
            <w:pPr>
              <w:spacing w:before="20" w:after="20"/>
              <w:jc w:val="left"/>
              <w:rPr>
                <w:noProof/>
                <w:sz w:val="18"/>
              </w:rPr>
            </w:pPr>
            <w:r>
              <w:rPr>
                <w:noProof/>
                <w:sz w:val="18"/>
              </w:rPr>
              <w:t>Плащания</w:t>
            </w:r>
          </w:p>
        </w:tc>
        <w:tc>
          <w:tcPr>
            <w:tcW w:w="654" w:type="dxa"/>
            <w:vAlign w:val="center"/>
          </w:tcPr>
          <w:p w:rsidR="000B688B" w:rsidRDefault="00640F08">
            <w:pPr>
              <w:spacing w:before="20" w:after="20"/>
              <w:jc w:val="center"/>
              <w:rPr>
                <w:noProof/>
                <w:sz w:val="14"/>
              </w:rPr>
            </w:pPr>
            <w:r>
              <w:rPr>
                <w:noProof/>
                <w:sz w:val="14"/>
              </w:rPr>
              <w:t>(2)</w:t>
            </w:r>
          </w:p>
        </w:tc>
        <w:tc>
          <w:tcPr>
            <w:tcW w:w="868" w:type="dxa"/>
          </w:tcPr>
          <w:p w:rsidR="000B688B" w:rsidRDefault="00640F08">
            <w:pPr>
              <w:jc w:val="right"/>
              <w:rPr>
                <w:noProof/>
                <w:color w:val="0070C0"/>
                <w:sz w:val="16"/>
                <w:szCs w:val="16"/>
              </w:rPr>
            </w:pPr>
            <w:r>
              <w:rPr>
                <w:noProof/>
                <w:color w:val="0070C0"/>
                <w:sz w:val="16"/>
              </w:rPr>
              <w:t xml:space="preserve">252,448 </w:t>
            </w:r>
          </w:p>
        </w:tc>
        <w:tc>
          <w:tcPr>
            <w:tcW w:w="868" w:type="dxa"/>
          </w:tcPr>
          <w:p w:rsidR="000B688B" w:rsidRDefault="00640F08">
            <w:pPr>
              <w:jc w:val="right"/>
              <w:rPr>
                <w:noProof/>
                <w:color w:val="0070C0"/>
                <w:sz w:val="16"/>
                <w:szCs w:val="16"/>
              </w:rPr>
            </w:pPr>
            <w:r>
              <w:rPr>
                <w:noProof/>
                <w:color w:val="0070C0"/>
                <w:sz w:val="16"/>
              </w:rPr>
              <w:t>446,251</w:t>
            </w:r>
          </w:p>
        </w:tc>
        <w:tc>
          <w:tcPr>
            <w:tcW w:w="868" w:type="dxa"/>
          </w:tcPr>
          <w:p w:rsidR="000B688B" w:rsidRDefault="00640F08">
            <w:pPr>
              <w:jc w:val="right"/>
              <w:rPr>
                <w:noProof/>
                <w:color w:val="0070C0"/>
                <w:sz w:val="16"/>
                <w:szCs w:val="16"/>
              </w:rPr>
            </w:pPr>
            <w:r>
              <w:rPr>
                <w:noProof/>
                <w:color w:val="0070C0"/>
                <w:sz w:val="16"/>
              </w:rPr>
              <w:t xml:space="preserve">583,628 </w:t>
            </w:r>
          </w:p>
        </w:tc>
        <w:tc>
          <w:tcPr>
            <w:tcW w:w="868" w:type="dxa"/>
          </w:tcPr>
          <w:p w:rsidR="000B688B" w:rsidRDefault="00640F08">
            <w:pPr>
              <w:jc w:val="right"/>
              <w:rPr>
                <w:noProof/>
                <w:color w:val="0070C0"/>
                <w:sz w:val="16"/>
                <w:szCs w:val="16"/>
              </w:rPr>
            </w:pPr>
            <w:r>
              <w:rPr>
                <w:noProof/>
                <w:color w:val="0070C0"/>
                <w:sz w:val="16"/>
              </w:rPr>
              <w:t xml:space="preserve">810,579 </w:t>
            </w:r>
          </w:p>
        </w:tc>
        <w:tc>
          <w:tcPr>
            <w:tcW w:w="868" w:type="dxa"/>
          </w:tcPr>
          <w:p w:rsidR="000B688B" w:rsidRDefault="00640F08">
            <w:pPr>
              <w:jc w:val="right"/>
              <w:rPr>
                <w:noProof/>
                <w:color w:val="0070C0"/>
                <w:sz w:val="16"/>
                <w:szCs w:val="16"/>
              </w:rPr>
            </w:pPr>
            <w:r>
              <w:rPr>
                <w:noProof/>
                <w:color w:val="0070C0"/>
                <w:sz w:val="16"/>
              </w:rPr>
              <w:t xml:space="preserve">981,440 </w:t>
            </w:r>
          </w:p>
        </w:tc>
        <w:tc>
          <w:tcPr>
            <w:tcW w:w="868" w:type="dxa"/>
          </w:tcPr>
          <w:p w:rsidR="000B688B" w:rsidRDefault="00640F08">
            <w:pPr>
              <w:jc w:val="right"/>
              <w:rPr>
                <w:noProof/>
                <w:color w:val="0070C0"/>
                <w:sz w:val="16"/>
                <w:szCs w:val="16"/>
              </w:rPr>
            </w:pPr>
            <w:r>
              <w:rPr>
                <w:noProof/>
                <w:color w:val="0070C0"/>
                <w:sz w:val="16"/>
              </w:rPr>
              <w:t xml:space="preserve">1 214,568 </w:t>
            </w:r>
          </w:p>
        </w:tc>
        <w:tc>
          <w:tcPr>
            <w:tcW w:w="868" w:type="dxa"/>
          </w:tcPr>
          <w:p w:rsidR="000B688B" w:rsidRDefault="00640F08">
            <w:pPr>
              <w:jc w:val="right"/>
              <w:rPr>
                <w:noProof/>
                <w:color w:val="0070C0"/>
                <w:sz w:val="16"/>
                <w:szCs w:val="16"/>
              </w:rPr>
            </w:pPr>
            <w:r>
              <w:rPr>
                <w:noProof/>
                <w:color w:val="0070C0"/>
                <w:sz w:val="16"/>
              </w:rPr>
              <w:t xml:space="preserve">1 409,358 </w:t>
            </w:r>
          </w:p>
        </w:tc>
        <w:tc>
          <w:tcPr>
            <w:tcW w:w="909" w:type="dxa"/>
            <w:vAlign w:val="center"/>
          </w:tcPr>
          <w:p w:rsidR="000B688B" w:rsidRDefault="00640F08">
            <w:pPr>
              <w:jc w:val="center"/>
              <w:rPr>
                <w:noProof/>
                <w:color w:val="0070C0"/>
                <w:sz w:val="16"/>
                <w:szCs w:val="16"/>
              </w:rPr>
            </w:pPr>
            <w:r>
              <w:rPr>
                <w:noProof/>
                <w:color w:val="0070C0"/>
                <w:sz w:val="16"/>
              </w:rPr>
              <w:t>3 166,735</w:t>
            </w:r>
          </w:p>
        </w:tc>
        <w:tc>
          <w:tcPr>
            <w:tcW w:w="1289" w:type="dxa"/>
            <w:vAlign w:val="center"/>
          </w:tcPr>
          <w:p w:rsidR="000B688B" w:rsidRDefault="00640F08">
            <w:pPr>
              <w:spacing w:before="20" w:after="20"/>
              <w:jc w:val="right"/>
              <w:rPr>
                <w:noProof/>
                <w:color w:val="0070C0"/>
                <w:sz w:val="18"/>
                <w:szCs w:val="18"/>
              </w:rPr>
            </w:pPr>
            <w:r>
              <w:rPr>
                <w:noProof/>
                <w:color w:val="0070C0"/>
                <w:sz w:val="18"/>
              </w:rPr>
              <w:t>8 865,006</w:t>
            </w:r>
          </w:p>
        </w:tc>
      </w:tr>
      <w:tr w:rsidR="000B688B">
        <w:trPr>
          <w:trHeight w:val="319"/>
          <w:jc w:val="center"/>
        </w:trPr>
        <w:tc>
          <w:tcPr>
            <w:tcW w:w="4103" w:type="dxa"/>
            <w:vMerge w:val="restart"/>
            <w:vAlign w:val="center"/>
          </w:tcPr>
          <w:p w:rsidR="000B688B" w:rsidRDefault="00640F08">
            <w:pPr>
              <w:spacing w:before="20" w:after="20"/>
              <w:jc w:val="left"/>
              <w:rPr>
                <w:noProof/>
                <w:sz w:val="20"/>
              </w:rPr>
            </w:pPr>
            <w:r>
              <w:rPr>
                <w:noProof/>
                <w:sz w:val="20"/>
              </w:rPr>
              <w:t>13.02.02 – Научни изследвания в областта на отбраната</w:t>
            </w:r>
          </w:p>
        </w:tc>
        <w:tc>
          <w:tcPr>
            <w:tcW w:w="1440" w:type="dxa"/>
            <w:vAlign w:val="center"/>
          </w:tcPr>
          <w:p w:rsidR="000B688B" w:rsidRDefault="00640F08">
            <w:pPr>
              <w:spacing w:before="20" w:after="20"/>
              <w:jc w:val="left"/>
              <w:rPr>
                <w:noProof/>
                <w:sz w:val="18"/>
              </w:rPr>
            </w:pPr>
            <w:r>
              <w:rPr>
                <w:noProof/>
                <w:sz w:val="18"/>
              </w:rPr>
              <w:t>Поети задължения</w:t>
            </w:r>
          </w:p>
        </w:tc>
        <w:tc>
          <w:tcPr>
            <w:tcW w:w="654" w:type="dxa"/>
            <w:vAlign w:val="center"/>
          </w:tcPr>
          <w:p w:rsidR="000B688B" w:rsidRDefault="00640F08">
            <w:pPr>
              <w:spacing w:before="20" w:after="20"/>
              <w:jc w:val="center"/>
              <w:rPr>
                <w:noProof/>
                <w:sz w:val="14"/>
              </w:rPr>
            </w:pPr>
            <w:r>
              <w:rPr>
                <w:noProof/>
                <w:sz w:val="14"/>
              </w:rPr>
              <w:t>(1)</w:t>
            </w:r>
          </w:p>
        </w:tc>
        <w:tc>
          <w:tcPr>
            <w:tcW w:w="868" w:type="dxa"/>
          </w:tcPr>
          <w:p w:rsidR="000B688B" w:rsidRDefault="00640F08">
            <w:pPr>
              <w:jc w:val="right"/>
              <w:rPr>
                <w:noProof/>
                <w:color w:val="0070C0"/>
                <w:sz w:val="16"/>
                <w:szCs w:val="16"/>
              </w:rPr>
            </w:pPr>
            <w:r>
              <w:rPr>
                <w:noProof/>
                <w:color w:val="0070C0"/>
                <w:sz w:val="16"/>
              </w:rPr>
              <w:t>498,257</w:t>
            </w:r>
          </w:p>
        </w:tc>
        <w:tc>
          <w:tcPr>
            <w:tcW w:w="868" w:type="dxa"/>
          </w:tcPr>
          <w:p w:rsidR="000B688B" w:rsidRDefault="00640F08">
            <w:pPr>
              <w:jc w:val="right"/>
              <w:rPr>
                <w:noProof/>
                <w:color w:val="0070C0"/>
                <w:sz w:val="16"/>
                <w:szCs w:val="16"/>
              </w:rPr>
            </w:pPr>
            <w:r>
              <w:rPr>
                <w:noProof/>
                <w:color w:val="0070C0"/>
                <w:sz w:val="16"/>
              </w:rPr>
              <w:t>497,970</w:t>
            </w:r>
          </w:p>
        </w:tc>
        <w:tc>
          <w:tcPr>
            <w:tcW w:w="868" w:type="dxa"/>
          </w:tcPr>
          <w:p w:rsidR="000B688B" w:rsidRDefault="00640F08">
            <w:pPr>
              <w:jc w:val="right"/>
              <w:rPr>
                <w:noProof/>
                <w:color w:val="0070C0"/>
                <w:sz w:val="16"/>
                <w:szCs w:val="16"/>
              </w:rPr>
            </w:pPr>
            <w:r>
              <w:rPr>
                <w:noProof/>
                <w:color w:val="0070C0"/>
                <w:sz w:val="16"/>
              </w:rPr>
              <w:t>497,679</w:t>
            </w:r>
          </w:p>
        </w:tc>
        <w:tc>
          <w:tcPr>
            <w:tcW w:w="868" w:type="dxa"/>
          </w:tcPr>
          <w:p w:rsidR="000B688B" w:rsidRDefault="00640F08">
            <w:pPr>
              <w:jc w:val="right"/>
              <w:rPr>
                <w:noProof/>
                <w:color w:val="0070C0"/>
                <w:sz w:val="16"/>
                <w:szCs w:val="16"/>
              </w:rPr>
            </w:pPr>
            <w:r>
              <w:rPr>
                <w:noProof/>
                <w:color w:val="0070C0"/>
                <w:sz w:val="16"/>
              </w:rPr>
              <w:t>497,733</w:t>
            </w:r>
          </w:p>
        </w:tc>
        <w:tc>
          <w:tcPr>
            <w:tcW w:w="868" w:type="dxa"/>
          </w:tcPr>
          <w:p w:rsidR="000B688B" w:rsidRDefault="00640F08">
            <w:pPr>
              <w:jc w:val="right"/>
              <w:rPr>
                <w:noProof/>
                <w:color w:val="0070C0"/>
                <w:sz w:val="16"/>
                <w:szCs w:val="16"/>
              </w:rPr>
            </w:pPr>
            <w:r>
              <w:rPr>
                <w:noProof/>
                <w:color w:val="0070C0"/>
                <w:sz w:val="16"/>
              </w:rPr>
              <w:t>597,482</w:t>
            </w:r>
          </w:p>
        </w:tc>
        <w:tc>
          <w:tcPr>
            <w:tcW w:w="868" w:type="dxa"/>
          </w:tcPr>
          <w:p w:rsidR="000B688B" w:rsidRDefault="00640F08">
            <w:pPr>
              <w:jc w:val="right"/>
              <w:rPr>
                <w:noProof/>
                <w:color w:val="0070C0"/>
                <w:sz w:val="16"/>
                <w:szCs w:val="16"/>
              </w:rPr>
            </w:pPr>
            <w:r>
              <w:rPr>
                <w:noProof/>
                <w:color w:val="0070C0"/>
                <w:sz w:val="16"/>
              </w:rPr>
              <w:t>697,324</w:t>
            </w:r>
          </w:p>
        </w:tc>
        <w:tc>
          <w:tcPr>
            <w:tcW w:w="868" w:type="dxa"/>
          </w:tcPr>
          <w:p w:rsidR="000B688B" w:rsidRDefault="00640F08">
            <w:pPr>
              <w:jc w:val="right"/>
              <w:rPr>
                <w:noProof/>
                <w:color w:val="0070C0"/>
                <w:sz w:val="16"/>
                <w:szCs w:val="16"/>
              </w:rPr>
            </w:pPr>
            <w:r>
              <w:rPr>
                <w:noProof/>
                <w:color w:val="0070C0"/>
                <w:sz w:val="16"/>
              </w:rPr>
              <w:t>797,349</w:t>
            </w:r>
          </w:p>
        </w:tc>
        <w:tc>
          <w:tcPr>
            <w:tcW w:w="909" w:type="dxa"/>
            <w:shd w:val="clear" w:color="auto" w:fill="A6A6A6"/>
            <w:vAlign w:val="center"/>
          </w:tcPr>
          <w:p w:rsidR="000B688B" w:rsidRDefault="000B688B">
            <w:pPr>
              <w:spacing w:before="40" w:after="40"/>
              <w:jc w:val="right"/>
              <w:rPr>
                <w:noProof/>
                <w:color w:val="0070C0"/>
                <w:sz w:val="17"/>
                <w:szCs w:val="17"/>
              </w:rPr>
            </w:pPr>
          </w:p>
        </w:tc>
        <w:tc>
          <w:tcPr>
            <w:tcW w:w="1289" w:type="dxa"/>
            <w:vAlign w:val="center"/>
          </w:tcPr>
          <w:p w:rsidR="000B688B" w:rsidRDefault="00640F08">
            <w:pPr>
              <w:spacing w:before="40" w:after="40"/>
              <w:jc w:val="right"/>
              <w:rPr>
                <w:noProof/>
                <w:color w:val="0070C0"/>
                <w:sz w:val="18"/>
                <w:szCs w:val="18"/>
              </w:rPr>
            </w:pPr>
            <w:r>
              <w:rPr>
                <w:noProof/>
                <w:color w:val="0070C0"/>
                <w:sz w:val="18"/>
              </w:rPr>
              <w:t>4 083,794</w:t>
            </w:r>
          </w:p>
        </w:tc>
      </w:tr>
      <w:tr w:rsidR="000B688B">
        <w:trPr>
          <w:trHeight w:val="319"/>
          <w:jc w:val="center"/>
        </w:trPr>
        <w:tc>
          <w:tcPr>
            <w:tcW w:w="4103" w:type="dxa"/>
            <w:vMerge/>
            <w:vAlign w:val="center"/>
          </w:tcPr>
          <w:p w:rsidR="000B688B" w:rsidRDefault="000B688B">
            <w:pPr>
              <w:spacing w:before="20" w:after="20"/>
              <w:jc w:val="left"/>
              <w:rPr>
                <w:noProof/>
                <w:sz w:val="20"/>
              </w:rPr>
            </w:pPr>
          </w:p>
        </w:tc>
        <w:tc>
          <w:tcPr>
            <w:tcW w:w="1440" w:type="dxa"/>
            <w:vAlign w:val="center"/>
          </w:tcPr>
          <w:p w:rsidR="000B688B" w:rsidRDefault="00640F08">
            <w:pPr>
              <w:spacing w:before="40" w:after="40"/>
              <w:jc w:val="left"/>
              <w:rPr>
                <w:noProof/>
                <w:sz w:val="18"/>
              </w:rPr>
            </w:pPr>
            <w:r>
              <w:rPr>
                <w:noProof/>
                <w:sz w:val="18"/>
              </w:rPr>
              <w:t>Плащания</w:t>
            </w:r>
          </w:p>
        </w:tc>
        <w:tc>
          <w:tcPr>
            <w:tcW w:w="654" w:type="dxa"/>
            <w:vAlign w:val="center"/>
          </w:tcPr>
          <w:p w:rsidR="000B688B" w:rsidRDefault="00640F08">
            <w:pPr>
              <w:spacing w:before="20" w:after="20"/>
              <w:jc w:val="center"/>
              <w:rPr>
                <w:noProof/>
                <w:sz w:val="14"/>
              </w:rPr>
            </w:pPr>
            <w:r>
              <w:rPr>
                <w:noProof/>
                <w:sz w:val="14"/>
              </w:rPr>
              <w:t>(2)</w:t>
            </w:r>
          </w:p>
        </w:tc>
        <w:tc>
          <w:tcPr>
            <w:tcW w:w="868" w:type="dxa"/>
          </w:tcPr>
          <w:p w:rsidR="000B688B" w:rsidRDefault="00640F08">
            <w:pPr>
              <w:jc w:val="right"/>
              <w:rPr>
                <w:noProof/>
                <w:color w:val="0070C0"/>
                <w:sz w:val="16"/>
                <w:szCs w:val="16"/>
              </w:rPr>
            </w:pPr>
            <w:r>
              <w:rPr>
                <w:noProof/>
                <w:color w:val="0070C0"/>
                <w:sz w:val="16"/>
              </w:rPr>
              <w:t>123,978</w:t>
            </w:r>
          </w:p>
        </w:tc>
        <w:tc>
          <w:tcPr>
            <w:tcW w:w="868" w:type="dxa"/>
          </w:tcPr>
          <w:p w:rsidR="000B688B" w:rsidRDefault="00640F08">
            <w:pPr>
              <w:jc w:val="right"/>
              <w:rPr>
                <w:noProof/>
                <w:color w:val="0070C0"/>
                <w:sz w:val="16"/>
                <w:szCs w:val="16"/>
              </w:rPr>
            </w:pPr>
            <w:r>
              <w:rPr>
                <w:noProof/>
                <w:color w:val="0070C0"/>
                <w:sz w:val="16"/>
              </w:rPr>
              <w:t>262,396</w:t>
            </w:r>
          </w:p>
        </w:tc>
        <w:tc>
          <w:tcPr>
            <w:tcW w:w="868" w:type="dxa"/>
          </w:tcPr>
          <w:p w:rsidR="000B688B" w:rsidRDefault="00640F08">
            <w:pPr>
              <w:jc w:val="right"/>
              <w:rPr>
                <w:noProof/>
                <w:color w:val="0070C0"/>
                <w:sz w:val="16"/>
                <w:szCs w:val="16"/>
              </w:rPr>
            </w:pPr>
            <w:r>
              <w:rPr>
                <w:noProof/>
                <w:color w:val="0070C0"/>
                <w:sz w:val="16"/>
              </w:rPr>
              <w:t>324,408</w:t>
            </w:r>
          </w:p>
        </w:tc>
        <w:tc>
          <w:tcPr>
            <w:tcW w:w="868" w:type="dxa"/>
          </w:tcPr>
          <w:p w:rsidR="000B688B" w:rsidRDefault="00640F08">
            <w:pPr>
              <w:jc w:val="right"/>
              <w:rPr>
                <w:noProof/>
                <w:color w:val="0070C0"/>
                <w:sz w:val="16"/>
                <w:szCs w:val="16"/>
              </w:rPr>
            </w:pPr>
            <w:r>
              <w:rPr>
                <w:noProof/>
                <w:color w:val="0070C0"/>
                <w:sz w:val="16"/>
              </w:rPr>
              <w:t>389,666</w:t>
            </w:r>
          </w:p>
        </w:tc>
        <w:tc>
          <w:tcPr>
            <w:tcW w:w="868" w:type="dxa"/>
          </w:tcPr>
          <w:p w:rsidR="000B688B" w:rsidRDefault="00640F08">
            <w:pPr>
              <w:jc w:val="right"/>
              <w:rPr>
                <w:noProof/>
                <w:color w:val="0070C0"/>
                <w:sz w:val="16"/>
                <w:szCs w:val="16"/>
              </w:rPr>
            </w:pPr>
            <w:r>
              <w:rPr>
                <w:noProof/>
                <w:color w:val="0070C0"/>
                <w:sz w:val="16"/>
              </w:rPr>
              <w:t>463,085</w:t>
            </w:r>
          </w:p>
        </w:tc>
        <w:tc>
          <w:tcPr>
            <w:tcW w:w="868" w:type="dxa"/>
          </w:tcPr>
          <w:p w:rsidR="000B688B" w:rsidRDefault="00640F08">
            <w:pPr>
              <w:jc w:val="right"/>
              <w:rPr>
                <w:noProof/>
                <w:color w:val="0070C0"/>
                <w:sz w:val="16"/>
                <w:szCs w:val="16"/>
              </w:rPr>
            </w:pPr>
            <w:r>
              <w:rPr>
                <w:noProof/>
                <w:color w:val="0070C0"/>
                <w:sz w:val="16"/>
              </w:rPr>
              <w:t>537,022</w:t>
            </w:r>
          </w:p>
        </w:tc>
        <w:tc>
          <w:tcPr>
            <w:tcW w:w="868" w:type="dxa"/>
          </w:tcPr>
          <w:p w:rsidR="000B688B" w:rsidRDefault="00640F08">
            <w:pPr>
              <w:jc w:val="right"/>
              <w:rPr>
                <w:noProof/>
                <w:color w:val="0070C0"/>
                <w:sz w:val="16"/>
                <w:szCs w:val="16"/>
              </w:rPr>
            </w:pPr>
            <w:r>
              <w:rPr>
                <w:noProof/>
                <w:color w:val="0070C0"/>
                <w:sz w:val="16"/>
              </w:rPr>
              <w:t>613,865</w:t>
            </w:r>
          </w:p>
        </w:tc>
        <w:tc>
          <w:tcPr>
            <w:tcW w:w="909" w:type="dxa"/>
            <w:shd w:val="clear" w:color="auto" w:fill="auto"/>
            <w:vAlign w:val="center"/>
          </w:tcPr>
          <w:p w:rsidR="000B688B" w:rsidRDefault="00640F08">
            <w:pPr>
              <w:spacing w:before="40" w:after="40"/>
              <w:jc w:val="right"/>
              <w:rPr>
                <w:noProof/>
                <w:color w:val="0070C0"/>
                <w:sz w:val="17"/>
                <w:szCs w:val="17"/>
              </w:rPr>
            </w:pPr>
            <w:r>
              <w:rPr>
                <w:noProof/>
                <w:color w:val="0070C0"/>
                <w:sz w:val="17"/>
              </w:rPr>
              <w:t>1 369,373</w:t>
            </w:r>
          </w:p>
        </w:tc>
        <w:tc>
          <w:tcPr>
            <w:tcW w:w="1289" w:type="dxa"/>
            <w:vAlign w:val="center"/>
          </w:tcPr>
          <w:p w:rsidR="000B688B" w:rsidRDefault="00640F08">
            <w:pPr>
              <w:spacing w:before="40" w:after="40"/>
              <w:jc w:val="right"/>
              <w:rPr>
                <w:noProof/>
                <w:color w:val="0070C0"/>
                <w:sz w:val="18"/>
                <w:szCs w:val="18"/>
              </w:rPr>
            </w:pPr>
            <w:r>
              <w:rPr>
                <w:noProof/>
                <w:color w:val="0070C0"/>
                <w:sz w:val="18"/>
              </w:rPr>
              <w:t>4 083,794</w:t>
            </w:r>
          </w:p>
        </w:tc>
      </w:tr>
      <w:tr w:rsidR="000B688B">
        <w:trPr>
          <w:trHeight w:val="319"/>
          <w:jc w:val="center"/>
        </w:trPr>
        <w:tc>
          <w:tcPr>
            <w:tcW w:w="4103" w:type="dxa"/>
            <w:vAlign w:val="center"/>
          </w:tcPr>
          <w:p w:rsidR="000B688B" w:rsidRDefault="00640F08">
            <w:pPr>
              <w:spacing w:before="20" w:after="20"/>
              <w:jc w:val="left"/>
              <w:rPr>
                <w:noProof/>
              </w:rPr>
            </w:pPr>
            <w:r>
              <w:t>13.01.01 – Административна подкрепа</w:t>
            </w:r>
            <w:r>
              <w:rPr>
                <w:rStyle w:val="FootnoteReference"/>
                <w:noProof/>
              </w:rPr>
              <w:t xml:space="preserve"> </w:t>
            </w:r>
            <w:r>
              <w:rPr>
                <w:rStyle w:val="FootnoteReference"/>
                <w:noProof/>
              </w:rPr>
              <w:footnoteReference w:id="30"/>
            </w:r>
            <w:r>
              <w:rPr>
                <w:noProof/>
                <w:sz w:val="21"/>
              </w:rPr>
              <w:t xml:space="preserve"> </w:t>
            </w:r>
          </w:p>
        </w:tc>
        <w:tc>
          <w:tcPr>
            <w:tcW w:w="1440" w:type="dxa"/>
            <w:vAlign w:val="center"/>
          </w:tcPr>
          <w:p w:rsidR="000B688B" w:rsidRDefault="00640F08">
            <w:pPr>
              <w:spacing w:before="40" w:after="40"/>
              <w:jc w:val="left"/>
              <w:rPr>
                <w:noProof/>
                <w:sz w:val="18"/>
              </w:rPr>
            </w:pPr>
            <w:r>
              <w:rPr>
                <w:noProof/>
                <w:sz w:val="18"/>
              </w:rPr>
              <w:t>Поети задължения = Плащания</w:t>
            </w:r>
          </w:p>
        </w:tc>
        <w:tc>
          <w:tcPr>
            <w:tcW w:w="654" w:type="dxa"/>
            <w:vAlign w:val="center"/>
          </w:tcPr>
          <w:p w:rsidR="000B688B" w:rsidRDefault="00640F08">
            <w:pPr>
              <w:spacing w:before="40" w:after="40"/>
              <w:jc w:val="center"/>
              <w:rPr>
                <w:noProof/>
                <w:sz w:val="14"/>
              </w:rPr>
            </w:pPr>
            <w:r>
              <w:rPr>
                <w:noProof/>
                <w:sz w:val="14"/>
              </w:rPr>
              <w:t>(3)</w:t>
            </w:r>
          </w:p>
        </w:tc>
        <w:tc>
          <w:tcPr>
            <w:tcW w:w="868" w:type="dxa"/>
          </w:tcPr>
          <w:p w:rsidR="000B688B" w:rsidRDefault="00640F08">
            <w:pPr>
              <w:jc w:val="right"/>
              <w:rPr>
                <w:noProof/>
                <w:color w:val="0070C0"/>
                <w:sz w:val="16"/>
                <w:szCs w:val="16"/>
              </w:rPr>
            </w:pPr>
            <w:r>
              <w:rPr>
                <w:noProof/>
                <w:color w:val="0070C0"/>
                <w:sz w:val="16"/>
              </w:rPr>
              <w:t>5,228</w:t>
            </w:r>
          </w:p>
        </w:tc>
        <w:tc>
          <w:tcPr>
            <w:tcW w:w="868" w:type="dxa"/>
          </w:tcPr>
          <w:p w:rsidR="000B688B" w:rsidRDefault="00640F08">
            <w:pPr>
              <w:jc w:val="right"/>
              <w:rPr>
                <w:noProof/>
                <w:color w:val="0070C0"/>
                <w:sz w:val="16"/>
                <w:szCs w:val="16"/>
              </w:rPr>
            </w:pPr>
            <w:r>
              <w:rPr>
                <w:noProof/>
                <w:color w:val="0070C0"/>
                <w:sz w:val="16"/>
              </w:rPr>
              <w:t>6,091</w:t>
            </w:r>
          </w:p>
        </w:tc>
        <w:tc>
          <w:tcPr>
            <w:tcW w:w="868" w:type="dxa"/>
          </w:tcPr>
          <w:p w:rsidR="000B688B" w:rsidRDefault="00640F08">
            <w:pPr>
              <w:jc w:val="right"/>
              <w:rPr>
                <w:noProof/>
                <w:color w:val="0070C0"/>
                <w:sz w:val="16"/>
                <w:szCs w:val="16"/>
              </w:rPr>
            </w:pPr>
            <w:r>
              <w:rPr>
                <w:noProof/>
                <w:color w:val="0070C0"/>
                <w:sz w:val="16"/>
              </w:rPr>
              <w:t>6,964</w:t>
            </w:r>
          </w:p>
        </w:tc>
        <w:tc>
          <w:tcPr>
            <w:tcW w:w="868" w:type="dxa"/>
          </w:tcPr>
          <w:p w:rsidR="000B688B" w:rsidRDefault="00640F08">
            <w:pPr>
              <w:jc w:val="right"/>
              <w:rPr>
                <w:noProof/>
                <w:color w:val="0070C0"/>
                <w:sz w:val="16"/>
                <w:szCs w:val="16"/>
              </w:rPr>
            </w:pPr>
            <w:r>
              <w:rPr>
                <w:noProof/>
                <w:color w:val="0070C0"/>
                <w:sz w:val="16"/>
              </w:rPr>
              <w:t>7,255</w:t>
            </w:r>
          </w:p>
        </w:tc>
        <w:tc>
          <w:tcPr>
            <w:tcW w:w="868" w:type="dxa"/>
          </w:tcPr>
          <w:p w:rsidR="000B688B" w:rsidRDefault="00640F08">
            <w:pPr>
              <w:jc w:val="right"/>
              <w:rPr>
                <w:noProof/>
                <w:color w:val="0070C0"/>
                <w:sz w:val="16"/>
                <w:szCs w:val="16"/>
              </w:rPr>
            </w:pPr>
            <w:r>
              <w:rPr>
                <w:noProof/>
                <w:color w:val="0070C0"/>
                <w:sz w:val="16"/>
              </w:rPr>
              <w:t>7,975</w:t>
            </w:r>
          </w:p>
        </w:tc>
        <w:tc>
          <w:tcPr>
            <w:tcW w:w="868" w:type="dxa"/>
          </w:tcPr>
          <w:p w:rsidR="000B688B" w:rsidRDefault="00640F08">
            <w:pPr>
              <w:jc w:val="right"/>
              <w:rPr>
                <w:noProof/>
                <w:color w:val="0070C0"/>
                <w:sz w:val="16"/>
                <w:szCs w:val="16"/>
              </w:rPr>
            </w:pPr>
            <w:r>
              <w:rPr>
                <w:noProof/>
                <w:color w:val="0070C0"/>
                <w:sz w:val="16"/>
              </w:rPr>
              <w:t>8,410</w:t>
            </w:r>
          </w:p>
        </w:tc>
        <w:tc>
          <w:tcPr>
            <w:tcW w:w="868" w:type="dxa"/>
          </w:tcPr>
          <w:p w:rsidR="000B688B" w:rsidRDefault="00640F08">
            <w:pPr>
              <w:jc w:val="right"/>
              <w:rPr>
                <w:noProof/>
                <w:color w:val="0070C0"/>
                <w:sz w:val="16"/>
                <w:szCs w:val="16"/>
              </w:rPr>
            </w:pPr>
            <w:r>
              <w:rPr>
                <w:noProof/>
                <w:color w:val="0070C0"/>
                <w:sz w:val="16"/>
              </w:rPr>
              <w:t>9,277</w:t>
            </w:r>
          </w:p>
        </w:tc>
        <w:tc>
          <w:tcPr>
            <w:tcW w:w="909" w:type="dxa"/>
            <w:shd w:val="clear" w:color="auto" w:fill="A6A6A6"/>
            <w:vAlign w:val="center"/>
          </w:tcPr>
          <w:p w:rsidR="000B688B" w:rsidRDefault="000B688B">
            <w:pPr>
              <w:spacing w:before="40" w:after="40"/>
              <w:jc w:val="right"/>
              <w:rPr>
                <w:noProof/>
                <w:color w:val="0070C0"/>
                <w:sz w:val="17"/>
                <w:szCs w:val="17"/>
              </w:rPr>
            </w:pPr>
          </w:p>
        </w:tc>
        <w:tc>
          <w:tcPr>
            <w:tcW w:w="1289" w:type="dxa"/>
            <w:vAlign w:val="center"/>
          </w:tcPr>
          <w:p w:rsidR="000B688B" w:rsidRDefault="00640F08">
            <w:pPr>
              <w:spacing w:before="40" w:after="40"/>
              <w:jc w:val="right"/>
              <w:rPr>
                <w:noProof/>
                <w:color w:val="0070C0"/>
                <w:sz w:val="18"/>
                <w:szCs w:val="18"/>
              </w:rPr>
            </w:pPr>
            <w:r>
              <w:rPr>
                <w:noProof/>
                <w:color w:val="0070C0"/>
                <w:sz w:val="18"/>
              </w:rPr>
              <w:t>51,200</w:t>
            </w:r>
          </w:p>
        </w:tc>
      </w:tr>
      <w:tr w:rsidR="000B688B">
        <w:trPr>
          <w:jc w:val="center"/>
        </w:trPr>
        <w:tc>
          <w:tcPr>
            <w:tcW w:w="4103" w:type="dxa"/>
            <w:vMerge w:val="restart"/>
            <w:vAlign w:val="center"/>
          </w:tcPr>
          <w:p w:rsidR="000B688B" w:rsidRDefault="00640F08">
            <w:pPr>
              <w:jc w:val="left"/>
              <w:rPr>
                <w:b/>
                <w:noProof/>
              </w:rPr>
            </w:pPr>
            <w:r>
              <w:rPr>
                <w:b/>
                <w:noProof/>
                <w:sz w:val="22"/>
              </w:rPr>
              <w:t>ОБЩО бюджетни кредити за финансовия пакет на програмата</w:t>
            </w:r>
          </w:p>
        </w:tc>
        <w:tc>
          <w:tcPr>
            <w:tcW w:w="1440" w:type="dxa"/>
            <w:vAlign w:val="center"/>
          </w:tcPr>
          <w:p w:rsidR="000B688B" w:rsidRDefault="00640F08">
            <w:pPr>
              <w:jc w:val="left"/>
              <w:rPr>
                <w:noProof/>
                <w:sz w:val="18"/>
              </w:rPr>
            </w:pPr>
            <w:r>
              <w:rPr>
                <w:noProof/>
                <w:sz w:val="18"/>
              </w:rPr>
              <w:t>Поети задължения</w:t>
            </w:r>
          </w:p>
        </w:tc>
        <w:tc>
          <w:tcPr>
            <w:tcW w:w="654" w:type="dxa"/>
            <w:vAlign w:val="center"/>
          </w:tcPr>
          <w:p w:rsidR="000B688B" w:rsidRDefault="00640F08">
            <w:pPr>
              <w:jc w:val="center"/>
              <w:rPr>
                <w:noProof/>
                <w:sz w:val="14"/>
              </w:rPr>
            </w:pPr>
            <w:r>
              <w:rPr>
                <w:noProof/>
                <w:sz w:val="14"/>
              </w:rPr>
              <w:t>=1+3</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1 500,000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1 500,000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1 500,000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1 600,000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1 900,000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2 200,000</w:t>
            </w:r>
          </w:p>
        </w:tc>
        <w:tc>
          <w:tcPr>
            <w:tcW w:w="868" w:type="dxa"/>
            <w:vAlign w:val="center"/>
          </w:tcPr>
          <w:p w:rsidR="000B688B" w:rsidRDefault="00640F08">
            <w:pPr>
              <w:spacing w:before="20" w:after="20"/>
              <w:jc w:val="right"/>
              <w:rPr>
                <w:b/>
                <w:noProof/>
                <w:color w:val="0070C0"/>
                <w:sz w:val="16"/>
                <w:szCs w:val="16"/>
              </w:rPr>
            </w:pPr>
            <w:r>
              <w:rPr>
                <w:b/>
                <w:noProof/>
                <w:color w:val="0070C0"/>
                <w:sz w:val="16"/>
              </w:rPr>
              <w:t>2 800,000</w:t>
            </w:r>
          </w:p>
        </w:tc>
        <w:tc>
          <w:tcPr>
            <w:tcW w:w="909" w:type="dxa"/>
            <w:shd w:val="clear" w:color="auto" w:fill="A6A6A6"/>
            <w:vAlign w:val="center"/>
          </w:tcPr>
          <w:p w:rsidR="000B688B" w:rsidRDefault="000B688B">
            <w:pPr>
              <w:spacing w:before="20" w:after="20"/>
              <w:jc w:val="right"/>
              <w:rPr>
                <w:noProof/>
                <w:color w:val="0070C0"/>
                <w:sz w:val="16"/>
                <w:szCs w:val="16"/>
              </w:rPr>
            </w:pPr>
          </w:p>
        </w:tc>
        <w:tc>
          <w:tcPr>
            <w:tcW w:w="1289" w:type="dxa"/>
            <w:vAlign w:val="center"/>
          </w:tcPr>
          <w:p w:rsidR="000B688B" w:rsidRDefault="00640F08">
            <w:pPr>
              <w:spacing w:before="20" w:after="20"/>
              <w:jc w:val="right"/>
              <w:rPr>
                <w:b/>
                <w:noProof/>
                <w:color w:val="0070C0"/>
                <w:sz w:val="18"/>
                <w:szCs w:val="18"/>
              </w:rPr>
            </w:pPr>
            <w:r>
              <w:rPr>
                <w:b/>
                <w:noProof/>
                <w:color w:val="0070C0"/>
                <w:sz w:val="18"/>
              </w:rPr>
              <w:t>13 000,000</w:t>
            </w:r>
          </w:p>
        </w:tc>
      </w:tr>
      <w:tr w:rsidR="000B688B">
        <w:trPr>
          <w:jc w:val="center"/>
        </w:trPr>
        <w:tc>
          <w:tcPr>
            <w:tcW w:w="4103" w:type="dxa"/>
            <w:vMerge/>
            <w:vAlign w:val="center"/>
          </w:tcPr>
          <w:p w:rsidR="000B688B" w:rsidRDefault="000B688B">
            <w:pPr>
              <w:jc w:val="center"/>
              <w:rPr>
                <w:noProof/>
                <w:sz w:val="20"/>
              </w:rPr>
            </w:pPr>
          </w:p>
        </w:tc>
        <w:tc>
          <w:tcPr>
            <w:tcW w:w="1440" w:type="dxa"/>
            <w:vAlign w:val="center"/>
          </w:tcPr>
          <w:p w:rsidR="000B688B" w:rsidRDefault="00640F08">
            <w:pPr>
              <w:jc w:val="center"/>
              <w:rPr>
                <w:noProof/>
                <w:sz w:val="18"/>
              </w:rPr>
            </w:pPr>
            <w:r>
              <w:rPr>
                <w:noProof/>
                <w:sz w:val="18"/>
              </w:rPr>
              <w:t>Плащания</w:t>
            </w:r>
          </w:p>
        </w:tc>
        <w:tc>
          <w:tcPr>
            <w:tcW w:w="654" w:type="dxa"/>
            <w:vAlign w:val="center"/>
          </w:tcPr>
          <w:p w:rsidR="000B688B" w:rsidRDefault="00640F08">
            <w:pPr>
              <w:jc w:val="center"/>
              <w:rPr>
                <w:noProof/>
                <w:sz w:val="14"/>
              </w:rPr>
            </w:pPr>
            <w:r>
              <w:rPr>
                <w:noProof/>
                <w:sz w:val="14"/>
              </w:rPr>
              <w:t>=2+3</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381,654</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714,738</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915,000</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1 207,500</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1 452,500</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1 760,000</w:t>
            </w:r>
          </w:p>
        </w:tc>
        <w:tc>
          <w:tcPr>
            <w:tcW w:w="868" w:type="dxa"/>
            <w:vAlign w:val="center"/>
          </w:tcPr>
          <w:p w:rsidR="000B688B" w:rsidRDefault="00640F08">
            <w:pPr>
              <w:spacing w:before="20" w:after="20"/>
              <w:jc w:val="center"/>
              <w:rPr>
                <w:b/>
                <w:noProof/>
                <w:color w:val="0070C0"/>
                <w:sz w:val="16"/>
                <w:szCs w:val="16"/>
              </w:rPr>
            </w:pPr>
            <w:r>
              <w:rPr>
                <w:b/>
                <w:noProof/>
                <w:color w:val="0070C0"/>
                <w:sz w:val="16"/>
              </w:rPr>
              <w:t>2 032,500</w:t>
            </w:r>
          </w:p>
        </w:tc>
        <w:tc>
          <w:tcPr>
            <w:tcW w:w="909" w:type="dxa"/>
            <w:vAlign w:val="center"/>
          </w:tcPr>
          <w:p w:rsidR="000B688B" w:rsidRDefault="00640F08">
            <w:pPr>
              <w:spacing w:before="20" w:after="20"/>
              <w:jc w:val="center"/>
              <w:rPr>
                <w:b/>
                <w:noProof/>
                <w:color w:val="0070C0"/>
                <w:sz w:val="16"/>
                <w:szCs w:val="16"/>
              </w:rPr>
            </w:pPr>
            <w:r>
              <w:rPr>
                <w:b/>
                <w:noProof/>
                <w:color w:val="0070C0"/>
                <w:sz w:val="16"/>
              </w:rPr>
              <w:t>4 536,108</w:t>
            </w:r>
          </w:p>
        </w:tc>
        <w:tc>
          <w:tcPr>
            <w:tcW w:w="1289" w:type="dxa"/>
            <w:vAlign w:val="center"/>
          </w:tcPr>
          <w:p w:rsidR="000B688B" w:rsidRDefault="00640F08">
            <w:pPr>
              <w:spacing w:before="20" w:after="20"/>
              <w:jc w:val="right"/>
              <w:rPr>
                <w:b/>
                <w:noProof/>
                <w:color w:val="0070C0"/>
                <w:sz w:val="18"/>
                <w:szCs w:val="18"/>
              </w:rPr>
            </w:pPr>
            <w:r>
              <w:rPr>
                <w:b/>
                <w:noProof/>
                <w:color w:val="0070C0"/>
                <w:sz w:val="18"/>
              </w:rPr>
              <w:t>13 000,000</w:t>
            </w:r>
          </w:p>
        </w:tc>
      </w:tr>
    </w:tbl>
    <w:p w:rsidR="000B688B" w:rsidRDefault="000B688B">
      <w:pPr>
        <w:rPr>
          <w:noProof/>
        </w:rPr>
      </w:pPr>
    </w:p>
    <w:p w:rsidR="000B688B" w:rsidRDefault="000B688B">
      <w:pPr>
        <w:rPr>
          <w:noProof/>
        </w:rPr>
      </w:pPr>
    </w:p>
    <w:p w:rsidR="000B688B" w:rsidRDefault="000B688B">
      <w:pPr>
        <w:rPr>
          <w:noProof/>
        </w:rPr>
      </w:pPr>
    </w:p>
    <w:p w:rsidR="000B688B" w:rsidRDefault="000B688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B688B">
        <w:trPr>
          <w:jc w:val="center"/>
        </w:trPr>
        <w:tc>
          <w:tcPr>
            <w:tcW w:w="4744" w:type="dxa"/>
            <w:shd w:val="thinDiagStripe" w:color="C0C0C0" w:fill="auto"/>
            <w:vAlign w:val="center"/>
          </w:tcPr>
          <w:p w:rsidR="000B688B" w:rsidRDefault="00640F08">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0B688B" w:rsidRDefault="00640F08">
            <w:pPr>
              <w:spacing w:before="60" w:after="60"/>
              <w:jc w:val="center"/>
              <w:rPr>
                <w:noProof/>
              </w:rPr>
            </w:pPr>
            <w:r>
              <w:rPr>
                <w:noProof/>
              </w:rPr>
              <w:t>7</w:t>
            </w:r>
          </w:p>
        </w:tc>
        <w:tc>
          <w:tcPr>
            <w:tcW w:w="7817" w:type="dxa"/>
            <w:vAlign w:val="center"/>
          </w:tcPr>
          <w:p w:rsidR="000B688B" w:rsidRDefault="00640F08">
            <w:pPr>
              <w:spacing w:before="60" w:after="60"/>
              <w:rPr>
                <w:noProof/>
              </w:rPr>
            </w:pPr>
            <w:r>
              <w:rPr>
                <w:noProof/>
                <w:sz w:val="22"/>
              </w:rPr>
              <w:t>„Административни разходи“</w:t>
            </w:r>
          </w:p>
        </w:tc>
      </w:tr>
    </w:tbl>
    <w:p w:rsidR="000B688B" w:rsidRDefault="000B688B">
      <w:pPr>
        <w:jc w:val="left"/>
        <w:rPr>
          <w:noProof/>
        </w:rPr>
      </w:pPr>
    </w:p>
    <w:p w:rsidR="000B688B" w:rsidRDefault="000B688B">
      <w:pPr>
        <w:jc w:val="right"/>
        <w:rPr>
          <w:noProof/>
          <w:sz w:val="20"/>
        </w:rPr>
      </w:pPr>
    </w:p>
    <w:p w:rsidR="000B688B" w:rsidRDefault="00640F08">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0B688B">
        <w:trPr>
          <w:jc w:val="center"/>
        </w:trPr>
        <w:tc>
          <w:tcPr>
            <w:tcW w:w="6245" w:type="dxa"/>
            <w:gridSpan w:val="2"/>
            <w:tcBorders>
              <w:top w:val="nil"/>
              <w:left w:val="nil"/>
            </w:tcBorders>
            <w:vAlign w:val="center"/>
          </w:tcPr>
          <w:p w:rsidR="000B688B" w:rsidRDefault="000B688B">
            <w:pPr>
              <w:jc w:val="center"/>
              <w:rPr>
                <w:noProof/>
                <w:sz w:val="20"/>
              </w:rPr>
            </w:pPr>
          </w:p>
        </w:tc>
        <w:tc>
          <w:tcPr>
            <w:tcW w:w="868" w:type="dxa"/>
            <w:vAlign w:val="center"/>
          </w:tcPr>
          <w:p w:rsidR="000B688B" w:rsidRDefault="00640F08">
            <w:pPr>
              <w:jc w:val="center"/>
              <w:rPr>
                <w:b/>
                <w:noProof/>
                <w:sz w:val="20"/>
              </w:rPr>
            </w:pPr>
            <w:r>
              <w:rPr>
                <w:b/>
                <w:noProof/>
                <w:sz w:val="20"/>
              </w:rPr>
              <w:t>2021 г.</w:t>
            </w:r>
          </w:p>
        </w:tc>
        <w:tc>
          <w:tcPr>
            <w:tcW w:w="868" w:type="dxa"/>
            <w:vAlign w:val="center"/>
          </w:tcPr>
          <w:p w:rsidR="000B688B" w:rsidRDefault="00640F08">
            <w:pPr>
              <w:jc w:val="center"/>
              <w:rPr>
                <w:b/>
                <w:noProof/>
                <w:sz w:val="20"/>
              </w:rPr>
            </w:pPr>
            <w:r>
              <w:rPr>
                <w:b/>
                <w:noProof/>
                <w:sz w:val="20"/>
              </w:rPr>
              <w:t>2022 г.</w:t>
            </w:r>
          </w:p>
        </w:tc>
        <w:tc>
          <w:tcPr>
            <w:tcW w:w="868" w:type="dxa"/>
            <w:vAlign w:val="center"/>
          </w:tcPr>
          <w:p w:rsidR="000B688B" w:rsidRDefault="00640F08">
            <w:pPr>
              <w:jc w:val="center"/>
              <w:rPr>
                <w:b/>
                <w:noProof/>
                <w:sz w:val="20"/>
              </w:rPr>
            </w:pPr>
            <w:r>
              <w:rPr>
                <w:b/>
                <w:noProof/>
                <w:sz w:val="20"/>
              </w:rPr>
              <w:t>2023 г.</w:t>
            </w:r>
          </w:p>
        </w:tc>
        <w:tc>
          <w:tcPr>
            <w:tcW w:w="868" w:type="dxa"/>
            <w:vAlign w:val="center"/>
          </w:tcPr>
          <w:p w:rsidR="000B688B" w:rsidRDefault="00640F08">
            <w:pPr>
              <w:jc w:val="center"/>
              <w:rPr>
                <w:b/>
                <w:noProof/>
                <w:sz w:val="20"/>
              </w:rPr>
            </w:pPr>
            <w:r>
              <w:rPr>
                <w:b/>
                <w:noProof/>
                <w:sz w:val="20"/>
              </w:rPr>
              <w:t>2024 г.</w:t>
            </w:r>
          </w:p>
        </w:tc>
        <w:tc>
          <w:tcPr>
            <w:tcW w:w="868" w:type="dxa"/>
            <w:vAlign w:val="center"/>
          </w:tcPr>
          <w:p w:rsidR="000B688B" w:rsidRDefault="00640F08">
            <w:pPr>
              <w:jc w:val="center"/>
              <w:rPr>
                <w:b/>
                <w:noProof/>
                <w:sz w:val="18"/>
              </w:rPr>
            </w:pPr>
            <w:r>
              <w:rPr>
                <w:b/>
                <w:noProof/>
                <w:sz w:val="18"/>
              </w:rPr>
              <w:t>2025 г.</w:t>
            </w:r>
          </w:p>
        </w:tc>
        <w:tc>
          <w:tcPr>
            <w:tcW w:w="868" w:type="dxa"/>
            <w:vAlign w:val="center"/>
          </w:tcPr>
          <w:p w:rsidR="000B688B" w:rsidRDefault="00640F08">
            <w:pPr>
              <w:jc w:val="center"/>
              <w:rPr>
                <w:b/>
                <w:noProof/>
                <w:sz w:val="18"/>
              </w:rPr>
            </w:pPr>
            <w:r>
              <w:rPr>
                <w:b/>
                <w:noProof/>
                <w:sz w:val="18"/>
              </w:rPr>
              <w:t>2026 г.</w:t>
            </w:r>
          </w:p>
        </w:tc>
        <w:tc>
          <w:tcPr>
            <w:tcW w:w="868" w:type="dxa"/>
            <w:vAlign w:val="center"/>
          </w:tcPr>
          <w:p w:rsidR="000B688B" w:rsidRDefault="00640F08">
            <w:pPr>
              <w:jc w:val="center"/>
              <w:rPr>
                <w:b/>
                <w:noProof/>
                <w:sz w:val="18"/>
              </w:rPr>
            </w:pPr>
            <w:r>
              <w:rPr>
                <w:b/>
                <w:noProof/>
                <w:sz w:val="18"/>
              </w:rPr>
              <w:t>2027 г.</w:t>
            </w:r>
          </w:p>
        </w:tc>
        <w:tc>
          <w:tcPr>
            <w:tcW w:w="887" w:type="dxa"/>
          </w:tcPr>
          <w:p w:rsidR="000B688B" w:rsidRDefault="00640F08">
            <w:pPr>
              <w:jc w:val="center"/>
              <w:rPr>
                <w:b/>
                <w:noProof/>
                <w:sz w:val="20"/>
              </w:rPr>
            </w:pPr>
            <w:r>
              <w:rPr>
                <w:b/>
                <w:i/>
                <w:noProof/>
                <w:sz w:val="20"/>
              </w:rPr>
              <w:t>След 2027 г.</w:t>
            </w:r>
          </w:p>
        </w:tc>
        <w:tc>
          <w:tcPr>
            <w:tcW w:w="1291" w:type="dxa"/>
            <w:vAlign w:val="center"/>
          </w:tcPr>
          <w:p w:rsidR="000B688B" w:rsidRDefault="00640F08">
            <w:pPr>
              <w:jc w:val="center"/>
              <w:rPr>
                <w:b/>
                <w:noProof/>
                <w:sz w:val="20"/>
              </w:rPr>
            </w:pPr>
            <w:r>
              <w:rPr>
                <w:b/>
                <w:noProof/>
                <w:sz w:val="20"/>
              </w:rPr>
              <w:t>ОБЩО</w:t>
            </w:r>
          </w:p>
        </w:tc>
      </w:tr>
      <w:tr w:rsidR="000B688B">
        <w:trPr>
          <w:trHeight w:val="313"/>
          <w:jc w:val="center"/>
        </w:trPr>
        <w:tc>
          <w:tcPr>
            <w:tcW w:w="6245" w:type="dxa"/>
            <w:gridSpan w:val="2"/>
            <w:vAlign w:val="center"/>
          </w:tcPr>
          <w:p w:rsidR="000B688B" w:rsidRDefault="00640F08">
            <w:pPr>
              <w:spacing w:before="20" w:after="20"/>
              <w:rPr>
                <w:noProof/>
              </w:rPr>
            </w:pPr>
            <w:r>
              <w:rPr>
                <w:noProof/>
                <w:sz w:val="22"/>
              </w:rPr>
              <w:t xml:space="preserve">Човешки ресурси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5,768</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6,631</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7,711</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8,002</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8,722</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9,156</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10,024</w:t>
            </w:r>
          </w:p>
        </w:tc>
        <w:tc>
          <w:tcPr>
            <w:tcW w:w="887" w:type="dxa"/>
            <w:shd w:val="clear" w:color="auto" w:fill="A6A6A6"/>
            <w:vAlign w:val="center"/>
          </w:tcPr>
          <w:p w:rsidR="000B688B" w:rsidRDefault="000B688B">
            <w:pPr>
              <w:spacing w:before="20" w:after="20"/>
              <w:jc w:val="right"/>
              <w:rPr>
                <w:b/>
                <w:noProof/>
                <w:color w:val="365F91" w:themeColor="accent1" w:themeShade="BF"/>
                <w:sz w:val="20"/>
              </w:rPr>
            </w:pPr>
          </w:p>
        </w:tc>
        <w:tc>
          <w:tcPr>
            <w:tcW w:w="1291" w:type="dxa"/>
            <w:vAlign w:val="center"/>
          </w:tcPr>
          <w:p w:rsidR="000B688B" w:rsidRDefault="00640F08">
            <w:pPr>
              <w:spacing w:before="20" w:after="20"/>
              <w:jc w:val="right"/>
              <w:rPr>
                <w:b/>
                <w:noProof/>
                <w:color w:val="365F91" w:themeColor="accent1" w:themeShade="BF"/>
                <w:sz w:val="20"/>
              </w:rPr>
            </w:pPr>
            <w:r>
              <w:rPr>
                <w:b/>
                <w:noProof/>
                <w:color w:val="365F91" w:themeColor="accent1" w:themeShade="BF"/>
                <w:sz w:val="20"/>
              </w:rPr>
              <w:t>56,014</w:t>
            </w:r>
          </w:p>
        </w:tc>
      </w:tr>
      <w:tr w:rsidR="000B688B">
        <w:trPr>
          <w:trHeight w:val="351"/>
          <w:jc w:val="center"/>
        </w:trPr>
        <w:tc>
          <w:tcPr>
            <w:tcW w:w="6245" w:type="dxa"/>
            <w:gridSpan w:val="2"/>
            <w:vAlign w:val="center"/>
          </w:tcPr>
          <w:p w:rsidR="000B688B" w:rsidRDefault="00640F08">
            <w:pPr>
              <w:spacing w:before="20" w:after="20"/>
              <w:rPr>
                <w:noProof/>
              </w:rPr>
            </w:pPr>
            <w:r>
              <w:rPr>
                <w:noProof/>
                <w:sz w:val="22"/>
              </w:rPr>
              <w:t xml:space="preserve">Други административни разходи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0,390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0,398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0,406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0,414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0,422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0,431 </w:t>
            </w:r>
          </w:p>
        </w:tc>
        <w:tc>
          <w:tcPr>
            <w:tcW w:w="868" w:type="dxa"/>
            <w:vAlign w:val="center"/>
          </w:tcPr>
          <w:p w:rsidR="000B688B" w:rsidRDefault="00640F08">
            <w:pPr>
              <w:spacing w:before="20" w:after="20"/>
              <w:jc w:val="right"/>
              <w:rPr>
                <w:noProof/>
                <w:color w:val="365F91" w:themeColor="accent1" w:themeShade="BF"/>
                <w:sz w:val="20"/>
              </w:rPr>
            </w:pPr>
            <w:r>
              <w:rPr>
                <w:noProof/>
                <w:color w:val="365F91" w:themeColor="accent1" w:themeShade="BF"/>
                <w:sz w:val="20"/>
              </w:rPr>
              <w:t xml:space="preserve">0,439 </w:t>
            </w:r>
          </w:p>
        </w:tc>
        <w:tc>
          <w:tcPr>
            <w:tcW w:w="887" w:type="dxa"/>
            <w:shd w:val="clear" w:color="auto" w:fill="A6A6A6"/>
            <w:vAlign w:val="center"/>
          </w:tcPr>
          <w:p w:rsidR="000B688B" w:rsidRDefault="000B688B">
            <w:pPr>
              <w:spacing w:before="20" w:after="20"/>
              <w:jc w:val="right"/>
              <w:rPr>
                <w:b/>
                <w:noProof/>
                <w:color w:val="365F91" w:themeColor="accent1" w:themeShade="BF"/>
                <w:sz w:val="20"/>
              </w:rPr>
            </w:pPr>
          </w:p>
        </w:tc>
        <w:tc>
          <w:tcPr>
            <w:tcW w:w="1291" w:type="dxa"/>
            <w:vAlign w:val="center"/>
          </w:tcPr>
          <w:p w:rsidR="000B688B" w:rsidRDefault="00640F08">
            <w:pPr>
              <w:spacing w:before="20" w:after="20"/>
              <w:jc w:val="right"/>
              <w:rPr>
                <w:b/>
                <w:noProof/>
                <w:color w:val="365F91" w:themeColor="accent1" w:themeShade="BF"/>
                <w:sz w:val="20"/>
              </w:rPr>
            </w:pPr>
            <w:r>
              <w:rPr>
                <w:b/>
                <w:noProof/>
                <w:color w:val="365F91" w:themeColor="accent1" w:themeShade="BF"/>
                <w:sz w:val="20"/>
              </w:rPr>
              <w:t>2,900</w:t>
            </w:r>
          </w:p>
        </w:tc>
      </w:tr>
      <w:tr w:rsidR="000B688B">
        <w:trPr>
          <w:trHeight w:val="351"/>
          <w:jc w:val="center"/>
        </w:trPr>
        <w:tc>
          <w:tcPr>
            <w:tcW w:w="4199" w:type="dxa"/>
            <w:vAlign w:val="center"/>
          </w:tcPr>
          <w:p w:rsidR="000B688B" w:rsidRDefault="00640F08">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tcPr>
          <w:p w:rsidR="000B688B" w:rsidRDefault="00640F08">
            <w:pPr>
              <w:rPr>
                <w:noProof/>
                <w:sz w:val="20"/>
              </w:rPr>
            </w:pPr>
            <w:r>
              <w:rPr>
                <w:noProof/>
                <w:sz w:val="18"/>
              </w:rPr>
              <w:t>(Общо поети задължения = Общо плащания)</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6,158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7,029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8,117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8,416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9,144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9,587 </w:t>
            </w:r>
          </w:p>
        </w:tc>
        <w:tc>
          <w:tcPr>
            <w:tcW w:w="868" w:type="dxa"/>
            <w:vAlign w:val="center"/>
          </w:tcPr>
          <w:p w:rsidR="000B688B" w:rsidRDefault="00640F08">
            <w:pPr>
              <w:jc w:val="right"/>
              <w:rPr>
                <w:noProof/>
                <w:color w:val="365F91" w:themeColor="accent1" w:themeShade="BF"/>
                <w:sz w:val="20"/>
              </w:rPr>
            </w:pPr>
            <w:r>
              <w:rPr>
                <w:noProof/>
                <w:color w:val="365F91" w:themeColor="accent1" w:themeShade="BF"/>
                <w:sz w:val="20"/>
              </w:rPr>
              <w:t xml:space="preserve">10,463 </w:t>
            </w:r>
          </w:p>
        </w:tc>
        <w:tc>
          <w:tcPr>
            <w:tcW w:w="887" w:type="dxa"/>
            <w:shd w:val="clear" w:color="auto" w:fill="A6A6A6"/>
            <w:vAlign w:val="center"/>
          </w:tcPr>
          <w:p w:rsidR="000B688B" w:rsidRDefault="000B688B">
            <w:pPr>
              <w:spacing w:before="20" w:after="20"/>
              <w:jc w:val="right"/>
              <w:rPr>
                <w:b/>
                <w:noProof/>
                <w:color w:val="365F91" w:themeColor="accent1" w:themeShade="BF"/>
                <w:sz w:val="20"/>
              </w:rPr>
            </w:pPr>
          </w:p>
        </w:tc>
        <w:tc>
          <w:tcPr>
            <w:tcW w:w="1291" w:type="dxa"/>
            <w:vAlign w:val="center"/>
          </w:tcPr>
          <w:p w:rsidR="000B688B" w:rsidRDefault="00640F08">
            <w:pPr>
              <w:spacing w:before="20" w:after="20"/>
              <w:jc w:val="right"/>
              <w:rPr>
                <w:b/>
                <w:noProof/>
                <w:color w:val="365F91" w:themeColor="accent1" w:themeShade="BF"/>
                <w:sz w:val="20"/>
              </w:rPr>
            </w:pPr>
            <w:r>
              <w:rPr>
                <w:b/>
                <w:noProof/>
                <w:color w:val="365F91" w:themeColor="accent1" w:themeShade="BF"/>
                <w:sz w:val="20"/>
              </w:rPr>
              <w:t>58,914</w:t>
            </w:r>
          </w:p>
        </w:tc>
      </w:tr>
    </w:tbl>
    <w:p w:rsidR="000B688B" w:rsidRDefault="00640F08">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21"/>
        <w:gridCol w:w="840"/>
        <w:gridCol w:w="909"/>
        <w:gridCol w:w="868"/>
        <w:gridCol w:w="868"/>
        <w:gridCol w:w="868"/>
        <w:gridCol w:w="868"/>
        <w:gridCol w:w="868"/>
        <w:gridCol w:w="877"/>
        <w:gridCol w:w="1292"/>
      </w:tblGrid>
      <w:tr w:rsidR="000B688B">
        <w:trPr>
          <w:jc w:val="center"/>
        </w:trPr>
        <w:tc>
          <w:tcPr>
            <w:tcW w:w="4173" w:type="dxa"/>
            <w:tcBorders>
              <w:top w:val="nil"/>
              <w:left w:val="nil"/>
              <w:right w:val="nil"/>
            </w:tcBorders>
            <w:vAlign w:val="center"/>
          </w:tcPr>
          <w:p w:rsidR="000B688B" w:rsidRDefault="000B688B">
            <w:pPr>
              <w:jc w:val="center"/>
              <w:rPr>
                <w:noProof/>
              </w:rPr>
            </w:pPr>
          </w:p>
        </w:tc>
        <w:tc>
          <w:tcPr>
            <w:tcW w:w="1560" w:type="dxa"/>
            <w:tcBorders>
              <w:top w:val="nil"/>
              <w:left w:val="nil"/>
              <w:right w:val="nil"/>
            </w:tcBorders>
          </w:tcPr>
          <w:p w:rsidR="000B688B" w:rsidRDefault="000B688B">
            <w:pPr>
              <w:rPr>
                <w:noProof/>
                <w:sz w:val="20"/>
              </w:rPr>
            </w:pPr>
          </w:p>
        </w:tc>
        <w:tc>
          <w:tcPr>
            <w:tcW w:w="521" w:type="dxa"/>
            <w:tcBorders>
              <w:top w:val="nil"/>
              <w:left w:val="nil"/>
            </w:tcBorders>
          </w:tcPr>
          <w:p w:rsidR="000B688B" w:rsidRDefault="000B688B">
            <w:pPr>
              <w:jc w:val="center"/>
              <w:rPr>
                <w:noProof/>
                <w:sz w:val="20"/>
              </w:rPr>
            </w:pPr>
          </w:p>
        </w:tc>
        <w:tc>
          <w:tcPr>
            <w:tcW w:w="840" w:type="dxa"/>
            <w:vAlign w:val="center"/>
          </w:tcPr>
          <w:p w:rsidR="000B688B" w:rsidRDefault="00640F08">
            <w:pPr>
              <w:jc w:val="center"/>
              <w:rPr>
                <w:noProof/>
                <w:sz w:val="20"/>
              </w:rPr>
            </w:pPr>
            <w:r>
              <w:rPr>
                <w:b/>
                <w:noProof/>
                <w:sz w:val="20"/>
              </w:rPr>
              <w:t xml:space="preserve">2021 </w:t>
            </w:r>
            <w:r>
              <w:rPr>
                <w:b/>
                <w:noProof/>
                <w:sz w:val="20"/>
              </w:rPr>
              <w:t>г.</w:t>
            </w:r>
          </w:p>
        </w:tc>
        <w:tc>
          <w:tcPr>
            <w:tcW w:w="909" w:type="dxa"/>
            <w:vAlign w:val="center"/>
          </w:tcPr>
          <w:p w:rsidR="000B688B" w:rsidRDefault="00640F08">
            <w:pPr>
              <w:jc w:val="center"/>
              <w:rPr>
                <w:noProof/>
                <w:sz w:val="20"/>
              </w:rPr>
            </w:pPr>
            <w:r>
              <w:rPr>
                <w:b/>
                <w:noProof/>
                <w:sz w:val="20"/>
              </w:rPr>
              <w:t>2022 г.</w:t>
            </w:r>
          </w:p>
        </w:tc>
        <w:tc>
          <w:tcPr>
            <w:tcW w:w="868" w:type="dxa"/>
            <w:vAlign w:val="center"/>
          </w:tcPr>
          <w:p w:rsidR="000B688B" w:rsidRDefault="00640F08">
            <w:pPr>
              <w:jc w:val="center"/>
              <w:rPr>
                <w:noProof/>
                <w:sz w:val="20"/>
              </w:rPr>
            </w:pPr>
            <w:r>
              <w:rPr>
                <w:b/>
                <w:noProof/>
                <w:sz w:val="20"/>
              </w:rPr>
              <w:t>2023 г.</w:t>
            </w:r>
          </w:p>
        </w:tc>
        <w:tc>
          <w:tcPr>
            <w:tcW w:w="868" w:type="dxa"/>
            <w:vAlign w:val="center"/>
          </w:tcPr>
          <w:p w:rsidR="000B688B" w:rsidRDefault="00640F08">
            <w:pPr>
              <w:jc w:val="center"/>
              <w:rPr>
                <w:noProof/>
                <w:sz w:val="20"/>
              </w:rPr>
            </w:pPr>
            <w:r>
              <w:rPr>
                <w:b/>
                <w:noProof/>
                <w:sz w:val="20"/>
              </w:rPr>
              <w:t>2024 г.</w:t>
            </w:r>
          </w:p>
        </w:tc>
        <w:tc>
          <w:tcPr>
            <w:tcW w:w="868" w:type="dxa"/>
            <w:vAlign w:val="center"/>
          </w:tcPr>
          <w:p w:rsidR="000B688B" w:rsidRDefault="00640F08">
            <w:pPr>
              <w:jc w:val="center"/>
              <w:rPr>
                <w:b/>
                <w:noProof/>
                <w:sz w:val="18"/>
              </w:rPr>
            </w:pPr>
            <w:r>
              <w:rPr>
                <w:b/>
                <w:noProof/>
                <w:sz w:val="18"/>
              </w:rPr>
              <w:t>2025 г.</w:t>
            </w:r>
          </w:p>
        </w:tc>
        <w:tc>
          <w:tcPr>
            <w:tcW w:w="868" w:type="dxa"/>
            <w:vAlign w:val="center"/>
          </w:tcPr>
          <w:p w:rsidR="000B688B" w:rsidRDefault="00640F08">
            <w:pPr>
              <w:jc w:val="center"/>
              <w:rPr>
                <w:b/>
                <w:noProof/>
                <w:sz w:val="18"/>
              </w:rPr>
            </w:pPr>
            <w:r>
              <w:rPr>
                <w:b/>
                <w:noProof/>
                <w:sz w:val="18"/>
              </w:rPr>
              <w:t>2026 г.</w:t>
            </w:r>
          </w:p>
        </w:tc>
        <w:tc>
          <w:tcPr>
            <w:tcW w:w="868" w:type="dxa"/>
            <w:vAlign w:val="center"/>
          </w:tcPr>
          <w:p w:rsidR="000B688B" w:rsidRDefault="00640F08">
            <w:pPr>
              <w:jc w:val="center"/>
              <w:rPr>
                <w:b/>
                <w:noProof/>
                <w:sz w:val="18"/>
              </w:rPr>
            </w:pPr>
            <w:r>
              <w:rPr>
                <w:b/>
                <w:noProof/>
                <w:sz w:val="18"/>
              </w:rPr>
              <w:t>2027 г.</w:t>
            </w:r>
          </w:p>
        </w:tc>
        <w:tc>
          <w:tcPr>
            <w:tcW w:w="877" w:type="dxa"/>
          </w:tcPr>
          <w:p w:rsidR="000B688B" w:rsidRDefault="00640F08">
            <w:pPr>
              <w:jc w:val="center"/>
              <w:rPr>
                <w:b/>
                <w:noProof/>
                <w:sz w:val="20"/>
              </w:rPr>
            </w:pPr>
            <w:r>
              <w:rPr>
                <w:b/>
                <w:i/>
                <w:noProof/>
                <w:sz w:val="20"/>
              </w:rPr>
              <w:t>След 2027 г.</w:t>
            </w:r>
          </w:p>
        </w:tc>
        <w:tc>
          <w:tcPr>
            <w:tcW w:w="1292" w:type="dxa"/>
            <w:vAlign w:val="center"/>
          </w:tcPr>
          <w:p w:rsidR="000B688B" w:rsidRDefault="00640F08">
            <w:pPr>
              <w:jc w:val="center"/>
              <w:rPr>
                <w:b/>
                <w:noProof/>
                <w:sz w:val="20"/>
              </w:rPr>
            </w:pPr>
            <w:r>
              <w:rPr>
                <w:b/>
                <w:noProof/>
                <w:sz w:val="20"/>
              </w:rPr>
              <w:t>ОБЩО</w:t>
            </w:r>
          </w:p>
        </w:tc>
      </w:tr>
      <w:tr w:rsidR="000B688B">
        <w:trPr>
          <w:jc w:val="center"/>
        </w:trPr>
        <w:tc>
          <w:tcPr>
            <w:tcW w:w="4173" w:type="dxa"/>
            <w:vMerge w:val="restart"/>
            <w:shd w:val="clear" w:color="auto" w:fill="C0C0C0"/>
            <w:vAlign w:val="center"/>
          </w:tcPr>
          <w:p w:rsidR="000B688B" w:rsidRDefault="00640F08">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81" w:type="dxa"/>
            <w:gridSpan w:val="2"/>
            <w:vAlign w:val="center"/>
          </w:tcPr>
          <w:p w:rsidR="000B688B" w:rsidRDefault="00640F08">
            <w:pPr>
              <w:rPr>
                <w:noProof/>
                <w:sz w:val="14"/>
              </w:rPr>
            </w:pPr>
            <w:r>
              <w:rPr>
                <w:noProof/>
                <w:sz w:val="18"/>
              </w:rPr>
              <w:t>Поети задължения</w:t>
            </w:r>
          </w:p>
        </w:tc>
        <w:tc>
          <w:tcPr>
            <w:tcW w:w="840"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1 506,158</w:t>
            </w:r>
          </w:p>
        </w:tc>
        <w:tc>
          <w:tcPr>
            <w:tcW w:w="909"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1 507,029</w:t>
            </w:r>
          </w:p>
        </w:tc>
        <w:tc>
          <w:tcPr>
            <w:tcW w:w="868"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1 508,117</w:t>
            </w:r>
          </w:p>
        </w:tc>
        <w:tc>
          <w:tcPr>
            <w:tcW w:w="868"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1 608,416</w:t>
            </w:r>
          </w:p>
        </w:tc>
        <w:tc>
          <w:tcPr>
            <w:tcW w:w="868"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1 909,144</w:t>
            </w:r>
          </w:p>
        </w:tc>
        <w:tc>
          <w:tcPr>
            <w:tcW w:w="868"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2 209,587</w:t>
            </w:r>
          </w:p>
        </w:tc>
        <w:tc>
          <w:tcPr>
            <w:tcW w:w="868" w:type="dxa"/>
            <w:vAlign w:val="center"/>
          </w:tcPr>
          <w:p w:rsidR="000B688B" w:rsidRDefault="00640F08">
            <w:pPr>
              <w:spacing w:before="20" w:after="20"/>
              <w:jc w:val="right"/>
              <w:rPr>
                <w:noProof/>
                <w:color w:val="365F91" w:themeColor="accent1" w:themeShade="BF"/>
                <w:sz w:val="15"/>
                <w:szCs w:val="15"/>
              </w:rPr>
            </w:pPr>
            <w:r>
              <w:rPr>
                <w:noProof/>
                <w:color w:val="365F91" w:themeColor="accent1" w:themeShade="BF"/>
                <w:sz w:val="15"/>
              </w:rPr>
              <w:t>2 810,463</w:t>
            </w:r>
          </w:p>
        </w:tc>
        <w:tc>
          <w:tcPr>
            <w:tcW w:w="877" w:type="dxa"/>
            <w:shd w:val="clear" w:color="auto" w:fill="A6A6A6"/>
            <w:vAlign w:val="center"/>
          </w:tcPr>
          <w:p w:rsidR="000B688B" w:rsidRDefault="000B688B">
            <w:pPr>
              <w:spacing w:before="60" w:after="60"/>
              <w:jc w:val="right"/>
              <w:rPr>
                <w:noProof/>
                <w:color w:val="365F91" w:themeColor="accent1" w:themeShade="BF"/>
                <w:sz w:val="14"/>
                <w:szCs w:val="14"/>
              </w:rPr>
            </w:pPr>
          </w:p>
        </w:tc>
        <w:tc>
          <w:tcPr>
            <w:tcW w:w="1292" w:type="dxa"/>
            <w:vAlign w:val="center"/>
          </w:tcPr>
          <w:p w:rsidR="000B688B" w:rsidRDefault="00640F08">
            <w:pPr>
              <w:spacing w:before="60" w:after="60"/>
              <w:jc w:val="right"/>
              <w:rPr>
                <w:b/>
                <w:noProof/>
                <w:color w:val="365F91" w:themeColor="accent1" w:themeShade="BF"/>
                <w:sz w:val="18"/>
                <w:szCs w:val="18"/>
              </w:rPr>
            </w:pPr>
            <w:r>
              <w:rPr>
                <w:b/>
                <w:noProof/>
                <w:color w:val="365F91" w:themeColor="accent1" w:themeShade="BF"/>
                <w:sz w:val="18"/>
              </w:rPr>
              <w:t>13 058,914</w:t>
            </w:r>
          </w:p>
        </w:tc>
      </w:tr>
      <w:tr w:rsidR="000B688B">
        <w:trPr>
          <w:jc w:val="center"/>
        </w:trPr>
        <w:tc>
          <w:tcPr>
            <w:tcW w:w="4173" w:type="dxa"/>
            <w:vMerge/>
            <w:shd w:val="clear" w:color="auto" w:fill="C0C0C0"/>
          </w:tcPr>
          <w:p w:rsidR="000B688B" w:rsidRDefault="000B688B">
            <w:pPr>
              <w:rPr>
                <w:noProof/>
                <w:sz w:val="20"/>
              </w:rPr>
            </w:pPr>
          </w:p>
        </w:tc>
        <w:tc>
          <w:tcPr>
            <w:tcW w:w="2081" w:type="dxa"/>
            <w:gridSpan w:val="2"/>
            <w:vAlign w:val="center"/>
          </w:tcPr>
          <w:p w:rsidR="000B688B" w:rsidRDefault="00640F08">
            <w:pPr>
              <w:rPr>
                <w:noProof/>
                <w:sz w:val="14"/>
              </w:rPr>
            </w:pPr>
            <w:r>
              <w:rPr>
                <w:noProof/>
                <w:sz w:val="18"/>
              </w:rPr>
              <w:t>Плащания</w:t>
            </w:r>
          </w:p>
        </w:tc>
        <w:tc>
          <w:tcPr>
            <w:tcW w:w="840"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387,812 </w:t>
            </w:r>
          </w:p>
        </w:tc>
        <w:tc>
          <w:tcPr>
            <w:tcW w:w="909"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721,767 </w:t>
            </w:r>
          </w:p>
        </w:tc>
        <w:tc>
          <w:tcPr>
            <w:tcW w:w="868"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923,117 </w:t>
            </w:r>
          </w:p>
        </w:tc>
        <w:tc>
          <w:tcPr>
            <w:tcW w:w="868"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1 215,916 </w:t>
            </w:r>
          </w:p>
        </w:tc>
        <w:tc>
          <w:tcPr>
            <w:tcW w:w="868"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1 461,644 </w:t>
            </w:r>
          </w:p>
        </w:tc>
        <w:tc>
          <w:tcPr>
            <w:tcW w:w="868"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1 769,587 </w:t>
            </w:r>
          </w:p>
        </w:tc>
        <w:tc>
          <w:tcPr>
            <w:tcW w:w="868"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2 042,963 </w:t>
            </w:r>
          </w:p>
        </w:tc>
        <w:tc>
          <w:tcPr>
            <w:tcW w:w="877" w:type="dxa"/>
            <w:vAlign w:val="center"/>
          </w:tcPr>
          <w:p w:rsidR="000B688B" w:rsidRDefault="00640F08">
            <w:pPr>
              <w:spacing w:before="20" w:after="20"/>
              <w:jc w:val="right"/>
              <w:rPr>
                <w:noProof/>
                <w:color w:val="365F91" w:themeColor="accent1" w:themeShade="BF"/>
                <w:sz w:val="16"/>
                <w:szCs w:val="14"/>
              </w:rPr>
            </w:pPr>
            <w:r>
              <w:rPr>
                <w:noProof/>
                <w:color w:val="365F91" w:themeColor="accent1" w:themeShade="BF"/>
                <w:sz w:val="16"/>
              </w:rPr>
              <w:t xml:space="preserve">4 536,108 </w:t>
            </w:r>
          </w:p>
        </w:tc>
        <w:tc>
          <w:tcPr>
            <w:tcW w:w="1292" w:type="dxa"/>
            <w:vAlign w:val="center"/>
          </w:tcPr>
          <w:p w:rsidR="000B688B" w:rsidRDefault="00640F08">
            <w:pPr>
              <w:spacing w:before="60" w:after="60"/>
              <w:jc w:val="right"/>
              <w:rPr>
                <w:b/>
                <w:noProof/>
                <w:color w:val="365F91" w:themeColor="accent1" w:themeShade="BF"/>
                <w:sz w:val="18"/>
                <w:szCs w:val="18"/>
              </w:rPr>
            </w:pPr>
            <w:r>
              <w:rPr>
                <w:b/>
                <w:noProof/>
                <w:color w:val="365F91" w:themeColor="accent1" w:themeShade="BF"/>
                <w:sz w:val="18"/>
              </w:rPr>
              <w:t>13 058,914</w:t>
            </w:r>
          </w:p>
        </w:tc>
      </w:tr>
    </w:tbl>
    <w:p w:rsidR="000B688B" w:rsidRDefault="000B688B">
      <w:pPr>
        <w:rPr>
          <w:noProof/>
        </w:rPr>
        <w:sectPr w:rsidR="000B688B" w:rsidSect="00640F08">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0B688B" w:rsidRDefault="00640F08">
      <w:pPr>
        <w:pStyle w:val="ManualHeading3"/>
        <w:rPr>
          <w:noProof/>
          <w:szCs w:val="24"/>
        </w:rPr>
      </w:pPr>
      <w:r>
        <w:t>3.2.</w:t>
      </w:r>
      <w:proofErr w:type="spellStart"/>
      <w:r>
        <w:t>2</w:t>
      </w:r>
      <w:proofErr w:type="spellEnd"/>
      <w:r>
        <w:t>.</w:t>
      </w:r>
      <w:r>
        <w:tab/>
      </w:r>
      <w:r>
        <w:rPr>
          <w:noProof/>
        </w:rPr>
        <w:t>Резюме на очаквано отражение върху бюджетните кредити за административни разходи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0B688B" w:rsidRDefault="00640F08">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rsidR="000B688B" w:rsidRDefault="00640F08">
      <w:pPr>
        <w:rPr>
          <w:noProof/>
          <w:sz w:val="20"/>
        </w:rPr>
      </w:pPr>
      <w:r>
        <w:rPr>
          <w:noProof/>
          <w:sz w:val="20"/>
        </w:rPr>
        <w:t xml:space="preserve">млн. евро (до 3-тия знак след </w:t>
      </w:r>
      <w:r>
        <w:rPr>
          <w:noProof/>
          <w:sz w:val="20"/>
        </w:rPr>
        <w:t>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688B">
        <w:trPr>
          <w:trHeight w:val="585"/>
        </w:trPr>
        <w:tc>
          <w:tcPr>
            <w:tcW w:w="1980" w:type="dxa"/>
            <w:vAlign w:val="center"/>
          </w:tcPr>
          <w:p w:rsidR="000B688B" w:rsidRDefault="00640F08">
            <w:pPr>
              <w:spacing w:before="60" w:after="60" w:line="200" w:lineRule="exact"/>
              <w:jc w:val="center"/>
              <w:rPr>
                <w:b/>
                <w:noProof/>
                <w:sz w:val="16"/>
                <w:szCs w:val="16"/>
              </w:rPr>
            </w:pPr>
            <w:r>
              <w:rPr>
                <w:b/>
                <w:noProof/>
                <w:sz w:val="16"/>
              </w:rPr>
              <w:t>Година</w:t>
            </w:r>
          </w:p>
        </w:tc>
        <w:tc>
          <w:tcPr>
            <w:tcW w:w="1080" w:type="dxa"/>
            <w:vAlign w:val="center"/>
          </w:tcPr>
          <w:p w:rsidR="000B688B" w:rsidRDefault="00640F08">
            <w:pPr>
              <w:spacing w:before="60" w:after="60" w:line="200" w:lineRule="exact"/>
              <w:jc w:val="center"/>
              <w:rPr>
                <w:noProof/>
                <w:sz w:val="16"/>
                <w:szCs w:val="16"/>
              </w:rPr>
            </w:pPr>
            <w:r>
              <w:rPr>
                <w:b/>
                <w:noProof/>
                <w:sz w:val="20"/>
              </w:rPr>
              <w:t>2021 г.</w:t>
            </w:r>
          </w:p>
        </w:tc>
        <w:tc>
          <w:tcPr>
            <w:tcW w:w="1080" w:type="dxa"/>
            <w:vAlign w:val="center"/>
          </w:tcPr>
          <w:p w:rsidR="000B688B" w:rsidRDefault="00640F08">
            <w:pPr>
              <w:spacing w:before="60" w:after="60" w:line="200" w:lineRule="exact"/>
              <w:jc w:val="center"/>
              <w:rPr>
                <w:noProof/>
                <w:sz w:val="16"/>
                <w:szCs w:val="16"/>
              </w:rPr>
            </w:pPr>
            <w:r>
              <w:rPr>
                <w:b/>
                <w:noProof/>
                <w:sz w:val="20"/>
              </w:rPr>
              <w:t>2022 г.</w:t>
            </w:r>
          </w:p>
        </w:tc>
        <w:tc>
          <w:tcPr>
            <w:tcW w:w="1080" w:type="dxa"/>
            <w:vAlign w:val="center"/>
          </w:tcPr>
          <w:p w:rsidR="000B688B" w:rsidRDefault="00640F08">
            <w:pPr>
              <w:spacing w:before="60" w:after="60" w:line="200" w:lineRule="exact"/>
              <w:jc w:val="center"/>
              <w:rPr>
                <w:noProof/>
                <w:sz w:val="16"/>
                <w:szCs w:val="16"/>
              </w:rPr>
            </w:pPr>
            <w:r>
              <w:rPr>
                <w:b/>
                <w:noProof/>
                <w:sz w:val="20"/>
              </w:rPr>
              <w:t>2023 г.</w:t>
            </w:r>
          </w:p>
        </w:tc>
        <w:tc>
          <w:tcPr>
            <w:tcW w:w="1080" w:type="dxa"/>
            <w:vAlign w:val="center"/>
          </w:tcPr>
          <w:p w:rsidR="000B688B" w:rsidRDefault="00640F08">
            <w:pPr>
              <w:spacing w:before="60" w:after="60" w:line="200" w:lineRule="exact"/>
              <w:jc w:val="center"/>
              <w:rPr>
                <w:noProof/>
                <w:sz w:val="16"/>
                <w:szCs w:val="16"/>
              </w:rPr>
            </w:pPr>
            <w:r>
              <w:rPr>
                <w:b/>
                <w:noProof/>
                <w:sz w:val="20"/>
              </w:rPr>
              <w:t>2024 г.</w:t>
            </w:r>
          </w:p>
        </w:tc>
        <w:tc>
          <w:tcPr>
            <w:tcW w:w="1080" w:type="dxa"/>
            <w:vAlign w:val="center"/>
          </w:tcPr>
          <w:p w:rsidR="000B688B" w:rsidRDefault="00640F08">
            <w:pPr>
              <w:spacing w:line="200" w:lineRule="exact"/>
              <w:jc w:val="center"/>
              <w:rPr>
                <w:b/>
                <w:noProof/>
                <w:sz w:val="16"/>
                <w:szCs w:val="16"/>
              </w:rPr>
            </w:pPr>
            <w:r>
              <w:rPr>
                <w:b/>
                <w:noProof/>
                <w:sz w:val="18"/>
              </w:rPr>
              <w:t>2025 г.</w:t>
            </w:r>
          </w:p>
        </w:tc>
        <w:tc>
          <w:tcPr>
            <w:tcW w:w="1080" w:type="dxa"/>
            <w:vAlign w:val="center"/>
          </w:tcPr>
          <w:p w:rsidR="000B688B" w:rsidRDefault="00640F08">
            <w:pPr>
              <w:spacing w:line="200" w:lineRule="exact"/>
              <w:jc w:val="center"/>
              <w:rPr>
                <w:b/>
                <w:noProof/>
                <w:sz w:val="16"/>
                <w:szCs w:val="16"/>
              </w:rPr>
            </w:pPr>
            <w:r>
              <w:rPr>
                <w:b/>
                <w:noProof/>
                <w:sz w:val="18"/>
              </w:rPr>
              <w:t>2026 г.</w:t>
            </w:r>
          </w:p>
        </w:tc>
        <w:tc>
          <w:tcPr>
            <w:tcW w:w="1080" w:type="dxa"/>
            <w:vAlign w:val="center"/>
          </w:tcPr>
          <w:p w:rsidR="000B688B" w:rsidRDefault="00640F08">
            <w:pPr>
              <w:spacing w:line="200" w:lineRule="exact"/>
              <w:jc w:val="center"/>
              <w:rPr>
                <w:b/>
                <w:noProof/>
                <w:sz w:val="16"/>
                <w:szCs w:val="16"/>
              </w:rPr>
            </w:pPr>
            <w:r>
              <w:rPr>
                <w:b/>
                <w:noProof/>
                <w:sz w:val="18"/>
              </w:rPr>
              <w:t>2027 г.</w:t>
            </w:r>
          </w:p>
        </w:tc>
        <w:tc>
          <w:tcPr>
            <w:tcW w:w="1080" w:type="dxa"/>
            <w:vAlign w:val="center"/>
          </w:tcPr>
          <w:p w:rsidR="000B688B" w:rsidRDefault="00640F08">
            <w:pPr>
              <w:spacing w:before="60" w:after="60" w:line="200" w:lineRule="exact"/>
              <w:jc w:val="center"/>
              <w:rPr>
                <w:b/>
                <w:noProof/>
                <w:sz w:val="16"/>
                <w:szCs w:val="16"/>
              </w:rPr>
            </w:pPr>
            <w:r>
              <w:rPr>
                <w:b/>
                <w:noProof/>
                <w:sz w:val="16"/>
              </w:rPr>
              <w:t>ОБЩО</w:t>
            </w:r>
          </w:p>
        </w:tc>
      </w:tr>
    </w:tbl>
    <w:p w:rsidR="000B688B" w:rsidRDefault="000B688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688B">
        <w:trPr>
          <w:trHeight w:val="585"/>
        </w:trPr>
        <w:tc>
          <w:tcPr>
            <w:tcW w:w="1980" w:type="dxa"/>
            <w:shd w:val="clear" w:color="auto" w:fill="CCCCCC"/>
            <w:vAlign w:val="center"/>
          </w:tcPr>
          <w:p w:rsidR="000B688B" w:rsidRDefault="00640F08">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b/>
                <w:noProof/>
                <w:sz w:val="16"/>
                <w:szCs w:val="16"/>
              </w:rPr>
            </w:pPr>
          </w:p>
        </w:tc>
        <w:tc>
          <w:tcPr>
            <w:tcW w:w="1080" w:type="dxa"/>
            <w:vAlign w:val="center"/>
          </w:tcPr>
          <w:p w:rsidR="000B688B" w:rsidRDefault="000B688B">
            <w:pPr>
              <w:spacing w:before="60" w:after="60" w:line="200" w:lineRule="exact"/>
              <w:jc w:val="right"/>
              <w:rPr>
                <w:b/>
                <w:noProof/>
                <w:sz w:val="16"/>
                <w:szCs w:val="16"/>
              </w:rPr>
            </w:pPr>
          </w:p>
        </w:tc>
      </w:tr>
      <w:tr w:rsidR="000B688B">
        <w:trPr>
          <w:trHeight w:val="585"/>
        </w:trPr>
        <w:tc>
          <w:tcPr>
            <w:tcW w:w="1980" w:type="dxa"/>
            <w:vAlign w:val="center"/>
          </w:tcPr>
          <w:p w:rsidR="000B688B" w:rsidRDefault="00640F08">
            <w:pPr>
              <w:spacing w:before="60" w:after="60" w:line="200" w:lineRule="exact"/>
              <w:ind w:left="72"/>
              <w:jc w:val="left"/>
              <w:rPr>
                <w:noProof/>
                <w:sz w:val="16"/>
                <w:szCs w:val="16"/>
              </w:rPr>
            </w:pPr>
            <w:r>
              <w:rPr>
                <w:noProof/>
                <w:sz w:val="16"/>
              </w:rPr>
              <w:t xml:space="preserve">Човешки ресурси </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5,768</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6,631</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7,711</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8,002</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8,722</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9,156</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10,024</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56,014</w:t>
            </w:r>
          </w:p>
        </w:tc>
      </w:tr>
      <w:tr w:rsidR="000B688B">
        <w:trPr>
          <w:trHeight w:val="585"/>
        </w:trPr>
        <w:tc>
          <w:tcPr>
            <w:tcW w:w="1980" w:type="dxa"/>
            <w:vAlign w:val="center"/>
          </w:tcPr>
          <w:p w:rsidR="000B688B" w:rsidRDefault="00640F08">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0,390</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0,398</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0,406</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0,414</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0,422</w:t>
            </w:r>
          </w:p>
        </w:tc>
        <w:tc>
          <w:tcPr>
            <w:tcW w:w="1080" w:type="dxa"/>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0,431</w:t>
            </w:r>
          </w:p>
        </w:tc>
        <w:tc>
          <w:tcPr>
            <w:tcW w:w="1080" w:type="dxa"/>
          </w:tcPr>
          <w:p w:rsidR="000B688B" w:rsidRDefault="00640F08">
            <w:pPr>
              <w:spacing w:before="60" w:after="60" w:line="200" w:lineRule="exact"/>
              <w:jc w:val="right"/>
              <w:rPr>
                <w:b/>
                <w:noProof/>
                <w:color w:val="365F91" w:themeColor="accent1" w:themeShade="BF"/>
                <w:sz w:val="22"/>
              </w:rPr>
            </w:pPr>
            <w:r>
              <w:rPr>
                <w:noProof/>
                <w:color w:val="365F91" w:themeColor="accent1" w:themeShade="BF"/>
                <w:sz w:val="22"/>
              </w:rPr>
              <w:t>0,439</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2,900</w:t>
            </w:r>
          </w:p>
        </w:tc>
      </w:tr>
      <w:tr w:rsidR="000B688B">
        <w:trPr>
          <w:trHeight w:val="585"/>
        </w:trPr>
        <w:tc>
          <w:tcPr>
            <w:tcW w:w="1980" w:type="dxa"/>
            <w:shd w:val="clear" w:color="auto" w:fill="CCCCCC"/>
            <w:vAlign w:val="center"/>
          </w:tcPr>
          <w:p w:rsidR="000B688B" w:rsidRDefault="00640F08">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6,158</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7,029</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8,117</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8,416</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9,144</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9,587</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10,463</w:t>
            </w:r>
          </w:p>
        </w:tc>
        <w:tc>
          <w:tcPr>
            <w:tcW w:w="1080" w:type="dxa"/>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58,914</w:t>
            </w:r>
          </w:p>
        </w:tc>
      </w:tr>
    </w:tbl>
    <w:p w:rsidR="000B688B" w:rsidRDefault="000B688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688B">
        <w:trPr>
          <w:trHeight w:val="585"/>
        </w:trPr>
        <w:tc>
          <w:tcPr>
            <w:tcW w:w="1980" w:type="dxa"/>
            <w:shd w:val="clear" w:color="auto" w:fill="CCCCCC"/>
            <w:vAlign w:val="center"/>
          </w:tcPr>
          <w:p w:rsidR="000B688B" w:rsidRDefault="00640F08">
            <w:pPr>
              <w:spacing w:before="60" w:after="60" w:line="200" w:lineRule="exact"/>
              <w:jc w:val="center"/>
              <w:rPr>
                <w:noProof/>
                <w:sz w:val="16"/>
                <w:szCs w:val="16"/>
              </w:rPr>
            </w:pPr>
            <w:r>
              <w:rPr>
                <w:b/>
                <w:noProof/>
                <w:sz w:val="16"/>
              </w:rPr>
              <w:t>Извън ФУНКЦИЯ 7</w:t>
            </w:r>
            <w:r>
              <w:rPr>
                <w:rStyle w:val="FootnoteReference"/>
                <w:noProof/>
              </w:rPr>
              <w:footnoteReference w:id="31"/>
            </w:r>
            <w:r>
              <w:rPr>
                <w:noProof/>
                <w:sz w:val="22"/>
              </w:rPr>
              <w:br/>
            </w:r>
            <w:r>
              <w:rPr>
                <w:b/>
                <w:noProof/>
                <w:sz w:val="16"/>
              </w:rPr>
              <w:t xml:space="preserve">от многогодишната финансова рамка </w:t>
            </w:r>
          </w:p>
          <w:p w:rsidR="000B688B" w:rsidRDefault="000B688B">
            <w:pPr>
              <w:spacing w:before="0" w:after="0" w:line="200" w:lineRule="exact"/>
              <w:jc w:val="center"/>
              <w:rPr>
                <w:b/>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b/>
                <w:noProof/>
                <w:sz w:val="16"/>
                <w:szCs w:val="16"/>
              </w:rPr>
            </w:pPr>
          </w:p>
        </w:tc>
        <w:tc>
          <w:tcPr>
            <w:tcW w:w="1080" w:type="dxa"/>
            <w:vAlign w:val="center"/>
          </w:tcPr>
          <w:p w:rsidR="000B688B" w:rsidRDefault="000B688B">
            <w:pPr>
              <w:spacing w:before="60" w:after="60" w:line="200" w:lineRule="exact"/>
              <w:jc w:val="right"/>
              <w:rPr>
                <w:b/>
                <w:noProof/>
                <w:sz w:val="16"/>
                <w:szCs w:val="16"/>
              </w:rPr>
            </w:pPr>
          </w:p>
        </w:tc>
      </w:tr>
      <w:tr w:rsidR="000B688B">
        <w:trPr>
          <w:trHeight w:val="585"/>
        </w:trPr>
        <w:tc>
          <w:tcPr>
            <w:tcW w:w="1980" w:type="dxa"/>
            <w:vAlign w:val="center"/>
          </w:tcPr>
          <w:p w:rsidR="000B688B" w:rsidRDefault="00640F08">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noProof/>
                <w:sz w:val="16"/>
                <w:szCs w:val="16"/>
              </w:rPr>
            </w:pPr>
          </w:p>
        </w:tc>
        <w:tc>
          <w:tcPr>
            <w:tcW w:w="1080" w:type="dxa"/>
            <w:vAlign w:val="center"/>
          </w:tcPr>
          <w:p w:rsidR="000B688B" w:rsidRDefault="000B688B">
            <w:pPr>
              <w:spacing w:before="60" w:after="60" w:line="200" w:lineRule="exact"/>
              <w:jc w:val="right"/>
              <w:rPr>
                <w:b/>
                <w:noProof/>
                <w:sz w:val="16"/>
                <w:szCs w:val="16"/>
              </w:rPr>
            </w:pPr>
          </w:p>
        </w:tc>
        <w:tc>
          <w:tcPr>
            <w:tcW w:w="1080" w:type="dxa"/>
            <w:vAlign w:val="center"/>
          </w:tcPr>
          <w:p w:rsidR="000B688B" w:rsidRDefault="000B688B">
            <w:pPr>
              <w:spacing w:before="60" w:after="60" w:line="200" w:lineRule="exact"/>
              <w:jc w:val="right"/>
              <w:rPr>
                <w:b/>
                <w:noProof/>
                <w:sz w:val="16"/>
                <w:szCs w:val="16"/>
              </w:rPr>
            </w:pPr>
          </w:p>
        </w:tc>
      </w:tr>
      <w:tr w:rsidR="000B688B">
        <w:trPr>
          <w:trHeight w:val="585"/>
        </w:trPr>
        <w:tc>
          <w:tcPr>
            <w:tcW w:w="1980" w:type="dxa"/>
            <w:vAlign w:val="center"/>
          </w:tcPr>
          <w:p w:rsidR="000B688B" w:rsidRDefault="00640F08">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 xml:space="preserve">с </w:t>
            </w:r>
            <w:r>
              <w:rPr>
                <w:noProof/>
                <w:sz w:val="16"/>
              </w:rPr>
              <w:t>административен характер</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5,228</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6,091</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6,964</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7,255</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7,975</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8,410</w:t>
            </w:r>
          </w:p>
        </w:tc>
        <w:tc>
          <w:tcPr>
            <w:tcW w:w="1080" w:type="dxa"/>
            <w:vAlign w:val="center"/>
          </w:tcPr>
          <w:p w:rsidR="000B688B" w:rsidRDefault="00640F08">
            <w:pPr>
              <w:spacing w:before="60" w:after="60" w:line="200" w:lineRule="exact"/>
              <w:jc w:val="right"/>
              <w:rPr>
                <w:noProof/>
                <w:color w:val="365F91" w:themeColor="accent1" w:themeShade="BF"/>
                <w:sz w:val="22"/>
              </w:rPr>
            </w:pPr>
            <w:r>
              <w:rPr>
                <w:noProof/>
                <w:color w:val="365F91" w:themeColor="accent1" w:themeShade="BF"/>
                <w:sz w:val="22"/>
              </w:rPr>
              <w:t>9,277</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51,200</w:t>
            </w:r>
          </w:p>
        </w:tc>
      </w:tr>
      <w:tr w:rsidR="000B688B">
        <w:trPr>
          <w:trHeight w:val="585"/>
        </w:trPr>
        <w:tc>
          <w:tcPr>
            <w:tcW w:w="1980" w:type="dxa"/>
            <w:shd w:val="clear" w:color="auto" w:fill="CCCCCC"/>
            <w:vAlign w:val="center"/>
          </w:tcPr>
          <w:p w:rsidR="000B688B" w:rsidRDefault="00640F08">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5,228</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6,091</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6,964</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7,255</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7,975</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8,410</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9,277</w:t>
            </w:r>
          </w:p>
        </w:tc>
        <w:tc>
          <w:tcPr>
            <w:tcW w:w="1080" w:type="dxa"/>
            <w:vAlign w:val="center"/>
          </w:tcPr>
          <w:p w:rsidR="000B688B" w:rsidRDefault="00640F08">
            <w:pPr>
              <w:spacing w:before="60" w:after="60" w:line="200" w:lineRule="exact"/>
              <w:jc w:val="right"/>
              <w:rPr>
                <w:b/>
                <w:noProof/>
                <w:color w:val="365F91" w:themeColor="accent1" w:themeShade="BF"/>
                <w:sz w:val="22"/>
              </w:rPr>
            </w:pPr>
            <w:r>
              <w:rPr>
                <w:b/>
                <w:noProof/>
                <w:color w:val="365F91" w:themeColor="accent1" w:themeShade="BF"/>
                <w:sz w:val="22"/>
              </w:rPr>
              <w:t>51,200</w:t>
            </w:r>
          </w:p>
        </w:tc>
      </w:tr>
    </w:tbl>
    <w:p w:rsidR="000B688B" w:rsidRDefault="000B688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688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B688B" w:rsidRDefault="00640F08">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11,386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13,120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15,081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15,671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17,119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17,997 </w:t>
            </w:r>
          </w:p>
        </w:tc>
        <w:tc>
          <w:tcPr>
            <w:tcW w:w="1080" w:type="dxa"/>
            <w:tcBorders>
              <w:top w:val="single" w:sz="12" w:space="0" w:color="auto"/>
              <w:left w:val="single" w:sz="2" w:space="0" w:color="auto"/>
              <w:bottom w:val="single" w:sz="12" w:space="0" w:color="auto"/>
              <w:right w:val="single" w:sz="2" w:space="0" w:color="auto"/>
            </w:tcBorders>
            <w:vAlign w:val="center"/>
          </w:tcPr>
          <w:p w:rsidR="000B688B" w:rsidRDefault="00640F08">
            <w:pPr>
              <w:jc w:val="right"/>
              <w:rPr>
                <w:noProof/>
                <w:color w:val="365F91" w:themeColor="accent1" w:themeShade="BF"/>
              </w:rPr>
            </w:pPr>
            <w:r>
              <w:rPr>
                <w:noProof/>
                <w:color w:val="365F91" w:themeColor="accent1" w:themeShade="BF"/>
              </w:rPr>
              <w:t xml:space="preserve">19,740 </w:t>
            </w:r>
          </w:p>
        </w:tc>
        <w:tc>
          <w:tcPr>
            <w:tcW w:w="1080" w:type="dxa"/>
            <w:tcBorders>
              <w:top w:val="single" w:sz="12" w:space="0" w:color="auto"/>
              <w:left w:val="single" w:sz="2" w:space="0" w:color="auto"/>
              <w:bottom w:val="single" w:sz="12" w:space="0" w:color="auto"/>
              <w:right w:val="single" w:sz="12" w:space="0" w:color="auto"/>
            </w:tcBorders>
            <w:vAlign w:val="center"/>
          </w:tcPr>
          <w:p w:rsidR="000B688B" w:rsidRDefault="00640F08">
            <w:pPr>
              <w:jc w:val="right"/>
              <w:rPr>
                <w:b/>
                <w:noProof/>
                <w:color w:val="365F91" w:themeColor="accent1" w:themeShade="BF"/>
              </w:rPr>
            </w:pPr>
            <w:r>
              <w:rPr>
                <w:b/>
                <w:noProof/>
                <w:color w:val="365F91" w:themeColor="accent1" w:themeShade="BF"/>
              </w:rPr>
              <w:t>110,114</w:t>
            </w:r>
          </w:p>
        </w:tc>
      </w:tr>
    </w:tbl>
    <w:p w:rsidR="000B688B" w:rsidRDefault="00640F08">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w:t>
      </w:r>
      <w:r>
        <w:rPr>
          <w:noProof/>
          <w:sz w:val="18"/>
        </w:rPr>
        <w:t>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0B688B" w:rsidRDefault="000B688B">
      <w:pPr>
        <w:rPr>
          <w:noProof/>
          <w:color w:val="008000"/>
        </w:rPr>
        <w:sectPr w:rsidR="000B688B" w:rsidSect="00640F08">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0B688B" w:rsidRDefault="00640F08">
      <w:pPr>
        <w:pStyle w:val="ManualHeading4"/>
        <w:rPr>
          <w:noProof/>
          <w:szCs w:val="24"/>
        </w:rPr>
      </w:pPr>
      <w:r>
        <w:t>3.2.</w:t>
      </w:r>
      <w:proofErr w:type="spellStart"/>
      <w:r>
        <w:t>2</w:t>
      </w:r>
      <w:proofErr w:type="spellEnd"/>
      <w:r>
        <w:t>.1.</w:t>
      </w:r>
      <w:r>
        <w:tab/>
      </w:r>
      <w:r>
        <w:rPr>
          <w:noProof/>
        </w:rPr>
        <w:t>Очаквани нужди от човешки ресурси</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човешки ресурси </w:t>
      </w:r>
    </w:p>
    <w:p w:rsidR="000B688B" w:rsidRDefault="00640F08">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0B688B" w:rsidRDefault="00640F08">
      <w:pPr>
        <w:spacing w:after="60"/>
        <w:jc w:val="right"/>
        <w:rPr>
          <w:i/>
          <w:noProof/>
          <w:sz w:val="20"/>
        </w:rPr>
      </w:pPr>
      <w:r>
        <w:rPr>
          <w:i/>
          <w:noProof/>
          <w:sz w:val="20"/>
        </w:rPr>
        <w:t xml:space="preserve">Оценката се посочва в </w:t>
      </w:r>
      <w:r>
        <w:rPr>
          <w:i/>
          <w:noProof/>
          <w:sz w:val="20"/>
        </w:rPr>
        <w:t>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259"/>
        <w:gridCol w:w="731"/>
        <w:gridCol w:w="1134"/>
        <w:gridCol w:w="1132"/>
        <w:gridCol w:w="994"/>
        <w:gridCol w:w="1119"/>
      </w:tblGrid>
      <w:tr w:rsidR="000B688B">
        <w:trPr>
          <w:trHeight w:val="289"/>
        </w:trPr>
        <w:tc>
          <w:tcPr>
            <w:tcW w:w="1472" w:type="pct"/>
            <w:gridSpan w:val="2"/>
            <w:vAlign w:val="center"/>
          </w:tcPr>
          <w:p w:rsidR="000B688B" w:rsidRDefault="00640F08">
            <w:pPr>
              <w:spacing w:before="40" w:after="40"/>
              <w:jc w:val="center"/>
              <w:rPr>
                <w:i/>
                <w:noProof/>
                <w:sz w:val="16"/>
                <w:szCs w:val="16"/>
              </w:rPr>
            </w:pPr>
            <w:r>
              <w:rPr>
                <w:b/>
                <w:noProof/>
                <w:sz w:val="16"/>
              </w:rPr>
              <w:t>Година</w:t>
            </w:r>
          </w:p>
        </w:tc>
        <w:tc>
          <w:tcPr>
            <w:tcW w:w="466" w:type="pct"/>
            <w:shd w:val="clear" w:color="auto" w:fill="auto"/>
            <w:vAlign w:val="center"/>
          </w:tcPr>
          <w:p w:rsidR="000B688B" w:rsidRDefault="00640F08">
            <w:pPr>
              <w:spacing w:before="20" w:after="20"/>
              <w:jc w:val="center"/>
              <w:rPr>
                <w:b/>
                <w:noProof/>
                <w:sz w:val="16"/>
                <w:szCs w:val="16"/>
              </w:rPr>
            </w:pPr>
            <w:r>
              <w:rPr>
                <w:b/>
                <w:noProof/>
                <w:sz w:val="20"/>
              </w:rPr>
              <w:t>2021 г.</w:t>
            </w:r>
          </w:p>
        </w:tc>
        <w:tc>
          <w:tcPr>
            <w:tcW w:w="534" w:type="pct"/>
            <w:shd w:val="clear" w:color="auto" w:fill="auto"/>
            <w:vAlign w:val="center"/>
          </w:tcPr>
          <w:p w:rsidR="000B688B" w:rsidRDefault="00640F08">
            <w:pPr>
              <w:spacing w:before="20" w:after="20"/>
              <w:jc w:val="center"/>
              <w:rPr>
                <w:b/>
                <w:noProof/>
                <w:sz w:val="20"/>
              </w:rPr>
            </w:pPr>
            <w:r>
              <w:rPr>
                <w:b/>
                <w:noProof/>
                <w:sz w:val="20"/>
              </w:rPr>
              <w:t>2022 г.</w:t>
            </w:r>
          </w:p>
        </w:tc>
        <w:tc>
          <w:tcPr>
            <w:tcW w:w="466" w:type="pct"/>
            <w:gridSpan w:val="2"/>
            <w:shd w:val="clear" w:color="auto" w:fill="auto"/>
            <w:vAlign w:val="center"/>
          </w:tcPr>
          <w:p w:rsidR="000B688B" w:rsidRDefault="00640F08">
            <w:pPr>
              <w:spacing w:before="20" w:after="20"/>
              <w:jc w:val="center"/>
              <w:rPr>
                <w:b/>
                <w:noProof/>
                <w:sz w:val="20"/>
              </w:rPr>
            </w:pPr>
            <w:r>
              <w:rPr>
                <w:b/>
                <w:noProof/>
                <w:sz w:val="20"/>
              </w:rPr>
              <w:t>2023 г.</w:t>
            </w:r>
          </w:p>
        </w:tc>
        <w:tc>
          <w:tcPr>
            <w:tcW w:w="534" w:type="pct"/>
            <w:shd w:val="clear" w:color="auto" w:fill="auto"/>
            <w:vAlign w:val="center"/>
          </w:tcPr>
          <w:p w:rsidR="000B688B" w:rsidRDefault="00640F08">
            <w:pPr>
              <w:spacing w:before="20" w:after="20"/>
              <w:jc w:val="center"/>
              <w:rPr>
                <w:b/>
                <w:noProof/>
                <w:sz w:val="20"/>
              </w:rPr>
            </w:pPr>
            <w:r>
              <w:rPr>
                <w:b/>
                <w:noProof/>
                <w:sz w:val="20"/>
              </w:rPr>
              <w:t>2024 г.</w:t>
            </w:r>
          </w:p>
        </w:tc>
        <w:tc>
          <w:tcPr>
            <w:tcW w:w="533" w:type="pct"/>
            <w:shd w:val="clear" w:color="auto" w:fill="auto"/>
            <w:vAlign w:val="center"/>
          </w:tcPr>
          <w:p w:rsidR="000B688B" w:rsidRDefault="00640F08">
            <w:pPr>
              <w:jc w:val="center"/>
              <w:rPr>
                <w:b/>
                <w:noProof/>
                <w:sz w:val="20"/>
              </w:rPr>
            </w:pPr>
            <w:r>
              <w:rPr>
                <w:b/>
                <w:noProof/>
                <w:sz w:val="20"/>
              </w:rPr>
              <w:t>2025 г.</w:t>
            </w:r>
          </w:p>
        </w:tc>
        <w:tc>
          <w:tcPr>
            <w:tcW w:w="468" w:type="pct"/>
            <w:shd w:val="clear" w:color="auto" w:fill="auto"/>
            <w:vAlign w:val="center"/>
          </w:tcPr>
          <w:p w:rsidR="000B688B" w:rsidRDefault="00640F08">
            <w:pPr>
              <w:jc w:val="center"/>
              <w:rPr>
                <w:b/>
                <w:noProof/>
                <w:sz w:val="20"/>
              </w:rPr>
            </w:pPr>
            <w:r>
              <w:rPr>
                <w:b/>
                <w:noProof/>
                <w:sz w:val="20"/>
              </w:rPr>
              <w:t>2026 г.</w:t>
            </w:r>
          </w:p>
        </w:tc>
        <w:tc>
          <w:tcPr>
            <w:tcW w:w="527" w:type="pct"/>
            <w:shd w:val="clear" w:color="auto" w:fill="auto"/>
            <w:vAlign w:val="center"/>
          </w:tcPr>
          <w:p w:rsidR="000B688B" w:rsidRDefault="00640F08">
            <w:pPr>
              <w:jc w:val="center"/>
              <w:rPr>
                <w:b/>
                <w:noProof/>
                <w:sz w:val="20"/>
              </w:rPr>
            </w:pPr>
            <w:r>
              <w:rPr>
                <w:b/>
                <w:noProof/>
                <w:sz w:val="20"/>
              </w:rPr>
              <w:t>2027 г.</w:t>
            </w:r>
          </w:p>
        </w:tc>
      </w:tr>
      <w:tr w:rsidR="000B688B">
        <w:trPr>
          <w:trHeight w:val="289"/>
        </w:trPr>
        <w:tc>
          <w:tcPr>
            <w:tcW w:w="5000" w:type="pct"/>
            <w:gridSpan w:val="10"/>
          </w:tcPr>
          <w:p w:rsidR="000B688B" w:rsidRDefault="00640F08">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rsidR="000B688B">
        <w:trPr>
          <w:trHeight w:val="289"/>
        </w:trPr>
        <w:tc>
          <w:tcPr>
            <w:tcW w:w="1472" w:type="pct"/>
            <w:gridSpan w:val="2"/>
          </w:tcPr>
          <w:p w:rsidR="000B688B" w:rsidRDefault="00640F08">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30</w:t>
            </w:r>
          </w:p>
        </w:tc>
        <w:tc>
          <w:tcPr>
            <w:tcW w:w="534"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35</w:t>
            </w:r>
          </w:p>
        </w:tc>
        <w:tc>
          <w:tcPr>
            <w:tcW w:w="466" w:type="pct"/>
            <w:gridSpan w:val="2"/>
            <w:shd w:val="clear" w:color="auto" w:fill="auto"/>
            <w:vAlign w:val="center"/>
          </w:tcPr>
          <w:p w:rsidR="000B688B" w:rsidRDefault="00640F08">
            <w:pPr>
              <w:jc w:val="right"/>
              <w:rPr>
                <w:noProof/>
                <w:color w:val="365F91" w:themeColor="accent1" w:themeShade="BF"/>
              </w:rPr>
            </w:pPr>
            <w:r>
              <w:rPr>
                <w:noProof/>
                <w:color w:val="365F91" w:themeColor="accent1" w:themeShade="BF"/>
              </w:rPr>
              <w:t>41</w:t>
            </w:r>
          </w:p>
        </w:tc>
        <w:tc>
          <w:tcPr>
            <w:tcW w:w="534"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42</w:t>
            </w:r>
          </w:p>
        </w:tc>
        <w:tc>
          <w:tcPr>
            <w:tcW w:w="533"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46</w:t>
            </w:r>
          </w:p>
        </w:tc>
        <w:tc>
          <w:tcPr>
            <w:tcW w:w="468"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48</w:t>
            </w:r>
          </w:p>
        </w:tc>
        <w:tc>
          <w:tcPr>
            <w:tcW w:w="527"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52</w:t>
            </w:r>
          </w:p>
        </w:tc>
      </w:tr>
      <w:tr w:rsidR="000B688B">
        <w:trPr>
          <w:trHeight w:val="289"/>
        </w:trPr>
        <w:tc>
          <w:tcPr>
            <w:tcW w:w="1472" w:type="pct"/>
            <w:gridSpan w:val="2"/>
          </w:tcPr>
          <w:p w:rsidR="000B688B" w:rsidRDefault="00640F08">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0B688B" w:rsidRDefault="000B688B">
            <w:pPr>
              <w:spacing w:beforeLines="20" w:before="48" w:afterLines="20" w:after="48"/>
              <w:jc w:val="center"/>
              <w:rPr>
                <w:noProof/>
                <w:sz w:val="16"/>
                <w:szCs w:val="16"/>
              </w:rPr>
            </w:pPr>
          </w:p>
        </w:tc>
        <w:tc>
          <w:tcPr>
            <w:tcW w:w="534" w:type="pct"/>
            <w:shd w:val="clear" w:color="auto" w:fill="auto"/>
            <w:vAlign w:val="center"/>
          </w:tcPr>
          <w:p w:rsidR="000B688B" w:rsidRDefault="000B688B">
            <w:pPr>
              <w:spacing w:beforeLines="20" w:before="48" w:afterLines="20" w:after="48"/>
              <w:jc w:val="center"/>
              <w:rPr>
                <w:noProof/>
                <w:sz w:val="16"/>
                <w:szCs w:val="16"/>
              </w:rPr>
            </w:pPr>
          </w:p>
        </w:tc>
        <w:tc>
          <w:tcPr>
            <w:tcW w:w="466" w:type="pct"/>
            <w:gridSpan w:val="2"/>
            <w:shd w:val="clear" w:color="auto" w:fill="auto"/>
            <w:vAlign w:val="center"/>
          </w:tcPr>
          <w:p w:rsidR="000B688B" w:rsidRDefault="000B688B">
            <w:pPr>
              <w:spacing w:beforeLines="20" w:before="48" w:afterLines="20" w:after="48"/>
              <w:jc w:val="center"/>
              <w:rPr>
                <w:noProof/>
                <w:sz w:val="16"/>
                <w:szCs w:val="16"/>
              </w:rPr>
            </w:pPr>
          </w:p>
        </w:tc>
        <w:tc>
          <w:tcPr>
            <w:tcW w:w="534" w:type="pct"/>
            <w:shd w:val="clear" w:color="auto" w:fill="auto"/>
            <w:vAlign w:val="center"/>
          </w:tcPr>
          <w:p w:rsidR="000B688B" w:rsidRDefault="000B688B">
            <w:pPr>
              <w:spacing w:beforeLines="20" w:before="48" w:afterLines="20" w:after="48"/>
              <w:jc w:val="center"/>
              <w:rPr>
                <w:noProof/>
                <w:sz w:val="16"/>
                <w:szCs w:val="16"/>
              </w:rPr>
            </w:pPr>
          </w:p>
        </w:tc>
        <w:tc>
          <w:tcPr>
            <w:tcW w:w="533" w:type="pct"/>
            <w:shd w:val="clear" w:color="auto" w:fill="auto"/>
            <w:vAlign w:val="center"/>
          </w:tcPr>
          <w:p w:rsidR="000B688B" w:rsidRDefault="000B688B">
            <w:pPr>
              <w:spacing w:beforeLines="20" w:before="48" w:afterLines="20" w:after="48"/>
              <w:jc w:val="center"/>
              <w:rPr>
                <w:noProof/>
                <w:sz w:val="16"/>
                <w:szCs w:val="16"/>
              </w:rPr>
            </w:pPr>
          </w:p>
        </w:tc>
        <w:tc>
          <w:tcPr>
            <w:tcW w:w="468" w:type="pct"/>
            <w:shd w:val="clear" w:color="auto" w:fill="auto"/>
            <w:vAlign w:val="center"/>
          </w:tcPr>
          <w:p w:rsidR="000B688B" w:rsidRDefault="000B688B">
            <w:pPr>
              <w:spacing w:beforeLines="20" w:before="48" w:afterLines="20" w:after="48"/>
              <w:jc w:val="center"/>
              <w:rPr>
                <w:noProof/>
                <w:sz w:val="16"/>
                <w:szCs w:val="16"/>
              </w:rPr>
            </w:pPr>
          </w:p>
        </w:tc>
        <w:tc>
          <w:tcPr>
            <w:tcW w:w="527" w:type="pct"/>
            <w:shd w:val="clear" w:color="auto" w:fill="auto"/>
            <w:vAlign w:val="center"/>
          </w:tcPr>
          <w:p w:rsidR="000B688B" w:rsidRDefault="000B688B">
            <w:pPr>
              <w:spacing w:beforeLines="20" w:before="48" w:afterLines="20" w:after="48"/>
              <w:jc w:val="center"/>
              <w:rPr>
                <w:noProof/>
                <w:sz w:val="16"/>
                <w:szCs w:val="16"/>
              </w:rPr>
            </w:pPr>
          </w:p>
        </w:tc>
      </w:tr>
      <w:tr w:rsidR="000B688B">
        <w:trPr>
          <w:trHeight w:val="289"/>
        </w:trPr>
        <w:tc>
          <w:tcPr>
            <w:tcW w:w="1472" w:type="pct"/>
            <w:gridSpan w:val="2"/>
          </w:tcPr>
          <w:p w:rsidR="000B688B" w:rsidRDefault="00640F08">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0B688B" w:rsidRDefault="000B688B">
            <w:pPr>
              <w:spacing w:beforeLines="20" w:before="48" w:afterLines="20" w:after="48"/>
              <w:jc w:val="center"/>
              <w:rPr>
                <w:noProof/>
                <w:sz w:val="16"/>
                <w:szCs w:val="16"/>
              </w:rPr>
            </w:pPr>
          </w:p>
        </w:tc>
        <w:tc>
          <w:tcPr>
            <w:tcW w:w="534" w:type="pct"/>
            <w:shd w:val="clear" w:color="auto" w:fill="auto"/>
            <w:vAlign w:val="center"/>
          </w:tcPr>
          <w:p w:rsidR="000B688B" w:rsidRDefault="000B688B">
            <w:pPr>
              <w:spacing w:beforeLines="20" w:before="48" w:afterLines="20" w:after="48"/>
              <w:jc w:val="center"/>
              <w:rPr>
                <w:noProof/>
                <w:sz w:val="16"/>
                <w:szCs w:val="16"/>
              </w:rPr>
            </w:pPr>
          </w:p>
        </w:tc>
        <w:tc>
          <w:tcPr>
            <w:tcW w:w="466" w:type="pct"/>
            <w:gridSpan w:val="2"/>
            <w:shd w:val="clear" w:color="auto" w:fill="auto"/>
            <w:vAlign w:val="center"/>
          </w:tcPr>
          <w:p w:rsidR="000B688B" w:rsidRDefault="000B688B">
            <w:pPr>
              <w:spacing w:beforeLines="20" w:before="48" w:afterLines="20" w:after="48"/>
              <w:jc w:val="center"/>
              <w:rPr>
                <w:noProof/>
                <w:sz w:val="16"/>
                <w:szCs w:val="16"/>
              </w:rPr>
            </w:pPr>
          </w:p>
        </w:tc>
        <w:tc>
          <w:tcPr>
            <w:tcW w:w="534" w:type="pct"/>
            <w:shd w:val="clear" w:color="auto" w:fill="auto"/>
            <w:vAlign w:val="center"/>
          </w:tcPr>
          <w:p w:rsidR="000B688B" w:rsidRDefault="000B688B">
            <w:pPr>
              <w:spacing w:beforeLines="20" w:before="48" w:afterLines="20" w:after="48"/>
              <w:jc w:val="center"/>
              <w:rPr>
                <w:noProof/>
                <w:sz w:val="16"/>
                <w:szCs w:val="16"/>
              </w:rPr>
            </w:pPr>
          </w:p>
        </w:tc>
        <w:tc>
          <w:tcPr>
            <w:tcW w:w="533" w:type="pct"/>
            <w:shd w:val="clear" w:color="auto" w:fill="auto"/>
            <w:vAlign w:val="center"/>
          </w:tcPr>
          <w:p w:rsidR="000B688B" w:rsidRDefault="000B688B">
            <w:pPr>
              <w:spacing w:beforeLines="20" w:before="48" w:afterLines="20" w:after="48"/>
              <w:jc w:val="center"/>
              <w:rPr>
                <w:noProof/>
                <w:sz w:val="16"/>
                <w:szCs w:val="16"/>
              </w:rPr>
            </w:pPr>
          </w:p>
        </w:tc>
        <w:tc>
          <w:tcPr>
            <w:tcW w:w="468" w:type="pct"/>
            <w:shd w:val="clear" w:color="auto" w:fill="auto"/>
            <w:vAlign w:val="center"/>
          </w:tcPr>
          <w:p w:rsidR="000B688B" w:rsidRDefault="000B688B">
            <w:pPr>
              <w:spacing w:beforeLines="20" w:before="48" w:afterLines="20" w:after="48"/>
              <w:jc w:val="center"/>
              <w:rPr>
                <w:noProof/>
                <w:sz w:val="16"/>
                <w:szCs w:val="16"/>
              </w:rPr>
            </w:pPr>
          </w:p>
        </w:tc>
        <w:tc>
          <w:tcPr>
            <w:tcW w:w="527" w:type="pct"/>
            <w:shd w:val="clear" w:color="auto" w:fill="auto"/>
            <w:vAlign w:val="center"/>
          </w:tcPr>
          <w:p w:rsidR="000B688B" w:rsidRDefault="000B688B">
            <w:pPr>
              <w:spacing w:beforeLines="20" w:before="48" w:afterLines="20" w:after="48"/>
              <w:jc w:val="center"/>
              <w:rPr>
                <w:noProof/>
                <w:sz w:val="16"/>
                <w:szCs w:val="16"/>
              </w:rPr>
            </w:pPr>
          </w:p>
        </w:tc>
      </w:tr>
      <w:tr w:rsidR="000B688B">
        <w:trPr>
          <w:trHeight w:val="293"/>
        </w:trPr>
        <w:tc>
          <w:tcPr>
            <w:tcW w:w="5000" w:type="pct"/>
            <w:gridSpan w:val="10"/>
          </w:tcPr>
          <w:p w:rsidR="000B688B" w:rsidRDefault="00640F08">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r>
              <w:rPr>
                <w:rStyle w:val="FootnoteReference"/>
                <w:noProof/>
              </w:rPr>
              <w:footnoteReference w:id="32"/>
            </w:r>
          </w:p>
          <w:p w:rsidR="000B688B" w:rsidRDefault="00640F08">
            <w:pPr>
              <w:spacing w:before="0" w:after="0"/>
              <w:jc w:val="left"/>
              <w:rPr>
                <w:noProof/>
                <w:sz w:val="16"/>
                <w:szCs w:val="16"/>
              </w:rPr>
            </w:pPr>
            <w:r>
              <w:rPr>
                <w:noProof/>
                <w:sz w:val="16"/>
              </w:rPr>
              <w:t>Функция 7</w:t>
            </w:r>
          </w:p>
        </w:tc>
      </w:tr>
      <w:tr w:rsidR="000B688B">
        <w:trPr>
          <w:trHeight w:val="485"/>
        </w:trPr>
        <w:tc>
          <w:tcPr>
            <w:tcW w:w="735" w:type="pct"/>
            <w:vMerge w:val="restart"/>
            <w:vAlign w:val="center"/>
          </w:tcPr>
          <w:p w:rsidR="000B688B" w:rsidRDefault="00640F08">
            <w:pPr>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0B688B" w:rsidRDefault="00640F08">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19</w:t>
            </w:r>
          </w:p>
        </w:tc>
        <w:tc>
          <w:tcPr>
            <w:tcW w:w="656" w:type="pct"/>
            <w:gridSpan w:val="2"/>
            <w:shd w:val="clear" w:color="auto" w:fill="auto"/>
            <w:vAlign w:val="center"/>
          </w:tcPr>
          <w:p w:rsidR="000B688B" w:rsidRDefault="00640F08">
            <w:pPr>
              <w:jc w:val="right"/>
              <w:rPr>
                <w:noProof/>
                <w:color w:val="365F91" w:themeColor="accent1" w:themeShade="BF"/>
              </w:rPr>
            </w:pPr>
            <w:r>
              <w:rPr>
                <w:noProof/>
                <w:color w:val="365F91" w:themeColor="accent1" w:themeShade="BF"/>
              </w:rPr>
              <w:t>21</w:t>
            </w:r>
          </w:p>
        </w:tc>
        <w:tc>
          <w:tcPr>
            <w:tcW w:w="344"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24</w:t>
            </w:r>
          </w:p>
        </w:tc>
        <w:tc>
          <w:tcPr>
            <w:tcW w:w="534"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26</w:t>
            </w:r>
          </w:p>
        </w:tc>
        <w:tc>
          <w:tcPr>
            <w:tcW w:w="533"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28</w:t>
            </w:r>
          </w:p>
        </w:tc>
        <w:tc>
          <w:tcPr>
            <w:tcW w:w="468"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30</w:t>
            </w:r>
          </w:p>
        </w:tc>
        <w:tc>
          <w:tcPr>
            <w:tcW w:w="527" w:type="pct"/>
            <w:shd w:val="clear" w:color="auto" w:fill="auto"/>
            <w:vAlign w:val="center"/>
          </w:tcPr>
          <w:p w:rsidR="000B688B" w:rsidRDefault="00640F08">
            <w:pPr>
              <w:jc w:val="right"/>
              <w:rPr>
                <w:noProof/>
                <w:color w:val="365F91" w:themeColor="accent1" w:themeShade="BF"/>
              </w:rPr>
            </w:pPr>
            <w:r>
              <w:rPr>
                <w:noProof/>
                <w:color w:val="365F91" w:themeColor="accent1" w:themeShade="BF"/>
              </w:rPr>
              <w:t>34</w:t>
            </w:r>
          </w:p>
        </w:tc>
      </w:tr>
      <w:tr w:rsidR="000B688B">
        <w:trPr>
          <w:trHeight w:val="289"/>
        </w:trPr>
        <w:tc>
          <w:tcPr>
            <w:tcW w:w="735" w:type="pct"/>
            <w:vMerge/>
            <w:vAlign w:val="center"/>
          </w:tcPr>
          <w:p w:rsidR="000B688B" w:rsidRDefault="000B688B">
            <w:pPr>
              <w:spacing w:beforeLines="20" w:before="48" w:afterLines="20" w:after="48"/>
              <w:ind w:left="136"/>
              <w:jc w:val="left"/>
              <w:rPr>
                <w:noProof/>
                <w:sz w:val="16"/>
                <w:szCs w:val="16"/>
              </w:rPr>
            </w:pPr>
          </w:p>
        </w:tc>
        <w:tc>
          <w:tcPr>
            <w:tcW w:w="737" w:type="pct"/>
            <w:vAlign w:val="center"/>
          </w:tcPr>
          <w:p w:rsidR="000B688B" w:rsidRDefault="00640F08">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0B688B" w:rsidRDefault="000B688B">
            <w:pPr>
              <w:spacing w:beforeLines="20" w:before="48" w:afterLines="20" w:after="48"/>
              <w:jc w:val="right"/>
              <w:rPr>
                <w:noProof/>
                <w:sz w:val="16"/>
                <w:szCs w:val="16"/>
              </w:rPr>
            </w:pPr>
          </w:p>
        </w:tc>
        <w:tc>
          <w:tcPr>
            <w:tcW w:w="656" w:type="pct"/>
            <w:gridSpan w:val="2"/>
            <w:shd w:val="clear" w:color="auto" w:fill="auto"/>
            <w:vAlign w:val="center"/>
          </w:tcPr>
          <w:p w:rsidR="000B688B" w:rsidRDefault="000B688B">
            <w:pPr>
              <w:spacing w:beforeLines="20" w:before="48" w:afterLines="20" w:after="48"/>
              <w:jc w:val="right"/>
              <w:rPr>
                <w:noProof/>
                <w:sz w:val="16"/>
                <w:szCs w:val="16"/>
              </w:rPr>
            </w:pPr>
          </w:p>
        </w:tc>
        <w:tc>
          <w:tcPr>
            <w:tcW w:w="344" w:type="pct"/>
            <w:shd w:val="clear" w:color="auto" w:fill="auto"/>
            <w:vAlign w:val="center"/>
          </w:tcPr>
          <w:p w:rsidR="000B688B" w:rsidRDefault="000B688B">
            <w:pPr>
              <w:spacing w:beforeLines="20" w:before="48" w:afterLines="20" w:after="48"/>
              <w:jc w:val="right"/>
              <w:rPr>
                <w:noProof/>
                <w:sz w:val="16"/>
                <w:szCs w:val="16"/>
              </w:rPr>
            </w:pPr>
          </w:p>
        </w:tc>
        <w:tc>
          <w:tcPr>
            <w:tcW w:w="534" w:type="pct"/>
            <w:shd w:val="clear" w:color="auto" w:fill="auto"/>
            <w:vAlign w:val="center"/>
          </w:tcPr>
          <w:p w:rsidR="000B688B" w:rsidRDefault="000B688B">
            <w:pPr>
              <w:spacing w:beforeLines="20" w:before="48" w:afterLines="20" w:after="48"/>
              <w:jc w:val="right"/>
              <w:rPr>
                <w:noProof/>
                <w:sz w:val="16"/>
                <w:szCs w:val="16"/>
              </w:rPr>
            </w:pPr>
          </w:p>
        </w:tc>
        <w:tc>
          <w:tcPr>
            <w:tcW w:w="533" w:type="pct"/>
            <w:shd w:val="clear" w:color="auto" w:fill="auto"/>
            <w:vAlign w:val="center"/>
          </w:tcPr>
          <w:p w:rsidR="000B688B" w:rsidRDefault="000B688B">
            <w:pPr>
              <w:spacing w:beforeLines="20" w:before="48" w:afterLines="20" w:after="48"/>
              <w:jc w:val="right"/>
              <w:rPr>
                <w:noProof/>
                <w:sz w:val="16"/>
                <w:szCs w:val="16"/>
              </w:rPr>
            </w:pPr>
          </w:p>
        </w:tc>
        <w:tc>
          <w:tcPr>
            <w:tcW w:w="468" w:type="pct"/>
            <w:shd w:val="clear" w:color="auto" w:fill="auto"/>
            <w:vAlign w:val="center"/>
          </w:tcPr>
          <w:p w:rsidR="000B688B" w:rsidRDefault="000B688B">
            <w:pPr>
              <w:spacing w:beforeLines="20" w:before="48" w:afterLines="20" w:after="48"/>
              <w:jc w:val="right"/>
              <w:rPr>
                <w:noProof/>
                <w:sz w:val="16"/>
                <w:szCs w:val="16"/>
              </w:rPr>
            </w:pPr>
          </w:p>
        </w:tc>
        <w:tc>
          <w:tcPr>
            <w:tcW w:w="527" w:type="pct"/>
            <w:shd w:val="clear" w:color="auto" w:fill="auto"/>
            <w:vAlign w:val="center"/>
          </w:tcPr>
          <w:p w:rsidR="000B688B" w:rsidRDefault="000B688B">
            <w:pPr>
              <w:spacing w:beforeLines="20" w:before="48" w:afterLines="20" w:after="48"/>
              <w:jc w:val="right"/>
              <w:rPr>
                <w:noProof/>
                <w:sz w:val="16"/>
                <w:szCs w:val="16"/>
              </w:rPr>
            </w:pPr>
          </w:p>
        </w:tc>
      </w:tr>
      <w:tr w:rsidR="000B688B">
        <w:trPr>
          <w:trHeight w:val="370"/>
        </w:trPr>
        <w:tc>
          <w:tcPr>
            <w:tcW w:w="735" w:type="pct"/>
            <w:vMerge w:val="restart"/>
            <w:vAlign w:val="center"/>
          </w:tcPr>
          <w:p w:rsidR="000B688B" w:rsidRDefault="00640F08">
            <w:pPr>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33"/>
            </w:r>
          </w:p>
        </w:tc>
        <w:tc>
          <w:tcPr>
            <w:tcW w:w="737" w:type="pct"/>
            <w:shd w:val="clear" w:color="auto" w:fill="auto"/>
            <w:vAlign w:val="center"/>
          </w:tcPr>
          <w:p w:rsidR="000B688B" w:rsidRDefault="00640F08">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0B688B" w:rsidRDefault="000B688B">
            <w:pPr>
              <w:spacing w:beforeLines="20" w:before="48" w:afterLines="20" w:after="48"/>
              <w:jc w:val="right"/>
              <w:rPr>
                <w:noProof/>
                <w:sz w:val="16"/>
                <w:szCs w:val="16"/>
              </w:rPr>
            </w:pPr>
          </w:p>
        </w:tc>
        <w:tc>
          <w:tcPr>
            <w:tcW w:w="656" w:type="pct"/>
            <w:gridSpan w:val="2"/>
            <w:shd w:val="clear" w:color="auto" w:fill="auto"/>
            <w:vAlign w:val="center"/>
          </w:tcPr>
          <w:p w:rsidR="000B688B" w:rsidRDefault="000B688B">
            <w:pPr>
              <w:spacing w:beforeLines="20" w:before="48" w:afterLines="20" w:after="48"/>
              <w:jc w:val="right"/>
              <w:rPr>
                <w:noProof/>
                <w:sz w:val="16"/>
                <w:szCs w:val="16"/>
              </w:rPr>
            </w:pPr>
          </w:p>
        </w:tc>
        <w:tc>
          <w:tcPr>
            <w:tcW w:w="344" w:type="pct"/>
            <w:shd w:val="clear" w:color="auto" w:fill="auto"/>
            <w:vAlign w:val="center"/>
          </w:tcPr>
          <w:p w:rsidR="000B688B" w:rsidRDefault="000B688B">
            <w:pPr>
              <w:spacing w:beforeLines="20" w:before="48" w:afterLines="20" w:after="48"/>
              <w:jc w:val="right"/>
              <w:rPr>
                <w:noProof/>
                <w:sz w:val="16"/>
                <w:szCs w:val="16"/>
              </w:rPr>
            </w:pPr>
          </w:p>
        </w:tc>
        <w:tc>
          <w:tcPr>
            <w:tcW w:w="534" w:type="pct"/>
            <w:shd w:val="clear" w:color="auto" w:fill="auto"/>
            <w:vAlign w:val="center"/>
          </w:tcPr>
          <w:p w:rsidR="000B688B" w:rsidRDefault="000B688B">
            <w:pPr>
              <w:spacing w:beforeLines="20" w:before="48" w:afterLines="20" w:after="48"/>
              <w:jc w:val="right"/>
              <w:rPr>
                <w:noProof/>
                <w:sz w:val="16"/>
                <w:szCs w:val="16"/>
              </w:rPr>
            </w:pPr>
          </w:p>
        </w:tc>
        <w:tc>
          <w:tcPr>
            <w:tcW w:w="533" w:type="pct"/>
            <w:shd w:val="clear" w:color="auto" w:fill="auto"/>
            <w:vAlign w:val="center"/>
          </w:tcPr>
          <w:p w:rsidR="000B688B" w:rsidRDefault="000B688B">
            <w:pPr>
              <w:spacing w:beforeLines="20" w:before="48" w:afterLines="20" w:after="48"/>
              <w:jc w:val="right"/>
              <w:rPr>
                <w:noProof/>
                <w:sz w:val="16"/>
                <w:szCs w:val="16"/>
              </w:rPr>
            </w:pPr>
          </w:p>
        </w:tc>
        <w:tc>
          <w:tcPr>
            <w:tcW w:w="468" w:type="pct"/>
            <w:shd w:val="clear" w:color="auto" w:fill="auto"/>
            <w:vAlign w:val="center"/>
          </w:tcPr>
          <w:p w:rsidR="000B688B" w:rsidRDefault="000B688B">
            <w:pPr>
              <w:spacing w:beforeLines="20" w:before="48" w:afterLines="20" w:after="48"/>
              <w:jc w:val="right"/>
              <w:rPr>
                <w:noProof/>
                <w:sz w:val="16"/>
                <w:szCs w:val="16"/>
              </w:rPr>
            </w:pPr>
          </w:p>
        </w:tc>
        <w:tc>
          <w:tcPr>
            <w:tcW w:w="527" w:type="pct"/>
            <w:shd w:val="clear" w:color="auto" w:fill="auto"/>
            <w:vAlign w:val="center"/>
          </w:tcPr>
          <w:p w:rsidR="000B688B" w:rsidRDefault="000B688B">
            <w:pPr>
              <w:spacing w:beforeLines="20" w:before="48" w:afterLines="20" w:after="48"/>
              <w:jc w:val="right"/>
              <w:rPr>
                <w:noProof/>
                <w:sz w:val="16"/>
                <w:szCs w:val="16"/>
              </w:rPr>
            </w:pPr>
          </w:p>
        </w:tc>
      </w:tr>
      <w:tr w:rsidR="000B688B">
        <w:trPr>
          <w:trHeight w:val="289"/>
        </w:trPr>
        <w:tc>
          <w:tcPr>
            <w:tcW w:w="735" w:type="pct"/>
            <w:vMerge/>
          </w:tcPr>
          <w:p w:rsidR="000B688B" w:rsidRDefault="000B688B">
            <w:pPr>
              <w:spacing w:beforeLines="20" w:before="48" w:afterLines="20" w:after="48"/>
              <w:ind w:left="136"/>
              <w:jc w:val="left"/>
              <w:rPr>
                <w:b/>
                <w:noProof/>
                <w:sz w:val="16"/>
                <w:szCs w:val="16"/>
              </w:rPr>
            </w:pPr>
          </w:p>
        </w:tc>
        <w:tc>
          <w:tcPr>
            <w:tcW w:w="737" w:type="pct"/>
            <w:shd w:val="clear" w:color="auto" w:fill="auto"/>
            <w:vAlign w:val="center"/>
          </w:tcPr>
          <w:p w:rsidR="000B688B" w:rsidRDefault="00640F08">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0B688B" w:rsidRDefault="000B688B">
            <w:pPr>
              <w:spacing w:beforeLines="20" w:before="48" w:afterLines="20" w:after="48"/>
              <w:jc w:val="right"/>
              <w:rPr>
                <w:noProof/>
                <w:sz w:val="16"/>
                <w:szCs w:val="16"/>
              </w:rPr>
            </w:pPr>
          </w:p>
        </w:tc>
        <w:tc>
          <w:tcPr>
            <w:tcW w:w="656" w:type="pct"/>
            <w:gridSpan w:val="2"/>
            <w:shd w:val="clear" w:color="auto" w:fill="auto"/>
            <w:vAlign w:val="center"/>
          </w:tcPr>
          <w:p w:rsidR="000B688B" w:rsidRDefault="000B688B">
            <w:pPr>
              <w:spacing w:beforeLines="20" w:before="48" w:afterLines="20" w:after="48"/>
              <w:jc w:val="right"/>
              <w:rPr>
                <w:noProof/>
                <w:sz w:val="16"/>
                <w:szCs w:val="16"/>
              </w:rPr>
            </w:pPr>
          </w:p>
        </w:tc>
        <w:tc>
          <w:tcPr>
            <w:tcW w:w="344" w:type="pct"/>
            <w:shd w:val="clear" w:color="auto" w:fill="auto"/>
            <w:vAlign w:val="center"/>
          </w:tcPr>
          <w:p w:rsidR="000B688B" w:rsidRDefault="000B688B">
            <w:pPr>
              <w:spacing w:beforeLines="20" w:before="48" w:afterLines="20" w:after="48"/>
              <w:jc w:val="right"/>
              <w:rPr>
                <w:noProof/>
                <w:sz w:val="16"/>
                <w:szCs w:val="16"/>
              </w:rPr>
            </w:pPr>
          </w:p>
        </w:tc>
        <w:tc>
          <w:tcPr>
            <w:tcW w:w="534" w:type="pct"/>
            <w:shd w:val="clear" w:color="auto" w:fill="auto"/>
            <w:vAlign w:val="center"/>
          </w:tcPr>
          <w:p w:rsidR="000B688B" w:rsidRDefault="000B688B">
            <w:pPr>
              <w:spacing w:beforeLines="20" w:before="48" w:afterLines="20" w:after="48"/>
              <w:jc w:val="right"/>
              <w:rPr>
                <w:noProof/>
                <w:sz w:val="16"/>
                <w:szCs w:val="16"/>
              </w:rPr>
            </w:pPr>
          </w:p>
        </w:tc>
        <w:tc>
          <w:tcPr>
            <w:tcW w:w="533" w:type="pct"/>
            <w:shd w:val="clear" w:color="auto" w:fill="auto"/>
            <w:vAlign w:val="center"/>
          </w:tcPr>
          <w:p w:rsidR="000B688B" w:rsidRDefault="000B688B">
            <w:pPr>
              <w:spacing w:beforeLines="20" w:before="48" w:afterLines="20" w:after="48"/>
              <w:jc w:val="right"/>
              <w:rPr>
                <w:noProof/>
                <w:sz w:val="16"/>
                <w:szCs w:val="16"/>
              </w:rPr>
            </w:pPr>
          </w:p>
        </w:tc>
        <w:tc>
          <w:tcPr>
            <w:tcW w:w="468" w:type="pct"/>
            <w:shd w:val="clear" w:color="auto" w:fill="auto"/>
            <w:vAlign w:val="center"/>
          </w:tcPr>
          <w:p w:rsidR="000B688B" w:rsidRDefault="000B688B">
            <w:pPr>
              <w:spacing w:beforeLines="20" w:before="48" w:afterLines="20" w:after="48"/>
              <w:jc w:val="right"/>
              <w:rPr>
                <w:noProof/>
                <w:sz w:val="16"/>
                <w:szCs w:val="16"/>
              </w:rPr>
            </w:pPr>
          </w:p>
        </w:tc>
        <w:tc>
          <w:tcPr>
            <w:tcW w:w="527" w:type="pct"/>
            <w:shd w:val="clear" w:color="auto" w:fill="auto"/>
            <w:vAlign w:val="center"/>
          </w:tcPr>
          <w:p w:rsidR="000B688B" w:rsidRDefault="000B688B">
            <w:pPr>
              <w:spacing w:beforeLines="20" w:before="48" w:afterLines="20" w:after="48"/>
              <w:jc w:val="right"/>
              <w:rPr>
                <w:noProof/>
                <w:sz w:val="16"/>
                <w:szCs w:val="16"/>
              </w:rPr>
            </w:pPr>
          </w:p>
        </w:tc>
      </w:tr>
      <w:tr w:rsidR="000B688B">
        <w:trPr>
          <w:trHeight w:val="289"/>
        </w:trPr>
        <w:tc>
          <w:tcPr>
            <w:tcW w:w="1472" w:type="pct"/>
            <w:gridSpan w:val="2"/>
          </w:tcPr>
          <w:p w:rsidR="000B688B" w:rsidRDefault="00640F08">
            <w:pPr>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0B688B" w:rsidRDefault="000B688B">
            <w:pPr>
              <w:spacing w:beforeLines="20" w:before="48" w:afterLines="20" w:after="48"/>
              <w:jc w:val="right"/>
              <w:rPr>
                <w:noProof/>
                <w:sz w:val="16"/>
                <w:szCs w:val="16"/>
              </w:rPr>
            </w:pPr>
          </w:p>
        </w:tc>
        <w:tc>
          <w:tcPr>
            <w:tcW w:w="656" w:type="pct"/>
            <w:gridSpan w:val="2"/>
            <w:shd w:val="clear" w:color="auto" w:fill="auto"/>
            <w:vAlign w:val="center"/>
          </w:tcPr>
          <w:p w:rsidR="000B688B" w:rsidRDefault="000B688B">
            <w:pPr>
              <w:spacing w:beforeLines="20" w:before="48" w:afterLines="20" w:after="48"/>
              <w:jc w:val="right"/>
              <w:rPr>
                <w:noProof/>
                <w:sz w:val="16"/>
                <w:szCs w:val="16"/>
              </w:rPr>
            </w:pPr>
          </w:p>
        </w:tc>
        <w:tc>
          <w:tcPr>
            <w:tcW w:w="344" w:type="pct"/>
            <w:shd w:val="clear" w:color="auto" w:fill="auto"/>
            <w:vAlign w:val="center"/>
          </w:tcPr>
          <w:p w:rsidR="000B688B" w:rsidRDefault="000B688B">
            <w:pPr>
              <w:spacing w:beforeLines="20" w:before="48" w:afterLines="20" w:after="48"/>
              <w:jc w:val="right"/>
              <w:rPr>
                <w:noProof/>
                <w:sz w:val="16"/>
                <w:szCs w:val="16"/>
              </w:rPr>
            </w:pPr>
          </w:p>
        </w:tc>
        <w:tc>
          <w:tcPr>
            <w:tcW w:w="534" w:type="pct"/>
            <w:shd w:val="clear" w:color="auto" w:fill="auto"/>
            <w:vAlign w:val="center"/>
          </w:tcPr>
          <w:p w:rsidR="000B688B" w:rsidRDefault="000B688B">
            <w:pPr>
              <w:spacing w:beforeLines="20" w:before="48" w:afterLines="20" w:after="48"/>
              <w:jc w:val="right"/>
              <w:rPr>
                <w:noProof/>
                <w:sz w:val="16"/>
                <w:szCs w:val="16"/>
              </w:rPr>
            </w:pPr>
          </w:p>
        </w:tc>
        <w:tc>
          <w:tcPr>
            <w:tcW w:w="533" w:type="pct"/>
            <w:shd w:val="clear" w:color="auto" w:fill="auto"/>
            <w:vAlign w:val="center"/>
          </w:tcPr>
          <w:p w:rsidR="000B688B" w:rsidRDefault="000B688B">
            <w:pPr>
              <w:spacing w:beforeLines="20" w:before="48" w:afterLines="20" w:after="48"/>
              <w:jc w:val="right"/>
              <w:rPr>
                <w:noProof/>
                <w:sz w:val="16"/>
                <w:szCs w:val="16"/>
              </w:rPr>
            </w:pPr>
          </w:p>
        </w:tc>
        <w:tc>
          <w:tcPr>
            <w:tcW w:w="468" w:type="pct"/>
            <w:shd w:val="clear" w:color="auto" w:fill="auto"/>
            <w:vAlign w:val="center"/>
          </w:tcPr>
          <w:p w:rsidR="000B688B" w:rsidRDefault="000B688B">
            <w:pPr>
              <w:spacing w:beforeLines="20" w:before="48" w:afterLines="20" w:after="48"/>
              <w:jc w:val="right"/>
              <w:rPr>
                <w:noProof/>
                <w:sz w:val="16"/>
                <w:szCs w:val="16"/>
              </w:rPr>
            </w:pPr>
          </w:p>
        </w:tc>
        <w:tc>
          <w:tcPr>
            <w:tcW w:w="527" w:type="pct"/>
            <w:shd w:val="clear" w:color="auto" w:fill="auto"/>
            <w:vAlign w:val="center"/>
          </w:tcPr>
          <w:p w:rsidR="000B688B" w:rsidRDefault="000B688B">
            <w:pPr>
              <w:spacing w:beforeLines="20" w:before="48" w:afterLines="20" w:after="48"/>
              <w:jc w:val="right"/>
              <w:rPr>
                <w:noProof/>
                <w:sz w:val="16"/>
                <w:szCs w:val="16"/>
              </w:rPr>
            </w:pPr>
          </w:p>
        </w:tc>
      </w:tr>
      <w:tr w:rsidR="000B688B">
        <w:trPr>
          <w:trHeight w:val="289"/>
        </w:trPr>
        <w:tc>
          <w:tcPr>
            <w:tcW w:w="1472" w:type="pct"/>
            <w:gridSpan w:val="2"/>
            <w:tcBorders>
              <w:bottom w:val="double" w:sz="4" w:space="0" w:color="auto"/>
            </w:tcBorders>
          </w:tcPr>
          <w:p w:rsidR="000B688B" w:rsidRDefault="00640F08">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656" w:type="pct"/>
            <w:gridSpan w:val="2"/>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344"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534"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533"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468"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c>
          <w:tcPr>
            <w:tcW w:w="527" w:type="pct"/>
            <w:tcBorders>
              <w:bottom w:val="double" w:sz="4" w:space="0" w:color="auto"/>
            </w:tcBorders>
            <w:shd w:val="clear" w:color="auto" w:fill="auto"/>
            <w:vAlign w:val="center"/>
          </w:tcPr>
          <w:p w:rsidR="000B688B" w:rsidRDefault="000B688B">
            <w:pPr>
              <w:spacing w:beforeLines="20" w:before="48" w:afterLines="20" w:after="48"/>
              <w:jc w:val="right"/>
              <w:rPr>
                <w:noProof/>
                <w:sz w:val="16"/>
                <w:szCs w:val="16"/>
              </w:rPr>
            </w:pPr>
          </w:p>
        </w:tc>
      </w:tr>
      <w:tr w:rsidR="000B688B">
        <w:trPr>
          <w:trHeight w:val="289"/>
        </w:trPr>
        <w:tc>
          <w:tcPr>
            <w:tcW w:w="1472" w:type="pct"/>
            <w:gridSpan w:val="2"/>
            <w:tcBorders>
              <w:top w:val="double" w:sz="4" w:space="0" w:color="auto"/>
            </w:tcBorders>
          </w:tcPr>
          <w:p w:rsidR="000B688B" w:rsidRDefault="00640F08">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49</w:t>
            </w:r>
          </w:p>
        </w:tc>
        <w:tc>
          <w:tcPr>
            <w:tcW w:w="656" w:type="pct"/>
            <w:gridSpan w:val="2"/>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56</w:t>
            </w:r>
          </w:p>
        </w:tc>
        <w:tc>
          <w:tcPr>
            <w:tcW w:w="344"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65</w:t>
            </w:r>
          </w:p>
        </w:tc>
        <w:tc>
          <w:tcPr>
            <w:tcW w:w="534"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68</w:t>
            </w:r>
          </w:p>
        </w:tc>
        <w:tc>
          <w:tcPr>
            <w:tcW w:w="533"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74</w:t>
            </w:r>
          </w:p>
        </w:tc>
        <w:tc>
          <w:tcPr>
            <w:tcW w:w="468"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78</w:t>
            </w:r>
          </w:p>
        </w:tc>
        <w:tc>
          <w:tcPr>
            <w:tcW w:w="527" w:type="pct"/>
            <w:tcBorders>
              <w:top w:val="double" w:sz="4" w:space="0" w:color="auto"/>
            </w:tcBorders>
            <w:shd w:val="clear" w:color="auto" w:fill="auto"/>
            <w:vAlign w:val="center"/>
          </w:tcPr>
          <w:p w:rsidR="000B688B" w:rsidRDefault="00640F08">
            <w:pPr>
              <w:jc w:val="right"/>
              <w:rPr>
                <w:b/>
                <w:noProof/>
                <w:color w:val="365F91" w:themeColor="accent1" w:themeShade="BF"/>
              </w:rPr>
            </w:pPr>
            <w:r>
              <w:rPr>
                <w:b/>
                <w:noProof/>
                <w:color w:val="365F91" w:themeColor="accent1" w:themeShade="BF"/>
              </w:rPr>
              <w:t xml:space="preserve">86 </w:t>
            </w:r>
          </w:p>
        </w:tc>
      </w:tr>
    </w:tbl>
    <w:p w:rsidR="000B688B" w:rsidRDefault="00640F08">
      <w:pPr>
        <w:rPr>
          <w:noProof/>
        </w:rPr>
      </w:pPr>
      <w:r>
        <w:rPr>
          <w:noProof/>
        </w:rPr>
        <w:t xml:space="preserve">Нуждите от човешки ресурси ще бъдат покрити от персонала </w:t>
      </w:r>
      <w:r>
        <w:rPr>
          <w:noProof/>
        </w:rPr>
        <w:t>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w:t>
      </w:r>
      <w:r>
        <w:rPr>
          <w:noProof/>
        </w:rPr>
        <w:t xml:space="preserve"> за отпускане на средства и като се имат предвид бюджетните ограничения.  В горната таблицата е дадена оценка за периода на следващата многодишна финансова рамка на необходимите ЕПРВ:</w:t>
      </w:r>
    </w:p>
    <w:p w:rsidR="000B688B" w:rsidRDefault="00640F08">
      <w:pPr>
        <w:rPr>
          <w:noProof/>
        </w:rPr>
      </w:pPr>
      <w:r>
        <w:rPr>
          <w:noProof/>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0B688B">
        <w:tc>
          <w:tcPr>
            <w:tcW w:w="3240" w:type="dxa"/>
          </w:tcPr>
          <w:p w:rsidR="000B688B" w:rsidRDefault="00640F08">
            <w:pPr>
              <w:rPr>
                <w:noProof/>
                <w:sz w:val="20"/>
              </w:rPr>
            </w:pPr>
            <w:r>
              <w:rPr>
                <w:noProof/>
                <w:sz w:val="20"/>
              </w:rPr>
              <w:t xml:space="preserve">Длъжностни лица и </w:t>
            </w:r>
            <w:r>
              <w:rPr>
                <w:noProof/>
                <w:sz w:val="20"/>
              </w:rPr>
              <w:t>срочно наети служители</w:t>
            </w:r>
          </w:p>
        </w:tc>
        <w:tc>
          <w:tcPr>
            <w:tcW w:w="7392" w:type="dxa"/>
          </w:tcPr>
          <w:p w:rsidR="000B688B" w:rsidRDefault="00640F08">
            <w:pPr>
              <w:rPr>
                <w:noProof/>
                <w:color w:val="365F91" w:themeColor="accent1" w:themeShade="BF"/>
                <w:sz w:val="20"/>
                <w:szCs w:val="20"/>
              </w:rPr>
            </w:pPr>
            <w:r>
              <w:rPr>
                <w:noProof/>
                <w:color w:val="0000FF"/>
                <w:sz w:val="20"/>
              </w:rPr>
              <w:t>Задачи по политиката и ръководене на екип за изпълнението на програмата за безвъзмездни средства</w:t>
            </w:r>
          </w:p>
        </w:tc>
      </w:tr>
      <w:tr w:rsidR="000B688B">
        <w:tc>
          <w:tcPr>
            <w:tcW w:w="3240" w:type="dxa"/>
          </w:tcPr>
          <w:p w:rsidR="000B688B" w:rsidRDefault="00640F08">
            <w:pPr>
              <w:spacing w:before="60" w:after="60"/>
              <w:rPr>
                <w:noProof/>
                <w:sz w:val="20"/>
              </w:rPr>
            </w:pPr>
            <w:r>
              <w:rPr>
                <w:noProof/>
                <w:sz w:val="20"/>
              </w:rPr>
              <w:t>Външен персонал</w:t>
            </w:r>
          </w:p>
        </w:tc>
        <w:tc>
          <w:tcPr>
            <w:tcW w:w="7392" w:type="dxa"/>
          </w:tcPr>
          <w:p w:rsidR="000B688B" w:rsidRDefault="00640F08">
            <w:pPr>
              <w:rPr>
                <w:noProof/>
                <w:color w:val="365F91" w:themeColor="accent1" w:themeShade="BF"/>
                <w:sz w:val="20"/>
                <w:szCs w:val="20"/>
              </w:rPr>
            </w:pPr>
            <w:r>
              <w:rPr>
                <w:noProof/>
                <w:color w:val="0000FF"/>
                <w:sz w:val="20"/>
              </w:rPr>
              <w:t>Изпълнение на схемите за безвъзмездни средства</w:t>
            </w:r>
          </w:p>
        </w:tc>
      </w:tr>
    </w:tbl>
    <w:p w:rsidR="000B688B" w:rsidRDefault="000B688B">
      <w:pPr>
        <w:rPr>
          <w:noProof/>
        </w:rPr>
        <w:sectPr w:rsidR="000B688B" w:rsidSect="00640F08">
          <w:pgSz w:w="11907" w:h="16840"/>
          <w:pgMar w:top="1134" w:right="1418" w:bottom="1134" w:left="1418" w:header="709" w:footer="709" w:gutter="0"/>
          <w:cols w:space="708"/>
          <w:docGrid w:linePitch="360"/>
        </w:sectPr>
      </w:pPr>
    </w:p>
    <w:p w:rsidR="000B688B" w:rsidRDefault="00640F08">
      <w:pPr>
        <w:keepNext/>
        <w:outlineLvl w:val="2"/>
        <w:rPr>
          <w:rFonts w:eastAsiaTheme="majorEastAsia"/>
          <w:i/>
          <w:noProof/>
          <w:szCs w:val="24"/>
        </w:rPr>
      </w:pPr>
      <w:r>
        <w:rPr>
          <w:rFonts w:eastAsiaTheme="majorEastAsia"/>
          <w:i/>
          <w:noProof/>
        </w:rPr>
        <w:t xml:space="preserve">Финансов принос от трети страни </w:t>
      </w:r>
    </w:p>
    <w:p w:rsidR="000B688B" w:rsidRDefault="00640F08">
      <w:pPr>
        <w:ind w:left="850"/>
        <w:rPr>
          <w:noProof/>
        </w:rPr>
      </w:pPr>
      <w:r>
        <w:rPr>
          <w:noProof/>
        </w:rPr>
        <w:t>Предложението/ин</w:t>
      </w:r>
      <w:r>
        <w:rPr>
          <w:noProof/>
        </w:rPr>
        <w:t>ициативата:</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ab/>
        <w:t>не предвижда съфинансиране от трети страни</w:t>
      </w:r>
    </w:p>
    <w:p w:rsidR="000B688B" w:rsidRDefault="00640F08">
      <w:pPr>
        <w:tabs>
          <w:tab w:val="num" w:pos="1134"/>
        </w:tabs>
        <w:ind w:left="1134" w:hanging="283"/>
        <w:rPr>
          <w:rFonts w:eastAsia="Times New Roman"/>
          <w:noProof/>
        </w:rPr>
      </w:pPr>
      <w:r>
        <w:rPr>
          <w:noProof/>
        </w:rPr>
        <w:sym w:font="Wingdings" w:char="F0FE"/>
      </w:r>
      <w:r>
        <w:rPr>
          <w:noProof/>
        </w:rPr>
        <w:tab/>
        <w:t>предвижда следното съфинансиране от трети страни, като оценките са дадени по-долу:</w:t>
      </w:r>
    </w:p>
    <w:p w:rsidR="000B688B" w:rsidRDefault="00640F08">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B688B">
        <w:trPr>
          <w:cantSplit/>
          <w:jc w:val="center"/>
        </w:trPr>
        <w:tc>
          <w:tcPr>
            <w:tcW w:w="2340" w:type="dxa"/>
            <w:vAlign w:val="center"/>
          </w:tcPr>
          <w:p w:rsidR="000B688B" w:rsidRDefault="00640F08">
            <w:pPr>
              <w:spacing w:before="60" w:after="60"/>
              <w:jc w:val="center"/>
              <w:rPr>
                <w:b/>
                <w:noProof/>
                <w:sz w:val="20"/>
              </w:rPr>
            </w:pPr>
            <w:r>
              <w:rPr>
                <w:b/>
                <w:noProof/>
                <w:sz w:val="20"/>
              </w:rPr>
              <w:t>Година</w:t>
            </w:r>
          </w:p>
        </w:tc>
        <w:tc>
          <w:tcPr>
            <w:tcW w:w="964" w:type="dxa"/>
            <w:vAlign w:val="center"/>
          </w:tcPr>
          <w:p w:rsidR="000B688B" w:rsidRDefault="00640F08">
            <w:pPr>
              <w:jc w:val="center"/>
              <w:rPr>
                <w:noProof/>
                <w:sz w:val="20"/>
              </w:rPr>
            </w:pPr>
            <w:r>
              <w:rPr>
                <w:b/>
                <w:noProof/>
                <w:sz w:val="20"/>
              </w:rPr>
              <w:t>2021 г.</w:t>
            </w:r>
          </w:p>
        </w:tc>
        <w:tc>
          <w:tcPr>
            <w:tcW w:w="964" w:type="dxa"/>
            <w:vAlign w:val="center"/>
          </w:tcPr>
          <w:p w:rsidR="000B688B" w:rsidRDefault="00640F08">
            <w:pPr>
              <w:jc w:val="center"/>
              <w:rPr>
                <w:b/>
                <w:noProof/>
                <w:sz w:val="20"/>
              </w:rPr>
            </w:pPr>
            <w:r>
              <w:rPr>
                <w:b/>
                <w:noProof/>
                <w:sz w:val="20"/>
              </w:rPr>
              <w:t>2022 г.</w:t>
            </w:r>
          </w:p>
        </w:tc>
        <w:tc>
          <w:tcPr>
            <w:tcW w:w="964" w:type="dxa"/>
            <w:vAlign w:val="center"/>
          </w:tcPr>
          <w:p w:rsidR="000B688B" w:rsidRDefault="00640F08">
            <w:pPr>
              <w:jc w:val="center"/>
              <w:rPr>
                <w:b/>
                <w:noProof/>
                <w:sz w:val="20"/>
              </w:rPr>
            </w:pPr>
            <w:r>
              <w:rPr>
                <w:b/>
                <w:noProof/>
                <w:sz w:val="20"/>
              </w:rPr>
              <w:t>2023 г.</w:t>
            </w:r>
          </w:p>
        </w:tc>
        <w:tc>
          <w:tcPr>
            <w:tcW w:w="964" w:type="dxa"/>
            <w:vAlign w:val="center"/>
          </w:tcPr>
          <w:p w:rsidR="000B688B" w:rsidRDefault="00640F08">
            <w:pPr>
              <w:jc w:val="center"/>
              <w:rPr>
                <w:b/>
                <w:noProof/>
                <w:sz w:val="20"/>
              </w:rPr>
            </w:pPr>
            <w:r>
              <w:rPr>
                <w:b/>
                <w:noProof/>
                <w:sz w:val="20"/>
              </w:rPr>
              <w:t>2024 г.</w:t>
            </w:r>
          </w:p>
        </w:tc>
        <w:tc>
          <w:tcPr>
            <w:tcW w:w="964" w:type="dxa"/>
            <w:vAlign w:val="center"/>
          </w:tcPr>
          <w:p w:rsidR="000B688B" w:rsidRDefault="00640F08">
            <w:pPr>
              <w:jc w:val="center"/>
              <w:rPr>
                <w:b/>
                <w:noProof/>
                <w:sz w:val="20"/>
              </w:rPr>
            </w:pPr>
            <w:r>
              <w:rPr>
                <w:b/>
                <w:noProof/>
                <w:sz w:val="20"/>
              </w:rPr>
              <w:t xml:space="preserve">2025 </w:t>
            </w:r>
            <w:r>
              <w:rPr>
                <w:b/>
                <w:noProof/>
                <w:sz w:val="20"/>
              </w:rPr>
              <w:t>г.</w:t>
            </w:r>
          </w:p>
        </w:tc>
        <w:tc>
          <w:tcPr>
            <w:tcW w:w="964" w:type="dxa"/>
            <w:vAlign w:val="center"/>
          </w:tcPr>
          <w:p w:rsidR="000B688B" w:rsidRDefault="00640F08">
            <w:pPr>
              <w:jc w:val="center"/>
              <w:rPr>
                <w:b/>
                <w:noProof/>
                <w:sz w:val="20"/>
              </w:rPr>
            </w:pPr>
            <w:r>
              <w:rPr>
                <w:b/>
                <w:noProof/>
                <w:sz w:val="20"/>
              </w:rPr>
              <w:t>2026 г.</w:t>
            </w:r>
          </w:p>
        </w:tc>
        <w:tc>
          <w:tcPr>
            <w:tcW w:w="964" w:type="dxa"/>
            <w:vAlign w:val="center"/>
          </w:tcPr>
          <w:p w:rsidR="000B688B" w:rsidRDefault="00640F08">
            <w:pPr>
              <w:jc w:val="center"/>
              <w:rPr>
                <w:b/>
                <w:noProof/>
                <w:sz w:val="20"/>
              </w:rPr>
            </w:pPr>
            <w:r>
              <w:rPr>
                <w:b/>
                <w:noProof/>
                <w:sz w:val="20"/>
              </w:rPr>
              <w:t>2027 г.</w:t>
            </w:r>
          </w:p>
        </w:tc>
        <w:tc>
          <w:tcPr>
            <w:tcW w:w="1158" w:type="dxa"/>
            <w:vAlign w:val="center"/>
          </w:tcPr>
          <w:p w:rsidR="000B688B" w:rsidRDefault="00640F08">
            <w:pPr>
              <w:spacing w:before="60" w:after="60"/>
              <w:jc w:val="center"/>
              <w:rPr>
                <w:b/>
                <w:noProof/>
                <w:sz w:val="20"/>
              </w:rPr>
            </w:pPr>
            <w:r>
              <w:rPr>
                <w:b/>
                <w:noProof/>
                <w:sz w:val="20"/>
              </w:rPr>
              <w:t>ОБЩО</w:t>
            </w:r>
          </w:p>
        </w:tc>
      </w:tr>
      <w:tr w:rsidR="000B688B">
        <w:trPr>
          <w:cantSplit/>
          <w:jc w:val="center"/>
        </w:trPr>
        <w:tc>
          <w:tcPr>
            <w:tcW w:w="2340" w:type="dxa"/>
          </w:tcPr>
          <w:p w:rsidR="000B688B" w:rsidRDefault="00640F08">
            <w:pPr>
              <w:rPr>
                <w:noProof/>
              </w:rPr>
            </w:pPr>
            <w:r>
              <w:rPr>
                <w:noProof/>
                <w:sz w:val="20"/>
              </w:rPr>
              <w:t>Да се посочи съфинансиращият орган</w:t>
            </w:r>
            <w:r>
              <w:rPr>
                <w:i/>
                <w:noProof/>
                <w:sz w:val="20"/>
              </w:rPr>
              <w:t xml:space="preserve"> </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1158" w:type="dxa"/>
          </w:tcPr>
          <w:p w:rsidR="000B688B" w:rsidRDefault="00640F08">
            <w:pPr>
              <w:rPr>
                <w:noProof/>
                <w:color w:val="365F91" w:themeColor="accent1" w:themeShade="BF"/>
              </w:rPr>
            </w:pPr>
            <w:r>
              <w:rPr>
                <w:noProof/>
                <w:color w:val="365F91" w:themeColor="accent1" w:themeShade="BF"/>
              </w:rPr>
              <w:t>p.m.</w:t>
            </w:r>
          </w:p>
        </w:tc>
      </w:tr>
      <w:tr w:rsidR="000B688B">
        <w:trPr>
          <w:cantSplit/>
          <w:jc w:val="center"/>
        </w:trPr>
        <w:tc>
          <w:tcPr>
            <w:tcW w:w="2340" w:type="dxa"/>
          </w:tcPr>
          <w:p w:rsidR="000B688B" w:rsidRDefault="00640F08">
            <w:pPr>
              <w:spacing w:before="60" w:after="60"/>
              <w:jc w:val="left"/>
              <w:rPr>
                <w:noProof/>
                <w:sz w:val="20"/>
              </w:rPr>
            </w:pPr>
            <w:r>
              <w:rPr>
                <w:noProof/>
                <w:sz w:val="20"/>
              </w:rPr>
              <w:t xml:space="preserve">ОБЩО съфинансирани бюджетни кредити </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964" w:type="dxa"/>
          </w:tcPr>
          <w:p w:rsidR="000B688B" w:rsidRDefault="00640F08">
            <w:pPr>
              <w:rPr>
                <w:noProof/>
                <w:color w:val="365F91" w:themeColor="accent1" w:themeShade="BF"/>
              </w:rPr>
            </w:pPr>
            <w:r>
              <w:rPr>
                <w:noProof/>
                <w:color w:val="365F91" w:themeColor="accent1" w:themeShade="BF"/>
              </w:rPr>
              <w:t>p.m</w:t>
            </w:r>
          </w:p>
        </w:tc>
        <w:tc>
          <w:tcPr>
            <w:tcW w:w="1158" w:type="dxa"/>
          </w:tcPr>
          <w:p w:rsidR="000B688B" w:rsidRDefault="00640F08">
            <w:pPr>
              <w:rPr>
                <w:noProof/>
                <w:color w:val="365F91" w:themeColor="accent1" w:themeShade="BF"/>
              </w:rPr>
            </w:pPr>
            <w:r>
              <w:rPr>
                <w:noProof/>
                <w:color w:val="365F91" w:themeColor="accent1" w:themeShade="BF"/>
              </w:rPr>
              <w:t>p.m.</w:t>
            </w:r>
          </w:p>
        </w:tc>
      </w:tr>
    </w:tbl>
    <w:p w:rsidR="000B688B" w:rsidRDefault="000B688B">
      <w:pPr>
        <w:rPr>
          <w:noProof/>
          <w:color w:val="0000FF"/>
          <w:sz w:val="22"/>
        </w:rPr>
      </w:pPr>
    </w:p>
    <w:p w:rsidR="000B688B" w:rsidRDefault="00640F08">
      <w:pPr>
        <w:keepNext/>
        <w:outlineLvl w:val="1"/>
        <w:rPr>
          <w:rFonts w:eastAsiaTheme="majorEastAsia"/>
          <w:b/>
          <w:noProof/>
          <w:szCs w:val="24"/>
        </w:rPr>
      </w:pPr>
      <w:r>
        <w:rPr>
          <w:rFonts w:eastAsiaTheme="majorEastAsia"/>
          <w:b/>
          <w:noProof/>
        </w:rPr>
        <w:t xml:space="preserve">Очаквано отражение върху приходите </w:t>
      </w:r>
    </w:p>
    <w:p w:rsidR="000B688B" w:rsidRDefault="00640F08">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няма финансово </w:t>
      </w:r>
      <w:r>
        <w:rPr>
          <w:noProof/>
        </w:rPr>
        <w:t>отражение върху приходите.</w:t>
      </w:r>
    </w:p>
    <w:p w:rsidR="000B688B" w:rsidRDefault="00640F08">
      <w:pPr>
        <w:tabs>
          <w:tab w:val="num" w:pos="1134"/>
        </w:tabs>
        <w:ind w:left="1134" w:hanging="283"/>
        <w:rPr>
          <w:rFonts w:eastAsia="Times New Roman"/>
          <w:noProof/>
        </w:rPr>
      </w:pPr>
      <w:r>
        <w:rPr>
          <w:noProof/>
        </w:rPr>
        <w:sym w:font="Wingdings" w:char="F0FE"/>
      </w:r>
      <w:r>
        <w:rPr>
          <w:noProof/>
        </w:rPr>
        <w:tab/>
        <w:t>Предложението/инициативата има следното финансово отражение:</w:t>
      </w:r>
    </w:p>
    <w:p w:rsidR="000B688B" w:rsidRDefault="00640F08">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rsidR="000B688B" w:rsidRDefault="00640F08">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върху разните приходи</w:t>
      </w:r>
    </w:p>
    <w:p w:rsidR="000B688B" w:rsidRDefault="00640F08">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rsidR="000B688B" w:rsidRDefault="00640F08">
      <w:pPr>
        <w:jc w:val="right"/>
        <w:rPr>
          <w:i/>
          <w:noProof/>
          <w:sz w:val="20"/>
        </w:rPr>
      </w:pPr>
      <w:r>
        <w:rPr>
          <w:noProof/>
        </w:rPr>
        <w:t xml:space="preserve">млн. евро (до 3-тия знак след </w:t>
      </w:r>
      <w:r>
        <w:rPr>
          <w:noProof/>
        </w:rPr>
        <w:t>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0B688B">
        <w:trPr>
          <w:trHeight w:val="388"/>
          <w:jc w:val="center"/>
        </w:trPr>
        <w:tc>
          <w:tcPr>
            <w:tcW w:w="2144" w:type="dxa"/>
            <w:vMerge w:val="restart"/>
            <w:vAlign w:val="center"/>
          </w:tcPr>
          <w:p w:rsidR="000B688B" w:rsidRDefault="00640F08">
            <w:pPr>
              <w:spacing w:before="40" w:after="40"/>
              <w:rPr>
                <w:noProof/>
                <w:sz w:val="18"/>
              </w:rPr>
            </w:pPr>
            <w:r>
              <w:rPr>
                <w:noProof/>
                <w:sz w:val="18"/>
              </w:rPr>
              <w:t>Приходен бюджетен ред:</w:t>
            </w:r>
          </w:p>
        </w:tc>
        <w:tc>
          <w:tcPr>
            <w:tcW w:w="7200" w:type="dxa"/>
            <w:gridSpan w:val="7"/>
            <w:vAlign w:val="center"/>
          </w:tcPr>
          <w:p w:rsidR="000B688B" w:rsidRDefault="00640F08">
            <w:pPr>
              <w:jc w:val="center"/>
              <w:rPr>
                <w:noProof/>
                <w:sz w:val="18"/>
              </w:rPr>
            </w:pPr>
            <w:r>
              <w:rPr>
                <w:noProof/>
                <w:sz w:val="18"/>
              </w:rPr>
              <w:t>Отражение на предложението/инициативата</w:t>
            </w:r>
            <w:r>
              <w:rPr>
                <w:rStyle w:val="FootnoteReference"/>
                <w:noProof/>
              </w:rPr>
              <w:footnoteReference w:id="34"/>
            </w:r>
          </w:p>
        </w:tc>
      </w:tr>
      <w:tr w:rsidR="000B688B">
        <w:trPr>
          <w:trHeight w:val="388"/>
          <w:jc w:val="center"/>
        </w:trPr>
        <w:tc>
          <w:tcPr>
            <w:tcW w:w="2144" w:type="dxa"/>
            <w:vMerge/>
          </w:tcPr>
          <w:p w:rsidR="000B688B" w:rsidRDefault="000B688B">
            <w:pPr>
              <w:spacing w:before="40" w:after="40"/>
              <w:rPr>
                <w:noProof/>
                <w:sz w:val="18"/>
              </w:rPr>
            </w:pPr>
          </w:p>
        </w:tc>
        <w:tc>
          <w:tcPr>
            <w:tcW w:w="1080" w:type="dxa"/>
            <w:vAlign w:val="center"/>
          </w:tcPr>
          <w:p w:rsidR="000B688B" w:rsidRDefault="00640F08">
            <w:pPr>
              <w:jc w:val="center"/>
              <w:rPr>
                <w:noProof/>
                <w:sz w:val="18"/>
              </w:rPr>
            </w:pPr>
            <w:r>
              <w:rPr>
                <w:b/>
                <w:noProof/>
                <w:sz w:val="20"/>
              </w:rPr>
              <w:t>2021 г.</w:t>
            </w:r>
          </w:p>
        </w:tc>
        <w:tc>
          <w:tcPr>
            <w:tcW w:w="900" w:type="dxa"/>
            <w:vAlign w:val="center"/>
          </w:tcPr>
          <w:p w:rsidR="000B688B" w:rsidRDefault="00640F08">
            <w:pPr>
              <w:jc w:val="center"/>
              <w:rPr>
                <w:b/>
                <w:noProof/>
                <w:sz w:val="20"/>
              </w:rPr>
            </w:pPr>
            <w:r>
              <w:rPr>
                <w:b/>
                <w:noProof/>
                <w:sz w:val="20"/>
              </w:rPr>
              <w:t>2022 г.</w:t>
            </w:r>
          </w:p>
        </w:tc>
        <w:tc>
          <w:tcPr>
            <w:tcW w:w="900" w:type="dxa"/>
            <w:vAlign w:val="center"/>
          </w:tcPr>
          <w:p w:rsidR="000B688B" w:rsidRDefault="00640F08">
            <w:pPr>
              <w:jc w:val="center"/>
              <w:rPr>
                <w:b/>
                <w:noProof/>
                <w:sz w:val="20"/>
              </w:rPr>
            </w:pPr>
            <w:r>
              <w:rPr>
                <w:b/>
                <w:noProof/>
                <w:sz w:val="20"/>
              </w:rPr>
              <w:t>2023 г.</w:t>
            </w:r>
          </w:p>
        </w:tc>
        <w:tc>
          <w:tcPr>
            <w:tcW w:w="1080" w:type="dxa"/>
            <w:vAlign w:val="center"/>
          </w:tcPr>
          <w:p w:rsidR="000B688B" w:rsidRDefault="00640F08">
            <w:pPr>
              <w:jc w:val="center"/>
              <w:rPr>
                <w:b/>
                <w:noProof/>
                <w:sz w:val="20"/>
              </w:rPr>
            </w:pPr>
            <w:r>
              <w:rPr>
                <w:b/>
                <w:noProof/>
                <w:sz w:val="20"/>
              </w:rPr>
              <w:t>2024 г.</w:t>
            </w:r>
          </w:p>
        </w:tc>
        <w:tc>
          <w:tcPr>
            <w:tcW w:w="1080" w:type="dxa"/>
            <w:vAlign w:val="center"/>
          </w:tcPr>
          <w:p w:rsidR="000B688B" w:rsidRDefault="00640F08">
            <w:pPr>
              <w:jc w:val="center"/>
              <w:rPr>
                <w:b/>
                <w:noProof/>
                <w:sz w:val="20"/>
              </w:rPr>
            </w:pPr>
            <w:r>
              <w:rPr>
                <w:b/>
                <w:noProof/>
                <w:sz w:val="20"/>
              </w:rPr>
              <w:t>2025 г.</w:t>
            </w:r>
          </w:p>
        </w:tc>
        <w:tc>
          <w:tcPr>
            <w:tcW w:w="1080" w:type="dxa"/>
            <w:vAlign w:val="center"/>
          </w:tcPr>
          <w:p w:rsidR="000B688B" w:rsidRDefault="00640F08">
            <w:pPr>
              <w:jc w:val="center"/>
              <w:rPr>
                <w:b/>
                <w:noProof/>
                <w:sz w:val="20"/>
              </w:rPr>
            </w:pPr>
            <w:r>
              <w:rPr>
                <w:b/>
                <w:noProof/>
                <w:sz w:val="20"/>
              </w:rPr>
              <w:t>2026 г.</w:t>
            </w:r>
          </w:p>
        </w:tc>
        <w:tc>
          <w:tcPr>
            <w:tcW w:w="1080" w:type="dxa"/>
            <w:vAlign w:val="center"/>
          </w:tcPr>
          <w:p w:rsidR="000B688B" w:rsidRDefault="00640F08">
            <w:pPr>
              <w:jc w:val="center"/>
              <w:rPr>
                <w:b/>
                <w:noProof/>
                <w:sz w:val="20"/>
              </w:rPr>
            </w:pPr>
            <w:r>
              <w:rPr>
                <w:b/>
                <w:noProof/>
                <w:sz w:val="20"/>
              </w:rPr>
              <w:t>2027 г.</w:t>
            </w:r>
          </w:p>
        </w:tc>
      </w:tr>
      <w:tr w:rsidR="000B688B">
        <w:trPr>
          <w:trHeight w:val="388"/>
          <w:jc w:val="center"/>
        </w:trPr>
        <w:tc>
          <w:tcPr>
            <w:tcW w:w="2144" w:type="dxa"/>
            <w:vAlign w:val="center"/>
          </w:tcPr>
          <w:p w:rsidR="000B688B" w:rsidRDefault="00640F08">
            <w:pPr>
              <w:spacing w:before="40" w:after="40"/>
              <w:rPr>
                <w:noProof/>
                <w:sz w:val="18"/>
              </w:rPr>
            </w:pPr>
            <w:r>
              <w:rPr>
                <w:noProof/>
                <w:sz w:val="18"/>
              </w:rPr>
              <w:t>Статия …………</w:t>
            </w:r>
          </w:p>
        </w:tc>
        <w:tc>
          <w:tcPr>
            <w:tcW w:w="1080" w:type="dxa"/>
          </w:tcPr>
          <w:p w:rsidR="000B688B" w:rsidRDefault="00640F08">
            <w:pPr>
              <w:rPr>
                <w:noProof/>
                <w:color w:val="365F91" w:themeColor="accent1" w:themeShade="BF"/>
                <w:sz w:val="22"/>
              </w:rPr>
            </w:pPr>
            <w:r>
              <w:rPr>
                <w:noProof/>
                <w:color w:val="365F91" w:themeColor="accent1" w:themeShade="BF"/>
                <w:sz w:val="22"/>
              </w:rPr>
              <w:t>p.m.</w:t>
            </w:r>
          </w:p>
        </w:tc>
        <w:tc>
          <w:tcPr>
            <w:tcW w:w="900" w:type="dxa"/>
          </w:tcPr>
          <w:p w:rsidR="000B688B" w:rsidRDefault="00640F08">
            <w:pPr>
              <w:rPr>
                <w:noProof/>
                <w:color w:val="365F91" w:themeColor="accent1" w:themeShade="BF"/>
                <w:sz w:val="22"/>
              </w:rPr>
            </w:pPr>
            <w:r>
              <w:rPr>
                <w:noProof/>
                <w:color w:val="365F91" w:themeColor="accent1" w:themeShade="BF"/>
                <w:sz w:val="22"/>
              </w:rPr>
              <w:t>p.m.</w:t>
            </w:r>
          </w:p>
        </w:tc>
        <w:tc>
          <w:tcPr>
            <w:tcW w:w="900" w:type="dxa"/>
          </w:tcPr>
          <w:p w:rsidR="000B688B" w:rsidRDefault="00640F08">
            <w:pPr>
              <w:rPr>
                <w:noProof/>
                <w:color w:val="365F91" w:themeColor="accent1" w:themeShade="BF"/>
                <w:sz w:val="22"/>
              </w:rPr>
            </w:pPr>
            <w:r>
              <w:rPr>
                <w:noProof/>
                <w:color w:val="365F91" w:themeColor="accent1" w:themeShade="BF"/>
                <w:sz w:val="22"/>
              </w:rPr>
              <w:t>p.m</w:t>
            </w:r>
          </w:p>
        </w:tc>
        <w:tc>
          <w:tcPr>
            <w:tcW w:w="1080" w:type="dxa"/>
          </w:tcPr>
          <w:p w:rsidR="000B688B" w:rsidRDefault="00640F08">
            <w:pPr>
              <w:rPr>
                <w:noProof/>
                <w:color w:val="365F91" w:themeColor="accent1" w:themeShade="BF"/>
                <w:sz w:val="22"/>
              </w:rPr>
            </w:pPr>
            <w:r>
              <w:rPr>
                <w:noProof/>
                <w:color w:val="365F91" w:themeColor="accent1" w:themeShade="BF"/>
                <w:sz w:val="22"/>
              </w:rPr>
              <w:t>p.m</w:t>
            </w:r>
          </w:p>
        </w:tc>
        <w:tc>
          <w:tcPr>
            <w:tcW w:w="1080" w:type="dxa"/>
          </w:tcPr>
          <w:p w:rsidR="000B688B" w:rsidRDefault="00640F08">
            <w:pPr>
              <w:rPr>
                <w:noProof/>
                <w:color w:val="365F91" w:themeColor="accent1" w:themeShade="BF"/>
                <w:sz w:val="22"/>
              </w:rPr>
            </w:pPr>
            <w:r>
              <w:rPr>
                <w:noProof/>
                <w:color w:val="365F91" w:themeColor="accent1" w:themeShade="BF"/>
                <w:sz w:val="22"/>
              </w:rPr>
              <w:t>p.m</w:t>
            </w:r>
          </w:p>
        </w:tc>
        <w:tc>
          <w:tcPr>
            <w:tcW w:w="1080" w:type="dxa"/>
          </w:tcPr>
          <w:p w:rsidR="000B688B" w:rsidRDefault="00640F08">
            <w:pPr>
              <w:rPr>
                <w:noProof/>
                <w:color w:val="365F91" w:themeColor="accent1" w:themeShade="BF"/>
                <w:sz w:val="22"/>
              </w:rPr>
            </w:pPr>
            <w:r>
              <w:rPr>
                <w:noProof/>
                <w:color w:val="365F91" w:themeColor="accent1" w:themeShade="BF"/>
                <w:sz w:val="22"/>
              </w:rPr>
              <w:t>p.m</w:t>
            </w:r>
          </w:p>
        </w:tc>
        <w:tc>
          <w:tcPr>
            <w:tcW w:w="1080" w:type="dxa"/>
          </w:tcPr>
          <w:p w:rsidR="000B688B" w:rsidRDefault="00640F08">
            <w:pPr>
              <w:rPr>
                <w:noProof/>
                <w:color w:val="365F91" w:themeColor="accent1" w:themeShade="BF"/>
                <w:sz w:val="22"/>
              </w:rPr>
            </w:pPr>
            <w:r>
              <w:rPr>
                <w:noProof/>
                <w:color w:val="365F91" w:themeColor="accent1" w:themeShade="BF"/>
                <w:sz w:val="22"/>
              </w:rPr>
              <w:t>p.m</w:t>
            </w:r>
          </w:p>
        </w:tc>
      </w:tr>
    </w:tbl>
    <w:p w:rsidR="000B688B" w:rsidRDefault="00640F08">
      <w:pPr>
        <w:ind w:left="850"/>
        <w:rPr>
          <w:noProof/>
          <w:sz w:val="20"/>
        </w:rPr>
      </w:pPr>
      <w:r>
        <w:rPr>
          <w:noProof/>
          <w:sz w:val="20"/>
        </w:rPr>
        <w:t xml:space="preserve">За целевите приходи да се посочат съответните разходни бюджетни </w:t>
      </w:r>
      <w:r>
        <w:rPr>
          <w:noProof/>
          <w:sz w:val="20"/>
        </w:rPr>
        <w:t>редове.</w:t>
      </w:r>
    </w:p>
    <w:p w:rsidR="000B688B" w:rsidRDefault="00640F08">
      <w:pPr>
        <w:ind w:left="850"/>
        <w:rPr>
          <w:noProof/>
        </w:rPr>
      </w:pPr>
      <w:r>
        <w:rPr>
          <w:noProof/>
        </w:rPr>
        <w:t>-</w:t>
      </w:r>
    </w:p>
    <w:p w:rsidR="000B688B" w:rsidRDefault="00640F08">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0B688B" w:rsidRDefault="00640F08">
      <w:pPr>
        <w:ind w:left="850"/>
        <w:rPr>
          <w:b/>
          <w:noProof/>
          <w:sz w:val="20"/>
        </w:rPr>
      </w:pPr>
      <w:r>
        <w:rPr>
          <w:noProof/>
        </w:rPr>
        <w:t>-</w:t>
      </w:r>
    </w:p>
    <w:p w:rsidR="000B688B" w:rsidRDefault="000B688B">
      <w:pPr>
        <w:rPr>
          <w:noProof/>
        </w:rPr>
      </w:pPr>
    </w:p>
    <w:sectPr w:rsidR="000B688B" w:rsidSect="00640F08">
      <w:headerReference w:type="default" r:id="rId37"/>
      <w:footerReference w:type="default" r:id="rId38"/>
      <w:headerReference w:type="first" r:id="rId39"/>
      <w:footerReference w:type="first" r:id="rId40"/>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8B" w:rsidRDefault="00640F08">
      <w:pPr>
        <w:spacing w:before="0" w:after="0"/>
      </w:pPr>
      <w:r>
        <w:separator/>
      </w:r>
    </w:p>
    <w:p w:rsidR="000B688B" w:rsidRDefault="000B688B"/>
  </w:endnote>
  <w:endnote w:type="continuationSeparator" w:id="0">
    <w:p w:rsidR="000B688B" w:rsidRDefault="00640F08">
      <w:pPr>
        <w:spacing w:before="0" w:after="0"/>
      </w:pPr>
      <w:r>
        <w:continuationSeparator/>
      </w:r>
    </w:p>
    <w:p w:rsidR="000B688B" w:rsidRDefault="000B688B"/>
  </w:endnote>
  <w:endnote w:type="continuationNotice" w:id="1">
    <w:p w:rsidR="000B688B" w:rsidRDefault="000B688B">
      <w:pPr>
        <w:spacing w:before="0" w:after="0"/>
      </w:pPr>
    </w:p>
    <w:p w:rsidR="000B688B" w:rsidRDefault="000B6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EU Alberti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Landscape"/>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640F08">
      <w:tab/>
    </w:r>
    <w:r w:rsidRPr="00640F08">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Pr="00640F08" w:rsidRDefault="00640F08" w:rsidP="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640F08">
      <w:tab/>
    </w:r>
    <w:r w:rsidRPr="00640F08">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640F08">
      <w:tab/>
    </w:r>
    <w:r w:rsidRPr="00640F08">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Pr="00640F08" w:rsidRDefault="00640F08" w:rsidP="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rsidRPr="00640F08">
      <w:rPr>
        <w:rFonts w:ascii="Arial" w:hAnsi="Arial" w:cs="Arial"/>
        <w:b/>
        <w:sz w:val="48"/>
      </w:rPr>
      <w:tab/>
    </w:r>
    <w:r w:rsidRPr="00640F08">
      <w:tab/>
    </w:r>
    <w:proofErr w:type="spellStart"/>
    <w:r w:rsidRPr="00640F0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40F08">
      <w:tab/>
    </w:r>
    <w:r w:rsidRPr="00640F0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Pr="00640F08" w:rsidRDefault="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40F08">
      <w:tab/>
    </w:r>
    <w:r w:rsidRPr="00640F08">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Pr="00640F08" w:rsidRDefault="00640F08" w:rsidP="00640F08">
    <w:pPr>
      <w:pStyle w:val="Footer"/>
      <w:rPr>
        <w:rFonts w:ascii="Arial" w:hAnsi="Arial" w:cs="Arial"/>
        <w:b/>
        <w:sz w:val="48"/>
      </w:rPr>
    </w:pPr>
    <w:r w:rsidRPr="00640F08">
      <w:rPr>
        <w:rFonts w:ascii="Arial" w:hAnsi="Arial" w:cs="Arial"/>
        <w:b/>
        <w:sz w:val="48"/>
      </w:rPr>
      <w:t>BG</w:t>
    </w:r>
    <w:r w:rsidRPr="00640F08">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640F08">
      <w:tab/>
    </w:r>
    <w:r w:rsidRPr="00640F08">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8B" w:rsidRDefault="00640F08">
      <w:pPr>
        <w:spacing w:before="0" w:after="0"/>
      </w:pPr>
      <w:r>
        <w:separator/>
      </w:r>
    </w:p>
    <w:p w:rsidR="000B688B" w:rsidRDefault="000B688B"/>
  </w:footnote>
  <w:footnote w:type="continuationSeparator" w:id="0">
    <w:p w:rsidR="000B688B" w:rsidRDefault="00640F08">
      <w:pPr>
        <w:spacing w:before="0" w:after="0"/>
      </w:pPr>
      <w:r>
        <w:continuationSeparator/>
      </w:r>
    </w:p>
    <w:p w:rsidR="000B688B" w:rsidRDefault="000B688B"/>
  </w:footnote>
  <w:footnote w:type="continuationNotice" w:id="1">
    <w:p w:rsidR="000B688B" w:rsidRDefault="000B688B">
      <w:pPr>
        <w:spacing w:before="0" w:after="0"/>
      </w:pPr>
    </w:p>
    <w:p w:rsidR="000B688B" w:rsidRDefault="000B688B"/>
  </w:footnote>
  <w:footnote w:id="2">
    <w:p w:rsidR="000B688B" w:rsidRDefault="00640F08">
      <w:pPr>
        <w:pStyle w:val="FootnoteText"/>
      </w:pPr>
      <w:r>
        <w:rPr>
          <w:rStyle w:val="FootnoteReference"/>
        </w:rPr>
        <w:footnoteRef/>
      </w:r>
      <w:r>
        <w:tab/>
        <w:t xml:space="preserve">COM (2017) 295 </w:t>
      </w:r>
      <w:proofErr w:type="spellStart"/>
      <w:r>
        <w:t>final</w:t>
      </w:r>
      <w:proofErr w:type="spellEnd"/>
      <w:r>
        <w:t xml:space="preserve"> от 7.6.2017 г.</w:t>
      </w:r>
    </w:p>
  </w:footnote>
  <w:footnote w:id="3">
    <w:p w:rsidR="000B688B" w:rsidRDefault="00640F08">
      <w:pPr>
        <w:pStyle w:val="FootnoteText"/>
      </w:pPr>
      <w:r>
        <w:rPr>
          <w:rStyle w:val="FootnoteReference"/>
        </w:rPr>
        <w:footnoteRef/>
      </w:r>
      <w:r>
        <w:tab/>
      </w:r>
      <w:r>
        <w:t xml:space="preserve">JOIN (2017) 0450 </w:t>
      </w:r>
      <w:proofErr w:type="spellStart"/>
      <w:r>
        <w:t>final</w:t>
      </w:r>
      <w:proofErr w:type="spellEnd"/>
      <w:r>
        <w:t xml:space="preserve"> от 13.9.2017 г.</w:t>
      </w:r>
    </w:p>
  </w:footnote>
  <w:footnote w:id="4">
    <w:p w:rsidR="000B688B" w:rsidRDefault="00640F08">
      <w:pPr>
        <w:pStyle w:val="FootnoteText"/>
      </w:pPr>
      <w:r>
        <w:rPr>
          <w:rStyle w:val="FootnoteReference"/>
        </w:rPr>
        <w:footnoteRef/>
      </w:r>
      <w:r>
        <w:tab/>
      </w:r>
      <w:r>
        <w:t>https://www.iss.europa.eu/sites/default/files/EUISSFiles/GoP_report.pdf</w:t>
      </w:r>
    </w:p>
  </w:footnote>
  <w:footnote w:id="5">
    <w:p w:rsidR="000B688B" w:rsidRDefault="00640F08">
      <w:pPr>
        <w:pStyle w:val="FootnoteText"/>
      </w:pPr>
      <w:r>
        <w:rPr>
          <w:rStyle w:val="FootnoteReference"/>
        </w:rPr>
        <w:footnoteRef/>
      </w:r>
      <w:r>
        <w:tab/>
      </w:r>
      <w:r>
        <w:t>https://www.iss.europa.eu/sites/default/files/EUISSFiles/GoP_report.pdf</w:t>
      </w:r>
    </w:p>
  </w:footnote>
  <w:footnote w:id="6">
    <w:p w:rsidR="000B688B" w:rsidRDefault="00640F08">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w:t>
      </w:r>
      <w:r>
        <w:t>исия за по-добро законотворчество от 13 април 2016 г. ОВ L 123, 12.5.2016 г., стр. 1—14.</w:t>
      </w:r>
    </w:p>
  </w:footnote>
  <w:footnote w:id="7">
    <w:p w:rsidR="000B688B" w:rsidRDefault="00640F08">
      <w:pPr>
        <w:pStyle w:val="FootnoteText"/>
      </w:pPr>
      <w:r>
        <w:rPr>
          <w:rStyle w:val="FootnoteReference"/>
        </w:rPr>
        <w:footnoteRef/>
      </w:r>
      <w:r>
        <w:tab/>
      </w:r>
      <w:r>
        <w:t>Директива 2009/43/ЕО на Европейския парламент и на Съвета за опростяване на реда и условията за трансфер на продукти, свързани с отбраната, вътре в Общността (ОВ L 1</w:t>
      </w:r>
      <w:r>
        <w:t>46, 10.6.2009 г., стр. 1); Директива 2009/81/ЕО на Европейския парламент и на Съвета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w:t>
      </w:r>
      <w:r>
        <w:t xml:space="preserve">остта (ОВ L 216, 20.8.2009 г., стр. 76).  </w:t>
      </w:r>
    </w:p>
  </w:footnote>
  <w:footnote w:id="8">
    <w:p w:rsidR="000B688B" w:rsidRDefault="00640F08">
      <w:pPr>
        <w:pStyle w:val="FootnoteText"/>
        <w:rPr>
          <w:strike/>
        </w:rPr>
      </w:pPr>
      <w:r>
        <w:rPr>
          <w:rStyle w:val="FootnoteReference"/>
        </w:rPr>
        <w:footnoteRef/>
      </w:r>
      <w:r>
        <w:tab/>
      </w:r>
      <w:r>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9">
    <w:p w:rsidR="000B688B" w:rsidRDefault="00640F08">
      <w:pPr>
        <w:pStyle w:val="FootnoteText"/>
      </w:pPr>
      <w:r>
        <w:rPr>
          <w:rStyle w:val="FootnoteReference"/>
        </w:rPr>
        <w:footnoteRef/>
      </w:r>
      <w:r>
        <w:tab/>
      </w:r>
      <w:r>
        <w:t>Регламент (ЕС</w:t>
      </w:r>
      <w:r>
        <w:t xml:space="preserve">)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r>
        <w:t>(ОВ L 55, 28.2.2011 г., стр. 13).</w:t>
      </w:r>
    </w:p>
  </w:footnote>
  <w:footnote w:id="10">
    <w:p w:rsidR="000B688B" w:rsidRDefault="00640F08">
      <w:pPr>
        <w:pStyle w:val="FootnoteText"/>
      </w:pPr>
      <w:r>
        <w:rPr>
          <w:rStyle w:val="FootnoteReference"/>
        </w:rPr>
        <w:footnoteRef/>
      </w:r>
      <w:r>
        <w:tab/>
      </w:r>
      <w:r>
        <w:rPr>
          <w:i/>
        </w:rPr>
        <w:t>Препратката трябва да се актуализира:</w:t>
      </w:r>
      <w:r>
        <w:t xml:space="preserve"> ОВ C 373, 20.12.2013 г., стр. 1. </w:t>
      </w:r>
      <w:r>
        <w:rPr>
          <w:i/>
        </w:rPr>
        <w:t xml:space="preserve">Споразумението e достъпно на следния адрес: </w:t>
      </w:r>
      <w:hyperlink r:id="rId1">
        <w:r>
          <w:rPr>
            <w:rStyle w:val="Hyperlink"/>
            <w:i/>
            <w:sz w:val="18"/>
          </w:rPr>
          <w:t>http://eur-lex.europa.eu/legal-content/EN/TXT/?uri=uriserv:OJ.C_.2013.373.01.0001.01.ENG&amp;toc=OJ:C:2013:373:TOC</w:t>
        </w:r>
      </w:hyperlink>
    </w:p>
  </w:footnote>
  <w:footnote w:id="11">
    <w:p w:rsidR="000B688B" w:rsidRDefault="00640F08">
      <w:pPr>
        <w:pStyle w:val="FootnoteText"/>
      </w:pPr>
      <w:r>
        <w:rPr>
          <w:rStyle w:val="FootnoteReference"/>
        </w:rPr>
        <w:footnoteRef/>
      </w:r>
      <w:r>
        <w:tab/>
      </w:r>
      <w:r>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w:t>
      </w:r>
      <w:r>
        <w:t>,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(OB L 248, 18.9.2013 г., стр. 1).</w:t>
      </w:r>
    </w:p>
  </w:footnote>
  <w:footnote w:id="12">
    <w:p w:rsidR="000B688B" w:rsidRDefault="00640F08">
      <w:pPr>
        <w:pStyle w:val="FootnoteText"/>
      </w:pPr>
      <w:r>
        <w:rPr>
          <w:rStyle w:val="FootnoteReference"/>
        </w:rPr>
        <w:footnoteRef/>
      </w:r>
      <w:r>
        <w:tab/>
      </w:r>
      <w:r>
        <w:t xml:space="preserve">Регламент (ЕО, </w:t>
      </w:r>
      <w:proofErr w:type="spellStart"/>
      <w:r>
        <w:t>Евратом</w:t>
      </w:r>
      <w:proofErr w:type="spellEnd"/>
      <w:r>
        <w:t>) № 2988/95</w:t>
      </w:r>
      <w:r>
        <w:t xml:space="preserve"> на Съвета от 18 декември 1995 г. относно защитата на финансовите интереси на Европейските общности (OB L 312, 23.12.1995 г., стр. 1).</w:t>
      </w:r>
    </w:p>
  </w:footnote>
  <w:footnote w:id="13">
    <w:p w:rsidR="000B688B" w:rsidRDefault="00640F08">
      <w:pPr>
        <w:pStyle w:val="FootnoteText"/>
      </w:pPr>
      <w:r>
        <w:rPr>
          <w:rStyle w:val="FootnoteReference"/>
        </w:rPr>
        <w:footnoteRef/>
      </w:r>
      <w:r>
        <w:tab/>
      </w:r>
      <w:r>
        <w:t>Регламент (</w:t>
      </w:r>
      <w:proofErr w:type="spellStart"/>
      <w:r>
        <w:t>Евратом</w:t>
      </w:r>
      <w:proofErr w:type="spellEnd"/>
      <w:r>
        <w:t>, ЕО) № 2185/96 на Съвета от 11 ноември 1996 г. относно контрола и проверките на място, извършвани от</w:t>
      </w:r>
      <w:r>
        <w:t xml:space="preserve"> Комисията за защита на финансовите интереси на Европейските общности срещу измами и други нередности (OB L 292, 15.11.1996 г., стр. 2).</w:t>
      </w:r>
    </w:p>
  </w:footnote>
  <w:footnote w:id="14">
    <w:p w:rsidR="000B688B" w:rsidRDefault="00640F08">
      <w:pPr>
        <w:pStyle w:val="FootnoteText"/>
      </w:pPr>
      <w:r>
        <w:rPr>
          <w:rStyle w:val="FootnoteReference"/>
        </w:rPr>
        <w:footnoteRef/>
      </w:r>
      <w:r>
        <w:tab/>
      </w:r>
      <w:r>
        <w:t xml:space="preserve">Регламент (ЕС) 2017/1939 на Съвета от 12 октомври 2017 г. за установяване на засилено сътрудничество за създаване на </w:t>
      </w:r>
      <w:r>
        <w:t xml:space="preserve">Европейска прокуратура (OВ L 283, 31.10.2017 г., </w:t>
      </w:r>
      <w:proofErr w:type="spellStart"/>
      <w:r>
        <w:t>стp</w:t>
      </w:r>
      <w:proofErr w:type="spellEnd"/>
      <w:r>
        <w:t>. 1).</w:t>
      </w:r>
    </w:p>
  </w:footnote>
  <w:footnote w:id="15">
    <w:p w:rsidR="000B688B" w:rsidRDefault="00640F08">
      <w:pPr>
        <w:pStyle w:val="FootnoteText"/>
      </w:pPr>
      <w:r>
        <w:rPr>
          <w:rStyle w:val="FootnoteReference"/>
        </w:rPr>
        <w:footnoteRef/>
      </w:r>
      <w:r>
        <w:tab/>
      </w:r>
      <w:r>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w:t>
      </w:r>
      <w:r>
        <w:t xml:space="preserve"> стр. 29).</w:t>
      </w:r>
    </w:p>
  </w:footnote>
  <w:footnote w:id="16">
    <w:p w:rsidR="000B688B" w:rsidRDefault="00640F08">
      <w:pPr>
        <w:pStyle w:val="FootnoteText"/>
        <w:rPr>
          <w:highlight w:val="yellow"/>
        </w:rPr>
      </w:pPr>
      <w:r>
        <w:rPr>
          <w:rStyle w:val="FootnoteReference"/>
        </w:rPr>
        <w:footnoteRef/>
      </w:r>
      <w:r>
        <w:tab/>
      </w:r>
      <w:r>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(ОВ L 146, 10.6.2009 г., стр. 1).</w:t>
      </w:r>
    </w:p>
  </w:footnote>
  <w:footnote w:id="17">
    <w:p w:rsidR="000B688B" w:rsidRDefault="00640F08">
      <w:pPr>
        <w:pStyle w:val="FootnoteText"/>
      </w:pPr>
      <w:r>
        <w:rPr>
          <w:rStyle w:val="FootnoteReference"/>
        </w:rPr>
        <w:footnoteRef/>
      </w:r>
      <w:r>
        <w:tab/>
      </w:r>
      <w:r>
        <w:t xml:space="preserve">Решение (ЕС, </w:t>
      </w:r>
      <w:proofErr w:type="spellStart"/>
      <w:r>
        <w:t>Евратом</w:t>
      </w:r>
      <w:proofErr w:type="spellEnd"/>
      <w:r>
        <w:t>) 2015/444 н</w:t>
      </w:r>
      <w:r>
        <w:t>а Комисията от 13 март 2015 г. относно правилата за сигурност за защита на класифицираната информация на EC (ОВ L 72, 17.3.2015 г., стр. 53).</w:t>
      </w:r>
    </w:p>
  </w:footnote>
  <w:footnote w:id="18">
    <w:p w:rsidR="000B688B" w:rsidRDefault="00640F08">
      <w:pPr>
        <w:pStyle w:val="FootnoteText"/>
      </w:pPr>
      <w:r>
        <w:rPr>
          <w:rStyle w:val="FootnoteReference"/>
        </w:rPr>
        <w:footnoteRef/>
      </w:r>
      <w:r>
        <w:tab/>
      </w:r>
      <w:r>
        <w:t xml:space="preserve">Препоръка 2003/361/ЕО на Комисията от 6 май 2003 г. относно определението за </w:t>
      </w:r>
      <w:proofErr w:type="spellStart"/>
      <w:r>
        <w:t>микро-</w:t>
      </w:r>
      <w:proofErr w:type="spellEnd"/>
      <w:r>
        <w:t xml:space="preserve">, малки и средни предприятия </w:t>
      </w:r>
      <w:r>
        <w:t>(ОВ L 124, 20.5.2003 г., стр. 36).</w:t>
      </w:r>
    </w:p>
  </w:footnote>
  <w:footnote w:id="19">
    <w:p w:rsidR="000B688B" w:rsidRDefault="00640F08">
      <w:pPr>
        <w:pStyle w:val="FootnoteText"/>
      </w:pPr>
      <w:r>
        <w:rPr>
          <w:rStyle w:val="FootnoteReference"/>
        </w:rPr>
        <w:footnoteRef/>
      </w:r>
      <w:r>
        <w:tab/>
      </w:r>
      <w:r>
        <w:t xml:space="preserve">Директива 2014/24/ЕС на Европейския парламент и на Съвета от 26 февруари 2014 г. за обществените поръчки и за отмяна на Директива 2004/18/ЕО (OВ L 94, 28.3.2014 г., </w:t>
      </w:r>
      <w:proofErr w:type="spellStart"/>
      <w:r>
        <w:t>стp</w:t>
      </w:r>
      <w:proofErr w:type="spellEnd"/>
      <w:r>
        <w:t>. 65).</w:t>
      </w:r>
    </w:p>
  </w:footnote>
  <w:footnote w:id="20">
    <w:p w:rsidR="000B688B" w:rsidRDefault="00640F08">
      <w:pPr>
        <w:pStyle w:val="FootnoteText"/>
      </w:pPr>
      <w:r>
        <w:rPr>
          <w:rStyle w:val="FootnoteReference"/>
        </w:rPr>
        <w:footnoteRef/>
      </w:r>
      <w:r>
        <w:tab/>
      </w:r>
      <w:r>
        <w:t>Директива 2014/25/ЕС на Европейския парлам</w:t>
      </w:r>
      <w:r>
        <w:t>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21">
    <w:p w:rsidR="000B688B" w:rsidRDefault="00640F08">
      <w:pPr>
        <w:pStyle w:val="FootnoteText"/>
      </w:pPr>
      <w:r>
        <w:rPr>
          <w:rStyle w:val="FootnoteReference"/>
        </w:rPr>
        <w:footnoteRef/>
      </w:r>
      <w:r>
        <w:tab/>
      </w:r>
      <w:r>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w:t>
      </w:r>
      <w:r>
        <w:t>а изменение на директиви 2004/17/ЕО и 2004/18/ЕО (ОВ L 216, 20.8.2009 г., стр. 76).</w:t>
      </w:r>
    </w:p>
  </w:footnote>
  <w:footnote w:id="22">
    <w:p w:rsidR="000B688B" w:rsidRDefault="00640F08">
      <w:pPr>
        <w:pStyle w:val="FootnoteText"/>
      </w:pPr>
      <w:r>
        <w:rPr>
          <w:rStyle w:val="FootnoteReference"/>
        </w:rPr>
        <w:footnoteRef/>
      </w:r>
      <w:r>
        <w:tab/>
      </w:r>
      <w:r>
        <w:t>ОВ L 72 от 17.3.2015 г., стр. 53—88.</w:t>
      </w:r>
    </w:p>
  </w:footnote>
  <w:footnote w:id="23">
    <w:p w:rsidR="000B688B" w:rsidRDefault="00640F08">
      <w:pPr>
        <w:pStyle w:val="FootnoteText"/>
      </w:pPr>
      <w:r>
        <w:rPr>
          <w:rStyle w:val="FootnoteReference"/>
        </w:rPr>
        <w:footnoteRef/>
      </w:r>
      <w:r>
        <w:tab/>
      </w:r>
      <w:r>
        <w:t>ОВ L 274, 15.10.2013 г., стр. 1—50.</w:t>
      </w:r>
    </w:p>
  </w:footnote>
  <w:footnote w:id="24">
    <w:p w:rsidR="000B688B" w:rsidRDefault="00640F08">
      <w:pPr>
        <w:pStyle w:val="FootnoteText"/>
        <w:rPr>
          <w:szCs w:val="24"/>
        </w:rPr>
      </w:pPr>
      <w:r>
        <w:rPr>
          <w:rStyle w:val="FootnoteReference"/>
        </w:rPr>
        <w:footnoteRef/>
      </w:r>
      <w:r>
        <w:tab/>
      </w:r>
      <w:r>
        <w:t>Съгласно член 58, параграф 2, буква а) или б) от Финансовия регламент.</w:t>
      </w:r>
    </w:p>
  </w:footnote>
  <w:footnote w:id="25">
    <w:p w:rsidR="000B688B" w:rsidRDefault="00640F08">
      <w:pPr>
        <w:pStyle w:val="FootnoteText"/>
        <w:jc w:val="lef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2">
        <w:r>
          <w:rPr>
            <w:rStyle w:val="Hyperlink"/>
          </w:rPr>
          <w:t>https://myintracomm.ec.eu</w:t>
        </w:r>
        <w:r>
          <w:rPr>
            <w:rStyle w:val="Hyperlink"/>
          </w:rPr>
          <w:t>ropa.eu/budgweb/EN/man/budgmanag/Pages/budgmanag.aspx</w:t>
        </w:r>
      </w:hyperlink>
      <w:r>
        <w:t xml:space="preserve"> </w:t>
      </w:r>
    </w:p>
  </w:footnote>
  <w:footnote w:id="26">
    <w:p w:rsidR="000B688B" w:rsidRDefault="00640F08">
      <w:pPr>
        <w:pStyle w:val="FootnoteText"/>
      </w:pPr>
      <w:r>
        <w:rPr>
          <w:rStyle w:val="FootnoteReference"/>
        </w:rPr>
        <w:footnoteRef/>
      </w:r>
      <w:r>
        <w:tab/>
      </w:r>
      <w:r>
        <w:t>Програмата би могла да бъде (частично) делегира на изпълнителна агенция в зависимост от резултата от анализа на разходите и ползите и свързаните с това решения, които трябва да бъдат взети; съответни</w:t>
      </w:r>
      <w:r>
        <w:t>те бюджетни кредити за административни разходи за изпълнението на програмата в Комисията и изпълнителната агенция ще бъде съответно адаптирани.</w:t>
      </w:r>
    </w:p>
  </w:footnote>
  <w:footnote w:id="27">
    <w:p w:rsidR="000B688B" w:rsidRDefault="00640F08">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28">
    <w:p w:rsidR="000B688B" w:rsidRDefault="00640F08">
      <w:pPr>
        <w:pStyle w:val="FootnoteText"/>
        <w:rPr>
          <w:szCs w:val="24"/>
        </w:rPr>
      </w:pPr>
      <w:r>
        <w:rPr>
          <w:rStyle w:val="FootnoteReference"/>
        </w:rPr>
        <w:footnoteRef/>
      </w:r>
      <w:r>
        <w:tab/>
      </w:r>
      <w:r>
        <w:t>ЕАСТ: Европейска асоциа</w:t>
      </w:r>
      <w:r>
        <w:t xml:space="preserve">ция за свободна търговия. </w:t>
      </w:r>
    </w:p>
  </w:footnote>
  <w:footnote w:id="29">
    <w:p w:rsidR="000B688B" w:rsidRDefault="00640F08">
      <w:pPr>
        <w:pStyle w:val="FootnoteText"/>
      </w:pPr>
      <w:r>
        <w:rPr>
          <w:rStyle w:val="FootnoteReference"/>
        </w:rPr>
        <w:footnoteRef/>
      </w:r>
      <w:r>
        <w:tab/>
      </w:r>
      <w:r>
        <w:t>Държави кандидатки и, ако е приложимо, потенциални кандидатки от Западните Балкани.</w:t>
      </w:r>
    </w:p>
  </w:footnote>
  <w:footnote w:id="30">
    <w:p w:rsidR="000B688B" w:rsidRDefault="00640F08">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w:t>
      </w:r>
      <w:r>
        <w:t>учни изследвания, преки научни изследвания.</w:t>
      </w:r>
    </w:p>
  </w:footnote>
  <w:footnote w:id="31">
    <w:p w:rsidR="000B688B" w:rsidRDefault="00640F08">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2">
    <w:p w:rsidR="000B688B" w:rsidRDefault="00640F08">
      <w:pPr>
        <w:pStyle w:val="FootnoteText"/>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3">
    <w:p w:rsidR="000B688B" w:rsidRDefault="00640F08">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w:t>
      </w:r>
      <w:r>
        <w:t>разходи (предишни редове BA).</w:t>
      </w:r>
    </w:p>
  </w:footnote>
  <w:footnote w:id="34">
    <w:p w:rsidR="000B688B" w:rsidRDefault="00640F08">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Default="000B688B" w:rsidP="00640F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Default="00640F08" w:rsidP="00640F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Default="000B68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8B" w:rsidRDefault="000B688B" w:rsidP="00640F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Default="00640F08" w:rsidP="00640F0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08" w:rsidRPr="00640F08" w:rsidRDefault="00640F08" w:rsidP="00640F0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446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0804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F497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FAB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23"/>
  </w:num>
  <w:num w:numId="18">
    <w:abstractNumId w:val="26"/>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4"/>
  </w:num>
  <w:num w:numId="47">
    <w:abstractNumId w:val="25"/>
  </w:num>
  <w:num w:numId="48">
    <w:abstractNumId w:val="12"/>
  </w:num>
  <w:num w:numId="49">
    <w:abstractNumId w:val="15"/>
  </w:num>
  <w:num w:numId="50">
    <w:abstractNumId w:val="10"/>
  </w:num>
  <w:num w:numId="51">
    <w:abstractNumId w:val="24"/>
  </w:num>
  <w:num w:numId="52">
    <w:abstractNumId w:val="9"/>
  </w:num>
  <w:num w:numId="53">
    <w:abstractNumId w:val="16"/>
  </w:num>
  <w:num w:numId="54">
    <w:abstractNumId w:val="20"/>
  </w:num>
  <w:num w:numId="55">
    <w:abstractNumId w:val="21"/>
  </w:num>
  <w:num w:numId="56">
    <w:abstractNumId w:val="11"/>
  </w:num>
  <w:num w:numId="57">
    <w:abstractNumId w:val="19"/>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Formatting/>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14:10: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1"/>
    <w:docVar w:name="DQCResult_ModifiedMarkers" w:val="0;0"/>
    <w:docVar w:name="DQCResult_ModifiedNumbering" w:val="0;0"/>
    <w:docVar w:name="DQCResult_Objects" w:val="0;0"/>
    <w:docVar w:name="DQCResult_Sections" w:val="0;2"/>
    <w:docVar w:name="DQCResult_StructureCheck" w:val="0;0"/>
    <w:docVar w:name="DQCResult_SuperfluousWhitespace" w:val="0;54"/>
    <w:docVar w:name="DQCResult_UnknownFonts" w:val="0;0"/>
    <w:docVar w:name="DQCResult_UnknownStyles" w:val="0;0"/>
    <w:docVar w:name="DQCStatus" w:val="Yellow"/>
    <w:docVar w:name="DQCVersion" w:val="3"/>
    <w:docVar w:name="DQCWithWarnings" w:val="0"/>
    <w:docVar w:name="LW_CORRIGENDUM" w:val="CORRIGENDUM_x000b_This document corrects document COM(2018) 476 final of 13.6.2018._x000b_Update of the cover page (date and cross-reference inserted)._x000b_All languages are concerned except DE, FR and EN._x000b_The text shall read as follows :_x000b_"/>
    <w:docVar w:name="LW_COVERPAGE_EXISTS" w:val="True"/>
    <w:docVar w:name="LW_COVERPAGE_GUID" w:val="9B6EB60B-D32F-49BF-A42E-25ACCB188A21"/>
    <w:docVar w:name="LW_COVERPAGE_TYPE" w:val="1"/>
    <w:docVar w:name="LW_CROSSREFERENCE" w:val="{SEC(2018) 314 final}_x000d__x000a_{SWD(2018) 345 final}"/>
    <w:docVar w:name="LW_DocType" w:val="COM"/>
    <w:docVar w:name="LW_EMISSION" w:val="19.6.2018"/>
    <w:docVar w:name="LW_EMISSION_ISODATE" w:val="2018-06-19"/>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2"/>
    <w:docVar w:name="LW_REF.INST.NEW_TEXT" w:val="(2018)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80? \u1092?\u1086?\u1085?\u1076? \u1079?\u1072? \u1086?\u1090?\u1073?\u1088?\u1072?\u1085?\u1072?"/>
    <w:docVar w:name="LW_TYPE.DOC.CP" w:val="\u1056?\u1045?\u1043?\u1051?\u1040?\u1052?\u1045?\u1053?\u1058? \u1053?\u1040? \u1045?\u1042?\u1056?\u1054?\u1055?\u1045?\u1049?\u1057?\u1050?\u1048?\u1071? \u1055?\u1040?\u1056?\u1051?\u1040?\u1052?\u1045?\u1053?\u1058? \u1048? \u1053?\u1040? \u1057?\u1066?\u1042?\u1045?\u1058?\u1040?"/>
  </w:docVars>
  <w:rsids>
    <w:rsidRoot w:val="000B688B"/>
    <w:rsid w:val="000B688B"/>
    <w:rsid w:val="0064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customStyle="1" w:styleId="ilfuvd">
    <w:name w:val="ilfuvd"/>
    <w:basedOn w:val="DefaultParagraphFont"/>
  </w:style>
  <w:style w:type="numbering" w:customStyle="1" w:styleId="ImportedStyle3">
    <w:name w:val="Imported Style 3"/>
    <w:pPr>
      <w:numPr>
        <w:numId w:val="17"/>
      </w:numPr>
    </w:pPr>
  </w:style>
  <w:style w:type="paragraph" w:styleId="Header">
    <w:name w:val="header"/>
    <w:basedOn w:val="Normal"/>
    <w:link w:val="HeaderChar"/>
    <w:uiPriority w:val="99"/>
    <w:unhideWhenUsed/>
    <w:rsid w:val="00640F0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40F08"/>
    <w:rPr>
      <w:rFonts w:ascii="Times New Roman" w:hAnsi="Times New Roman" w:cs="Times New Roman"/>
      <w:sz w:val="24"/>
      <w:lang w:eastAsia="en-US" w:bidi="ar-SA"/>
    </w:rPr>
  </w:style>
  <w:style w:type="paragraph" w:styleId="Footer">
    <w:name w:val="footer"/>
    <w:basedOn w:val="Normal"/>
    <w:link w:val="FooterChar"/>
    <w:uiPriority w:val="99"/>
    <w:unhideWhenUsed/>
    <w:rsid w:val="00640F0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40F0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40F08"/>
    <w:pPr>
      <w:tabs>
        <w:tab w:val="center" w:pos="7285"/>
        <w:tab w:val="right" w:pos="14003"/>
      </w:tabs>
      <w:spacing w:before="0"/>
    </w:pPr>
    <w:rPr>
      <w:lang w:eastAsia="en-US" w:bidi="ar-SA"/>
    </w:rPr>
  </w:style>
  <w:style w:type="paragraph" w:customStyle="1" w:styleId="FooterLandscape">
    <w:name w:val="FooterLandscape"/>
    <w:basedOn w:val="Normal"/>
    <w:rsid w:val="00640F0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40F0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40F0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customStyle="1" w:styleId="ilfuvd">
    <w:name w:val="ilfuvd"/>
    <w:basedOn w:val="DefaultParagraphFont"/>
  </w:style>
  <w:style w:type="numbering" w:customStyle="1" w:styleId="ImportedStyle3">
    <w:name w:val="Imported Style 3"/>
    <w:pPr>
      <w:numPr>
        <w:numId w:val="17"/>
      </w:numPr>
    </w:pPr>
  </w:style>
  <w:style w:type="paragraph" w:styleId="Header">
    <w:name w:val="header"/>
    <w:basedOn w:val="Normal"/>
    <w:link w:val="HeaderChar"/>
    <w:uiPriority w:val="99"/>
    <w:unhideWhenUsed/>
    <w:rsid w:val="00640F0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40F08"/>
    <w:rPr>
      <w:rFonts w:ascii="Times New Roman" w:hAnsi="Times New Roman" w:cs="Times New Roman"/>
      <w:sz w:val="24"/>
      <w:lang w:eastAsia="en-US" w:bidi="ar-SA"/>
    </w:rPr>
  </w:style>
  <w:style w:type="paragraph" w:styleId="Footer">
    <w:name w:val="footer"/>
    <w:basedOn w:val="Normal"/>
    <w:link w:val="FooterChar"/>
    <w:uiPriority w:val="99"/>
    <w:unhideWhenUsed/>
    <w:rsid w:val="00640F0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40F0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40F08"/>
    <w:pPr>
      <w:tabs>
        <w:tab w:val="center" w:pos="7285"/>
        <w:tab w:val="right" w:pos="14003"/>
      </w:tabs>
      <w:spacing w:before="0"/>
    </w:pPr>
    <w:rPr>
      <w:lang w:eastAsia="en-US" w:bidi="ar-SA"/>
    </w:rPr>
  </w:style>
  <w:style w:type="paragraph" w:customStyle="1" w:styleId="FooterLandscape">
    <w:name w:val="FooterLandscape"/>
    <w:basedOn w:val="Normal"/>
    <w:rsid w:val="00640F0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40F0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40F0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347">
      <w:bodyDiv w:val="1"/>
      <w:marLeft w:val="0"/>
      <w:marRight w:val="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92745191">
      <w:bodyDiv w:val="1"/>
      <w:marLeft w:val="0"/>
      <w:marRight w:val="0"/>
      <w:marTop w:val="0"/>
      <w:marBottom w:val="0"/>
      <w:divBdr>
        <w:top w:val="none" w:sz="0" w:space="0" w:color="auto"/>
        <w:left w:val="none" w:sz="0" w:space="0" w:color="auto"/>
        <w:bottom w:val="none" w:sz="0" w:space="0" w:color="auto"/>
        <w:right w:val="none" w:sz="0" w:space="0" w:color="auto"/>
      </w:divBdr>
    </w:div>
    <w:div w:id="177039150">
      <w:bodyDiv w:val="1"/>
      <w:marLeft w:val="0"/>
      <w:marRight w:val="0"/>
      <w:marTop w:val="0"/>
      <w:marBottom w:val="0"/>
      <w:divBdr>
        <w:top w:val="none" w:sz="0" w:space="0" w:color="auto"/>
        <w:left w:val="none" w:sz="0" w:space="0" w:color="auto"/>
        <w:bottom w:val="none" w:sz="0" w:space="0" w:color="auto"/>
        <w:right w:val="none" w:sz="0" w:space="0" w:color="auto"/>
      </w:divBdr>
    </w:div>
    <w:div w:id="19334536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57925570">
      <w:bodyDiv w:val="1"/>
      <w:marLeft w:val="0"/>
      <w:marRight w:val="0"/>
      <w:marTop w:val="0"/>
      <w:marBottom w:val="0"/>
      <w:divBdr>
        <w:top w:val="none" w:sz="0" w:space="0" w:color="auto"/>
        <w:left w:val="none" w:sz="0" w:space="0" w:color="auto"/>
        <w:bottom w:val="none" w:sz="0" w:space="0" w:color="auto"/>
        <w:right w:val="none" w:sz="0" w:space="0" w:color="auto"/>
      </w:divBdr>
    </w:div>
    <w:div w:id="893346053">
      <w:bodyDiv w:val="1"/>
      <w:marLeft w:val="0"/>
      <w:marRight w:val="0"/>
      <w:marTop w:val="0"/>
      <w:marBottom w:val="0"/>
      <w:divBdr>
        <w:top w:val="none" w:sz="0" w:space="0" w:color="auto"/>
        <w:left w:val="none" w:sz="0" w:space="0" w:color="auto"/>
        <w:bottom w:val="none" w:sz="0" w:space="0" w:color="auto"/>
        <w:right w:val="none" w:sz="0" w:space="0" w:color="auto"/>
      </w:divBdr>
    </w:div>
    <w:div w:id="983462003">
      <w:bodyDiv w:val="1"/>
      <w:marLeft w:val="0"/>
      <w:marRight w:val="0"/>
      <w:marTop w:val="0"/>
      <w:marBottom w:val="0"/>
      <w:divBdr>
        <w:top w:val="none" w:sz="0" w:space="0" w:color="auto"/>
        <w:left w:val="none" w:sz="0" w:space="0" w:color="auto"/>
        <w:bottom w:val="none" w:sz="0" w:space="0" w:color="auto"/>
        <w:right w:val="none" w:sz="0" w:space="0" w:color="auto"/>
      </w:divBdr>
    </w:div>
    <w:div w:id="1061176992">
      <w:bodyDiv w:val="1"/>
      <w:marLeft w:val="0"/>
      <w:marRight w:val="0"/>
      <w:marTop w:val="0"/>
      <w:marBottom w:val="0"/>
      <w:divBdr>
        <w:top w:val="none" w:sz="0" w:space="0" w:color="auto"/>
        <w:left w:val="none" w:sz="0" w:space="0" w:color="auto"/>
        <w:bottom w:val="none" w:sz="0" w:space="0" w:color="auto"/>
        <w:right w:val="none" w:sz="0" w:space="0" w:color="auto"/>
      </w:divBdr>
    </w:div>
    <w:div w:id="1089427909">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38022941">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62511221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454129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1499-BE44-4231-899A-DEC9D1BA9F52}">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708f69d-89d0-4335-b12b-d3b646ba422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CF21E668-CD98-4E39-9C8C-4A87C8DA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66</Pages>
  <Words>20941</Words>
  <Characters>126226</Characters>
  <Application>Microsoft Office Word</Application>
  <DocSecurity>0</DocSecurity>
  <Lines>2704</Lines>
  <Paragraphs>900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20</cp:revision>
  <cp:lastPrinted>2018-06-11T08:27:00Z</cp:lastPrinted>
  <dcterms:created xsi:type="dcterms:W3CDTF">2018-06-15T10:27:00Z</dcterms:created>
  <dcterms:modified xsi:type="dcterms:W3CDTF">2018-06-19T09:17:00Z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_DocHome">
    <vt:i4>-1315929414</vt:i4>
  </property>
  <property fmtid="{D5CDD505-2E9C-101B-9397-08002B2CF9AE}" pid="12" name="DQCStatus">
    <vt:lpwstr>Yellow (DQC version 03)</vt:lpwstr>
  </property>
</Properties>
</file>