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E4AB37F-A8B3-40F5-85FC-A61FA5971A90" style="width:450.25pt;height:351.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rPr>
          <w:noProof/>
        </w:rPr>
      </w:pPr>
      <w:r>
        <w:rPr>
          <w:noProof/>
        </w:rPr>
        <w:t xml:space="preserve">Le XXX, le Conseil a adopté la décision (PESC) 2018/XXX concernant des mesures restrictives en raison de la situation aux Maldives. La décision du Conseil prévoit des restrictions en matière de déplacements et le gel des fonds et des ressources économiques de certaines personnes, entités ou organismes responsables d'actes qui compromettent l’état de droit ou font obstacle à la recherche d'une solution politique inclusive aux Maldives, ainsi que des personnes et entités responsables de violations graves des droits de l'homme ou d’atteintes graves à ceux-ci aux Maldives. Ces personnes, entités et organismes sont inscrits sur la liste qui figure à l'annexe de la décision (PESC) 2018/XXX. </w:t>
      </w:r>
    </w:p>
    <w:p>
      <w:pPr>
        <w:rPr>
          <w:noProof/>
        </w:rPr>
      </w:pPr>
      <w:r>
        <w:rPr>
          <w:noProof/>
        </w:rPr>
        <w:t>Vu le traité sur le fonctionnement de l’Union européenne, et notamment son article 215, une nouvelle action de l'Union est nécessaire pour mettre en œuvre la décision (PESC) 2018/XXX.</w:t>
      </w:r>
    </w:p>
    <w:p>
      <w:pPr>
        <w:rPr>
          <w:noProof/>
        </w:rPr>
      </w:pPr>
      <w:r>
        <w:rPr>
          <w:noProof/>
        </w:rPr>
        <w:t>La haute représentante de l’Union pour les affaires étrangères et la politique de sécurité et la Commission européenne devraient présenter une proposition de règlement concernant des mesures restrictives en raison de la situation aux Maldives.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2018/0262 (NLE)</w:t>
      </w:r>
    </w:p>
    <w:p>
      <w:pPr>
        <w:pStyle w:val="Statut"/>
        <w:rPr>
          <w:noProof/>
        </w:rPr>
      </w:pPr>
      <w:r>
        <w:rPr>
          <w:noProof/>
        </w:rPr>
        <w:t>Proposition conjointe de</w:t>
      </w:r>
    </w:p>
    <w:p>
      <w:pPr>
        <w:pStyle w:val="Typedudocument"/>
        <w:rPr>
          <w:noProof/>
        </w:rPr>
      </w:pPr>
      <w:r>
        <w:rPr>
          <w:noProof/>
        </w:rPr>
        <w:t>RÈGLEMENT DU CONSEIL</w:t>
      </w:r>
    </w:p>
    <w:p>
      <w:pPr>
        <w:pStyle w:val="Titreobjet"/>
        <w:rPr>
          <w:noProof/>
        </w:rPr>
      </w:pPr>
      <w:r>
        <w:rPr>
          <w:noProof/>
        </w:rPr>
        <w:t xml:space="preserve">concernant des mesures restrictives en raison de la situation dans la République des Maldives </w:t>
      </w:r>
    </w:p>
    <w:p>
      <w:pPr>
        <w:pStyle w:val="Institutionquiagit"/>
        <w:rPr>
          <w:noProof/>
        </w:rPr>
      </w:pPr>
      <w:r>
        <w:rPr>
          <w:noProof/>
        </w:rPr>
        <w:t>LE CONSEIL DE L'UNION EUROPÉENNE,</w:t>
      </w:r>
    </w:p>
    <w:p>
      <w:pPr>
        <w:rPr>
          <w:noProof/>
        </w:rPr>
      </w:pPr>
      <w:r>
        <w:rPr>
          <w:noProof/>
        </w:rPr>
        <w:t>vu le traité sur le fonctionnement de l'Union européenne, et notamment son article 215,</w:t>
      </w:r>
    </w:p>
    <w:p>
      <w:pPr>
        <w:rPr>
          <w:noProof/>
        </w:rPr>
      </w:pPr>
      <w:r>
        <w:rPr>
          <w:noProof/>
        </w:rPr>
        <w:t>vu la décision (PESC) 2018/XXX concernant des mesures restrictives en raison de la situation aux Maldives</w:t>
      </w:r>
      <w:r>
        <w:rPr>
          <w:rStyle w:val="FootnoteReference"/>
          <w:noProof/>
        </w:rPr>
        <w:footnoteReference w:id="1"/>
      </w:r>
      <w:r>
        <w:rPr>
          <w:noProof/>
        </w:rPr>
        <w:t xml:space="preserve">, </w:t>
      </w:r>
    </w:p>
    <w:p>
      <w:pPr>
        <w:rPr>
          <w:noProof/>
        </w:rPr>
      </w:pPr>
      <w:r>
        <w:rPr>
          <w:noProof/>
        </w:rPr>
        <w:t>vu la proposition conjointe de la haute représentante de l'Union pour les affaires étrangères et la politique de sécurité et de la Commission européenne,</w:t>
      </w:r>
    </w:p>
    <w:p>
      <w:pPr>
        <w:rPr>
          <w:noProof/>
        </w:rPr>
      </w:pPr>
      <w:r>
        <w:rPr>
          <w:noProof/>
        </w:rPr>
        <w:t>considérant ce qui suit:</w:t>
      </w:r>
    </w:p>
    <w:p>
      <w:pPr>
        <w:pStyle w:val="ManualConsidrant"/>
        <w:rPr>
          <w:noProof/>
        </w:rPr>
      </w:pPr>
      <w:r>
        <w:t>(1)</w:t>
      </w:r>
      <w:r>
        <w:tab/>
      </w:r>
      <w:r>
        <w:rPr>
          <w:noProof/>
        </w:rPr>
        <w:t>Le XXX, le Conseil a adopté la décision (PESC) 2018/XXX concernant des mesures restrictives en raison de la situation dans la République des Maldives («les Maldives»). La décision du Conseil prévoit des restrictions en matière de déplacements et le gel des fonds et des ressources économiques de certaines personnes, entités ou organismes responsables d'actes qui compromettent l’état de droit ou font obstacle à la recherche d'une solution politique inclusive dans les Maldives, ainsi que des personnes et entités responsables de violations graves des droits de l'homme ou d’atteintes graves à ceux-ci aux Maldives. Ces personnes, entités et organismes sont inscrits sur la liste qui figure à l'annexe de la décision (PESC) 2018/XXX.</w:t>
      </w:r>
    </w:p>
    <w:p>
      <w:pPr>
        <w:pStyle w:val="ManualConsidrant"/>
        <w:rPr>
          <w:noProof/>
        </w:rPr>
      </w:pPr>
      <w:r>
        <w:t>(2)</w:t>
      </w:r>
      <w:r>
        <w:tab/>
      </w:r>
      <w:r>
        <w:rPr>
          <w:noProof/>
        </w:rPr>
        <w:t>Une nouvelle action de l'Union est nécessaire pour mettre en œuvre la décision (PESC) 2018/XXX.</w:t>
      </w:r>
    </w:p>
    <w:p>
      <w:pPr>
        <w:pStyle w:val="ManualConsidrant"/>
        <w:rPr>
          <w:noProof/>
        </w:rPr>
      </w:pPr>
      <w:r>
        <w:t>(3)</w:t>
      </w:r>
      <w:r>
        <w:tab/>
      </w:r>
      <w:r>
        <w:rPr>
          <w:noProof/>
        </w:rPr>
        <w:t>La haute représentante de l’Union pour les affaires étrangères et la politique de sécurité et la Commission européenne devraient présenter une proposition de règlement concernant des mesures restrictives en raison de la situation aux Maldives.</w:t>
      </w:r>
    </w:p>
    <w:p>
      <w:pPr>
        <w:pStyle w:val="ManualConsidrant"/>
        <w:rPr>
          <w:noProof/>
        </w:rPr>
      </w:pPr>
      <w:r>
        <w:t>(4)</w:t>
      </w:r>
      <w:r>
        <w:tab/>
      </w:r>
      <w:r>
        <w:rPr>
          <w:noProof/>
        </w:rPr>
        <w:t xml:space="preserve">Le présent règlement respecte les droits fondamentaux et observe les principes reconnus notamment par la charte des droits fondamentaux de l'Union européenne, et plus particulièrement les droits à un recours effectif et à accéder à un tribunal impartial, ainsi que le droit à la protection des données à caractère personnel. Il convient d'appliquer le présent règlement dans le respect de ces droits. </w:t>
      </w:r>
    </w:p>
    <w:p>
      <w:pPr>
        <w:pStyle w:val="ManualConsidrant"/>
        <w:rPr>
          <w:noProof/>
        </w:rPr>
      </w:pPr>
      <w:r>
        <w:t>(5)</w:t>
      </w:r>
      <w:r>
        <w:tab/>
      </w:r>
      <w:r>
        <w:rPr>
          <w:noProof/>
        </w:rPr>
        <w:t>Afin d'assurer des conditions uniformes d'exécution du présent règlement, il convient de conférer des compétences d'exécution à la Commission. Ces compétences devraient être exercées en conformité avec le règlement (UE) n° 182/2011 du Parlement européen et du Conseil</w:t>
      </w:r>
      <w:r>
        <w:rPr>
          <w:rStyle w:val="FootnoteReference"/>
          <w:noProof/>
        </w:rPr>
        <w:footnoteReference w:id="2"/>
      </w:r>
      <w:r>
        <w:rPr>
          <w:noProof/>
        </w:rPr>
        <w:t>.</w:t>
      </w:r>
    </w:p>
    <w:p>
      <w:pPr>
        <w:pStyle w:val="ManualConsidrant"/>
        <w:rPr>
          <w:noProof/>
        </w:rPr>
      </w:pPr>
      <w:r>
        <w:t>(6)</w:t>
      </w:r>
      <w:r>
        <w:tab/>
      </w:r>
      <w:r>
        <w:rPr>
          <w:noProof/>
        </w:rPr>
        <w:t>Pour la mise en œuvre du présent règlement et afin d'assurer une sécurité juridique maximale dans l'Union, les noms et autres données utiles concernant les personnes physiques et morales, les entités et les organismes dont les fonds et les ressources économiques doivent être gelés conformément au présent règlement doivent être rendus publics. Tout traitement de données à caractère personnel devrait être conforme au règlement (UE) 2016/679</w:t>
      </w:r>
      <w:r>
        <w:rPr>
          <w:rStyle w:val="FootnoteReference"/>
          <w:noProof/>
        </w:rPr>
        <w:footnoteReference w:id="3"/>
      </w:r>
      <w:r>
        <w:rPr>
          <w:noProof/>
        </w:rPr>
        <w:t>et au règlement (CE) n° 45/2001 du Parlement européen et du Conseil</w:t>
      </w:r>
      <w:r>
        <w:rPr>
          <w:rStyle w:val="FootnoteReference"/>
          <w:noProof/>
        </w:rPr>
        <w:footnoteReference w:id="4"/>
      </w:r>
      <w:r>
        <w:rPr>
          <w:noProof/>
        </w:rPr>
        <w:t>.</w:t>
      </w:r>
    </w:p>
    <w:p>
      <w:pPr>
        <w:pStyle w:val="ManualConsidrant"/>
        <w:rPr>
          <w:noProof/>
        </w:rPr>
      </w:pPr>
      <w:r>
        <w:t>(7)</w:t>
      </w:r>
      <w:r>
        <w:tab/>
      </w:r>
      <w:r>
        <w:rPr>
          <w:noProof/>
        </w:rPr>
        <w:t>Les États membres et la Commission devraient s'informer mutuellement des mesures prises en vertu du présent règlement et se communiquer toute autre information utile dont ils disposent concernant le présent règlement.</w:t>
      </w:r>
    </w:p>
    <w:p>
      <w:pPr>
        <w:pStyle w:val="ManualConsidrant"/>
        <w:rPr>
          <w:noProof/>
        </w:rPr>
      </w:pPr>
      <w:r>
        <w:t>(8)</w:t>
      </w:r>
      <w:r>
        <w:tab/>
      </w:r>
      <w:r>
        <w:rPr>
          <w:noProof/>
        </w:rPr>
        <w:t>Les États membres devraient déterminer les règles en matière de sanctions applicables aux violations des dispositions du présent règlement et s'assurer qu'elles sont appliquées. Ces sanctions devraient être efficaces, proportionnées et dissuasives</w:t>
      </w:r>
      <w:r>
        <w:rPr>
          <w:i/>
          <w:noProof/>
        </w:rPr>
        <w:t>.</w:t>
      </w:r>
    </w:p>
    <w:p>
      <w:pPr>
        <w:pStyle w:val="ManualConsidrant"/>
        <w:rPr>
          <w:noProof/>
        </w:rPr>
      </w:pPr>
      <w:r>
        <w:t>(9)</w:t>
      </w:r>
      <w:r>
        <w:tab/>
      </w:r>
      <w:r>
        <w:rPr>
          <w:noProof/>
        </w:rPr>
        <w:t>Pour garantir l'efficacité des mesures prévues par le présent règlement, celui-ci devrait entrer en vigueur immédiatement après sa publication,</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Aux fins du présent règlement, on entend par:</w:t>
      </w:r>
    </w:p>
    <w:p>
      <w:pPr>
        <w:pStyle w:val="Point0letter"/>
        <w:numPr>
          <w:ilvl w:val="1"/>
          <w:numId w:val="32"/>
        </w:numPr>
        <w:rPr>
          <w:noProof/>
        </w:rPr>
      </w:pPr>
      <w:r>
        <w:rPr>
          <w:noProof/>
        </w:rPr>
        <w:t>«demande», toute demande, sous forme contentieuse ou non, introduite antérieurement ou postérieurement à la date d'entrée en vigueur du présent règlement et liée à l'exécution d'un contrat ou d'une opération, et notamment:</w:t>
      </w:r>
    </w:p>
    <w:p>
      <w:pPr>
        <w:pStyle w:val="Point1"/>
        <w:rPr>
          <w:noProof/>
        </w:rPr>
      </w:pPr>
      <w:r>
        <w:rPr>
          <w:noProof/>
        </w:rPr>
        <w:t xml:space="preserve">i) </w:t>
      </w:r>
      <w:r>
        <w:rPr>
          <w:noProof/>
        </w:rPr>
        <w:tab/>
        <w:t xml:space="preserve">une demande visant à obtenir l'exécution de toute obligation résultant d'un contrat ou d'une opération ou liée à un contrat ou à une opération; </w:t>
      </w:r>
    </w:p>
    <w:p>
      <w:pPr>
        <w:pStyle w:val="Point1"/>
        <w:rPr>
          <w:noProof/>
        </w:rPr>
      </w:pPr>
      <w:r>
        <w:rPr>
          <w:noProof/>
        </w:rPr>
        <w:t xml:space="preserve">ii) </w:t>
      </w:r>
      <w:r>
        <w:rPr>
          <w:noProof/>
        </w:rPr>
        <w:tab/>
        <w:t xml:space="preserve">une demande visant à obtenir la prorogation ou le paiement d'une obligation, d'une garantie ou d'une contre-garantie financières, quelle qu'en soit la forme; </w:t>
      </w:r>
    </w:p>
    <w:p>
      <w:pPr>
        <w:pStyle w:val="Point1"/>
        <w:rPr>
          <w:noProof/>
        </w:rPr>
      </w:pPr>
      <w:r>
        <w:rPr>
          <w:noProof/>
        </w:rPr>
        <w:t xml:space="preserve">iii) </w:t>
      </w:r>
      <w:r>
        <w:rPr>
          <w:noProof/>
        </w:rPr>
        <w:tab/>
        <w:t xml:space="preserve">une demande d'indemnisation se rapportant à un contrat ou à une opération; </w:t>
      </w:r>
    </w:p>
    <w:p>
      <w:pPr>
        <w:pStyle w:val="Point1"/>
        <w:rPr>
          <w:noProof/>
        </w:rPr>
      </w:pPr>
      <w:r>
        <w:rPr>
          <w:noProof/>
        </w:rPr>
        <w:t xml:space="preserve">iv) </w:t>
      </w:r>
      <w:r>
        <w:rPr>
          <w:noProof/>
        </w:rPr>
        <w:tab/>
        <w:t xml:space="preserve">une demande reconventionnelle; </w:t>
      </w:r>
    </w:p>
    <w:p>
      <w:pPr>
        <w:pStyle w:val="Point1"/>
        <w:rPr>
          <w:noProof/>
        </w:rPr>
      </w:pPr>
      <w:r>
        <w:rPr>
          <w:noProof/>
        </w:rPr>
        <w:t xml:space="preserve">v) </w:t>
      </w:r>
      <w:r>
        <w:rPr>
          <w:noProof/>
        </w:rPr>
        <w:tab/>
        <w:t>une demande visant à obtenir, y compris par voie d'exequatur, la reconnaissance ou l'exécution d'un jugement, d'une sentence arbitrale ou d'une décision équivalente, quel que soit le lieu où ils ont été rendus;</w:t>
      </w:r>
    </w:p>
    <w:p>
      <w:pPr>
        <w:pStyle w:val="Point0letter"/>
        <w:rPr>
          <w:noProof/>
        </w:rPr>
      </w:pPr>
      <w:r>
        <w:rPr>
          <w:noProof/>
        </w:rPr>
        <w:t xml:space="preserve"> «contrat ou opération», toute opération, quelle qu'en soit la forme et quelle que soit la législation qui lui est applicable, comportant un ou plusieurs contrats ou obligations similaires établis entre des parties identiques ou non; à cet effet, le terme «contrat» inclut toute garantie ou toute contre-garantie, notamment financières, et tout crédit, juridiquement indépendants ou non, ainsi que toute disposition y relative qui trouve son origine dans une telle opération ou qui y est liée;</w:t>
      </w:r>
    </w:p>
    <w:p>
      <w:pPr>
        <w:pStyle w:val="Point0letter"/>
        <w:rPr>
          <w:noProof/>
        </w:rPr>
      </w:pPr>
      <w:r>
        <w:rPr>
          <w:noProof/>
        </w:rPr>
        <w:t>«autorités compétentes», les autorités compétentes des États membres indiquées sur les sites internet dont la liste figure à l'annexe II;</w:t>
      </w:r>
    </w:p>
    <w:p>
      <w:pPr>
        <w:pStyle w:val="Point0letter"/>
        <w:rPr>
          <w:noProof/>
        </w:rPr>
      </w:pPr>
      <w:r>
        <w:rPr>
          <w:noProof/>
        </w:rPr>
        <w:t>«ressources économiques», les actifs de toute nature, corporels ou incorporels, mobiliers ou immobiliers, qui ne sont pas des fonds, mais qui peuvent être utilisés pour obtenir des fonds, des biens ou des services;</w:t>
      </w:r>
    </w:p>
    <w:p>
      <w:pPr>
        <w:pStyle w:val="Point0letter"/>
        <w:rPr>
          <w:noProof/>
        </w:rPr>
      </w:pPr>
      <w:r>
        <w:rPr>
          <w:noProof/>
        </w:rPr>
        <w:t>«gel des ressources économiques», toute action visant à empêcher l'utilisation de ressources économiques afin d'obtenir des fonds, des biens ou des services de quelque manière que ce soit, et notamment, mais pas exclusivement, leur vente, leur location ou leur mise sous hypothèque;</w:t>
      </w:r>
    </w:p>
    <w:p>
      <w:pPr>
        <w:pStyle w:val="Point0letter"/>
        <w:rPr>
          <w:noProof/>
        </w:rPr>
      </w:pPr>
      <w:r>
        <w:rPr>
          <w:noProof/>
        </w:rPr>
        <w:t>«gel des fonds», toute action visant à empêcher tout mouvement, transfert, modification, utilisation, manipulation de fonds ou accès à ceux-ci qui aurait pour conséquence un changement de leur volume, de leur montant, de leur localisation, de leur propriété, de leur possession, de leur nature, de leur destination ou toute autre modification qui pourrait en permettre l'utilisation, y compris la gestion de portefeuille;</w:t>
      </w:r>
    </w:p>
    <w:p>
      <w:pPr>
        <w:pStyle w:val="Point0letter"/>
        <w:rPr>
          <w:noProof/>
        </w:rPr>
      </w:pPr>
      <w:r>
        <w:rPr>
          <w:noProof/>
        </w:rPr>
        <w:t>«fonds», les actifs financiers et les avantages économiques de toute nature, et notamment, mais pas exclusivement:</w:t>
      </w:r>
    </w:p>
    <w:p>
      <w:pPr>
        <w:pStyle w:val="Point1"/>
        <w:rPr>
          <w:noProof/>
        </w:rPr>
      </w:pPr>
      <w:r>
        <w:rPr>
          <w:noProof/>
        </w:rPr>
        <w:t xml:space="preserve">i) </w:t>
      </w:r>
      <w:r>
        <w:rPr>
          <w:noProof/>
        </w:rPr>
        <w:tab/>
        <w:t xml:space="preserve">le numéraire, les chèques, les créances en numéraire, les traites, les ordres de paiement et autres instruments de paiement; </w:t>
      </w:r>
    </w:p>
    <w:p>
      <w:pPr>
        <w:pStyle w:val="Point1"/>
        <w:rPr>
          <w:noProof/>
        </w:rPr>
      </w:pPr>
      <w:r>
        <w:rPr>
          <w:noProof/>
        </w:rPr>
        <w:t xml:space="preserve">ii) </w:t>
      </w:r>
      <w:r>
        <w:rPr>
          <w:noProof/>
        </w:rPr>
        <w:tab/>
        <w:t xml:space="preserve">les dépôts auprès d'établissements financiers ou d'autres entités, les soldes en compte, les créances et les titres de créance; </w:t>
      </w:r>
    </w:p>
    <w:p>
      <w:pPr>
        <w:pStyle w:val="Point1"/>
        <w:rPr>
          <w:noProof/>
        </w:rPr>
      </w:pPr>
      <w:r>
        <w:rPr>
          <w:noProof/>
        </w:rPr>
        <w:t xml:space="preserve">iii) </w:t>
      </w:r>
      <w:r>
        <w:rPr>
          <w:noProof/>
        </w:rPr>
        <w:tab/>
        <w:t xml:space="preserve">les titres de propriété et d'emprunt, tels que les actions, les certificats représentatifs de valeurs mobilières, les obligations, les billets à ordre, les warrants, les obligations non garanties et les contrats sur produits dérivés, qu'ils soient négociés en Bourse ou fassent l'objet d'un placement privé; </w:t>
      </w:r>
    </w:p>
    <w:p>
      <w:pPr>
        <w:pStyle w:val="Point1"/>
        <w:rPr>
          <w:noProof/>
        </w:rPr>
      </w:pPr>
      <w:r>
        <w:rPr>
          <w:noProof/>
        </w:rPr>
        <w:t xml:space="preserve">iv) </w:t>
      </w:r>
      <w:r>
        <w:rPr>
          <w:noProof/>
        </w:rPr>
        <w:tab/>
        <w:t xml:space="preserve">les intérêts, les dividendes ou autres revenus d'actifs ou plus-values perçus sur des actifs; </w:t>
      </w:r>
    </w:p>
    <w:p>
      <w:pPr>
        <w:pStyle w:val="Point1"/>
        <w:rPr>
          <w:noProof/>
        </w:rPr>
      </w:pPr>
      <w:r>
        <w:rPr>
          <w:noProof/>
        </w:rPr>
        <w:t xml:space="preserve">v) </w:t>
      </w:r>
      <w:r>
        <w:rPr>
          <w:noProof/>
        </w:rPr>
        <w:tab/>
        <w:t xml:space="preserve">le crédit, le droit à compensation, les garanties, les garanties de bonne exécution ou autres engagements financiers; </w:t>
      </w:r>
    </w:p>
    <w:p>
      <w:pPr>
        <w:pStyle w:val="Point1"/>
        <w:rPr>
          <w:noProof/>
        </w:rPr>
      </w:pPr>
      <w:r>
        <w:rPr>
          <w:noProof/>
        </w:rPr>
        <w:t xml:space="preserve">vi) </w:t>
      </w:r>
      <w:r>
        <w:rPr>
          <w:noProof/>
        </w:rPr>
        <w:tab/>
        <w:t xml:space="preserve">les lettres de crédit, les connaissements, les contrats de vente; ainsi que </w:t>
      </w:r>
    </w:p>
    <w:p>
      <w:pPr>
        <w:pStyle w:val="Point1"/>
        <w:rPr>
          <w:noProof/>
        </w:rPr>
      </w:pPr>
      <w:r>
        <w:rPr>
          <w:noProof/>
        </w:rPr>
        <w:t xml:space="preserve">vii) </w:t>
      </w:r>
      <w:r>
        <w:rPr>
          <w:noProof/>
        </w:rPr>
        <w:tab/>
        <w:t xml:space="preserve">tout document attestant la détention de parts d'un fonds ou de ressources financières; </w:t>
      </w:r>
    </w:p>
    <w:p>
      <w:pPr>
        <w:pStyle w:val="Point0letter"/>
        <w:rPr>
          <w:noProof/>
        </w:rPr>
      </w:pPr>
      <w:r>
        <w:rPr>
          <w:noProof/>
        </w:rPr>
        <w:t>«territoire de l'Union», les territoires des États membres auxquels le traité est applicable, dans les conditions fixées par celui-ci, y compris leur espace aérien.</w:t>
      </w:r>
    </w:p>
    <w:p>
      <w:pPr>
        <w:pStyle w:val="Titrearticle"/>
        <w:rPr>
          <w:noProof/>
        </w:rPr>
      </w:pPr>
      <w:r>
        <w:rPr>
          <w:noProof/>
        </w:rPr>
        <w:t>Article 2</w:t>
      </w:r>
    </w:p>
    <w:p>
      <w:pPr>
        <w:pStyle w:val="ManualNumPar1"/>
        <w:rPr>
          <w:noProof/>
        </w:rPr>
      </w:pPr>
      <w:r>
        <w:t>1.</w:t>
      </w:r>
      <w:r>
        <w:tab/>
      </w:r>
      <w:r>
        <w:rPr>
          <w:noProof/>
        </w:rPr>
        <w:t>Sont gelés tous les fonds et ressources économiques appartenant aux personnes physiques ou morales, entités ou organismes inscrits sur la liste qui figure à l'annexe I, de même que tous les fonds et ressources économiques que ces personnes, entités ou organismes possèdent, détiennent ou contrôlent.</w:t>
      </w:r>
    </w:p>
    <w:p>
      <w:pPr>
        <w:pStyle w:val="ManualNumPar1"/>
        <w:rPr>
          <w:noProof/>
        </w:rPr>
      </w:pPr>
      <w:r>
        <w:t>2.</w:t>
      </w:r>
      <w:r>
        <w:tab/>
      </w:r>
      <w:r>
        <w:rPr>
          <w:noProof/>
        </w:rPr>
        <w:t>Nuls fonds ni ressources économiques ne sont mis, directement ou indirectement, à la disposition des personnes physiques ou morales, des entités ou des organismes dont la liste figure à l'annexe I, ni ne sont débloqués à leur profit.</w:t>
      </w:r>
    </w:p>
    <w:p>
      <w:pPr>
        <w:pStyle w:val="ManualNumPar1"/>
        <w:rPr>
          <w:noProof/>
        </w:rPr>
      </w:pPr>
      <w:r>
        <w:t>3.</w:t>
      </w:r>
      <w:r>
        <w:tab/>
      </w:r>
      <w:r>
        <w:rPr>
          <w:noProof/>
        </w:rPr>
        <w:t>L'annexe I inclut les personnes physiques ou morales, les entités et les organismes qui, conformément à l'article 2, paragraphe 1, de la décision (PESC) 2018/... du Conseil, ont été reconnus par le Conseil comme:</w:t>
      </w:r>
    </w:p>
    <w:p>
      <w:pPr>
        <w:pStyle w:val="Point1letter"/>
        <w:rPr>
          <w:noProof/>
        </w:rPr>
      </w:pPr>
      <w:r>
        <w:rPr>
          <w:noProof/>
        </w:rPr>
        <w:t>compromettant l’état de droit ou faisant obstacle à la recherche d'une solution politique inclusive dans les Maldives, y compris par des actes de violence, de répression ou d'incitation à la violence;</w:t>
      </w:r>
    </w:p>
    <w:p>
      <w:pPr>
        <w:pStyle w:val="Point1letter"/>
        <w:rPr>
          <w:noProof/>
        </w:rPr>
      </w:pPr>
      <w:r>
        <w:rPr>
          <w:noProof/>
        </w:rPr>
        <w:t>préparant, donnant l'ordre de commettre ou commettant des violations graves des droits de l'homme ou des atteintes graves à ceux-ci; et</w:t>
      </w:r>
    </w:p>
    <w:p>
      <w:pPr>
        <w:pStyle w:val="Point1letter"/>
        <w:rPr>
          <w:noProof/>
        </w:rPr>
      </w:pPr>
      <w:r>
        <w:rPr>
          <w:noProof/>
        </w:rPr>
        <w:t>associés aux personnes, entités ou organismes visés aux points a) et b).</w:t>
      </w:r>
    </w:p>
    <w:p>
      <w:pPr>
        <w:pStyle w:val="Titrearticle"/>
        <w:rPr>
          <w:noProof/>
        </w:rPr>
      </w:pPr>
      <w:r>
        <w:rPr>
          <w:noProof/>
        </w:rPr>
        <w:t>Article 3</w:t>
      </w:r>
    </w:p>
    <w:p>
      <w:pPr>
        <w:pStyle w:val="ManualNumPar1"/>
        <w:rPr>
          <w:noProof/>
        </w:rPr>
      </w:pPr>
      <w:r>
        <w:t>1.</w:t>
      </w:r>
      <w:r>
        <w:tab/>
      </w:r>
      <w:r>
        <w:rPr>
          <w:noProof/>
        </w:rPr>
        <w:t>Par dérogation à l'article 2, les autorités compétentes des États membres peuvent autoriser le déblocage, ou la mise à disposition, de certains fonds ou ressources économiques gelés, aux conditions qu'elles jugent appropriées, après avoir établi que les fonds ou les ressources économiques concernés sont:</w:t>
      </w:r>
    </w:p>
    <w:p>
      <w:pPr>
        <w:pStyle w:val="Point1letter"/>
        <w:numPr>
          <w:ilvl w:val="3"/>
          <w:numId w:val="25"/>
        </w:numPr>
        <w:rPr>
          <w:noProof/>
        </w:rPr>
      </w:pPr>
      <w:r>
        <w:rPr>
          <w:noProof/>
        </w:rPr>
        <w:t>nécessaires pour répondre aux besoins fondamentaux des personnes physiques ou morales figurant sur la liste de l'annexe I et des membres de la famille de ces personnes physiques qui sont à leur charge, notamment pour couvrir les dépenses consacrées à l'achat de vivres, au paiement de loyers ou au remboursement de prêts hypothécaires, à l'achat de médicaments et au paiement de frais médicaux, d'impôts, de primes d'assurance et de redevances de services publics;</w:t>
      </w:r>
    </w:p>
    <w:p>
      <w:pPr>
        <w:pStyle w:val="Point1letter"/>
        <w:rPr>
          <w:noProof/>
        </w:rPr>
      </w:pPr>
      <w:r>
        <w:rPr>
          <w:noProof/>
        </w:rPr>
        <w:t>destinés exclusivement au règlement d'honoraires d'un montant raisonnable ou au remboursement de dépenses engagées dans le cadre de la fourniture de services juridiques;</w:t>
      </w:r>
    </w:p>
    <w:p>
      <w:pPr>
        <w:pStyle w:val="Point1letter"/>
        <w:rPr>
          <w:noProof/>
        </w:rPr>
      </w:pPr>
      <w:r>
        <w:rPr>
          <w:noProof/>
        </w:rPr>
        <w:t>destinés exclusivement au paiement de commissions ou de frais pour la garde ou la gestion courante de fonds ou de ressources économiques gelés; ou</w:t>
      </w:r>
    </w:p>
    <w:p>
      <w:pPr>
        <w:pStyle w:val="Point1letter"/>
        <w:rPr>
          <w:noProof/>
        </w:rPr>
      </w:pPr>
      <w:r>
        <w:rPr>
          <w:noProof/>
        </w:rPr>
        <w:t>nécessaires pour des dépenses extraordinaires, à condition que l'autorité compétente concernée ait notifié aux autorités compétentes des autres États membres et à la Commission, au moins deux semaines avant l'autorisation, les motifs pour lesquels elle estime qu'une autorisation spéciale devrait être accordée;</w:t>
      </w:r>
    </w:p>
    <w:p>
      <w:pPr>
        <w:pStyle w:val="Point1letter"/>
        <w:rPr>
          <w:noProof/>
        </w:rPr>
      </w:pPr>
      <w:r>
        <w:rPr>
          <w:noProof/>
        </w:rPr>
        <w:t>destinés à être versés sur ou depuis le compte d'une mission diplomatique ou consulaire ou d'une organisation internationale bénéficiant d'immunités conformément au droit international, dans la mesure où ces versements sont destinés à être utilisés à des fins officielles par la mission diplomatique ou consulaire ou l'organisation internationale.</w:t>
      </w:r>
    </w:p>
    <w:p>
      <w:pPr>
        <w:pStyle w:val="ManualNumPar1"/>
        <w:rPr>
          <w:noProof/>
        </w:rPr>
      </w:pPr>
      <w:r>
        <w:t>2.</w:t>
      </w:r>
      <w:r>
        <w:tab/>
      </w:r>
      <w:r>
        <w:rPr>
          <w:noProof/>
        </w:rPr>
        <w:t>L'État membre concerné informe les autres États membres et la Commission de toute autorisation accordée en vertu du paragraphe 1.</w:t>
      </w:r>
    </w:p>
    <w:p>
      <w:pPr>
        <w:pStyle w:val="Titrearticle"/>
        <w:rPr>
          <w:noProof/>
        </w:rPr>
      </w:pPr>
      <w:r>
        <w:rPr>
          <w:noProof/>
        </w:rPr>
        <w:t>Article 4</w:t>
      </w:r>
    </w:p>
    <w:p>
      <w:pPr>
        <w:pStyle w:val="ManualNumPar1"/>
        <w:rPr>
          <w:noProof/>
        </w:rPr>
      </w:pPr>
      <w:r>
        <w:t>1.</w:t>
      </w:r>
      <w:r>
        <w:tab/>
      </w:r>
      <w:r>
        <w:rPr>
          <w:noProof/>
        </w:rPr>
        <w:t>Par dérogation à l'article 2, paragraphe 1, les autorités compétentes des États membres peuvent autoriser le déblocage de certains fonds ou ressources économiques gelés, si les conditions suivantes sont réunies:</w:t>
      </w:r>
    </w:p>
    <w:p>
      <w:pPr>
        <w:pStyle w:val="Point1letter"/>
        <w:numPr>
          <w:ilvl w:val="3"/>
          <w:numId w:val="26"/>
        </w:numPr>
        <w:rPr>
          <w:noProof/>
        </w:rPr>
      </w:pPr>
      <w:r>
        <w:rPr>
          <w:noProof/>
        </w:rPr>
        <w:t>les fonds ou ressources économiques font l'objet d'une décision arbitrale rendue avant la date à laquelle la personne physique ou morale, l'entité ou l'organisme visé à l'article 2 a été inscrit sur la liste figurant à l'annexe I, ou d'une décision judiciaire ou administrative rendue dans l'Union ou d'une décision judiciaire exécutoire dans l'État membre concerné, avant ou après cette date;</w:t>
      </w:r>
    </w:p>
    <w:p>
      <w:pPr>
        <w:pStyle w:val="Point1letter"/>
        <w:numPr>
          <w:ilvl w:val="3"/>
          <w:numId w:val="26"/>
        </w:numPr>
        <w:rPr>
          <w:noProof/>
        </w:rPr>
      </w:pPr>
      <w:r>
        <w:rPr>
          <w:noProof/>
        </w:rPr>
        <w:t>les fonds ou ressources économiques seront exclusivement utilisés pour faire droit aux créances garanties par une telle décision ou dont la validité a été établie par une telle décision, dans les limites fixées par les lois et règlements applicables régissant les droits des personnes titulaires de telles créances;</w:t>
      </w:r>
    </w:p>
    <w:p>
      <w:pPr>
        <w:pStyle w:val="Point1letter"/>
        <w:numPr>
          <w:ilvl w:val="3"/>
          <w:numId w:val="26"/>
        </w:numPr>
        <w:rPr>
          <w:noProof/>
        </w:rPr>
      </w:pPr>
      <w:r>
        <w:rPr>
          <w:noProof/>
        </w:rPr>
        <w:t>la décision n'est pas prise au bénéfice d'une personne physique ou morale, d'une entité ou d'un organisme inscrit sur la liste figurant à l'annexe I; et</w:t>
      </w:r>
    </w:p>
    <w:p>
      <w:pPr>
        <w:pStyle w:val="Point1letter"/>
        <w:numPr>
          <w:ilvl w:val="3"/>
          <w:numId w:val="26"/>
        </w:numPr>
        <w:rPr>
          <w:noProof/>
        </w:rPr>
      </w:pPr>
      <w:r>
        <w:rPr>
          <w:noProof/>
        </w:rPr>
        <w:t>la reconnaissance de la décision n'est pas contraire à l'ordre public de l'État membre concerné.</w:t>
      </w:r>
    </w:p>
    <w:p>
      <w:pPr>
        <w:pStyle w:val="ManualNumPar1"/>
        <w:rPr>
          <w:noProof/>
        </w:rPr>
      </w:pPr>
      <w:r>
        <w:t>2.</w:t>
      </w:r>
      <w:r>
        <w:tab/>
      </w:r>
      <w:r>
        <w:rPr>
          <w:noProof/>
        </w:rPr>
        <w:t>L'État membre concerné informe les autres États membres et la Commission de toute autorisation accordée en vertu du paragraphe 1.</w:t>
      </w:r>
    </w:p>
    <w:p>
      <w:pPr>
        <w:pStyle w:val="Titrearticle"/>
        <w:rPr>
          <w:noProof/>
        </w:rPr>
      </w:pPr>
      <w:r>
        <w:rPr>
          <w:noProof/>
        </w:rPr>
        <w:t>Article 5</w:t>
      </w:r>
    </w:p>
    <w:p>
      <w:pPr>
        <w:pStyle w:val="ManualNumPar1"/>
        <w:rPr>
          <w:noProof/>
        </w:rPr>
      </w:pPr>
      <w:r>
        <w:t>1.</w:t>
      </w:r>
      <w:r>
        <w:tab/>
      </w:r>
      <w:r>
        <w:rPr>
          <w:noProof/>
        </w:rPr>
        <w:t>Par dérogation à l'article 2, paragraphe 1, et pour autant qu'un paiement soit dû par une personne physique ou morale, une entité ou un organisme figurant sur la liste de l'annexe I au titre d'un contrat ou d'un accord conclu ou d'une obligation contractée par la personne physique ou morale, l'entité ou l'organisme concerné avant la date à laquelle il ou elle a été inclus dans l'annexe I, les autorités compétentes des États membres peuvent autoriser, dans les conditions qu'elles jugent appropriées, le déblocage de certains fonds ou ressources économiques gelés, pour autant que l'autorité compétente concernée ait établi que:</w:t>
      </w:r>
    </w:p>
    <w:p>
      <w:pPr>
        <w:pStyle w:val="Point1letter"/>
        <w:numPr>
          <w:ilvl w:val="3"/>
          <w:numId w:val="27"/>
        </w:numPr>
        <w:rPr>
          <w:noProof/>
        </w:rPr>
      </w:pPr>
      <w:r>
        <w:rPr>
          <w:noProof/>
        </w:rPr>
        <w:t>les fonds ou les ressources économiques seront utilisés par une personne physique ou morale, une entité ou un organisme inscrit sur la liste figurant à l'annexe I; et</w:t>
      </w:r>
    </w:p>
    <w:p>
      <w:pPr>
        <w:pStyle w:val="Point1letter"/>
        <w:numPr>
          <w:ilvl w:val="3"/>
          <w:numId w:val="27"/>
        </w:numPr>
        <w:rPr>
          <w:noProof/>
        </w:rPr>
      </w:pPr>
      <w:r>
        <w:rPr>
          <w:noProof/>
        </w:rPr>
        <w:t>le paiement n'enfreint pas les dispositions de l'article 2, paragraphe 2.</w:t>
      </w:r>
    </w:p>
    <w:p>
      <w:pPr>
        <w:pStyle w:val="ManualNumPar1"/>
        <w:rPr>
          <w:noProof/>
        </w:rPr>
      </w:pPr>
      <w:r>
        <w:t>2.</w:t>
      </w:r>
      <w:r>
        <w:tab/>
      </w:r>
      <w:r>
        <w:rPr>
          <w:noProof/>
        </w:rPr>
        <w:t>L'État membre concerné informe les autres États membres et la Commission de toute autorisation accordée en vertu du paragraphe 1.</w:t>
      </w:r>
    </w:p>
    <w:p>
      <w:pPr>
        <w:pStyle w:val="Titrearticle"/>
        <w:rPr>
          <w:noProof/>
        </w:rPr>
      </w:pPr>
      <w:r>
        <w:rPr>
          <w:noProof/>
        </w:rPr>
        <w:t>Article 6</w:t>
      </w:r>
    </w:p>
    <w:p>
      <w:pPr>
        <w:pStyle w:val="ManualNumPar1"/>
        <w:rPr>
          <w:noProof/>
        </w:rPr>
      </w:pPr>
      <w:r>
        <w:t>1.</w:t>
      </w:r>
      <w:r>
        <w:tab/>
      </w:r>
      <w:r>
        <w:rPr>
          <w:noProof/>
        </w:rPr>
        <w:t>L'article 2, paragraphe 2, n'empêche pas les établissements financiers ou de crédit de créditer les comptes gelés lorsqu'ils reçoivent des fonds versés par des tiers sur le compte d'une personne physique ou morale, d'une entité ou d'un organisme inscrit sur la liste, à condition que toute majoration de ces comptes soit également gelée. L'établissement financier ou de crédit informe sans tarder l'autorité compétente concernée de ces opérations.</w:t>
      </w:r>
    </w:p>
    <w:p>
      <w:pPr>
        <w:pStyle w:val="ManualNumPar1"/>
        <w:rPr>
          <w:noProof/>
        </w:rPr>
      </w:pPr>
      <w:r>
        <w:t>2.</w:t>
      </w:r>
      <w:r>
        <w:tab/>
      </w:r>
      <w:r>
        <w:rPr>
          <w:noProof/>
        </w:rPr>
        <w:t>L'article 2, paragraphe 2, ne s'applique pas au versement sur les comptes gelés:</w:t>
      </w:r>
    </w:p>
    <w:p>
      <w:pPr>
        <w:pStyle w:val="Point1letter"/>
        <w:numPr>
          <w:ilvl w:val="3"/>
          <w:numId w:val="28"/>
        </w:numPr>
        <w:rPr>
          <w:noProof/>
        </w:rPr>
      </w:pPr>
      <w:r>
        <w:rPr>
          <w:noProof/>
        </w:rPr>
        <w:t>d'intérêts ou d'autres rémunérations de ces comptes;</w:t>
      </w:r>
    </w:p>
    <w:p>
      <w:pPr>
        <w:pStyle w:val="Point1letter"/>
        <w:numPr>
          <w:ilvl w:val="3"/>
          <w:numId w:val="28"/>
        </w:numPr>
        <w:rPr>
          <w:noProof/>
        </w:rPr>
      </w:pPr>
      <w:r>
        <w:rPr>
          <w:noProof/>
        </w:rPr>
        <w:t>de paiements dus en vertu de contrats ou d'accords conclus ou d'obligations contractées avant la date à laquelle la personne physique ou morale, l'entité ou l'organisme visé à l'article 2 a été inclus dans l'annexe I; ou</w:t>
      </w:r>
    </w:p>
    <w:p>
      <w:pPr>
        <w:pStyle w:val="Point1letter"/>
        <w:numPr>
          <w:ilvl w:val="3"/>
          <w:numId w:val="28"/>
        </w:numPr>
        <w:rPr>
          <w:noProof/>
        </w:rPr>
      </w:pPr>
      <w:r>
        <w:rPr>
          <w:noProof/>
        </w:rPr>
        <w:t>de paiements dus en application de décisions judiciaires, administratives ou arbitrales rendues dans un État membre ou exécutoires dans l'État membre concerné.</w:t>
      </w:r>
    </w:p>
    <w:p>
      <w:pPr>
        <w:pStyle w:val="Titrearticle"/>
        <w:rPr>
          <w:noProof/>
        </w:rPr>
      </w:pPr>
      <w:r>
        <w:rPr>
          <w:noProof/>
        </w:rPr>
        <w:t>Article 7</w:t>
      </w:r>
    </w:p>
    <w:p>
      <w:pPr>
        <w:pStyle w:val="ManualNumPar1"/>
        <w:rPr>
          <w:noProof/>
        </w:rPr>
      </w:pPr>
      <w:r>
        <w:t>1.</w:t>
      </w:r>
      <w:r>
        <w:tab/>
      </w:r>
      <w:r>
        <w:rPr>
          <w:noProof/>
        </w:rPr>
        <w:t>Sans préjudice des règles applicables en matière de communication d'informations, de confidentialité et de secret professionnel, les personnes physiques ou morales, les entités et les organismes:</w:t>
      </w:r>
    </w:p>
    <w:p>
      <w:pPr>
        <w:pStyle w:val="Point1letter"/>
        <w:numPr>
          <w:ilvl w:val="3"/>
          <w:numId w:val="29"/>
        </w:numPr>
        <w:rPr>
          <w:noProof/>
        </w:rPr>
      </w:pPr>
      <w:r>
        <w:rPr>
          <w:noProof/>
        </w:rPr>
        <w:t>fournissent immédiatement toute information susceptible de faciliter le respect du présent règlement, notamment les informations concernant les comptes et les montants gelés en vertu de l'article 2, à l'autorité compétente de l'État membre dans lequel ils résident ou sont établis et transmettent cette information à la Commission, directement ou par l'intermédiaire de l'État membre; et</w:t>
      </w:r>
    </w:p>
    <w:p>
      <w:pPr>
        <w:pStyle w:val="Point1letter"/>
        <w:numPr>
          <w:ilvl w:val="3"/>
          <w:numId w:val="29"/>
        </w:numPr>
        <w:rPr>
          <w:noProof/>
        </w:rPr>
      </w:pPr>
      <w:r>
        <w:rPr>
          <w:noProof/>
        </w:rPr>
        <w:t>coopèrent avec l'autorité compétente aux fins de toute vérification de cette information.</w:t>
      </w:r>
    </w:p>
    <w:p>
      <w:pPr>
        <w:pStyle w:val="ManualNumPar1"/>
        <w:rPr>
          <w:noProof/>
        </w:rPr>
      </w:pPr>
      <w:r>
        <w:t>2.</w:t>
      </w:r>
      <w:r>
        <w:tab/>
      </w:r>
      <w:r>
        <w:rPr>
          <w:noProof/>
        </w:rPr>
        <w:t>Toute information supplémentaire reçue directement par la Commission est mise à la disposition des États membres.</w:t>
      </w:r>
    </w:p>
    <w:p>
      <w:pPr>
        <w:pStyle w:val="ManualNumPar1"/>
        <w:rPr>
          <w:noProof/>
        </w:rPr>
      </w:pPr>
      <w:r>
        <w:t>3.</w:t>
      </w:r>
      <w:r>
        <w:tab/>
      </w:r>
      <w:r>
        <w:rPr>
          <w:noProof/>
        </w:rPr>
        <w:t>Toute information fournie ou reçue conformément au présent article est utilisée aux seules fins pour lesquelles elle a été fournie ou reçue.</w:t>
      </w:r>
    </w:p>
    <w:p>
      <w:pPr>
        <w:pStyle w:val="Titrearticle"/>
        <w:rPr>
          <w:noProof/>
        </w:rPr>
      </w:pPr>
      <w:r>
        <w:rPr>
          <w:noProof/>
        </w:rPr>
        <w:t>Article 8</w:t>
      </w:r>
    </w:p>
    <w:p>
      <w:pPr>
        <w:rPr>
          <w:noProof/>
        </w:rPr>
      </w:pPr>
      <w:r>
        <w:rPr>
          <w:noProof/>
        </w:rPr>
        <w:t>Il est interdit de participer sciemment ou volontairement à des activités ayant pour objet ou pour effet de contourner les mesures visées à l'article 2.</w:t>
      </w:r>
    </w:p>
    <w:p>
      <w:pPr>
        <w:pStyle w:val="Titrearticle"/>
        <w:rPr>
          <w:noProof/>
        </w:rPr>
      </w:pPr>
      <w:r>
        <w:rPr>
          <w:noProof/>
        </w:rPr>
        <w:t>Article 9</w:t>
      </w:r>
    </w:p>
    <w:p>
      <w:pPr>
        <w:pStyle w:val="ManualNumPar1"/>
        <w:rPr>
          <w:noProof/>
        </w:rPr>
      </w:pPr>
      <w:r>
        <w:t>1.</w:t>
      </w:r>
      <w:r>
        <w:tab/>
      </w:r>
      <w:r>
        <w:rPr>
          <w:noProof/>
        </w:rPr>
        <w:t>Le gel des fonds et des ressources économiques ou le refus d'en autoriser la mise à disposition, pour autant qu'ils soient décidés de bonne foi au motif qu'une telle action est conforme au présent règlement, n'entraînent, pour la personne physique ou morale, l'entité ou l'organisme qui y procède, sa direction ou ses employés, aucune responsabilité de quelque nature que ce soit, à moins qu'il ne soit établi que le gel ou la rétention de ces fonds et ressources économiques résulte d'une négligence.</w:t>
      </w:r>
    </w:p>
    <w:p>
      <w:pPr>
        <w:pStyle w:val="ManualNumPar1"/>
        <w:rPr>
          <w:noProof/>
        </w:rPr>
      </w:pPr>
      <w:r>
        <w:t>2.</w:t>
      </w:r>
      <w:r>
        <w:tab/>
      </w:r>
      <w:r>
        <w:rPr>
          <w:noProof/>
        </w:rPr>
        <w:t>Les actions entreprises par des personnes physiques ou morales, des entités ou des organismes n'entraînent pour eux aucune responsabilité de quelque nature que ce soit, dès lors qu'ils ne savaient ni ne pouvaient raisonnablement soupçonner que leurs actions enfreindraient les mesures énoncées dans le présent règlement.</w:t>
      </w:r>
    </w:p>
    <w:p>
      <w:pPr>
        <w:pStyle w:val="Titrearticle"/>
        <w:rPr>
          <w:noProof/>
        </w:rPr>
      </w:pPr>
      <w:r>
        <w:rPr>
          <w:noProof/>
        </w:rPr>
        <w:t>Article 10</w:t>
      </w:r>
    </w:p>
    <w:p>
      <w:pPr>
        <w:pStyle w:val="ManualNumPar1"/>
        <w:rPr>
          <w:noProof/>
        </w:rPr>
      </w:pPr>
      <w:r>
        <w:t>1.</w:t>
      </w:r>
      <w:r>
        <w:tab/>
      </w:r>
      <w:r>
        <w:rPr>
          <w:noProof/>
        </w:rPr>
        <w:t>Il n'est fait droit à aucune demande à l'occasion de tout contrat ou toute opération dont l'exécution a été affectée, directement ou indirectement, en tout ou en partie, par les mesures instituées en vertu du présent règlement, y compris à des demandes d'indemnisation ou à toute autre demande de ce type, telle qu'une demande de compensation ou une demande à titre de garantie, notamment une demande visant à obtenir la prorogation ou le paiement d'une garantie ou d'une contre-garantie, notamment financière, quelle qu'en soit la forme, présentée par:</w:t>
      </w:r>
    </w:p>
    <w:p>
      <w:pPr>
        <w:pStyle w:val="Point1letter"/>
        <w:numPr>
          <w:ilvl w:val="3"/>
          <w:numId w:val="30"/>
        </w:numPr>
        <w:rPr>
          <w:noProof/>
        </w:rPr>
      </w:pPr>
      <w:r>
        <w:rPr>
          <w:noProof/>
        </w:rPr>
        <w:t>des personnes physiques ou morales, des entités ou des organismes désignés inscrits sur la liste figurant à l'annexe I;</w:t>
      </w:r>
    </w:p>
    <w:p>
      <w:pPr>
        <w:pStyle w:val="Point1letter"/>
        <w:numPr>
          <w:ilvl w:val="3"/>
          <w:numId w:val="30"/>
        </w:numPr>
        <w:rPr>
          <w:noProof/>
        </w:rPr>
      </w:pPr>
      <w:r>
        <w:rPr>
          <w:noProof/>
        </w:rPr>
        <w:t>toute personne physique ou morale, toute entité ou tout organisme agissant par l'intermédiaire ou pour le compte d'une des personnes ou entités ou d'un des organismes visés au point a).</w:t>
      </w:r>
    </w:p>
    <w:p>
      <w:pPr>
        <w:pStyle w:val="ManualNumPar1"/>
        <w:rPr>
          <w:noProof/>
        </w:rPr>
      </w:pPr>
      <w:r>
        <w:t>2.</w:t>
      </w:r>
      <w:r>
        <w:tab/>
      </w:r>
      <w:r>
        <w:rPr>
          <w:noProof/>
        </w:rPr>
        <w:t>Dans toute procédure visant à donner effet à une demande, la charge de la preuve que la satisfaction de la demande n'est pas interdite par le paragraphe 1 incombe à la personne physique ou morale, à l'entité ou à l'organisme cherchant à donner effet à cette demande.</w:t>
      </w:r>
    </w:p>
    <w:p>
      <w:pPr>
        <w:pStyle w:val="ManualNumPar1"/>
        <w:rPr>
          <w:noProof/>
        </w:rPr>
      </w:pPr>
      <w:r>
        <w:t>3.</w:t>
      </w:r>
      <w:r>
        <w:tab/>
      </w:r>
      <w:r>
        <w:rPr>
          <w:noProof/>
        </w:rPr>
        <w:t>Le présent article s'applique sans préjudice du droit des personnes physiques ou morales, des entités et des organismes visés au paragraphe 1 au contrôle juridictionnel de la légalité du non-respect des obligations contractuelles conformément au présent règlement.</w:t>
      </w:r>
    </w:p>
    <w:p>
      <w:pPr>
        <w:pStyle w:val="Titrearticle"/>
        <w:rPr>
          <w:noProof/>
        </w:rPr>
      </w:pPr>
      <w:r>
        <w:rPr>
          <w:noProof/>
        </w:rPr>
        <w:t>Article 11</w:t>
      </w:r>
    </w:p>
    <w:p>
      <w:pPr>
        <w:pStyle w:val="ManualNumPar1"/>
        <w:rPr>
          <w:noProof/>
        </w:rPr>
      </w:pPr>
      <w:r>
        <w:t>1.</w:t>
      </w:r>
      <w:r>
        <w:tab/>
      </w:r>
      <w:r>
        <w:rPr>
          <w:noProof/>
        </w:rPr>
        <w:t>La Commission et les États membres s'informent mutuellement des mesures prises en vertu du présent règlement et se communiquent toute autre information utile dont ils disposent en rapport avec le présent règlement, concernant en particulier:</w:t>
      </w:r>
    </w:p>
    <w:p>
      <w:pPr>
        <w:pStyle w:val="Point1letter"/>
        <w:numPr>
          <w:ilvl w:val="3"/>
          <w:numId w:val="31"/>
        </w:numPr>
        <w:rPr>
          <w:noProof/>
        </w:rPr>
      </w:pPr>
      <w:r>
        <w:rPr>
          <w:noProof/>
        </w:rPr>
        <w:t>les fonds gelés en vertu de l'article 2 et les autorisations délivrées en vertu des articles 3, 4 et 5;</w:t>
      </w:r>
    </w:p>
    <w:p>
      <w:pPr>
        <w:pStyle w:val="Point1letter"/>
        <w:numPr>
          <w:ilvl w:val="3"/>
          <w:numId w:val="31"/>
        </w:numPr>
        <w:rPr>
          <w:noProof/>
        </w:rPr>
      </w:pPr>
      <w:r>
        <w:rPr>
          <w:noProof/>
        </w:rPr>
        <w:t>les problèmes de violation du présent règlement, les problèmes rencontrés dans la mise en œuvre de celui-ci et les jugements rendus par les juridictions nationales.</w:t>
      </w:r>
    </w:p>
    <w:p>
      <w:pPr>
        <w:pStyle w:val="ManualNumPar1"/>
        <w:rPr>
          <w:noProof/>
        </w:rPr>
      </w:pPr>
      <w:r>
        <w:t>2.</w:t>
      </w:r>
      <w:r>
        <w:tab/>
      </w:r>
      <w:r>
        <w:rPr>
          <w:noProof/>
        </w:rPr>
        <w:t>Les États membres se tiennent mutuellement et immédiatement informés de toute autre information utile dont ils disposent et qui serait susceptible d'entraver la mise en œuvre effective du présent règlement et en tiennent de même immédiatement informée la Commission.</w:t>
      </w:r>
    </w:p>
    <w:p>
      <w:pPr>
        <w:pStyle w:val="Titrearticle"/>
        <w:rPr>
          <w:noProof/>
        </w:rPr>
      </w:pPr>
      <w:r>
        <w:rPr>
          <w:noProof/>
        </w:rPr>
        <w:t>Article 12</w:t>
      </w:r>
    </w:p>
    <w:p>
      <w:pPr>
        <w:rPr>
          <w:noProof/>
        </w:rPr>
      </w:pPr>
      <w:r>
        <w:rPr>
          <w:noProof/>
        </w:rPr>
        <w:t>La Commission est habilitée à modifier l’annexe II sur la base des informations fournies par les États membres.</w:t>
      </w:r>
    </w:p>
    <w:p>
      <w:pPr>
        <w:pStyle w:val="Titrearticle"/>
        <w:rPr>
          <w:noProof/>
        </w:rPr>
      </w:pPr>
      <w:r>
        <w:rPr>
          <w:noProof/>
        </w:rPr>
        <w:t>Article 13</w:t>
      </w:r>
    </w:p>
    <w:p>
      <w:pPr>
        <w:pStyle w:val="ManualNumPar1"/>
        <w:rPr>
          <w:noProof/>
        </w:rPr>
      </w:pPr>
      <w:r>
        <w:t>1.</w:t>
      </w:r>
      <w:r>
        <w:tab/>
      </w:r>
      <w:r>
        <w:rPr>
          <w:noProof/>
        </w:rPr>
        <w:t>La Commission est habilitée:</w:t>
      </w:r>
    </w:p>
    <w:p>
      <w:pPr>
        <w:pStyle w:val="Point1letter"/>
        <w:numPr>
          <w:ilvl w:val="3"/>
          <w:numId w:val="36"/>
        </w:numPr>
        <w:rPr>
          <w:noProof/>
        </w:rPr>
      </w:pPr>
      <w:r>
        <w:rPr>
          <w:noProof/>
        </w:rPr>
        <w:t>à modifier l'annexe I sur la base des décisions prises par le Conseil en ce qui concerne l'annexe de la décision 2017/XXX/PESC du Conseil; et</w:t>
      </w:r>
    </w:p>
    <w:p>
      <w:pPr>
        <w:pStyle w:val="Point1letter"/>
        <w:numPr>
          <w:ilvl w:val="3"/>
          <w:numId w:val="31"/>
        </w:numPr>
        <w:rPr>
          <w:noProof/>
        </w:rPr>
      </w:pPr>
      <w:r>
        <w:rPr>
          <w:noProof/>
        </w:rPr>
        <w:t>à modifier l'annexe II sur la base des informations fournies par les États membres.</w:t>
      </w:r>
    </w:p>
    <w:p>
      <w:pPr>
        <w:pStyle w:val="ManualNumPar1"/>
        <w:rPr>
          <w:noProof/>
        </w:rPr>
      </w:pPr>
      <w:r>
        <w:t>2.</w:t>
      </w:r>
      <w:r>
        <w:tab/>
      </w:r>
      <w:r>
        <w:rPr>
          <w:noProof/>
        </w:rPr>
        <w:t xml:space="preserve">La Commission énumère, à l'annexe I, les motifs de chaque inscription dans cette annexe et communique ses décisions, en précisant les motifs de l’inscription, aux personnes physiques ou morales, aux entités ou aux organismes inscrits sur la liste, si leur adresse est connue, ou, si leur adresse n'est pas connue, fait part de ses décisions aux personnes physiques ou morales, aux entités ou aux organismes inscrits sur la liste par la publication d'un avis au </w:t>
      </w:r>
      <w:r>
        <w:rPr>
          <w:i/>
          <w:noProof/>
        </w:rPr>
        <w:t>Journal officiel de l’Union européenne</w:t>
      </w:r>
      <w:r>
        <w:rPr>
          <w:noProof/>
        </w:rPr>
        <w:t>, en leur donnant la possibilité de présenter des observations.</w:t>
      </w:r>
    </w:p>
    <w:p>
      <w:pPr>
        <w:pStyle w:val="ManualNumPar1"/>
        <w:rPr>
          <w:noProof/>
        </w:rPr>
      </w:pPr>
      <w:r>
        <w:t>3.</w:t>
      </w:r>
      <w:r>
        <w:tab/>
      </w:r>
      <w:r>
        <w:rPr>
          <w:noProof/>
        </w:rPr>
        <w:t>Si des observations sont formulées ou si de nouveaux éléments de preuve substantiels sont présentés, la Commission revoit sa décision à la lumière des observations communiquées et de toute autre information pertinente, conformément à la procédure visée au paragraphe 1, et informe la personne physique ou morale, l’entité ou l’organisme des conclusions de cette révision.</w:t>
      </w:r>
    </w:p>
    <w:p>
      <w:pPr>
        <w:pStyle w:val="Titrearticle"/>
        <w:rPr>
          <w:noProof/>
        </w:rPr>
      </w:pPr>
      <w:r>
        <w:rPr>
          <w:noProof/>
        </w:rPr>
        <w:t>Article 14</w:t>
      </w:r>
    </w:p>
    <w:p>
      <w:pPr>
        <w:pStyle w:val="ManualNumPar1"/>
        <w:rPr>
          <w:noProof/>
        </w:rPr>
      </w:pPr>
      <w:r>
        <w:t>1.</w:t>
      </w:r>
      <w:r>
        <w:tab/>
      </w:r>
      <w:r>
        <w:rPr>
          <w:noProof/>
        </w:rPr>
        <w:t>L'annexe I contient les motifs de l'inscription sur la liste des personnes physiques ou morales, des entités ou des organismes concernés.</w:t>
      </w:r>
    </w:p>
    <w:p>
      <w:pPr>
        <w:pStyle w:val="ManualNumPar1"/>
        <w:rPr>
          <w:noProof/>
        </w:rPr>
      </w:pPr>
      <w:r>
        <w:t>2.</w:t>
      </w:r>
      <w:r>
        <w:tab/>
      </w:r>
      <w:r>
        <w:rPr>
          <w:noProof/>
        </w:rPr>
        <w:t>L'annexe I contient, si elles sont disponibles, les informations nécessaires à l'identification des personnes physiques ou morales, des entités ou des organismes concernés. Pour les personnes physiques, ces informations peuvent comprendre le nom et les prénoms, y compris les pseudonymes, la date et le lieu de naissance, la nationalité, les numéros de passeport et de carte d’identité, le sexe, l’adresse, si elle est connue, ainsi que la fonction ou la profession. Pour ce qui est des personnes morales, entités et organismes, ces informations peuvent comprendre la dénomination, le lieu et la date d'enregistrement, le numéro d'enregistrement et l'adresse professionnelle.</w:t>
      </w:r>
    </w:p>
    <w:p>
      <w:pPr>
        <w:pStyle w:val="Titrearticle"/>
        <w:rPr>
          <w:noProof/>
        </w:rPr>
      </w:pPr>
      <w:r>
        <w:rPr>
          <w:noProof/>
        </w:rPr>
        <w:t>Article 15</w:t>
      </w:r>
    </w:p>
    <w:p>
      <w:pPr>
        <w:pStyle w:val="ManualNumPar1"/>
        <w:rPr>
          <w:noProof/>
        </w:rPr>
      </w:pPr>
      <w:r>
        <w:t>1.</w:t>
      </w:r>
      <w:r>
        <w:tab/>
      </w:r>
      <w:r>
        <w:rPr>
          <w:noProof/>
        </w:rPr>
        <w:t>Les États membres arrêtent le régime des sanctions à appliquer en cas d'infraction aux dispositions du présent règlement et prennent toutes les mesures nécessaires pour en garantir l'exécution. Les sanctions prévues doivent être efficaces, proportionnées et dissuasives.</w:t>
      </w:r>
    </w:p>
    <w:p>
      <w:pPr>
        <w:pStyle w:val="ManualNumPar1"/>
        <w:rPr>
          <w:noProof/>
        </w:rPr>
      </w:pPr>
      <w:r>
        <w:t>2.</w:t>
      </w:r>
      <w:r>
        <w:tab/>
      </w:r>
      <w:r>
        <w:rPr>
          <w:noProof/>
        </w:rPr>
        <w:t>Les États membres notifient ce régime à la Commission sans délai après l'entrée en vigueur du présent règlement et lui notifient toute modification ultérieure de ce régime.</w:t>
      </w:r>
    </w:p>
    <w:p>
      <w:pPr>
        <w:pStyle w:val="Titrearticle"/>
        <w:rPr>
          <w:noProof/>
        </w:rPr>
      </w:pPr>
      <w:r>
        <w:rPr>
          <w:noProof/>
        </w:rPr>
        <w:t>Article 15 bis</w:t>
      </w:r>
    </w:p>
    <w:p>
      <w:pPr>
        <w:pStyle w:val="ManualNumPar1"/>
        <w:rPr>
          <w:noProof/>
        </w:rPr>
      </w:pPr>
      <w:bookmarkStart w:id="1" w:name="DQPStarAt1DQPStarAt9BA70349F848465EA21D7"/>
      <w:r>
        <w:t>1.</w:t>
      </w:r>
      <w:r>
        <w:tab/>
      </w:r>
      <w:r>
        <w:rPr>
          <w:noProof/>
        </w:rPr>
        <w:t xml:space="preserve">La Commission traite des données à caractère personnel pour mener à bien les tâches qui lui incombent au titre du présent règlement. Ces tâches comprennent notamment: </w:t>
      </w:r>
    </w:p>
    <w:p>
      <w:pPr>
        <w:pStyle w:val="Point1letter"/>
        <w:numPr>
          <w:ilvl w:val="3"/>
          <w:numId w:val="35"/>
        </w:numPr>
        <w:rPr>
          <w:noProof/>
        </w:rPr>
      </w:pPr>
      <w:bookmarkStart w:id="2" w:name="DQPStarAt1DQPStarAt5CED5A9489CF4CBA9E53E"/>
      <w:bookmarkEnd w:id="1"/>
      <w:r>
        <w:rPr>
          <w:noProof/>
        </w:rPr>
        <w:t xml:space="preserve">l'élaboration et l’application des modifications de l'annexe I; </w:t>
      </w:r>
    </w:p>
    <w:bookmarkEnd w:id="2"/>
    <w:p>
      <w:pPr>
        <w:pStyle w:val="Point1letter"/>
        <w:numPr>
          <w:ilvl w:val="3"/>
          <w:numId w:val="35"/>
        </w:numPr>
        <w:rPr>
          <w:noProof/>
        </w:rPr>
      </w:pPr>
      <w:r>
        <w:rPr>
          <w:noProof/>
        </w:rPr>
        <w:t xml:space="preserve">l'insertion du contenu de l'annexe I dans la liste électronique consolidée des personnes, groupes et entités auxquels l'Union a infligé des sanctions financières et dans la carte interactive des sanctions, toutes deux accessibles au public; </w:t>
      </w:r>
    </w:p>
    <w:p>
      <w:pPr>
        <w:pStyle w:val="Point1letter"/>
        <w:numPr>
          <w:ilvl w:val="3"/>
          <w:numId w:val="35"/>
        </w:numPr>
        <w:rPr>
          <w:noProof/>
        </w:rPr>
      </w:pPr>
      <w:r>
        <w:rPr>
          <w:noProof/>
        </w:rPr>
        <w:t>le traitement d'informations sur les effets des mesures prises en vertu du présent règlement, comme la valeur des fonds gelés et des informations sur les autorisations accordées par les autorités compétentes.</w:t>
      </w:r>
    </w:p>
    <w:p>
      <w:pPr>
        <w:pStyle w:val="ManualNumPar1"/>
        <w:rPr>
          <w:noProof/>
        </w:rPr>
      </w:pPr>
      <w:r>
        <w:t>2.</w:t>
      </w:r>
      <w:r>
        <w:tab/>
      </w:r>
      <w:r>
        <w:rPr>
          <w:noProof/>
        </w:rPr>
        <w:t>La Commission est autorisée à traiter les données pertinentes relatives aux infractions pénales commises par les personnes physiques figurant sur la liste ainsi qu’aux condamnations pénales ou aux mesures de sûreté concernant ces personnes dans la seule mesure où ce traitement est nécessaire à l’élaboration de l’annexe I du présent règlement. Il est interdit d'échanger ces données ou de les rendre publiques.</w:t>
      </w:r>
    </w:p>
    <w:p>
      <w:pPr>
        <w:pStyle w:val="ManualNumPar1"/>
        <w:rPr>
          <w:noProof/>
        </w:rPr>
      </w:pPr>
      <w:r>
        <w:t>3.</w:t>
      </w:r>
      <w:r>
        <w:tab/>
      </w:r>
      <w:r>
        <w:rPr>
          <w:noProof/>
        </w:rPr>
        <w:t>Aux fins du présent règlement, le service de la Commission indiqué à l'annexe II est désigné «responsable du traitement» pour la Commission au sens de l'article 2, point d), du règlement (CE) n° 45/2001, afin de garantir que les personnes physiques concernées peuvent exercer leurs droits en vertu dudit règlement.</w:t>
      </w:r>
    </w:p>
    <w:p>
      <w:pPr>
        <w:pStyle w:val="Titrearticle"/>
        <w:rPr>
          <w:noProof/>
        </w:rPr>
      </w:pPr>
      <w:r>
        <w:rPr>
          <w:noProof/>
        </w:rPr>
        <w:t>Article 16</w:t>
      </w:r>
    </w:p>
    <w:p>
      <w:pPr>
        <w:pStyle w:val="ManualNumPar1"/>
        <w:rPr>
          <w:noProof/>
        </w:rPr>
      </w:pPr>
      <w:r>
        <w:t>1.</w:t>
      </w:r>
      <w:r>
        <w:tab/>
      </w:r>
      <w:r>
        <w:rPr>
          <w:noProof/>
        </w:rPr>
        <w:t>Les États membres désignent les autorités compétentes visées dans le présent règlement et les mentionnent sur les sites web énumérés à l'annexe II. Ils notifient à la Commission toute modification relative aux adresses de leurs sites web énumérés à l'annexe II.</w:t>
      </w:r>
    </w:p>
    <w:p>
      <w:pPr>
        <w:pStyle w:val="ManualNumPar1"/>
        <w:rPr>
          <w:noProof/>
        </w:rPr>
      </w:pPr>
      <w:r>
        <w:t>2.</w:t>
      </w:r>
      <w:r>
        <w:tab/>
      </w:r>
      <w:r>
        <w:rPr>
          <w:noProof/>
        </w:rPr>
        <w:t>Les États membres notifient à la Commission leurs autorités compétentes, y compris leurs coordonnées, aussitôt après l'entrée en vigueur du présent règlement, ainsi que toute modification ultérieure.</w:t>
      </w:r>
    </w:p>
    <w:p>
      <w:pPr>
        <w:pStyle w:val="ManualNumPar1"/>
        <w:rPr>
          <w:noProof/>
        </w:rPr>
      </w:pPr>
      <w:r>
        <w:t>3.</w:t>
      </w:r>
      <w:r>
        <w:tab/>
      </w:r>
      <w:r>
        <w:rPr>
          <w:noProof/>
        </w:rPr>
        <w:t>Lorsque le présent règlement prévoit une obligation de notification, d'information ou de toute autre forme de communication avec la Commission, l'adresse et les autres coordonnées à utiliser pour ces échanges sont celles qui figurent à l'annexe II.</w:t>
      </w:r>
    </w:p>
    <w:p>
      <w:pPr>
        <w:pStyle w:val="Titrearticle"/>
        <w:rPr>
          <w:noProof/>
        </w:rPr>
      </w:pPr>
      <w:r>
        <w:rPr>
          <w:noProof/>
        </w:rPr>
        <w:t>Article 17</w:t>
      </w:r>
    </w:p>
    <w:p>
      <w:pPr>
        <w:rPr>
          <w:noProof/>
        </w:rPr>
      </w:pPr>
      <w:r>
        <w:rPr>
          <w:noProof/>
        </w:rPr>
        <w:t>Le présent règlement s’applique:</w:t>
      </w:r>
    </w:p>
    <w:p>
      <w:pPr>
        <w:pStyle w:val="Point0letter"/>
        <w:numPr>
          <w:ilvl w:val="1"/>
          <w:numId w:val="24"/>
        </w:numPr>
        <w:rPr>
          <w:noProof/>
        </w:rPr>
      </w:pPr>
      <w:r>
        <w:rPr>
          <w:noProof/>
        </w:rPr>
        <w:t>sur le territoire de l'Union, y compris dans son espace aérien;</w:t>
      </w:r>
    </w:p>
    <w:p>
      <w:pPr>
        <w:pStyle w:val="Point0letter"/>
        <w:numPr>
          <w:ilvl w:val="1"/>
          <w:numId w:val="24"/>
        </w:numPr>
        <w:rPr>
          <w:noProof/>
        </w:rPr>
      </w:pPr>
      <w:r>
        <w:rPr>
          <w:noProof/>
        </w:rPr>
        <w:t>à bord de tout aéronef ou de tout navire relevant de la juridiction d'un État membre;</w:t>
      </w:r>
    </w:p>
    <w:p>
      <w:pPr>
        <w:pStyle w:val="Point0letter"/>
        <w:numPr>
          <w:ilvl w:val="1"/>
          <w:numId w:val="24"/>
        </w:numPr>
        <w:rPr>
          <w:noProof/>
        </w:rPr>
      </w:pPr>
      <w:r>
        <w:rPr>
          <w:noProof/>
        </w:rPr>
        <w:t>à toute personne physique, à l'intérieur ou à l'extérieur du territoire de l'Union, qui est ressortissante d'un État membre;</w:t>
      </w:r>
    </w:p>
    <w:p>
      <w:pPr>
        <w:pStyle w:val="Point0letter"/>
        <w:numPr>
          <w:ilvl w:val="1"/>
          <w:numId w:val="24"/>
        </w:numPr>
        <w:rPr>
          <w:noProof/>
        </w:rPr>
      </w:pPr>
      <w:r>
        <w:rPr>
          <w:noProof/>
        </w:rPr>
        <w:t>à toute personne morale, toute entité ou tout organisme, à l'intérieur ou à l'extérieur du territoire de l'Union, établi ou constitué conformément au droit d'un État membre;</w:t>
      </w:r>
    </w:p>
    <w:p>
      <w:pPr>
        <w:pStyle w:val="Point0letter"/>
        <w:numPr>
          <w:ilvl w:val="1"/>
          <w:numId w:val="24"/>
        </w:numPr>
        <w:rPr>
          <w:noProof/>
        </w:rPr>
      </w:pPr>
      <w:r>
        <w:rPr>
          <w:noProof/>
        </w:rPr>
        <w:t>à toute personne morale, toute entité ou tout organisme en ce qui concerne toute opération commerciale réalisée intégralement ou en partie dans l'Union.</w:t>
      </w:r>
    </w:p>
    <w:p>
      <w:pPr>
        <w:pStyle w:val="Titrearticle"/>
        <w:rPr>
          <w:noProof/>
        </w:rPr>
      </w:pPr>
      <w:r>
        <w:rPr>
          <w:noProof/>
        </w:rPr>
        <w:t>Article 18</w:t>
      </w:r>
    </w:p>
    <w:p>
      <w:pPr>
        <w:rPr>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 […], p. […].</w:t>
      </w:r>
    </w:p>
  </w:footnote>
  <w:footnote w:id="2">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
    <w:p>
      <w:pPr>
        <w:pStyle w:val="FootnoteText"/>
      </w:pPr>
      <w:r>
        <w:rPr>
          <w:rStyle w:val="FootnoteReference"/>
        </w:rPr>
        <w:footnoteRef/>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w:t>
      </w:r>
    </w:p>
  </w:footnote>
  <w:footnote w:id="4">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162B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64F2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EF6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8AC56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E01C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E281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80598A"/>
    <w:lvl w:ilvl="0">
      <w:start w:val="1"/>
      <w:numFmt w:val="decimal"/>
      <w:pStyle w:val="ListNumber"/>
      <w:lvlText w:val="%1."/>
      <w:lvlJc w:val="left"/>
      <w:pPr>
        <w:tabs>
          <w:tab w:val="num" w:pos="360"/>
        </w:tabs>
        <w:ind w:left="360" w:hanging="360"/>
      </w:pPr>
    </w:lvl>
  </w:abstractNum>
  <w:abstractNum w:abstractNumId="7">
    <w:nsid w:val="FFFFFF89"/>
    <w:multiLevelType w:val="singleLevel"/>
    <w:tmpl w:val="0F8CDB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363160"/>
    <w:multiLevelType w:val="multilevel"/>
    <w:tmpl w:val="0809001D"/>
    <w:name w:val="Point2"/>
    <w:styleLink w:val="1ai"/>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3"/>
  </w:num>
  <w:num w:numId="39">
    <w:abstractNumId w:val="21"/>
  </w:num>
  <w:num w:numId="40">
    <w:abstractNumId w:val="12"/>
  </w:num>
  <w:num w:numId="41">
    <w:abstractNumId w:val="14"/>
  </w:num>
  <w:num w:numId="42">
    <w:abstractNumId w:val="9"/>
  </w:num>
  <w:num w:numId="43">
    <w:abstractNumId w:val="20"/>
  </w:num>
  <w:num w:numId="44">
    <w:abstractNumId w:val="8"/>
  </w:num>
  <w:num w:numId="45">
    <w:abstractNumId w:val="15"/>
  </w:num>
  <w:num w:numId="46">
    <w:abstractNumId w:val="17"/>
  </w:num>
  <w:num w:numId="47">
    <w:abstractNumId w:val="18"/>
  </w:num>
  <w:num w:numId="48">
    <w:abstractNumId w:val="11"/>
  </w:num>
  <w:num w:numId="49">
    <w:abstractNumId w:val="16"/>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0 17:13: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E4AB37F-A8B3-40F5-85FC-A61FA5971A90"/>
    <w:docVar w:name="LW_COVERPAGE_TYPE" w:val="1"/>
    <w:docVar w:name="LW_CROSSREFERENCE" w:val="&lt;UNUSED&gt;"/>
    <w:docVar w:name="LW_DocType" w:val="COM"/>
    <w:docVar w:name="LW_EMISSION" w:val="20.6.2018"/>
    <w:docVar w:name="LW_EMISSION_ISODATE" w:val="2018-06-20"/>
    <w:docVar w:name="LW_EMISSION_LOCATION" w:val="BRX"/>
    <w:docVar w:name="LW_EMISSION_PREFIX" w:val="Bruxelles, le "/>
    <w:docVar w:name="LW_EMISSION_SUFFIX" w:val="&lt;EMPTY&gt;"/>
    <w:docVar w:name="LW_ID_DOCMODEL" w:val="SG-057"/>
    <w:docVar w:name="LW_ID_DOCSIGNATURE" w:val="SJ-016"/>
    <w:docVar w:name="LW_ID_DOCSTRUCTURE" w:val="COM/PL/ORG"/>
    <w:docVar w:name="LW_ID_DOCTYPE" w:val="SG-057"/>
    <w:docVar w:name="LW_ID_EXP.MOTIFS.NEW" w:val="EM_PL_"/>
    <w:docVar w:name="LW_ID_STATUT" w:val="SG-057"/>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I.NEW.CP" w:val="NLE"/>
    <w:docVar w:name="LW_REF.II.NEW.CP_NUMBER" w:val="0262"/>
    <w:docVar w:name="LW_REF.II.NEW.CP_YEAR" w:val="2018"/>
    <w:docVar w:name="LW_REF.INST.NEW" w:val="JOIN"/>
    <w:docVar w:name="LW_REF.INST.NEW_ADOPTED" w:val="final"/>
    <w:docVar w:name="LW_REF.INST.NEW_TEXT" w:val="(2018) 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conjointe de"/>
    <w:docVar w:name="LW_SUPERTITRE" w:val="&lt;UNUSED&gt;"/>
    <w:docVar w:name="LW_TITRE.OBJ.CP" w:val="concernant des mesures restrictives en raison de la situation dans la République des Maldives "/>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numbering" w:styleId="1ai">
    <w:name w:val="Outline List 1"/>
    <w:basedOn w:val="NoList"/>
    <w:uiPriority w:val="99"/>
    <w:semiHidden/>
    <w:unhideWhenUsed/>
    <w:pPr>
      <w:numPr>
        <w:numId w:val="1"/>
      </w:numPr>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numbering" w:styleId="1ai">
    <w:name w:val="Outline List 1"/>
    <w:basedOn w:val="NoList"/>
    <w:uiPriority w:val="99"/>
    <w:semiHidden/>
    <w:unhideWhenUsed/>
    <w:pPr>
      <w:numPr>
        <w:numId w:val="1"/>
      </w:numPr>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7442">
      <w:bodyDiv w:val="1"/>
      <w:marLeft w:val="0"/>
      <w:marRight w:val="0"/>
      <w:marTop w:val="0"/>
      <w:marBottom w:val="0"/>
      <w:divBdr>
        <w:top w:val="none" w:sz="0" w:space="0" w:color="auto"/>
        <w:left w:val="none" w:sz="0" w:space="0" w:color="auto"/>
        <w:bottom w:val="none" w:sz="0" w:space="0" w:color="auto"/>
        <w:right w:val="none" w:sz="0" w:space="0" w:color="auto"/>
      </w:divBdr>
    </w:div>
    <w:div w:id="239406576">
      <w:bodyDiv w:val="1"/>
      <w:marLeft w:val="0"/>
      <w:marRight w:val="0"/>
      <w:marTop w:val="0"/>
      <w:marBottom w:val="0"/>
      <w:divBdr>
        <w:top w:val="none" w:sz="0" w:space="0" w:color="auto"/>
        <w:left w:val="none" w:sz="0" w:space="0" w:color="auto"/>
        <w:bottom w:val="none" w:sz="0" w:space="0" w:color="auto"/>
        <w:right w:val="none" w:sz="0" w:space="0" w:color="auto"/>
      </w:divBdr>
    </w:div>
    <w:div w:id="407464934">
      <w:bodyDiv w:val="1"/>
      <w:marLeft w:val="0"/>
      <w:marRight w:val="0"/>
      <w:marTop w:val="0"/>
      <w:marBottom w:val="0"/>
      <w:divBdr>
        <w:top w:val="none" w:sz="0" w:space="0" w:color="auto"/>
        <w:left w:val="none" w:sz="0" w:space="0" w:color="auto"/>
        <w:bottom w:val="none" w:sz="0" w:space="0" w:color="auto"/>
        <w:right w:val="none" w:sz="0" w:space="0" w:color="auto"/>
      </w:divBdr>
    </w:div>
    <w:div w:id="523833835">
      <w:bodyDiv w:val="1"/>
      <w:marLeft w:val="0"/>
      <w:marRight w:val="0"/>
      <w:marTop w:val="0"/>
      <w:marBottom w:val="0"/>
      <w:divBdr>
        <w:top w:val="none" w:sz="0" w:space="0" w:color="auto"/>
        <w:left w:val="none" w:sz="0" w:space="0" w:color="auto"/>
        <w:bottom w:val="none" w:sz="0" w:space="0" w:color="auto"/>
        <w:right w:val="none" w:sz="0" w:space="0" w:color="auto"/>
      </w:divBdr>
    </w:div>
    <w:div w:id="949245249">
      <w:bodyDiv w:val="1"/>
      <w:marLeft w:val="0"/>
      <w:marRight w:val="0"/>
      <w:marTop w:val="0"/>
      <w:marBottom w:val="0"/>
      <w:divBdr>
        <w:top w:val="none" w:sz="0" w:space="0" w:color="auto"/>
        <w:left w:val="none" w:sz="0" w:space="0" w:color="auto"/>
        <w:bottom w:val="none" w:sz="0" w:space="0" w:color="auto"/>
        <w:right w:val="none" w:sz="0" w:space="0" w:color="auto"/>
      </w:divBdr>
    </w:div>
    <w:div w:id="1091120077">
      <w:bodyDiv w:val="1"/>
      <w:marLeft w:val="0"/>
      <w:marRight w:val="0"/>
      <w:marTop w:val="0"/>
      <w:marBottom w:val="0"/>
      <w:divBdr>
        <w:top w:val="none" w:sz="0" w:space="0" w:color="auto"/>
        <w:left w:val="none" w:sz="0" w:space="0" w:color="auto"/>
        <w:bottom w:val="none" w:sz="0" w:space="0" w:color="auto"/>
        <w:right w:val="none" w:sz="0" w:space="0" w:color="auto"/>
      </w:divBdr>
    </w:div>
    <w:div w:id="1216510171">
      <w:bodyDiv w:val="1"/>
      <w:marLeft w:val="0"/>
      <w:marRight w:val="0"/>
      <w:marTop w:val="0"/>
      <w:marBottom w:val="0"/>
      <w:divBdr>
        <w:top w:val="none" w:sz="0" w:space="0" w:color="auto"/>
        <w:left w:val="none" w:sz="0" w:space="0" w:color="auto"/>
        <w:bottom w:val="none" w:sz="0" w:space="0" w:color="auto"/>
        <w:right w:val="none" w:sz="0" w:space="0" w:color="auto"/>
      </w:divBdr>
    </w:div>
    <w:div w:id="1276987090">
      <w:bodyDiv w:val="1"/>
      <w:marLeft w:val="0"/>
      <w:marRight w:val="0"/>
      <w:marTop w:val="0"/>
      <w:marBottom w:val="0"/>
      <w:divBdr>
        <w:top w:val="none" w:sz="0" w:space="0" w:color="auto"/>
        <w:left w:val="none" w:sz="0" w:space="0" w:color="auto"/>
        <w:bottom w:val="none" w:sz="0" w:space="0" w:color="auto"/>
        <w:right w:val="none" w:sz="0" w:space="0" w:color="auto"/>
      </w:divBdr>
    </w:div>
    <w:div w:id="1574318228">
      <w:bodyDiv w:val="1"/>
      <w:marLeft w:val="0"/>
      <w:marRight w:val="0"/>
      <w:marTop w:val="0"/>
      <w:marBottom w:val="0"/>
      <w:divBdr>
        <w:top w:val="none" w:sz="0" w:space="0" w:color="auto"/>
        <w:left w:val="none" w:sz="0" w:space="0" w:color="auto"/>
        <w:bottom w:val="none" w:sz="0" w:space="0" w:color="auto"/>
        <w:right w:val="none" w:sz="0" w:space="0" w:color="auto"/>
      </w:divBdr>
    </w:div>
    <w:div w:id="1647978285">
      <w:bodyDiv w:val="1"/>
      <w:marLeft w:val="0"/>
      <w:marRight w:val="0"/>
      <w:marTop w:val="0"/>
      <w:marBottom w:val="0"/>
      <w:divBdr>
        <w:top w:val="none" w:sz="0" w:space="0" w:color="auto"/>
        <w:left w:val="none" w:sz="0" w:space="0" w:color="auto"/>
        <w:bottom w:val="none" w:sz="0" w:space="0" w:color="auto"/>
        <w:right w:val="none" w:sz="0" w:space="0" w:color="auto"/>
      </w:divBdr>
    </w:div>
    <w:div w:id="2015261298">
      <w:bodyDiv w:val="1"/>
      <w:marLeft w:val="0"/>
      <w:marRight w:val="0"/>
      <w:marTop w:val="0"/>
      <w:marBottom w:val="0"/>
      <w:divBdr>
        <w:top w:val="none" w:sz="0" w:space="0" w:color="auto"/>
        <w:left w:val="none" w:sz="0" w:space="0" w:color="auto"/>
        <w:bottom w:val="none" w:sz="0" w:space="0" w:color="auto"/>
        <w:right w:val="none" w:sz="0" w:space="0" w:color="auto"/>
      </w:divBdr>
    </w:div>
    <w:div w:id="2041320728">
      <w:bodyDiv w:val="1"/>
      <w:marLeft w:val="0"/>
      <w:marRight w:val="0"/>
      <w:marTop w:val="0"/>
      <w:marBottom w:val="0"/>
      <w:divBdr>
        <w:top w:val="none" w:sz="0" w:space="0" w:color="auto"/>
        <w:left w:val="none" w:sz="0" w:space="0" w:color="auto"/>
        <w:bottom w:val="none" w:sz="0" w:space="0" w:color="auto"/>
        <w:right w:val="none" w:sz="0" w:space="0" w:color="auto"/>
      </w:divBdr>
    </w:div>
    <w:div w:id="21173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C8E3-D3D6-45B7-9B6F-5EB8D9A4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3791</Words>
  <Characters>20889</Characters>
  <Application>Microsoft Office Word</Application>
  <DocSecurity>0</DocSecurity>
  <Lines>373</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2018-06-12T15:20:00Z</cp:lastPrinted>
  <dcterms:created xsi:type="dcterms:W3CDTF">2018-06-20T08:57:00Z</dcterms:created>
  <dcterms:modified xsi:type="dcterms:W3CDTF">2018-06-20T15:13:00Z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SG-057</vt:lpwstr>
  </property>
  <property fmtid="{D5CDD505-2E9C-101B-9397-08002B2CF9AE}" pid="10" name="DQCStatus">
    <vt:lpwstr>Green (DQC version 03)</vt:lpwstr>
  </property>
</Properties>
</file>