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D0F55DF-DB3D-4250-81B0-383B120A9798" style="width:450.7pt;height:461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Tableau 1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CADRE FINANCIER PLURIANNUEL (EU-28) AJUSTÉ POUR 2019*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63330" cy="412545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2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t xml:space="preserve">* RNB sous-jacent fondé sur le SEC 2010 à partir de 2018. </w:t>
      </w:r>
      <w:r>
        <w:rPr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Tableau 2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CADRE FINANCIER PLURIANNUEL (EU-28) AJUSTÉ POUR 2019*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63330" cy="4042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4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* RNB sous-jacent fondé sur le SEC 2010 à partir de 2018. </w:t>
      </w:r>
    </w:p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5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D0F55DF-DB3D-4250-81B0-383B120A9798"/>
    <w:docVar w:name="LW_COVERPAGE_TYPE" w:val="1"/>
    <w:docVar w:name="LW_CROSSREFERENCE" w:val="&lt;UNUSED&gt;"/>
    <w:docVar w:name="LW_DocType" w:val="NORMAL"/>
    <w:docVar w:name="LW_EMISSION" w:val="23.5.2018"/>
    <w:docVar w:name="LW_EMISSION_ISODATE" w:val="2018-05-23"/>
    <w:docVar w:name="LW_EMISSION_LOCATION" w:val="BRX"/>
    <w:docVar w:name="LW_EMISSION_PREFIX" w:val="Bruxelles, le 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_x000b_ Ajustement technique du cadre financier pour 2019 _x000b_à l'évolution du RNB (SEC 2010) _x000b__x000b_ (article 6 du règlement n° 1311/2013 du Conseil fixant le cadre financier pluriannuel pour la période 2014-2020)"/>
    <w:docVar w:name="LW_PART_NBR" w:val="1"/>
    <w:docVar w:name="LW_PART_NBR_TOTAL" w:val="1"/>
    <w:docVar w:name="LW_REF.INST.NEW" w:val="COM"/>
    <w:docVar w:name="LW_REF.INST.NEW_ADOPTED" w:val="final"/>
    <w:docVar w:name="LW_REF.INST.NEW_TEXT" w:val="(2018) 28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E_x000b_"/>
    <w:docVar w:name="LW_TYPEACTEPRINCIPAL.CP" w:val="_x000b_ COMMUNICATION DE LA COMMISSION AU CONSEIL ET AU PARLEMENT EUROPÉ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</Words>
  <Characters>213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 Diana (SG)</dc:creator>
  <cp:lastModifiedBy>DIGIT/A3</cp:lastModifiedBy>
  <cp:revision>15</cp:revision>
  <dcterms:created xsi:type="dcterms:W3CDTF">2018-05-16T07:43:00Z</dcterms:created>
  <dcterms:modified xsi:type="dcterms:W3CDTF">2018-06-21T06:39:00Z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