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3119FC7-15EA-44C0-8A2C-6BFE9B345E88" style="width:450.8pt;height:334.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ManualHeading1"/>
        <w:ind w:left="0" w:firstLine="0"/>
        <w:rPr>
          <w:noProof/>
        </w:rPr>
      </w:pPr>
      <w:bookmarkStart w:id="1" w:name="_GoBack"/>
      <w:bookmarkEnd w:id="1"/>
      <w:r>
        <w:rPr>
          <w:noProof/>
        </w:rPr>
        <w:lastRenderedPageBreak/>
        <w:t>Въведение</w:t>
      </w:r>
    </w:p>
    <w:p>
      <w:pPr>
        <w:pStyle w:val="Text1"/>
        <w:rPr>
          <w:noProof/>
        </w:rPr>
      </w:pPr>
      <w:r>
        <w:rPr>
          <w:noProof/>
        </w:rPr>
        <w:t>Регламентът за МФР, изменен с Регламент (ЕС, Евратом) 2015/623 на Съвета от 21 април 2015 г.</w:t>
      </w:r>
      <w:r>
        <w:rPr>
          <w:rStyle w:val="FootnoteReference"/>
          <w:noProof/>
        </w:rPr>
        <w:footnoteReference w:id="2"/>
      </w:r>
      <w:r>
        <w:rPr>
          <w:noProof/>
        </w:rPr>
        <w:t xml:space="preserve"> и коригиран с техническата корекция за 2018 г.</w:t>
      </w:r>
      <w:r>
        <w:rPr>
          <w:rStyle w:val="FootnoteReference"/>
          <w:noProof/>
        </w:rPr>
        <w:footnoteReference w:id="3"/>
      </w:r>
      <w:r>
        <w:rPr>
          <w:noProof/>
        </w:rPr>
        <w:t>, съдържа таблицата с финансовата рамка за ЕС-28 за периода 2014—2020 г., изразена по цени от 2011 г. (таблица 1).</w:t>
      </w:r>
    </w:p>
    <w:p>
      <w:pPr>
        <w:pStyle w:val="Text1"/>
        <w:rPr>
          <w:noProof/>
        </w:rPr>
      </w:pPr>
      <w:r>
        <w:rPr>
          <w:noProof/>
        </w:rPr>
        <w:t>Съгласно член 6, параграф 1 от Регламента за МФР всяка година преди началото на бюджетната процедура за година n+1 Комисията извършва техническа корекция на многогодишната финансова рамка (МФР) в съответствие с промените в брутния национален доход (БНД) на ЕС и в цените и съобщава резултатите на Съвета и Европейския парламент. Що се отнася до цените, разходните тавани по текущи цени се определят посредством постоянния годишен дефлатор от 2 %, предвиден в член 6, параграф 2 от Регламента за МФР. Що се отнася до промените в БНД, в настоящото съобщение са включени последните налични икономически прогнози</w:t>
      </w:r>
      <w:r>
        <w:rPr>
          <w:rStyle w:val="FootnoteReference"/>
          <w:noProof/>
        </w:rPr>
        <w:footnoteReference w:id="4"/>
      </w:r>
      <w:r>
        <w:rPr>
          <w:noProof/>
        </w:rPr>
        <w:t>.</w:t>
      </w:r>
    </w:p>
    <w:p>
      <w:pPr>
        <w:pStyle w:val="Text1"/>
        <w:rPr>
          <w:noProof/>
        </w:rPr>
      </w:pPr>
      <w:r>
        <w:rPr>
          <w:noProof/>
        </w:rPr>
        <w:t>Същевременно Комисията изчислява наличния марж под тавана на собствените ресурси, определен в съответствие с новото решение за собствените ресурси (Решение 2014/335/ЕС, Евратом (РСР от 2014 г.)</w:t>
      </w:r>
      <w:r>
        <w:rPr>
          <w:rStyle w:val="FootnoteReference"/>
          <w:noProof/>
        </w:rPr>
        <w:footnoteReference w:id="5"/>
      </w:r>
      <w:r>
        <w:rPr>
          <w:noProof/>
        </w:rPr>
        <w:t>, абсолютната стойност на маржа за непредвидени обстоятелства, предвиден в член 13 от Регламента за МФР, общия марж за плащанията, предвиден в член 5, и общия марж за поетите задължения, предвиден в член 14. В допълнение, подтаванът за функция 2 за разходите, свързани с пазара, и преките плащания се коригира вследствие на трансферите между стълб I и развитието на селските райони.</w:t>
      </w:r>
    </w:p>
    <w:p>
      <w:pPr>
        <w:pStyle w:val="Text1"/>
        <w:rPr>
          <w:noProof/>
        </w:rPr>
      </w:pPr>
      <w:bookmarkStart w:id="2" w:name="_Toc360453126"/>
      <w:r>
        <w:rPr>
          <w:noProof/>
        </w:rPr>
        <w:t>Тъй като се прилага РСР от 2014 г., таваните на собствените ресурси и таванът за бюджетните кредити за поети задължения бяха адаптирани към новите данни за БНД съгласно Европейската система от сметки (ЕСС 2010). Понастоящем максималният размер на собствените ресурси възлиза на 1,20 % от БНД (по-рано 1,23 %), а максималният размер на поетите задължения е 1,26 % от БНД (по-рано 1,29 %)</w:t>
      </w:r>
      <w:r>
        <w:rPr>
          <w:rStyle w:val="FootnoteReference"/>
          <w:noProof/>
        </w:rPr>
        <w:footnoteReference w:id="6"/>
      </w:r>
      <w:r>
        <w:rPr>
          <w:noProof/>
        </w:rPr>
        <w:t>.</w:t>
      </w:r>
    </w:p>
    <w:p>
      <w:pPr>
        <w:pStyle w:val="Text1"/>
        <w:rPr>
          <w:noProof/>
        </w:rPr>
      </w:pPr>
      <w:r>
        <w:rPr>
          <w:noProof/>
        </w:rPr>
        <w:t>Обединеното кралство уведоми за своето намерение съгласно член 50 от ДЕС да напусне Европейския съюз на 30 март 2019 г. Въпреки това за целите на тази техническа корекция Обединеното кралство се счита за държава членка. В точка 59 от съвместния доклад на преговарящите от името на Европейския съюз и правителството на Обединеното кралство</w:t>
      </w:r>
      <w:r>
        <w:rPr>
          <w:rStyle w:val="FootnoteReference"/>
          <w:noProof/>
        </w:rPr>
        <w:footnoteReference w:id="7"/>
      </w:r>
      <w:r>
        <w:rPr>
          <w:noProof/>
        </w:rPr>
        <w:t xml:space="preserve"> и в съобщението на Комисията до Европейския съвет</w:t>
      </w:r>
      <w:r>
        <w:rPr>
          <w:rStyle w:val="FootnoteReference"/>
          <w:noProof/>
        </w:rPr>
        <w:footnoteReference w:id="8"/>
      </w:r>
      <w:r>
        <w:rPr>
          <w:noProof/>
        </w:rPr>
        <w:t xml:space="preserve"> се предвижда, че „Обединеното кралство ще </w:t>
      </w:r>
      <w:r>
        <w:rPr>
          <w:noProof/>
        </w:rPr>
        <w:lastRenderedPageBreak/>
        <w:t>прави своите вноски и ще участва в изпълнението на годишните бюджети на Съюза за 2019 г. и 2020 г., все едно че продължава да е член на Съюза“.</w:t>
      </w:r>
    </w:p>
    <w:p>
      <w:pPr>
        <w:pStyle w:val="Text1"/>
        <w:rPr>
          <w:noProof/>
        </w:rPr>
      </w:pPr>
      <w:r>
        <w:rPr>
          <w:noProof/>
        </w:rPr>
        <w:t xml:space="preserve">Целта на настоящото съобщение е резултатът от техническите корекции (ЕС-28) за 2019 г. да бъде представен на Съвета и Европейския парламент съгласно член 6 от Регламента за МФР. </w:t>
      </w:r>
    </w:p>
    <w:p>
      <w:pPr>
        <w:pStyle w:val="ManualHeading1"/>
        <w:rPr>
          <w:noProof/>
        </w:rPr>
      </w:pPr>
      <w:r>
        <w:rPr>
          <w:noProof/>
        </w:rPr>
        <w:t>2.</w:t>
      </w:r>
      <w:r>
        <w:rPr>
          <w:noProof/>
        </w:rPr>
        <w:tab/>
        <w:t>Условия на корекцията на таблицата с МФР (приложение — таблици 1 и 2)</w:t>
      </w:r>
      <w:bookmarkEnd w:id="2"/>
    </w:p>
    <w:p>
      <w:pPr>
        <w:pStyle w:val="Text1"/>
        <w:rPr>
          <w:noProof/>
        </w:rPr>
      </w:pPr>
      <w:r>
        <w:rPr>
          <w:noProof/>
        </w:rPr>
        <w:t xml:space="preserve">В </w:t>
      </w:r>
      <w:r>
        <w:rPr>
          <w:noProof/>
          <w:u w:val="single"/>
        </w:rPr>
        <w:t>таблица 1</w:t>
      </w:r>
      <w:r>
        <w:rPr>
          <w:noProof/>
        </w:rPr>
        <w:t xml:space="preserve"> е представена финансовата рамка за ЕС-28 по цени от 2011 г., включена в приложение I към Регламента за МФР и коригирана в съответствие с член 3, параграф 1 и член 5.</w:t>
      </w:r>
    </w:p>
    <w:p>
      <w:pPr>
        <w:pStyle w:val="Text1"/>
        <w:rPr>
          <w:noProof/>
        </w:rPr>
      </w:pPr>
      <w:r>
        <w:rPr>
          <w:noProof/>
        </w:rPr>
        <w:t xml:space="preserve">В </w:t>
      </w:r>
      <w:r>
        <w:rPr>
          <w:noProof/>
          <w:u w:val="single"/>
        </w:rPr>
        <w:t>таблица 2</w:t>
      </w:r>
      <w:r>
        <w:rPr>
          <w:noProof/>
        </w:rPr>
        <w:t xml:space="preserve"> е представена финансовата рамка за ЕС-28, коригирана за 2019 г. (т.е. по текущи цени). Финансовата рамка, изразена като процент от БНД, е актуализирана с последните налични икономически прогнози (от пролетта на 2018 г.) и е коригирана съгласно член 3, параграф 1 и член 5 от Регламента за МФР.</w:t>
      </w:r>
    </w:p>
    <w:p>
      <w:pPr>
        <w:pStyle w:val="ManualHeading2"/>
        <w:rPr>
          <w:noProof/>
        </w:rPr>
      </w:pPr>
      <w:bookmarkStart w:id="3" w:name="_Toc360453127"/>
      <w:r>
        <w:rPr>
          <w:noProof/>
        </w:rPr>
        <w:t>2.1.</w:t>
      </w:r>
      <w:r>
        <w:rPr>
          <w:noProof/>
        </w:rPr>
        <w:tab/>
        <w:t>Общ размер на БНД</w:t>
      </w:r>
      <w:bookmarkEnd w:id="3"/>
    </w:p>
    <w:p>
      <w:pPr>
        <w:pStyle w:val="Text1"/>
        <w:rPr>
          <w:noProof/>
        </w:rPr>
      </w:pPr>
      <w:r>
        <w:rPr>
          <w:noProof/>
        </w:rPr>
        <w:t>Съгласно последните налични прогнози БНД за 2019 г. възлиза на 16 489 019 милиона евро по текущи цени за ЕС-28. Съгласно член 6, параграф 4 от Регламента за МФР не се внасят по-нататъшни технически корекции по отношение на съответната година нито през годината, нито като последващи корекции през следващите години. Поради това само за информация, актуализираният БНД в съответствие с ЕСС 2010 възлиза на 14 029 175 милиона евро за 2014 г., 14 716 840 милиона евро за 2015 г., 14 847 036 милиона евро за 2016 г., 15 294 451 милиона евро за 2017 г. и 15 892 594 милиона евро за 2018 г. Поради същата причина таванът на собствените ресурси, който понастоящем възлиза на 1,20 % от БНД (ЕСС 2010), се коригира едва от 2018 г. нататък в таблицата с МФР в приложението. Посоченият таван на собствените ресурси за 2017 г. и за предходните години е в размер на 1,23 % от БНД по ЕСС 95.</w:t>
      </w:r>
    </w:p>
    <w:p>
      <w:pPr>
        <w:pStyle w:val="ManualHeading2"/>
        <w:rPr>
          <w:noProof/>
        </w:rPr>
      </w:pPr>
      <w:bookmarkStart w:id="4" w:name="_Toc360453128"/>
      <w:r>
        <w:rPr>
          <w:noProof/>
        </w:rPr>
        <w:t>2.2.</w:t>
      </w:r>
      <w:r>
        <w:rPr>
          <w:noProof/>
        </w:rPr>
        <w:tab/>
        <w:t xml:space="preserve">Основни резултати от техническата корекция на МФР за </w:t>
      </w:r>
      <w:bookmarkEnd w:id="4"/>
      <w:r>
        <w:rPr>
          <w:noProof/>
        </w:rPr>
        <w:t>2019 г.</w:t>
      </w:r>
    </w:p>
    <w:p>
      <w:pPr>
        <w:pStyle w:val="Text1"/>
        <w:rPr>
          <w:noProof/>
        </w:rPr>
      </w:pPr>
      <w:r>
        <w:rPr>
          <w:noProof/>
        </w:rPr>
        <w:t>Общият таван за бюджетните кредити за поети задължения за 2019 г. (164 123 милиона евро) се равнява на 1,00 % от БНД.</w:t>
      </w:r>
    </w:p>
    <w:p>
      <w:pPr>
        <w:pStyle w:val="Text1"/>
        <w:rPr>
          <w:noProof/>
        </w:rPr>
      </w:pPr>
      <w:r>
        <w:rPr>
          <w:noProof/>
        </w:rPr>
        <w:t>Съответният общ таван за бюджетните кредити за плащания (166 709 милиона евро) се равнява на 1,01 % от БНД. Въз основа на последните икономически прогнози това оставя марж под тавана на собствените ресурси от 1,20 % в размер на 31 159 милиона евро (0,19 % от БНД за ЕС-28).</w:t>
      </w:r>
    </w:p>
    <w:p>
      <w:pPr>
        <w:pStyle w:val="ManualHeading2"/>
        <w:rPr>
          <w:noProof/>
        </w:rPr>
      </w:pPr>
      <w:r>
        <w:rPr>
          <w:noProof/>
        </w:rPr>
        <w:t>2.3.</w:t>
      </w:r>
      <w:r>
        <w:rPr>
          <w:noProof/>
        </w:rPr>
        <w:tab/>
        <w:t>Корекция на подтавана за функция 2</w:t>
      </w:r>
    </w:p>
    <w:p>
      <w:pPr>
        <w:pStyle w:val="Text1"/>
        <w:rPr>
          <w:noProof/>
        </w:rPr>
      </w:pPr>
      <w:r>
        <w:rPr>
          <w:noProof/>
        </w:rPr>
        <w:t>Съгласно член 3, параграф 1 от Регламента за МФР подтаванът за функция 2 за разходите, свързани с пазара, и преките плащания (първи стълб) през периода 2014—2020 г. се коригира след трансферите между първия и втория стълб в съответствие с правния акт за определяне на тези трансфери. Общият размер на тавана на функция 2 не се променя.</w:t>
      </w:r>
    </w:p>
    <w:p>
      <w:pPr>
        <w:pStyle w:val="Text1"/>
        <w:rPr>
          <w:noProof/>
        </w:rPr>
      </w:pPr>
      <w:r>
        <w:rPr>
          <w:noProof/>
        </w:rPr>
        <w:t>Първа корекция: Подтаванът на функция 2 бе коригиран за първи път при извършването на техническата корекция на МФР за 2015 г.</w:t>
      </w:r>
      <w:r>
        <w:rPr>
          <w:rStyle w:val="FootnoteReference"/>
          <w:noProof/>
        </w:rPr>
        <w:footnoteReference w:id="9"/>
      </w:r>
      <w:r>
        <w:rPr>
          <w:noProof/>
        </w:rPr>
        <w:t xml:space="preserve"> Тази корекция, описана в първата таблица по-долу, бе отразена в Регламент за изпълнение (ЕС) № 367/2014 на Комисията от 10 април 2014 г.</w:t>
      </w:r>
      <w:r>
        <w:rPr>
          <w:rStyle w:val="FootnoteReference"/>
          <w:noProof/>
        </w:rPr>
        <w:footnoteReference w:id="10"/>
      </w:r>
      <w:r>
        <w:rPr>
          <w:noProof/>
        </w:rPr>
        <w:t xml:space="preserve"> </w:t>
      </w:r>
    </w:p>
    <w:p>
      <w:pPr>
        <w:pStyle w:val="Text1"/>
        <w:rPr>
          <w:noProof/>
        </w:rPr>
      </w:pPr>
      <w:r>
        <w:rPr>
          <w:noProof/>
        </w:rPr>
        <w:t>Втора корекция: Двата кръга на трансфери между стълбовете на ОСП бяха отразени в техническата корекция на МФР за 2016 г.</w:t>
      </w:r>
      <w:r>
        <w:rPr>
          <w:rStyle w:val="FootnoteReference"/>
          <w:noProof/>
        </w:rPr>
        <w:footnoteReference w:id="11"/>
      </w:r>
      <w:r>
        <w:rPr>
          <w:noProof/>
        </w:rPr>
        <w:t xml:space="preserve"> (вж. втората таблица по-долу). Тези трансфери обхванаха гъвкавостта между стълбовете в съответствие с член 136, буква а) от Регламент (ЕО) № 73/2009 на Съвета</w:t>
      </w:r>
      <w:r>
        <w:rPr>
          <w:rStyle w:val="FootnoteReference"/>
          <w:noProof/>
        </w:rPr>
        <w:footnoteReference w:id="12"/>
      </w:r>
      <w:r>
        <w:rPr>
          <w:noProof/>
        </w:rPr>
        <w:t xml:space="preserve"> и член 14 от Регламент (ЕС) № 1307/2013</w:t>
      </w:r>
      <w:r>
        <w:rPr>
          <w:rStyle w:val="FootnoteReference"/>
          <w:noProof/>
        </w:rPr>
        <w:footnoteReference w:id="13"/>
      </w:r>
      <w:r>
        <w:rPr>
          <w:noProof/>
        </w:rPr>
        <w:t>, а също и очаквания размер на намаленията на преките плащания в съответствие с член 7, параграф 2 от този последен регламент. Първият кръг на трансфери е определен в Делегиран регламент (ЕС) № 994/2014 на Комисията от 13 май 2014 г.</w:t>
      </w:r>
      <w:r>
        <w:rPr>
          <w:rStyle w:val="FootnoteReference"/>
          <w:noProof/>
        </w:rPr>
        <w:footnoteReference w:id="14"/>
      </w:r>
      <w:r>
        <w:rPr>
          <w:noProof/>
        </w:rPr>
        <w:t xml:space="preserve"> и отразен в Регламент за изпълнение (ЕС) № 1089/2014 на Комисията от 16 октомври 2014 г.</w:t>
      </w:r>
      <w:r>
        <w:rPr>
          <w:rStyle w:val="FootnoteReference"/>
          <w:noProof/>
        </w:rPr>
        <w:footnoteReference w:id="15"/>
      </w:r>
      <w:r>
        <w:rPr>
          <w:noProof/>
        </w:rPr>
        <w:t xml:space="preserve"> Вторият кръг на трансфери е определен в Делегиран регламент (ЕС) № 1378/2014 на Комисията от 17 октомври 2014 г.</w:t>
      </w:r>
      <w:r>
        <w:rPr>
          <w:rStyle w:val="FootnoteReference"/>
          <w:noProof/>
        </w:rPr>
        <w:footnoteReference w:id="16"/>
      </w:r>
      <w:r>
        <w:rPr>
          <w:noProof/>
        </w:rPr>
        <w:t xml:space="preserve"> и отразен в Регламент за изпълнение (ЕС) № 2015/141 на Комисията от 29 януари 2015 г.</w:t>
      </w:r>
      <w:r>
        <w:rPr>
          <w:rStyle w:val="FootnoteReference"/>
          <w:noProof/>
        </w:rPr>
        <w:footnoteReference w:id="17"/>
      </w:r>
    </w:p>
    <w:p>
      <w:pPr>
        <w:pStyle w:val="Text1"/>
        <w:rPr>
          <w:noProof/>
        </w:rPr>
      </w:pPr>
      <w:r>
        <w:rPr>
          <w:noProof/>
        </w:rPr>
        <w:t>Непредвидена малка корекция бе направена, когато законодателството за прилагане на правилата на Съюза относно преките плащания в Уелс беше отменено с разпореждане на национален съд през 2015 г. Тази промяна е определена в Делегиран регламент (ЕС) № 2016/142 на Комисията от 2 декември 2015 г.</w:t>
      </w:r>
      <w:r>
        <w:rPr>
          <w:rStyle w:val="FootnoteReference"/>
          <w:noProof/>
        </w:rPr>
        <w:footnoteReference w:id="18"/>
      </w:r>
      <w:r>
        <w:rPr>
          <w:noProof/>
        </w:rPr>
        <w:t xml:space="preserve"> и отразена в Регламент за изпълнение № 2016/257 на Комисията от 24 февруари 2016 г.</w:t>
      </w:r>
      <w:r>
        <w:rPr>
          <w:rStyle w:val="FootnoteReference"/>
          <w:noProof/>
        </w:rPr>
        <w:footnoteReference w:id="19"/>
      </w:r>
    </w:p>
    <w:p>
      <w:pPr>
        <w:pStyle w:val="Text1"/>
        <w:rPr>
          <w:noProof/>
        </w:rPr>
      </w:pPr>
      <w:r>
        <w:rPr>
          <w:noProof/>
        </w:rPr>
        <w:t>Последният кръг на трансфери между стълбовете по отношение на финансовите години 2019 и 2020 бе съобщен на Комисията до 1 август 2017 г. и е определен в Делегиран регламент (ЕС) 2018/162 на Комисията от 23 ноември 2017 г.</w:t>
      </w:r>
      <w:r>
        <w:rPr>
          <w:rStyle w:val="FootnoteReference"/>
          <w:noProof/>
        </w:rPr>
        <w:footnoteReference w:id="20"/>
      </w:r>
      <w:r>
        <w:rPr>
          <w:noProof/>
        </w:rPr>
        <w:t xml:space="preserve"> и отразен в Регламент за изпълнение (ЕС) 2018/288 на Комисията от 19 февруари 2018 г.</w:t>
      </w:r>
      <w:r>
        <w:rPr>
          <w:rStyle w:val="FootnoteReference"/>
          <w:noProof/>
        </w:rPr>
        <w:footnoteReference w:id="21"/>
      </w:r>
      <w:r>
        <w:rPr>
          <w:noProof/>
        </w:rPr>
        <w:t xml:space="preserve"> (вж. четвъртата таблица по-долу).</w:t>
      </w:r>
    </w:p>
    <w:p>
      <w:pPr>
        <w:pStyle w:val="Text1"/>
        <w:ind w:left="0"/>
        <w:rPr>
          <w:noProof/>
        </w:rPr>
      </w:pPr>
    </w:p>
    <w:p>
      <w:pPr>
        <w:pStyle w:val="Text1"/>
        <w:ind w:left="0"/>
        <w:rPr>
          <w:noProof/>
        </w:rPr>
      </w:pPr>
      <w:r>
        <w:rPr>
          <w:noProof/>
          <w:lang w:val="en-US" w:eastAsia="en-US" w:bidi="ar-SA"/>
        </w:rPr>
        <w:drawing>
          <wp:inline distT="0" distB="0" distL="0" distR="0">
            <wp:extent cx="5761568" cy="39120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3911898"/>
                    </a:xfrm>
                    <a:prstGeom prst="rect">
                      <a:avLst/>
                    </a:prstGeom>
                    <a:noFill/>
                    <a:ln>
                      <a:noFill/>
                    </a:ln>
                  </pic:spPr>
                </pic:pic>
              </a:graphicData>
            </a:graphic>
          </wp:inline>
        </w:drawing>
      </w:r>
    </w:p>
    <w:p>
      <w:pPr>
        <w:pStyle w:val="Text1"/>
        <w:rPr>
          <w:noProof/>
        </w:rPr>
      </w:pPr>
    </w:p>
    <w:p>
      <w:pPr>
        <w:pStyle w:val="Text1"/>
        <w:rPr>
          <w:noProof/>
        </w:rPr>
      </w:pPr>
      <w:r>
        <w:rPr>
          <w:noProof/>
        </w:rPr>
        <w:t>Промяната на подтавана на Ф2 по текущи цени трябва да бъде превърната в стойност по цени от 2011 г., за да се коригира технически таблицата за МФР по цени от 2011 г. За тази цел нетното салдо на ЕФГЗ първо се превръща в стойност по цени от 2011 г. посредством постоянния дефлатор от 2 %. След това тази стойност се закръгля, за да се получи коригираният подтаван на Ф2, тъй като таваните в МФР се представят само в милиони евро. Само чрез тази процедура на закръгляне може да се гарантира, че подтаванът в МФР винаги е по-висок от нетното салдо, налично за разходите по ЕФГЗ. Получената малка разлика не представлява наличен марж, а произтича единствено от закръглянето, тъй като всички стойности в таблицата за МФР трябва да бъдат изразени в милиони евро. За всеки годишен бюджет Комисията ще използва точните суми на нетното салдо, налично за финансиране на разходите по ЕФГЗ. Същият подход бе приложен при предходните технически корекции на МФР.</w:t>
      </w:r>
    </w:p>
    <w:p>
      <w:pPr>
        <w:pStyle w:val="Text1"/>
        <w:rPr>
          <w:noProof/>
        </w:rPr>
      </w:pPr>
      <w:r>
        <w:rPr>
          <w:noProof/>
        </w:rPr>
        <w:t>Таблицата по-долу показва нетния резултат от трансферите между двата стълба на ОСП и тяхното отражение върху подтавана на функция 2.</w:t>
      </w:r>
    </w:p>
    <w:p>
      <w:pPr>
        <w:pStyle w:val="Text1"/>
        <w:ind w:left="0"/>
        <w:rPr>
          <w:noProof/>
        </w:rPr>
      </w:pPr>
      <w:r>
        <w:rPr>
          <w:noProof/>
          <w:lang w:val="en-US" w:eastAsia="en-US" w:bidi="ar-SA"/>
        </w:rPr>
        <w:drawing>
          <wp:inline distT="0" distB="0" distL="0" distR="0">
            <wp:extent cx="6156232" cy="2584174"/>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1162" cy="2586243"/>
                    </a:xfrm>
                    <a:prstGeom prst="rect">
                      <a:avLst/>
                    </a:prstGeom>
                    <a:noFill/>
                    <a:ln>
                      <a:noFill/>
                    </a:ln>
                  </pic:spPr>
                </pic:pic>
              </a:graphicData>
            </a:graphic>
          </wp:inline>
        </w:drawing>
      </w:r>
    </w:p>
    <w:p>
      <w:pPr>
        <w:pStyle w:val="Text1"/>
        <w:rPr>
          <w:noProof/>
        </w:rPr>
      </w:pPr>
    </w:p>
    <w:p>
      <w:pPr>
        <w:pStyle w:val="ManualHeading1"/>
        <w:rPr>
          <w:noProof/>
        </w:rPr>
      </w:pPr>
      <w:bookmarkStart w:id="5" w:name="_Toc360453129"/>
      <w:r>
        <w:rPr>
          <w:noProof/>
        </w:rPr>
        <w:t>3.</w:t>
      </w:r>
      <w:r>
        <w:rPr>
          <w:noProof/>
        </w:rPr>
        <w:tab/>
        <w:t>Общ марж за плащанията</w:t>
      </w:r>
      <w:bookmarkEnd w:id="5"/>
      <w:r>
        <w:rPr>
          <w:noProof/>
        </w:rPr>
        <w:t xml:space="preserve"> (ОМП)</w:t>
      </w:r>
    </w:p>
    <w:p>
      <w:pPr>
        <w:pStyle w:val="Text1"/>
        <w:rPr>
          <w:noProof/>
        </w:rPr>
      </w:pPr>
      <w:r>
        <w:rPr>
          <w:noProof/>
        </w:rPr>
        <w:t>Съгласно член 5 от Регламента за МФР Комисията коригира тавана на плащанията за годините 2015—2020, като го увеличава със сума, равна на разликата между извършените плащания и тавана на МФР за плащанията за година n-1. Всяка корекция в посока увеличаване се компенсира изцяло чрез равностойно намаление на тавана на плащанията за година n-1 по постоянни цени от 2011 г.</w:t>
      </w:r>
    </w:p>
    <w:p>
      <w:pPr>
        <w:pStyle w:val="Text1"/>
        <w:rPr>
          <w:noProof/>
        </w:rPr>
      </w:pPr>
      <w:r>
        <w:rPr>
          <w:noProof/>
        </w:rPr>
        <w:t>При техническата корекция за 2016 г. оставащият марж за 2014 г. (104 милиона евро по текущи цени) бе прехвърлен за 2015 г. (106 милиона евро по текущи цени) и таваните бяха съответно коригирани. При техническата корекция за 2017 г. оставащият марж за 2015 г. (1 288 милиона евро) бе прехвърлен за годините 2018—2020. При техническата корекция за 2018 г. оставащият марж за 2016 г. (13 991 милиона евро) бе прехвърлен за годините 2018—2020. При тазгодишната техническа корекция се изчислява ОМП за 2017 г.</w:t>
      </w:r>
    </w:p>
    <w:p>
      <w:pPr>
        <w:pStyle w:val="Text1"/>
        <w:rPr>
          <w:noProof/>
        </w:rPr>
      </w:pPr>
      <w:r>
        <w:rPr>
          <w:noProof/>
        </w:rPr>
        <w:t>Плащанията за други специални инструменти се третират като превишаващи таваните в МФР</w:t>
      </w:r>
      <w:r>
        <w:rPr>
          <w:rStyle w:val="FootnoteReference"/>
          <w:noProof/>
        </w:rPr>
        <w:footnoteReference w:id="22"/>
      </w:r>
      <w:r>
        <w:rPr>
          <w:noProof/>
        </w:rPr>
        <w:t>. Таванът на плащанията за 2017 г. бе 142 906 милиона евро по текущи цени. След прихващането на сумата, използвана по линия на маржа за непредвидени обстоятелства през 2014 г. (2 818,2 милиона евро), оставащият таван на плащанията, използвани за сравнение, е 140 087,8 милиона евро. Плащанията, извършени през 2017 г., възлизат на 126 486,6 милиона евро. Тази сума се състои от извършените плащания на бюджетните кредити за плащания, разрешени в бюджета за 2017 г. (124 690,6 милиона евро), и от преноси от 2017 за 2018 г. (1 796,0 милиона евро)</w:t>
      </w:r>
      <w:r>
        <w:rPr>
          <w:rStyle w:val="FootnoteReference"/>
          <w:noProof/>
        </w:rPr>
        <w:footnoteReference w:id="23"/>
      </w:r>
      <w:r>
        <w:rPr>
          <w:noProof/>
        </w:rPr>
        <w:t xml:space="preserve">. Плащанията по специалните инструменти са изключени от изпълнението (2 713,3 милиона евро, от които 2 713,1 милиона евро изпълнени и 0,2 милиона евро пренесени). Поради това взетото предвид изпълнение при изчисляването на ОМП е 123 773,3 милиона евро (124 690,6 милиона евро + 1 796,0 милиона евро – 2 713,3 милиона евро). </w:t>
      </w:r>
    </w:p>
    <w:p>
      <w:pPr>
        <w:pStyle w:val="Text1"/>
        <w:rPr>
          <w:noProof/>
        </w:rPr>
      </w:pPr>
      <w:r>
        <w:rPr>
          <w:noProof/>
        </w:rPr>
        <w:t>Всички преноси от 2016 г. към 2017 г. са отчетени като изпълнени за целите на изчисляването на ОМП за 2016 г., но не всички от тях са били действително изпълнени. Ето защо сумите, които повече не могат да се пренасят, трябва да бъдат добавени в изчислението, тъй като те всъщност представляват неизпълнение. Сумите, които повече не могат да се пренасят от 2016 г. към 2017 г., възлизат на 99,3 милиона евро, от които 0,04 милиона евро за специалните инструменти. Поради това общата сума на взетите предвид суми, които не могат да се пренасят, е 99,2 милиона евро.</w:t>
      </w:r>
    </w:p>
    <w:p>
      <w:pPr>
        <w:pStyle w:val="Text1"/>
        <w:rPr>
          <w:noProof/>
        </w:rPr>
      </w:pPr>
      <w:r>
        <w:rPr>
          <w:noProof/>
        </w:rPr>
        <w:t>Оставащият марж под тавана на плащанията за 2017 г. е 16 413,7 милиона евро по текущи цени (т.е. 142 906 милиона евро – 2 818,2 милиона евро – 123 773,3 милиона евро + 99,2 милиона евро). Поради това таванът за 2017 г. се намалява с 16 414 милиона евро по текущи цени или 14 575 милиона евро по цени от 2011 г.</w:t>
      </w:r>
    </w:p>
    <w:p>
      <w:pPr>
        <w:pStyle w:val="Text1"/>
        <w:rPr>
          <w:noProof/>
        </w:rPr>
      </w:pPr>
      <w:r>
        <w:rPr>
          <w:noProof/>
        </w:rPr>
        <w:t>Съгласно член 6, параграф 2 от Регламента за МФР за изчисляването на ОМП и съответната корекция на таваните се използва годишният дефлатор от 2 %. ОМП се прехвърля към таваните на плащанията за годините 2019 и 2020. По цени от 2011 г. се прехвърлят 6 379 милиона евро към 2019 г. (достигайки максимално допустимата сума от 11 милиарда евро по цени от 2011 г.), а 8 196 милиона евро се прехвърлят към 2020 г. (което оставя 183 милиона евро под максималната корекция от 13 милиарда евро). Това съответства на увеличение по текущи цени в размер на 7 474 милиона евро през 2019 г. и 9 795 милиона евро през 2020 г.</w:t>
      </w:r>
    </w:p>
    <w:p>
      <w:pPr>
        <w:pStyle w:val="Text1"/>
        <w:rPr>
          <w:noProof/>
        </w:rPr>
      </w:pPr>
      <w:r>
        <w:rPr>
          <w:noProof/>
        </w:rPr>
        <w:t>Това води до запазване на общия таван на плащанията за периода 2014—2020 г. по цени от 2011 г. и увеличение на общия таван на плащанията с 855 милиона евро по текущи цени.</w:t>
      </w:r>
    </w:p>
    <w:p>
      <w:pPr>
        <w:pStyle w:val="Text1"/>
        <w:rPr>
          <w:noProof/>
        </w:rPr>
      </w:pPr>
      <w:r>
        <w:rPr>
          <w:noProof/>
        </w:rPr>
        <w:t>Таблицата по-долу съдържа информация за изчислението на ОМП за 2017 г.</w:t>
      </w:r>
    </w:p>
    <w:p>
      <w:pPr>
        <w:pStyle w:val="Text1"/>
        <w:ind w:left="0"/>
        <w:jc w:val="center"/>
        <w:rPr>
          <w:noProof/>
        </w:rPr>
      </w:pPr>
      <w:r>
        <w:rPr>
          <w:noProof/>
          <w:lang w:val="en-US" w:eastAsia="en-US" w:bidi="ar-SA"/>
        </w:rPr>
        <w:drawing>
          <wp:inline distT="0" distB="0" distL="0" distR="0">
            <wp:extent cx="5761355" cy="7139986"/>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7139986"/>
                    </a:xfrm>
                    <a:prstGeom prst="rect">
                      <a:avLst/>
                    </a:prstGeom>
                    <a:noFill/>
                    <a:ln>
                      <a:noFill/>
                    </a:ln>
                  </pic:spPr>
                </pic:pic>
              </a:graphicData>
            </a:graphic>
          </wp:inline>
        </w:drawing>
      </w:r>
    </w:p>
    <w:p>
      <w:pPr>
        <w:pStyle w:val="Text1"/>
        <w:keepNext/>
        <w:ind w:left="851"/>
        <w:rPr>
          <w:noProof/>
        </w:rPr>
      </w:pPr>
      <w:r>
        <w:rPr>
          <w:noProof/>
        </w:rPr>
        <w:t>Таблицата по-долу показва съответстващите корекции на таваните на плащанията:</w:t>
      </w:r>
    </w:p>
    <w:p>
      <w:pPr>
        <w:pStyle w:val="Text1"/>
        <w:ind w:left="0"/>
        <w:jc w:val="center"/>
        <w:rPr>
          <w:noProof/>
        </w:rPr>
      </w:pPr>
      <w:bookmarkStart w:id="6" w:name="_Toc360453132"/>
      <w:r>
        <w:rPr>
          <w:noProof/>
          <w:lang w:val="en-US" w:eastAsia="en-US" w:bidi="ar-SA"/>
        </w:rPr>
        <w:drawing>
          <wp:inline distT="0" distB="0" distL="0" distR="0">
            <wp:extent cx="5761355" cy="5179336"/>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5179336"/>
                    </a:xfrm>
                    <a:prstGeom prst="rect">
                      <a:avLst/>
                    </a:prstGeom>
                    <a:noFill/>
                    <a:ln>
                      <a:noFill/>
                    </a:ln>
                  </pic:spPr>
                </pic:pic>
              </a:graphicData>
            </a:graphic>
          </wp:inline>
        </w:drawing>
      </w:r>
    </w:p>
    <w:p>
      <w:pPr>
        <w:pStyle w:val="ManualHeading1"/>
        <w:rPr>
          <w:noProof/>
        </w:rPr>
      </w:pPr>
      <w:r>
        <w:rPr>
          <w:noProof/>
        </w:rPr>
        <w:t>4.</w:t>
      </w:r>
      <w:r>
        <w:rPr>
          <w:noProof/>
        </w:rPr>
        <w:tab/>
        <w:t>Специални инструменти</w:t>
      </w:r>
      <w:bookmarkEnd w:id="6"/>
    </w:p>
    <w:p>
      <w:pPr>
        <w:pStyle w:val="Text1"/>
        <w:rPr>
          <w:noProof/>
        </w:rPr>
      </w:pPr>
      <w:r>
        <w:rPr>
          <w:noProof/>
        </w:rPr>
        <w:t>Съществуват редица инструменти извън разходните тавани, определени във финансовата рамка за периода 2014—2020 г. Тези инструменти имат за цел да осигурят бърза реакция при извънредни или непредвидени събития и осигуряват известна гъвкавост извън договорените разходни тавани в определени граници.</w:t>
      </w:r>
    </w:p>
    <w:p>
      <w:pPr>
        <w:pStyle w:val="Text1"/>
        <w:rPr>
          <w:noProof/>
        </w:rPr>
      </w:pPr>
    </w:p>
    <w:p>
      <w:pPr>
        <w:pStyle w:val="ManualHeading2"/>
        <w:rPr>
          <w:noProof/>
        </w:rPr>
      </w:pPr>
      <w:bookmarkStart w:id="7" w:name="_Toc360453133"/>
      <w:r>
        <w:rPr>
          <w:noProof/>
        </w:rPr>
        <w:t>4.1.</w:t>
      </w:r>
      <w:r>
        <w:rPr>
          <w:noProof/>
        </w:rPr>
        <w:tab/>
        <w:t>Резерв за спешна помощ</w:t>
      </w:r>
      <w:bookmarkEnd w:id="7"/>
    </w:p>
    <w:p>
      <w:pPr>
        <w:pStyle w:val="Text1"/>
        <w:rPr>
          <w:noProof/>
        </w:rPr>
      </w:pPr>
      <w:r>
        <w:rPr>
          <w:noProof/>
        </w:rPr>
        <w:t>Съгласно член 9 от изменения Регламент за МФР резервът за спешна помощ може да бъде мобилизиран за сума в размер на максимум 300 милиона евро годишно по цени от 2011 г. или 351,5 милиона евро през 2019 г. по текущи цени (2 301,4 милиона евро за целия период по текущи цени). Неусвоената сума от предходната година може да бъде пренесена в следващата година. Пренесените от 2017 г. към 2018 г. суми възлизат на 61,7 милиона евро.</w:t>
      </w:r>
    </w:p>
    <w:p>
      <w:pPr>
        <w:pStyle w:val="Text1"/>
        <w:rPr>
          <w:noProof/>
        </w:rPr>
      </w:pPr>
      <w:r>
        <w:rPr>
          <w:noProof/>
        </w:rPr>
        <w:t>Таблицата по-долу съдържа информация за годишните наличности и използването на резерва за спешна помощ от 2014 г. насам.</w:t>
      </w:r>
    </w:p>
    <w:p>
      <w:pPr>
        <w:pStyle w:val="Text1"/>
        <w:ind w:left="0"/>
        <w:rPr>
          <w:noProof/>
        </w:rPr>
      </w:pPr>
      <w:r>
        <w:rPr>
          <w:noProof/>
          <w:lang w:val="en-US" w:eastAsia="en-US" w:bidi="ar-SA"/>
        </w:rPr>
        <w:drawing>
          <wp:inline distT="0" distB="0" distL="0" distR="0">
            <wp:extent cx="5761355" cy="1253269"/>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1253269"/>
                    </a:xfrm>
                    <a:prstGeom prst="rect">
                      <a:avLst/>
                    </a:prstGeom>
                    <a:noFill/>
                    <a:ln>
                      <a:noFill/>
                    </a:ln>
                  </pic:spPr>
                </pic:pic>
              </a:graphicData>
            </a:graphic>
          </wp:inline>
        </w:drawing>
      </w:r>
    </w:p>
    <w:p>
      <w:pPr>
        <w:pStyle w:val="ManualHeading2"/>
        <w:rPr>
          <w:noProof/>
        </w:rPr>
      </w:pPr>
      <w:bookmarkStart w:id="8" w:name="_Toc360453134"/>
    </w:p>
    <w:p>
      <w:pPr>
        <w:pStyle w:val="ManualHeading2"/>
        <w:rPr>
          <w:noProof/>
        </w:rPr>
      </w:pPr>
      <w:r>
        <w:rPr>
          <w:noProof/>
        </w:rPr>
        <w:t>4.2.</w:t>
      </w:r>
      <w:r>
        <w:rPr>
          <w:noProof/>
        </w:rPr>
        <w:tab/>
        <w:t>Фонд „Солидарност“ на Европейския съюз</w:t>
      </w:r>
      <w:bookmarkEnd w:id="8"/>
    </w:p>
    <w:p>
      <w:pPr>
        <w:pStyle w:val="Text1"/>
        <w:rPr>
          <w:noProof/>
        </w:rPr>
      </w:pPr>
      <w:r>
        <w:rPr>
          <w:noProof/>
        </w:rPr>
        <w:t>Съгласно член 10 от Регламента за МФР фонд „Солидарност“ на ЕС може да бъде мобилизиран за сума в размер на максимум 500 милиона евро годишно по цени от 2011 г. или 585,8 милиона евро през 2019 г. по текущи цени (3 944,7 милиона евро за целия период по текущи цени). Неусвоената сума от предходната година може да бъде пренесена в следващата година. Пренесените от 2017 г. към 2018 г. суми възлизат на 140,8 милиона евро. В края на 2017 г. няма суми, които повече не могат да се пренасят. 294 милиона евро от частта за 2018 г. бяха предварително отпуснати през 2017 г., за да се осигури достатъчно финансиране за нуждите (земетресения в Италия).</w:t>
      </w:r>
    </w:p>
    <w:p>
      <w:pPr>
        <w:pStyle w:val="Text1"/>
        <w:rPr>
          <w:noProof/>
        </w:rPr>
      </w:pPr>
      <w:r>
        <w:rPr>
          <w:noProof/>
        </w:rPr>
        <w:t>Таблицата по-долу съдържа информация за годишните наличности и използването на фонд „Солидарност“ на ЕС от 2014 г. насам.</w:t>
      </w:r>
    </w:p>
    <w:p>
      <w:pPr>
        <w:pStyle w:val="Text1"/>
        <w:ind w:left="0"/>
        <w:rPr>
          <w:noProof/>
        </w:rPr>
      </w:pPr>
      <w:r>
        <w:rPr>
          <w:noProof/>
          <w:lang w:val="en-US" w:eastAsia="en-US" w:bidi="ar-SA"/>
        </w:rPr>
        <w:drawing>
          <wp:inline distT="0" distB="0" distL="0" distR="0">
            <wp:extent cx="5761355" cy="12412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1241215"/>
                    </a:xfrm>
                    <a:prstGeom prst="rect">
                      <a:avLst/>
                    </a:prstGeom>
                    <a:noFill/>
                    <a:ln>
                      <a:noFill/>
                    </a:ln>
                  </pic:spPr>
                </pic:pic>
              </a:graphicData>
            </a:graphic>
          </wp:inline>
        </w:drawing>
      </w:r>
    </w:p>
    <w:p>
      <w:pPr>
        <w:pStyle w:val="ManualHeading2"/>
        <w:rPr>
          <w:noProof/>
        </w:rPr>
      </w:pPr>
      <w:bookmarkStart w:id="9" w:name="_Toc360453135"/>
    </w:p>
    <w:p>
      <w:pPr>
        <w:pStyle w:val="ManualHeading2"/>
        <w:rPr>
          <w:noProof/>
        </w:rPr>
      </w:pPr>
      <w:r>
        <w:rPr>
          <w:noProof/>
        </w:rPr>
        <w:t>4.3.</w:t>
      </w:r>
      <w:r>
        <w:rPr>
          <w:noProof/>
        </w:rPr>
        <w:tab/>
        <w:t>Инструмент за гъвкавост</w:t>
      </w:r>
      <w:bookmarkEnd w:id="9"/>
    </w:p>
    <w:p>
      <w:pPr>
        <w:pStyle w:val="Text1"/>
        <w:rPr>
          <w:noProof/>
        </w:rPr>
      </w:pPr>
      <w:r>
        <w:rPr>
          <w:noProof/>
        </w:rPr>
        <w:t>Съгласно член 11 от изменения Регламент за МФР Инструментът за гъвкавост може да бъде мобилизиран за сума в размер на максимум 600 милиона евро годишно по цени от 2011 г. или 703 милиона евро през 2019 г. по текущи цени (4 315 милиона евро за целия период по текущи цени). Неусвоените годишни суми от предходните 3 години могат бъдат пренесени.</w:t>
      </w:r>
    </w:p>
    <w:p>
      <w:pPr>
        <w:pStyle w:val="Text1"/>
        <w:rPr>
          <w:noProof/>
        </w:rPr>
      </w:pPr>
      <w:r>
        <w:rPr>
          <w:noProof/>
        </w:rPr>
        <w:t xml:space="preserve">Съгласно член 6, параграф 1, буква е), който се позовава на член 11, параграф 1, втора алинея, всяка година, като се започне от 2017 г., годишната сума, предоставена на Инструмента за гъвкавост, се увеличава със сумите, равностойни на частта от годишната сума за фонд „Солидарност“ на Европейския съюз и Европейския фонд за приспособяване към глобализацията, които не могат да се пренасят повече от предходната година. </w:t>
      </w:r>
    </w:p>
    <w:p>
      <w:pPr>
        <w:pStyle w:val="Text1"/>
        <w:rPr>
          <w:noProof/>
        </w:rPr>
      </w:pPr>
      <w:r>
        <w:rPr>
          <w:noProof/>
        </w:rPr>
        <w:t>Таблицата по-долу съдържа информация за годишните наличности и използването на Инструмента за гъвкавост от 2014 г. насам:</w:t>
      </w:r>
    </w:p>
    <w:p>
      <w:pPr>
        <w:pStyle w:val="Text1"/>
        <w:ind w:left="0"/>
        <w:rPr>
          <w:noProof/>
        </w:rPr>
      </w:pPr>
      <w:r>
        <w:rPr>
          <w:noProof/>
          <w:lang w:val="en-US" w:eastAsia="en-US" w:bidi="ar-SA"/>
        </w:rPr>
        <w:drawing>
          <wp:inline distT="0" distB="0" distL="0" distR="0">
            <wp:extent cx="5761355" cy="1728793"/>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1728793"/>
                    </a:xfrm>
                    <a:prstGeom prst="rect">
                      <a:avLst/>
                    </a:prstGeom>
                    <a:noFill/>
                    <a:ln>
                      <a:noFill/>
                    </a:ln>
                  </pic:spPr>
                </pic:pic>
              </a:graphicData>
            </a:graphic>
          </wp:inline>
        </w:drawing>
      </w:r>
      <w:r>
        <w:rPr>
          <w:noProof/>
        </w:rPr>
        <w:t xml:space="preserve"> </w:t>
      </w:r>
    </w:p>
    <w:p>
      <w:pPr>
        <w:pStyle w:val="ManualHeading2"/>
        <w:rPr>
          <w:noProof/>
        </w:rPr>
      </w:pPr>
      <w:bookmarkStart w:id="10" w:name="_Toc360453136"/>
      <w:r>
        <w:rPr>
          <w:noProof/>
        </w:rPr>
        <w:t>4.4.</w:t>
      </w:r>
      <w:r>
        <w:rPr>
          <w:noProof/>
        </w:rPr>
        <w:tab/>
        <w:t>Европейски фонд за приспособяване към глобализацията</w:t>
      </w:r>
      <w:bookmarkEnd w:id="10"/>
    </w:p>
    <w:p>
      <w:pPr>
        <w:pStyle w:val="Text1"/>
        <w:rPr>
          <w:noProof/>
        </w:rPr>
      </w:pPr>
      <w:r>
        <w:rPr>
          <w:noProof/>
        </w:rPr>
        <w:t>Съгласно член 12 от Регламента за МФР Европейският фонд за приспособяване към глобализацията може да бъде мобилизиран за сума в размер на максимум 150 милиона евро годишно по цени от 2011 г. или 175,7 милиона евро през 2019 г. по текущи цени (1 183,4 милиона евро за целия период по текущи цени). Неусвоените суми от предходни години не могат да се пренасят. Сумата от 151 милиона евро, за която възможността за пренасяне изтече в края на 2017 г., се използва за увеличаване на Инструмента за гъвкавост през 2018 г.</w:t>
      </w:r>
    </w:p>
    <w:p>
      <w:pPr>
        <w:pStyle w:val="Text1"/>
        <w:rPr>
          <w:noProof/>
        </w:rPr>
      </w:pPr>
      <w:r>
        <w:rPr>
          <w:noProof/>
        </w:rPr>
        <w:t>Таблицата по-долу съдържа информация за годишните наличности и използването на Европейския фонд за приспособяване към глобализацията от 2014 г. насам.</w:t>
      </w:r>
    </w:p>
    <w:p>
      <w:pPr>
        <w:pStyle w:val="Text1"/>
        <w:ind w:left="0"/>
        <w:rPr>
          <w:noProof/>
        </w:rPr>
      </w:pPr>
      <w:r>
        <w:rPr>
          <w:noProof/>
          <w:lang w:val="en-US" w:eastAsia="en-US" w:bidi="ar-SA"/>
        </w:rPr>
        <w:drawing>
          <wp:inline distT="0" distB="0" distL="0" distR="0">
            <wp:extent cx="5761355" cy="97201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972017"/>
                    </a:xfrm>
                    <a:prstGeom prst="rect">
                      <a:avLst/>
                    </a:prstGeom>
                    <a:noFill/>
                    <a:ln>
                      <a:noFill/>
                    </a:ln>
                  </pic:spPr>
                </pic:pic>
              </a:graphicData>
            </a:graphic>
          </wp:inline>
        </w:drawing>
      </w:r>
    </w:p>
    <w:p>
      <w:pPr>
        <w:pStyle w:val="ManualHeading2"/>
        <w:rPr>
          <w:noProof/>
        </w:rPr>
      </w:pPr>
      <w:bookmarkStart w:id="11" w:name="_Toc360453137"/>
    </w:p>
    <w:p>
      <w:pPr>
        <w:pStyle w:val="ManualHeading2"/>
        <w:rPr>
          <w:noProof/>
        </w:rPr>
      </w:pPr>
      <w:r>
        <w:rPr>
          <w:noProof/>
        </w:rPr>
        <w:t>4.5.</w:t>
      </w:r>
      <w:r>
        <w:rPr>
          <w:noProof/>
        </w:rPr>
        <w:tab/>
        <w:t>Марж за непредвидени обстоятелства</w:t>
      </w:r>
      <w:bookmarkEnd w:id="11"/>
    </w:p>
    <w:p>
      <w:pPr>
        <w:pStyle w:val="Text1"/>
        <w:rPr>
          <w:bCs/>
          <w:noProof/>
        </w:rPr>
      </w:pPr>
      <w:r>
        <w:rPr>
          <w:noProof/>
        </w:rPr>
        <w:t>Съгласно член 13 от Регламента за МФР се определя марж за непредвидени обстоятелства в размер до 0,03 % от брутния национален доход на Съюза извън таваните, заложени във финансовата рамка за периода 2014—2020 г.</w:t>
      </w:r>
    </w:p>
    <w:p>
      <w:pPr>
        <w:pStyle w:val="Text1"/>
        <w:rPr>
          <w:bCs/>
          <w:noProof/>
        </w:rPr>
      </w:pPr>
      <w:r>
        <w:rPr>
          <w:noProof/>
        </w:rPr>
        <w:t>Абсолютната стойност на маржа за непредвидени обстоятелства за 2019 г. е 4 946,7 милиона евро.</w:t>
      </w:r>
    </w:p>
    <w:p>
      <w:pPr>
        <w:pStyle w:val="Text1"/>
        <w:rPr>
          <w:bCs/>
          <w:noProof/>
        </w:rPr>
      </w:pPr>
    </w:p>
    <w:p>
      <w:pPr>
        <w:pStyle w:val="ManualHeading2"/>
        <w:rPr>
          <w:noProof/>
        </w:rPr>
      </w:pPr>
      <w:bookmarkStart w:id="12" w:name="_Toc360453131"/>
      <w:r>
        <w:rPr>
          <w:noProof/>
        </w:rPr>
        <w:t>4.6.</w:t>
      </w:r>
      <w:r>
        <w:rPr>
          <w:noProof/>
        </w:rPr>
        <w:tab/>
        <w:t>Общ марж за поетите задължения</w:t>
      </w:r>
      <w:bookmarkEnd w:id="12"/>
      <w:r>
        <w:rPr>
          <w:noProof/>
        </w:rPr>
        <w:t xml:space="preserve"> (ОМПЗ) за растежа и заетостта, по-специално за младежката заетост, и за мерки в областта на миграцията и сигурността</w:t>
      </w:r>
    </w:p>
    <w:p>
      <w:pPr>
        <w:pStyle w:val="Text1"/>
        <w:rPr>
          <w:noProof/>
        </w:rPr>
      </w:pPr>
      <w:r>
        <w:rPr>
          <w:noProof/>
        </w:rPr>
        <w:t>Съгласно член 14 от Регламента за МФР, изменен с Регламент (ЕС, Евратом) № 2017/1123 на Съвета, останалите налични маржове под таваните на МФР за бюджетните кредити за поети задължения съставляват общ марж за поетите задължения, който да бъде предоставен над таваните, установени в МФР, за годините 2016—2020 за целите на политиката по отношение на растежа и заетостта, по-специално младежката заетост, и миграцията и сигурността.</w:t>
      </w:r>
    </w:p>
    <w:p>
      <w:pPr>
        <w:pStyle w:val="Text1"/>
        <w:rPr>
          <w:noProof/>
        </w:rPr>
      </w:pPr>
      <w:r>
        <w:rPr>
          <w:noProof/>
        </w:rPr>
        <w:t>В окончателния бюджет за 2017 г. останалият наличен марж под тавана на поетите задължения за 2017 г. възлиза на 1 115,5 милиона евро. Поетите задължения по специалните инструменти (включително ОМПЗ и маржа за непредвидени обстоятелства) не са взети предвид, тъй като те се изпълняват над таваните на МФР.</w:t>
      </w:r>
    </w:p>
    <w:p>
      <w:pPr>
        <w:pStyle w:val="Text1"/>
        <w:rPr>
          <w:noProof/>
        </w:rPr>
      </w:pPr>
      <w:r>
        <w:rPr>
          <w:noProof/>
        </w:rPr>
        <w:t>Съгласно член 6, параграф 2 от Регламента за МФР за изчисляване на ОМПЗ се използва годишният дефлатор от 2 %. Размерът на оставащия марж от 2017 г., който се предоставя за 2018 г., възлиза на 1 115,5 милиона евро по текущи цени през 2017 г. или 1 137,8 милиона евро по текущи цени през 2018 г.</w:t>
      </w:r>
      <w:r>
        <w:rPr>
          <w:rStyle w:val="FootnoteReference"/>
          <w:noProof/>
        </w:rPr>
        <w:footnoteReference w:id="24"/>
      </w:r>
      <w:r>
        <w:rPr>
          <w:noProof/>
        </w:rPr>
        <w:t xml:space="preserve"> (1 160,6 милиона евро по текущи цени през 2019 г.). Размерът на ОМПЗ по цени от 2011 г. възлиза на 990,5 милиона евро.</w:t>
      </w:r>
    </w:p>
    <w:p>
      <w:pPr>
        <w:pStyle w:val="Text1"/>
        <w:rPr>
          <w:noProof/>
        </w:rPr>
      </w:pPr>
      <w:r>
        <w:rPr>
          <w:noProof/>
        </w:rPr>
        <w:t>Таблицата по-долу съдържа информация за изчислението на ОМПЗ за 2017 г.</w:t>
      </w:r>
    </w:p>
    <w:p>
      <w:pPr>
        <w:pStyle w:val="Text1"/>
        <w:rPr>
          <w:noProof/>
        </w:rPr>
      </w:pPr>
      <w:r>
        <w:rPr>
          <w:noProof/>
          <w:lang w:val="en-US" w:eastAsia="en-US" w:bidi="ar-SA"/>
        </w:rPr>
        <w:drawing>
          <wp:inline distT="0" distB="0" distL="0" distR="0">
            <wp:extent cx="4484370" cy="31807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84370" cy="3180715"/>
                    </a:xfrm>
                    <a:prstGeom prst="rect">
                      <a:avLst/>
                    </a:prstGeom>
                    <a:noFill/>
                    <a:ln>
                      <a:noFill/>
                    </a:ln>
                  </pic:spPr>
                </pic:pic>
              </a:graphicData>
            </a:graphic>
          </wp:inline>
        </w:drawing>
      </w:r>
    </w:p>
    <w:p>
      <w:pPr>
        <w:pStyle w:val="Text1"/>
        <w:rPr>
          <w:noProof/>
        </w:rPr>
      </w:pPr>
      <w:r>
        <w:rPr>
          <w:noProof/>
        </w:rPr>
        <w:t>Понастоящем част от ОМПЗ за 2016 г. (550,9 милиона евро по цени от 2018 г.) остава на разположение. Следователно общата наличност на ОМПЗ през 2018 г. е 1 688,7 милиона евро (по текущи цени).</w:t>
      </w:r>
    </w:p>
    <w:p>
      <w:pPr>
        <w:pStyle w:val="Text1"/>
        <w:rPr>
          <w:noProof/>
        </w:rPr>
      </w:pPr>
      <w:r>
        <w:rPr>
          <w:noProof/>
        </w:rPr>
        <w:t>Таблицата по-долу съдържа информация за наличностите и използването на общия марж за поетите задължения от 2014 г. насам:</w:t>
      </w:r>
    </w:p>
    <w:p>
      <w:pPr>
        <w:pStyle w:val="Text1"/>
        <w:ind w:left="0"/>
        <w:rPr>
          <w:noProof/>
        </w:rPr>
      </w:pPr>
      <w:r>
        <w:rPr>
          <w:noProof/>
          <w:lang w:val="en-US" w:eastAsia="en-US" w:bidi="ar-SA"/>
        </w:rPr>
        <w:drawing>
          <wp:inline distT="0" distB="0" distL="0" distR="0">
            <wp:extent cx="5761355" cy="21350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2135060"/>
                    </a:xfrm>
                    <a:prstGeom prst="rect">
                      <a:avLst/>
                    </a:prstGeom>
                    <a:noFill/>
                    <a:ln>
                      <a:noFill/>
                    </a:ln>
                  </pic:spPr>
                </pic:pic>
              </a:graphicData>
            </a:graphic>
          </wp:inline>
        </w:drawing>
      </w:r>
    </w:p>
    <w:p>
      <w:pPr>
        <w:pStyle w:val="ManualHeading1"/>
        <w:rPr>
          <w:noProof/>
        </w:rPr>
      </w:pPr>
      <w:r>
        <w:rPr>
          <w:noProof/>
        </w:rPr>
        <w:t>5.</w:t>
      </w:r>
      <w:r>
        <w:rPr>
          <w:noProof/>
        </w:rPr>
        <w:tab/>
        <w:t>Обобщаваща таблица и заключения</w:t>
      </w:r>
    </w:p>
    <w:p>
      <w:pPr>
        <w:pStyle w:val="Text1"/>
        <w:rPr>
          <w:noProof/>
        </w:rPr>
      </w:pPr>
      <w:r>
        <w:rPr>
          <w:noProof/>
        </w:rPr>
        <w:t>В таблиците по-долу са обобщени промените на таваните на бюджетните кредити за поети задължения и за плащания във финансовата рамка въз основа на член 3, параграф 1 и член 5 от Регламента за МФР по текущи цени и по цени от 2011 г.:</w:t>
      </w:r>
    </w:p>
    <w:p>
      <w:pPr>
        <w:pStyle w:val="Text1"/>
        <w:ind w:left="0"/>
        <w:rPr>
          <w:noProof/>
        </w:rPr>
      </w:pPr>
      <w:r>
        <w:rPr>
          <w:noProof/>
          <w:lang w:val="en-US" w:eastAsia="en-US" w:bidi="ar-SA"/>
        </w:rPr>
        <w:drawing>
          <wp:inline distT="0" distB="0" distL="0" distR="0">
            <wp:extent cx="5761355" cy="247382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2473825"/>
                    </a:xfrm>
                    <a:prstGeom prst="rect">
                      <a:avLst/>
                    </a:prstGeom>
                    <a:noFill/>
                    <a:ln>
                      <a:noFill/>
                    </a:ln>
                  </pic:spPr>
                </pic:pic>
              </a:graphicData>
            </a:graphic>
          </wp:inline>
        </w:drawing>
      </w:r>
    </w:p>
    <w:p>
      <w:pPr>
        <w:rPr>
          <w:noProof/>
        </w:rPr>
      </w:pPr>
    </w:p>
    <w:sectPr>
      <w:headerReference w:type="even" r:id="rId26"/>
      <w:headerReference w:type="default" r:id="rId27"/>
      <w:footerReference w:type="even" r:id="rId28"/>
      <w:footerReference w:type="default" r:id="rId29"/>
      <w:headerReference w:type="first" r:id="rId30"/>
      <w:footerReference w:type="first" r:id="rId3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1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tab/>
        <w:t>ОВ L 103, 22.4.2015 г., стр. 1.</w:t>
      </w:r>
    </w:p>
  </w:footnote>
  <w:footnote w:id="3">
    <w:p>
      <w:pPr>
        <w:pStyle w:val="FootnoteText"/>
        <w:rPr>
          <w:lang w:val="pt-PT"/>
        </w:rPr>
      </w:pPr>
      <w:r>
        <w:rPr>
          <w:rStyle w:val="FootnoteReference"/>
        </w:rPr>
        <w:footnoteRef/>
      </w:r>
      <w:r>
        <w:t xml:space="preserve"> </w:t>
      </w:r>
      <w:r>
        <w:tab/>
        <w:t>COM(2017) 473 final, 15.9.2017 г.</w:t>
      </w:r>
    </w:p>
  </w:footnote>
  <w:footnote w:id="4">
    <w:p>
      <w:pPr>
        <w:pStyle w:val="FootnoteText"/>
        <w:rPr>
          <w:rStyle w:val="FootnoteReference"/>
          <w:lang w:val="pt-PT"/>
        </w:rPr>
      </w:pPr>
      <w:r>
        <w:rPr>
          <w:rStyle w:val="FootnoteReference"/>
        </w:rPr>
        <w:footnoteRef/>
      </w:r>
      <w:r>
        <w:rPr>
          <w:rStyle w:val="FootnoteReference"/>
        </w:rPr>
        <w:t xml:space="preserve"> </w:t>
      </w:r>
      <w:r>
        <w:tab/>
        <w:t>https://ec.europa.eu/info/business-economy-euro/economic-performance-and-forecasts/economic-forecasts/spring-2018-economic-forecast_en</w:t>
      </w:r>
    </w:p>
  </w:footnote>
  <w:footnote w:id="5">
    <w:p>
      <w:pPr>
        <w:pStyle w:val="FootnoteText"/>
      </w:pPr>
      <w:r>
        <w:rPr>
          <w:rStyle w:val="FootnoteReference"/>
        </w:rPr>
        <w:footnoteRef/>
      </w:r>
      <w:r>
        <w:t xml:space="preserve"> </w:t>
      </w:r>
      <w:r>
        <w:tab/>
        <w:t>ОВ L 168, 7.6.2014 г.</w:t>
      </w:r>
    </w:p>
  </w:footnote>
  <w:footnote w:id="6">
    <w:p>
      <w:pPr>
        <w:pStyle w:val="FootnoteText"/>
      </w:pPr>
      <w:r>
        <w:rPr>
          <w:rStyle w:val="FootnoteReference"/>
        </w:rPr>
        <w:footnoteRef/>
      </w:r>
      <w:r>
        <w:t xml:space="preserve"> </w:t>
      </w:r>
      <w:r>
        <w:tab/>
        <w:t>COM(2016) 829 final, 21.12.2016 г.</w:t>
      </w:r>
    </w:p>
  </w:footnote>
  <w:footnote w:id="7">
    <w:p>
      <w:pPr>
        <w:pStyle w:val="FootnoteText"/>
      </w:pPr>
      <w:r>
        <w:rPr>
          <w:rStyle w:val="FootnoteReference"/>
        </w:rPr>
        <w:footnoteRef/>
      </w:r>
      <w:r>
        <w:t xml:space="preserve"> </w:t>
      </w:r>
      <w:r>
        <w:tab/>
        <w:t>Съвместен доклад на преговарящите от името на Европейския съюз и правителството на Обединеното кралство относно напредъка през първия етап на преговорите по член 50 от ДЕС за организираното оттегляне на Обединеното кралство от Европейския съюз, 8 декември 2017 г., стр. 9.</w:t>
      </w:r>
    </w:p>
  </w:footnote>
  <w:footnote w:id="8">
    <w:p>
      <w:pPr>
        <w:pStyle w:val="FootnoteText"/>
        <w:rPr>
          <w:lang w:val="pt-PT"/>
        </w:rPr>
      </w:pPr>
      <w:r>
        <w:rPr>
          <w:rStyle w:val="FootnoteReference"/>
        </w:rPr>
        <w:footnoteRef/>
      </w:r>
      <w:r>
        <w:t xml:space="preserve"> </w:t>
      </w:r>
      <w:r>
        <w:tab/>
        <w:t>COM(2017) 784 final, стр. 10.</w:t>
      </w:r>
    </w:p>
  </w:footnote>
  <w:footnote w:id="9">
    <w:p>
      <w:pPr>
        <w:pStyle w:val="FootnoteText"/>
        <w:rPr>
          <w:lang w:val="pt-PT"/>
        </w:rPr>
      </w:pPr>
      <w:r>
        <w:rPr>
          <w:rStyle w:val="FootnoteReference"/>
        </w:rPr>
        <w:footnoteRef/>
      </w:r>
      <w:r>
        <w:t xml:space="preserve"> </w:t>
      </w:r>
      <w:r>
        <w:tab/>
        <w:t>COM(2014) 307 final, 28.5.2014 г.</w:t>
      </w:r>
    </w:p>
  </w:footnote>
  <w:footnote w:id="10">
    <w:p>
      <w:pPr>
        <w:pStyle w:val="FootnoteText"/>
      </w:pPr>
      <w:r>
        <w:rPr>
          <w:rStyle w:val="FootnoteReference"/>
        </w:rPr>
        <w:footnoteRef/>
      </w:r>
      <w:r>
        <w:t xml:space="preserve"> </w:t>
      </w:r>
      <w:r>
        <w:tab/>
        <w:t>Регламент за изпълнение (ЕС) № 367/2014 на Комисията за установяване на наличното нетно салдо за разходване по линия на ЕФГЗ (ОВ L 108, 11.4.2014 г., стр. 13).</w:t>
      </w:r>
    </w:p>
  </w:footnote>
  <w:footnote w:id="11">
    <w:p>
      <w:pPr>
        <w:pStyle w:val="FootnoteText"/>
      </w:pPr>
      <w:r>
        <w:rPr>
          <w:rStyle w:val="FootnoteReference"/>
        </w:rPr>
        <w:footnoteRef/>
      </w:r>
      <w:r>
        <w:t xml:space="preserve"> </w:t>
      </w:r>
      <w:r>
        <w:tab/>
        <w:t>COM (2015) 320 final, 22.5.2015 г.</w:t>
      </w:r>
    </w:p>
  </w:footnote>
  <w:footnote w:id="12">
    <w:p>
      <w:pPr>
        <w:pStyle w:val="FootnoteText"/>
      </w:pPr>
      <w:r>
        <w:rPr>
          <w:rStyle w:val="FootnoteReference"/>
        </w:rPr>
        <w:footnoteRef/>
      </w:r>
      <w:r>
        <w:tab/>
        <w:t>Регламент (ЕО) № 73/2009 на Съвета от 19 януари 2009 г. за установяване на общи правила за схеми за директно подпомагане в рамките на Общата селскостопанска политика и за установяване на някои схеми за подпомагане на земеделски стопани за изменение на регламенти (EО) № 1290/2005, (EО) № 247/2006, (EО) № 378/2007 и за отмяна на Регламент (ЕО) № 1782/2003 (ОВ L 30, 31.1.2009 г., стр. 16).</w:t>
      </w:r>
    </w:p>
  </w:footnote>
  <w:footnote w:id="13">
    <w:p>
      <w:pPr>
        <w:pStyle w:val="FootnoteText"/>
      </w:pPr>
      <w:r>
        <w:rPr>
          <w:rStyle w:val="FootnoteReference"/>
        </w:rPr>
        <w:footnoteRef/>
      </w:r>
      <w:r>
        <w:tab/>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 20.12.2013 г., стр. 608).</w:t>
      </w:r>
    </w:p>
  </w:footnote>
  <w:footnote w:id="14">
    <w:p>
      <w:pPr>
        <w:pStyle w:val="FootnoteText"/>
      </w:pPr>
      <w:r>
        <w:rPr>
          <w:rStyle w:val="FootnoteReference"/>
        </w:rPr>
        <w:footnoteRef/>
      </w:r>
      <w:r>
        <w:tab/>
        <w:t>Делегиран регламент (ЕС) № 994/2014 на Комисията от 13 май 2014 г. за изменение на приложения VIII и VIIIв към Регламент (ЕО) № 73/2009 на Съвета, приложение I към Регламент (ЕС) № 1305/2013 на Европейския парламент и на Съвета и приложения II, III и VI към Регламент (ЕС) № 1307/2013 на Европейския парламент и на Съвета (ОВ L 280, 24.9.2014 г., стp. 1).</w:t>
      </w:r>
    </w:p>
  </w:footnote>
  <w:footnote w:id="15">
    <w:p>
      <w:pPr>
        <w:pStyle w:val="FootnoteText"/>
      </w:pPr>
      <w:r>
        <w:rPr>
          <w:rStyle w:val="FootnoteReference"/>
        </w:rPr>
        <w:footnoteRef/>
      </w:r>
      <w:r>
        <w:t xml:space="preserve"> </w:t>
      </w:r>
      <w:r>
        <w:tab/>
        <w:t>Регламент за изпълнение (ЕС) № 1089/2014 на Комисията от 16 октомври 2014 г. за изменение на Регламент за изпълнение (ЕС) № 367/2014 за установяване на наличното нетно салдо за разходване по линия на ЕФГЗ (ОВ L 299, 17.10.2014 г., стр. 7).</w:t>
      </w:r>
    </w:p>
  </w:footnote>
  <w:footnote w:id="16">
    <w:p>
      <w:pPr>
        <w:pStyle w:val="FootnoteText"/>
        <w:rPr>
          <w:lang w:val="cs-CZ"/>
        </w:rPr>
      </w:pPr>
      <w:r>
        <w:rPr>
          <w:rStyle w:val="FootnoteReference"/>
        </w:rPr>
        <w:footnoteRef/>
      </w:r>
      <w:r>
        <w:tab/>
        <w:t>Делегиран регламент (ЕС) № 1378/2014 на Комисията от 17 октомври 2014 г. за изменение на приложение I към Регламент (ЕС) № 1305/2013 на Европейския парламент и на Съвета и приложения II и III към Регламент (ЕС) № 1307/2013 на Европейския парламент и на Съвета (ОВ L 367, 23.12.2014 г., стр. 16).</w:t>
      </w:r>
    </w:p>
  </w:footnote>
  <w:footnote w:id="17">
    <w:p>
      <w:pPr>
        <w:pStyle w:val="FootnoteText"/>
      </w:pPr>
      <w:r>
        <w:rPr>
          <w:rStyle w:val="FootnoteReference"/>
        </w:rPr>
        <w:footnoteRef/>
      </w:r>
      <w:r>
        <w:tab/>
        <w:t>Регламент за изпълнение (ЕС) № 2015/141 на Комисията от 29 януари 2015 г. за изменение на Регламент за изпълнение (ЕС) № 367/2014 за установяване на наличното нетно салдо за разходване по линия на ЕФГЗ (ОВ L 24, 30.1.2015 г., стр. 11).</w:t>
      </w:r>
    </w:p>
  </w:footnote>
  <w:footnote w:id="18">
    <w:p>
      <w:pPr>
        <w:pStyle w:val="FootnoteText"/>
      </w:pPr>
      <w:r>
        <w:rPr>
          <w:rStyle w:val="FootnoteReference"/>
        </w:rPr>
        <w:footnoteRef/>
      </w:r>
      <w:r>
        <w:t xml:space="preserve"> </w:t>
      </w:r>
      <w:r>
        <w:tab/>
        <w:t>Делегиран регламент (ЕС) 2016/142 на Комисията от 2 декември 2015 г. за изменение на приложение I към Регламент (ЕС) № 1305/2013 на Европейския парламент и на Съвета и на приложение III към Регламент (ЕС) № 1307/2013 на Европейския парламент и на Съвета (ОВ L 28, 4.2.2016 г., стр. 8).</w:t>
      </w:r>
    </w:p>
  </w:footnote>
  <w:footnote w:id="19">
    <w:p>
      <w:pPr>
        <w:pStyle w:val="FootnoteText"/>
      </w:pPr>
      <w:r>
        <w:rPr>
          <w:rStyle w:val="FootnoteReference"/>
        </w:rPr>
        <w:footnoteRef/>
      </w:r>
      <w:r>
        <w:t xml:space="preserve"> </w:t>
      </w:r>
      <w:r>
        <w:tab/>
        <w:t>Регламент за изпълнение (ЕС) № 2016/257 на Комисията от 24 февруари 2016 г. за изменение на Регламент за изпълнение (ЕС) № 367/2014 за установяване на наличното нетно салдо за разходване по линия на ЕФГЗ (ОВ L 49, 25.2.2016 г., стр. 1).</w:t>
      </w:r>
    </w:p>
  </w:footnote>
  <w:footnote w:id="20">
    <w:p>
      <w:pPr>
        <w:pStyle w:val="FootnoteText"/>
      </w:pPr>
      <w:r>
        <w:rPr>
          <w:rStyle w:val="FootnoteReference"/>
        </w:rPr>
        <w:footnoteRef/>
      </w:r>
      <w:r>
        <w:t xml:space="preserve"> </w:t>
      </w:r>
      <w:r>
        <w:tab/>
        <w:t>Делегиран регламент (ЕС) 2018/162 на Комисията от 23 ноември 2017 г. за изменение на приложение I към Регламент (ЕС) № 1305/2013 на Европейския парламент и на Съвета и на приложения II и III към Регламент (ЕС) № 1307/2013 на Европейския парламент и на Съвета (ОВ L 30, 2.2.2018 г., стр. 6).</w:t>
      </w:r>
    </w:p>
  </w:footnote>
  <w:footnote w:id="21">
    <w:p>
      <w:pPr>
        <w:pStyle w:val="FootnoteText"/>
      </w:pPr>
      <w:r>
        <w:rPr>
          <w:rStyle w:val="FootnoteReference"/>
        </w:rPr>
        <w:footnoteRef/>
      </w:r>
      <w:r>
        <w:t xml:space="preserve"> </w:t>
      </w:r>
      <w:r>
        <w:tab/>
        <w:t>Регламент за изпълнение (ЕС) 2018/288 на Комисията от 19 февруари 2018 г. за изменение на Регламент за изпълнение (ЕС) № 367/2014 за установяване на наличното нетно салдо за разходване по линия на ЕФГЗ (OB L 55, 27.2.2018 г., стр. 18).</w:t>
      </w:r>
    </w:p>
  </w:footnote>
  <w:footnote w:id="22">
    <w:p>
      <w:pPr>
        <w:pStyle w:val="FootnoteText"/>
      </w:pPr>
      <w:r>
        <w:rPr>
          <w:rStyle w:val="FootnoteReference"/>
        </w:rPr>
        <w:footnoteRef/>
      </w:r>
      <w:r>
        <w:tab/>
        <w:t>Ако Европейският парламент, Съветът и Комисията се споразумеят за друго по отношение на плащанията за специалните инструменти, Комисията ще вземе предвид това споразумение при изчисляването на ОМП при бъдещите технически корекции.</w:t>
      </w:r>
    </w:p>
  </w:footnote>
  <w:footnote w:id="23">
    <w:p>
      <w:pPr>
        <w:pStyle w:val="FootnoteText"/>
        <w:rPr>
          <w:lang w:val="cs-CZ"/>
        </w:rPr>
      </w:pPr>
      <w:r>
        <w:rPr>
          <w:rStyle w:val="FootnoteReference"/>
        </w:rPr>
        <w:footnoteRef/>
      </w:r>
      <w:r>
        <w:tab/>
        <w:t>Ако някои от преносите от 2017 към 2018 г. изгубят сила през 2018 г., съответната сума ще бъде добавена в изчислението на ОМП през 2019 г.</w:t>
      </w:r>
    </w:p>
  </w:footnote>
  <w:footnote w:id="24">
    <w:p>
      <w:pPr>
        <w:pStyle w:val="FootnoteText"/>
      </w:pPr>
      <w:r>
        <w:rPr>
          <w:rStyle w:val="FootnoteReference"/>
        </w:rPr>
        <w:footnoteRef/>
      </w:r>
      <w:r>
        <w:tab/>
        <w:t>Ако през периода 2019—2020 г. бъде усвоена цялата сума или част от нея, размерът ще бъде съответно коригиран чрез прилагане на годишен дефлатор от 2 % в съответствие с член 6, параграф 2 от Регламента за МФР.</w:t>
      </w:r>
    </w:p>
    <w:p>
      <w:pPr>
        <w:pStyle w:val="FootnoteText"/>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3119FC7-15EA-44C0-8A2C-6BFE9B345E88"/>
    <w:docVar w:name="LW_COVERPAGE_TYPE" w:val="1"/>
    <w:docVar w:name="LW_CROSSREFERENCE" w:val="&lt;UNUSED&gt;"/>
    <w:docVar w:name="LW_DocType" w:val="NORMAL"/>
    <w:docVar w:name="LW_EMISSION" w:val="23.5.2018"/>
    <w:docVar w:name="LW_EMISSION_ISODATE" w:val="2018-05-23"/>
    <w:docVar w:name="LW_EMISSION_LOCATION" w:val="BRX"/>
    <w:docVar w:name="LW_EMISSION_PREFIX" w:val="Брюксел, "/>
    <w:docVar w:name="LW_EMISSION_SUFFIX" w:val="\u1075?."/>
    <w:docVar w:name="LW_ID_DOCTYPE_NONLW" w:val="CP-01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58?\u1077?\u1093?\u1085?\u1080?\u1095?\u1077?\u1089?\u1082?\u1072? \u1082?\u1086?\u1088?\u1077?\u1082?\u1094?\u1080?\u1103? \u1085?\u1072? \u1092?\u1080?\u1085?\u1072?\u1085?\u1089?\u1086?\u1074?\u1072?\u1090?\u1072? \u1088?\u1072?\u1084?\u1082?\u1072? \u1079?\u1072? 2019&lt;/FMT&gt;&lt;FMT:Font=Calibri Cyr&gt; \u1075?. \u1074? \u1089?\u1098?\u1086?\u1090?\u1074?\u1077?\u1090?\u1089?\u1090?\u1074?\u1080?\u1077? \u1089? \u1087?\u1088?\u1086?\u1084?\u1077?\u1085?\u1080?\u1090?\u1077? \u1074? \u1041?\u1053?\u1044? (\u1045?\u1057?\u1057? 2010) (\u1095?\u1083?\u1077?\u1085? 6 \u1086?\u1090? \u1056?\u1077?\u1075?\u1083?\u1072?\u1084?\u1077?\u1085?\u1090? \u8470? 1311/2013 \u1085?\u1072? \u1057?\u1098?\u1074?\u1077?\u1090?\u1072? \u1079?\u1072? \u1086?\u1087?\u1088?\u1077?\u1076?\u1077?\u1083?\u1103?\u1085?\u1077? \u1085?\u1072? \u1084?\u1085?\u1086?\u1075?\u1086?\u1075?\u1086?\u1076?\u1080?\u1096?\u1085?\u1072?\u1090?\u1072? \u1092?\u1080?\u1085?\u1072?\u1085?\u1089?\u1086?\u1074?\u1072? \u1088?\u1072?\u1084?\u1082?\u1072? \u1079?\u1072? \u1075?\u1086?\u1076?\u1080?\u1085?\u1080?\u1090?\u1077? 2014\u8212?2020)&lt;/FMT&gt;"/>
    <w:docVar w:name="LW_TYPE.DOC.CP" w:val="\u1057?\u1066?\u1054?\u1041?\u1065?\u1045?\u1053?\u1048?\u1045? \u1053?\u1040? \u1050?\u1054?\u1052?\u1048?\u1057?\u1048?\u1071?\u1058?\u1040? \u1044?\u1054? \u1057?\u1066?\u1042?\u1045?\u1058?\u1040? \u1048? \u1045?\u1042?\u1056?\u1054?\u1055?\u1045?\u1049?\u1057?\u1050?\u1048?\u1071? \u1055?\u1040?\u1056?\u1051?\u1040?\u1052?\u1045?\u1053?\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bg-BG"/>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bg-BG"/>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6E854-C8E8-43CE-BCE3-9B9BB9C2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Pages>
  <Words>2866</Words>
  <Characters>14307</Characters>
  <Application>Microsoft Office Word</Application>
  <DocSecurity>0</DocSecurity>
  <Lines>286</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dcterms:created xsi:type="dcterms:W3CDTF">2018-06-20T10:14:00Z</dcterms:created>
  <dcterms:modified xsi:type="dcterms:W3CDTF">2018-06-21T06:38:00Z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