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64F1DD2-C1C4-48AB-9E50-32170CE34D86"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Le règlement (UE, Euratom) nº 1311/2013 du Conseil du 2 décembre 2013 fixant le cadre financier pluriannuel pour la période 2014-2020</w:t>
      </w:r>
      <w:r>
        <w:rPr>
          <w:rStyle w:val="FootnoteReference"/>
          <w:noProof/>
        </w:rPr>
        <w:footnoteReference w:id="1"/>
      </w:r>
      <w:r>
        <w:rPr>
          <w:noProof/>
        </w:rPr>
        <w:t xml:space="preserve"> prévoit la possibilité de mobiliser l’instrument de flexibilité afin de permettre le financement de dépenses précisément identifiées qui ne pourraient être financées dans les limites des plafonds disponibles de l’une ou de plusieurs des rubriques du cadre financier pluriannuel.</w:t>
      </w:r>
    </w:p>
    <w:p>
      <w:pPr>
        <w:rPr>
          <w:noProof/>
        </w:rPr>
      </w:pPr>
      <w:r>
        <w:rPr>
          <w:noProof/>
        </w:rPr>
        <w:t>Conformément à l’article 11 du règlement (UE, Euratom) nº 1311/2013 du Conseil et au point 12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
      </w:r>
      <w:r>
        <w:rPr>
          <w:noProof/>
        </w:rPr>
        <w:t xml:space="preserve">, après examen de toutes les possibilités de réaffectation des crédits et à la suite de l’épuisement de toute marge non allouée sous les rubriques de dépenses </w:t>
      </w:r>
      <w:r>
        <w:rPr>
          <w:i/>
          <w:noProof/>
        </w:rPr>
        <w:t>Cohésion économique, sociale et territoriale</w:t>
      </w:r>
      <w:r>
        <w:rPr>
          <w:noProof/>
        </w:rPr>
        <w:t xml:space="preserve"> (rubrique 1b) et </w:t>
      </w:r>
      <w:r>
        <w:rPr>
          <w:i/>
          <w:noProof/>
        </w:rPr>
        <w:t>Sécurité et citoyenneté</w:t>
      </w:r>
      <w:r>
        <w:rPr>
          <w:noProof/>
        </w:rPr>
        <w:t xml:space="preserve"> (rubrique 3), la Commission propose de mobiliser l’instrument de flexibilité en 2019. Le montant annuel disponible est de 600 millions d’EUR (aux prix de 2011), correspondant à 703 millions d’EUR aux prix courants. Par ailleurs, 520 millions d’EUR sont disponibles dans la part de 2018. </w:t>
      </w:r>
    </w:p>
    <w:p>
      <w:pPr>
        <w:rPr>
          <w:noProof/>
        </w:rPr>
      </w:pPr>
      <w:r>
        <w:rPr>
          <w:noProof/>
        </w:rPr>
        <w:t>Cette mobilisation, qui porte sur un montant de 927,5 millions d'EUR au-delà du plafond de la rubrique 3 du cadre financier pluriannuel, vise à financer le soutien à des mesures destinées à gérer la crise des migrants, des réfugiés et de la sécurité. De plus, il est proposé de mobiliser 38,1 millions d’EUR au-dessus du plafond de la rubrique 1b afin de financer l’extension du programme d’appui à la réforme structurelle.</w:t>
      </w:r>
    </w:p>
    <w:p>
      <w:pPr>
        <w:rPr>
          <w:noProof/>
        </w:rPr>
      </w:pPr>
      <w:r>
        <w:rPr>
          <w:noProof/>
        </w:rPr>
        <w:t>Les crédits de paiement indicatifs correspondant à la mobilisation proposée de l’instrument de flexibilité ont été calculés sur la base des règles applicables aux préfinancements, à l’apurement des préfinancements et aux paiements finals pour les différents types de mesures à financer; ils sont présentés dans le tableau ci-dessous:</w:t>
      </w:r>
    </w:p>
    <w:p>
      <w:pPr>
        <w:ind w:left="5040" w:firstLine="720"/>
        <w:jc w:val="left"/>
        <w:rPr>
          <w:noProof/>
        </w:rPr>
      </w:pPr>
      <w:r>
        <w:rPr>
          <w:i/>
          <w:iCs/>
          <w:noProof/>
          <w:sz w:val="16"/>
          <w:szCs w:val="16"/>
        </w:rPr>
        <w:t>(en Mio EUR, aux prix courants)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szCs w:val="16"/>
              </w:rPr>
              <w:t>Année</w:t>
            </w:r>
          </w:p>
        </w:tc>
        <w:tc>
          <w:tcPr>
            <w:tcW w:w="5604" w:type="dxa"/>
            <w:shd w:val="clear" w:color="auto" w:fill="D9D9D9"/>
          </w:tcPr>
          <w:p>
            <w:pPr>
              <w:spacing w:before="30" w:after="30"/>
              <w:jc w:val="center"/>
              <w:rPr>
                <w:b/>
                <w:noProof/>
                <w:sz w:val="16"/>
                <w:szCs w:val="16"/>
              </w:rPr>
            </w:pPr>
            <w:r>
              <w:rPr>
                <w:b/>
                <w:noProof/>
                <w:sz w:val="16"/>
                <w:szCs w:val="16"/>
              </w:rPr>
              <w:t>Crédits de paiement relatifs à la mobilisation de l’instrument de flexibilité en 2019</w:t>
            </w:r>
          </w:p>
        </w:tc>
      </w:tr>
      <w:tr>
        <w:trPr>
          <w:jc w:val="center"/>
        </w:trPr>
        <w:tc>
          <w:tcPr>
            <w:tcW w:w="1560" w:type="dxa"/>
            <w:shd w:val="clear" w:color="auto" w:fill="auto"/>
          </w:tcPr>
          <w:p>
            <w:pPr>
              <w:spacing w:before="30" w:after="30"/>
              <w:jc w:val="center"/>
              <w:rPr>
                <w:noProof/>
                <w:sz w:val="16"/>
                <w:szCs w:val="16"/>
              </w:rPr>
            </w:pPr>
            <w:r>
              <w:rPr>
                <w:noProof/>
                <w:sz w:val="16"/>
                <w:szCs w:val="16"/>
              </w:rPr>
              <w:t>2019</w:t>
            </w:r>
          </w:p>
        </w:tc>
        <w:tc>
          <w:tcPr>
            <w:tcW w:w="5604" w:type="dxa"/>
            <w:shd w:val="clear" w:color="auto" w:fill="auto"/>
          </w:tcPr>
          <w:p>
            <w:pPr>
              <w:spacing w:before="30" w:after="30"/>
              <w:jc w:val="right"/>
              <w:rPr>
                <w:noProof/>
                <w:sz w:val="16"/>
                <w:szCs w:val="16"/>
              </w:rPr>
            </w:pPr>
            <w:r>
              <w:rPr>
                <w:noProof/>
                <w:sz w:val="16"/>
                <w:szCs w:val="16"/>
              </w:rPr>
              <w:t>486,6</w:t>
            </w:r>
          </w:p>
        </w:tc>
      </w:tr>
      <w:tr>
        <w:trPr>
          <w:jc w:val="center"/>
        </w:trPr>
        <w:tc>
          <w:tcPr>
            <w:tcW w:w="1560" w:type="dxa"/>
            <w:shd w:val="clear" w:color="auto" w:fill="auto"/>
          </w:tcPr>
          <w:p>
            <w:pPr>
              <w:spacing w:before="30" w:after="30"/>
              <w:jc w:val="center"/>
              <w:rPr>
                <w:noProof/>
                <w:sz w:val="16"/>
                <w:szCs w:val="16"/>
              </w:rPr>
            </w:pPr>
            <w:r>
              <w:rPr>
                <w:noProof/>
                <w:sz w:val="16"/>
                <w:szCs w:val="16"/>
              </w:rPr>
              <w:t>2020</w:t>
            </w:r>
          </w:p>
        </w:tc>
        <w:tc>
          <w:tcPr>
            <w:tcW w:w="5604" w:type="dxa"/>
            <w:shd w:val="clear" w:color="auto" w:fill="auto"/>
          </w:tcPr>
          <w:p>
            <w:pPr>
              <w:spacing w:before="30" w:after="30"/>
              <w:jc w:val="right"/>
              <w:rPr>
                <w:noProof/>
                <w:sz w:val="16"/>
                <w:szCs w:val="16"/>
              </w:rPr>
            </w:pPr>
            <w:r>
              <w:rPr>
                <w:noProof/>
                <w:sz w:val="16"/>
                <w:szCs w:val="16"/>
              </w:rPr>
              <w:t>194,7</w:t>
            </w:r>
          </w:p>
        </w:tc>
      </w:tr>
      <w:tr>
        <w:trPr>
          <w:jc w:val="center"/>
        </w:trPr>
        <w:tc>
          <w:tcPr>
            <w:tcW w:w="1560" w:type="dxa"/>
            <w:shd w:val="clear" w:color="auto" w:fill="auto"/>
          </w:tcPr>
          <w:p>
            <w:pPr>
              <w:spacing w:before="30" w:after="30"/>
              <w:jc w:val="center"/>
              <w:rPr>
                <w:noProof/>
                <w:sz w:val="16"/>
                <w:szCs w:val="16"/>
              </w:rPr>
            </w:pPr>
            <w:r>
              <w:rPr>
                <w:noProof/>
                <w:sz w:val="16"/>
                <w:szCs w:val="16"/>
              </w:rPr>
              <w:t>2021</w:t>
            </w:r>
          </w:p>
        </w:tc>
        <w:tc>
          <w:tcPr>
            <w:tcW w:w="5604" w:type="dxa"/>
            <w:shd w:val="clear" w:color="auto" w:fill="auto"/>
          </w:tcPr>
          <w:p>
            <w:pPr>
              <w:spacing w:before="30" w:after="30"/>
              <w:jc w:val="right"/>
              <w:rPr>
                <w:noProof/>
                <w:sz w:val="16"/>
                <w:szCs w:val="16"/>
              </w:rPr>
            </w:pPr>
            <w:r>
              <w:rPr>
                <w:noProof/>
                <w:sz w:val="16"/>
                <w:szCs w:val="16"/>
              </w:rPr>
              <w:t>116,1</w:t>
            </w:r>
          </w:p>
        </w:tc>
      </w:tr>
      <w:tr>
        <w:trPr>
          <w:jc w:val="center"/>
        </w:trPr>
        <w:tc>
          <w:tcPr>
            <w:tcW w:w="1560" w:type="dxa"/>
            <w:shd w:val="clear" w:color="auto" w:fill="auto"/>
          </w:tcPr>
          <w:p>
            <w:pPr>
              <w:spacing w:before="30" w:after="30"/>
              <w:jc w:val="center"/>
              <w:rPr>
                <w:noProof/>
                <w:sz w:val="16"/>
                <w:szCs w:val="16"/>
              </w:rPr>
            </w:pPr>
            <w:r>
              <w:rPr>
                <w:noProof/>
                <w:sz w:val="16"/>
                <w:szCs w:val="16"/>
              </w:rPr>
              <w:t>2022</w:t>
            </w:r>
          </w:p>
        </w:tc>
        <w:tc>
          <w:tcPr>
            <w:tcW w:w="5604" w:type="dxa"/>
            <w:shd w:val="clear" w:color="auto" w:fill="auto"/>
          </w:tcPr>
          <w:p>
            <w:pPr>
              <w:spacing w:before="30" w:after="30"/>
              <w:jc w:val="right"/>
              <w:rPr>
                <w:noProof/>
                <w:sz w:val="16"/>
                <w:szCs w:val="16"/>
              </w:rPr>
            </w:pPr>
            <w:r>
              <w:rPr>
                <w:noProof/>
                <w:sz w:val="16"/>
                <w:szCs w:val="16"/>
              </w:rPr>
              <w:t>116,9</w:t>
            </w:r>
          </w:p>
        </w:tc>
      </w:tr>
      <w:tr>
        <w:trPr>
          <w:jc w:val="center"/>
        </w:trPr>
        <w:tc>
          <w:tcPr>
            <w:tcW w:w="1560" w:type="dxa"/>
            <w:shd w:val="clear" w:color="auto" w:fill="auto"/>
          </w:tcPr>
          <w:p>
            <w:pPr>
              <w:spacing w:before="30" w:after="30"/>
              <w:jc w:val="center"/>
              <w:rPr>
                <w:noProof/>
                <w:sz w:val="16"/>
                <w:szCs w:val="16"/>
              </w:rPr>
            </w:pPr>
            <w:r>
              <w:rPr>
                <w:noProof/>
                <w:sz w:val="16"/>
                <w:szCs w:val="16"/>
              </w:rPr>
              <w:t>2023</w:t>
            </w:r>
          </w:p>
        </w:tc>
        <w:tc>
          <w:tcPr>
            <w:tcW w:w="5604" w:type="dxa"/>
            <w:shd w:val="clear" w:color="auto" w:fill="auto"/>
          </w:tcPr>
          <w:p>
            <w:pPr>
              <w:spacing w:before="30" w:after="30"/>
              <w:jc w:val="right"/>
              <w:rPr>
                <w:noProof/>
                <w:sz w:val="16"/>
                <w:szCs w:val="16"/>
              </w:rPr>
            </w:pPr>
            <w:r>
              <w:rPr>
                <w:noProof/>
                <w:sz w:val="16"/>
                <w:szCs w:val="16"/>
              </w:rPr>
              <w:t>51,3</w:t>
            </w:r>
          </w:p>
        </w:tc>
      </w:tr>
      <w:tr>
        <w:trPr>
          <w:jc w:val="center"/>
        </w:trPr>
        <w:tc>
          <w:tcPr>
            <w:tcW w:w="1560" w:type="dxa"/>
            <w:shd w:val="clear" w:color="auto" w:fill="D9D9D9"/>
          </w:tcPr>
          <w:p>
            <w:pPr>
              <w:spacing w:before="30" w:after="30"/>
              <w:jc w:val="right"/>
              <w:rPr>
                <w:b/>
                <w:noProof/>
                <w:sz w:val="16"/>
                <w:szCs w:val="16"/>
              </w:rPr>
            </w:pPr>
            <w:r>
              <w:rPr>
                <w:b/>
                <w:noProof/>
                <w:sz w:val="16"/>
                <w:szCs w:val="16"/>
              </w:rPr>
              <w:t>Total</w:t>
            </w:r>
          </w:p>
        </w:tc>
        <w:tc>
          <w:tcPr>
            <w:tcW w:w="5604" w:type="dxa"/>
            <w:shd w:val="clear" w:color="auto" w:fill="D9D9D9"/>
          </w:tcPr>
          <w:p>
            <w:pPr>
              <w:spacing w:before="30" w:after="30"/>
              <w:jc w:val="right"/>
              <w:rPr>
                <w:b/>
                <w:noProof/>
                <w:sz w:val="16"/>
                <w:szCs w:val="16"/>
              </w:rPr>
            </w:pPr>
            <w:r>
              <w:rPr>
                <w:b/>
                <w:noProof/>
                <w:sz w:val="16"/>
                <w:szCs w:val="16"/>
              </w:rPr>
              <w:t>965,6</w:t>
            </w:r>
          </w:p>
        </w:tc>
      </w:tr>
    </w:tbl>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de l'instrument de flexibilité aux fins du financement de mesures budgétaires immédiates pour faire face aux défis actuels liés à la migration, à l'afflux de réfugiés et aux menaces pesant sur la sécurité ainsi qu’à l’extension du programme d’appui à la réforme structurelle</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
      </w:r>
      <w:r>
        <w:rPr>
          <w:noProof/>
        </w:rPr>
        <w:t>, et notamment son point 12,</w:t>
      </w:r>
    </w:p>
    <w:p>
      <w:pPr>
        <w:rPr>
          <w:noProof/>
        </w:rPr>
      </w:pPr>
      <w:r>
        <w:rPr>
          <w:noProof/>
        </w:rPr>
        <w:t>vu la proposition de la Commission européenne,</w:t>
      </w:r>
    </w:p>
    <w:p>
      <w:pPr>
        <w:rPr>
          <w:noProof/>
        </w:rPr>
      </w:pPr>
      <w:r>
        <w:rPr>
          <w:noProof/>
        </w:rPr>
        <w:t xml:space="preserve">considérant ce qui suit: </w:t>
      </w:r>
    </w:p>
    <w:p>
      <w:pPr>
        <w:pStyle w:val="Point0number"/>
        <w:numPr>
          <w:ilvl w:val="0"/>
          <w:numId w:val="6"/>
        </w:numPr>
        <w:spacing w:before="0" w:after="0"/>
        <w:rPr>
          <w:noProof/>
        </w:rPr>
      </w:pPr>
      <w:r>
        <w:rPr>
          <w:noProof/>
        </w:rPr>
        <w:t>L’instrument de flexibilité vise à permettre la prise en charge de dépenses clairement identifiées qui ne pourraient être financées dans les limites des plafonds disponibles pour une ou plusieurs rubriques.</w:t>
      </w:r>
    </w:p>
    <w:p>
      <w:pPr>
        <w:pStyle w:val="Point0number"/>
        <w:numPr>
          <w:ilvl w:val="0"/>
          <w:numId w:val="6"/>
        </w:numPr>
        <w:rPr>
          <w:noProof/>
        </w:rPr>
      </w:pPr>
      <w:r>
        <w:rPr>
          <w:noProof/>
        </w:rPr>
        <w:t>Le plafond du montant annuel disponible pour l’instrument de flexibilité s’élève à 600 000 000 EUR (aux prix de 2011), comme le prévoit l’article 11 du règlement (UE, Euratom) nº 1311/2013 du Conseil</w:t>
      </w:r>
      <w:r>
        <w:rPr>
          <w:rStyle w:val="FootnoteReference"/>
          <w:noProof/>
        </w:rPr>
        <w:footnoteReference w:id="4"/>
      </w:r>
      <w:r>
        <w:rPr>
          <w:noProof/>
        </w:rPr>
        <w:t xml:space="preserve">. </w:t>
      </w:r>
    </w:p>
    <w:p>
      <w:pPr>
        <w:pStyle w:val="Point0number"/>
        <w:numPr>
          <w:ilvl w:val="0"/>
          <w:numId w:val="6"/>
        </w:numPr>
        <w:spacing w:before="0" w:after="0"/>
        <w:rPr>
          <w:noProof/>
        </w:rPr>
      </w:pPr>
      <w:r>
        <w:rPr>
          <w:noProof/>
        </w:rPr>
        <w:t>Afin de faire face aux défis actuels liés à la migration, à l'afflux de réfugiés et aux menaces pesant sur la sécurité ainsi qu’à l’extension du programme d’appui à la réforme structurelle, il est nécessaire de mobiliser des montants supplémentaires importants pour financer sans délai ces mesures.</w:t>
      </w:r>
    </w:p>
    <w:p>
      <w:pPr>
        <w:pStyle w:val="Point0number"/>
        <w:rPr>
          <w:noProof/>
        </w:rPr>
      </w:pPr>
      <w:r>
        <w:rPr>
          <w:noProof/>
        </w:rPr>
        <w:t>Après examen de toutes les possibilités de réaffectation des crédits sous les plafonds des dépenses de la rubrique 3 (</w:t>
      </w:r>
      <w:r>
        <w:rPr>
          <w:i/>
          <w:noProof/>
        </w:rPr>
        <w:t>Sécurité et citoyenneté</w:t>
      </w:r>
      <w:r>
        <w:rPr>
          <w:noProof/>
        </w:rPr>
        <w:t>) et de la rubrique 1b (</w:t>
      </w:r>
      <w:r>
        <w:rPr>
          <w:i/>
          <w:noProof/>
        </w:rPr>
        <w:t>Cohésion économique, sociale et territoriale</w:t>
      </w:r>
      <w:r>
        <w:rPr>
          <w:noProof/>
        </w:rPr>
        <w:t>), il est nécessaire de mobiliser l'instrument de flexibilité pour compléter le financement disponible du budget général de l'Union pour l'exercice 2019, au-delà du plafond de la rubrique 3, par un montant de 927 518 138 EUR, afin de financer des mesures dans le domaine de la migration, des réfugiés et de la sécurité et, au-delà du plafond de la rubrique 1b, par un montant de 38 069 903 EUR, afin d’apporter le financement supplémentaire nécessaire à l’extension du programme d’appui à la réforme structurelle</w:t>
      </w:r>
      <w:r>
        <w:rPr>
          <w:rStyle w:val="FootnoteReference"/>
          <w:noProof/>
        </w:rPr>
        <w:footnoteReference w:id="5"/>
      </w:r>
      <w:r>
        <w:rPr>
          <w:noProof/>
        </w:rPr>
        <w:t>.</w:t>
      </w:r>
    </w:p>
    <w:p>
      <w:pPr>
        <w:pStyle w:val="Point0number"/>
        <w:rPr>
          <w:noProof/>
        </w:rPr>
      </w:pPr>
      <w:r>
        <w:rPr>
          <w:noProof/>
        </w:rPr>
        <w:t>Sur la base du profil des paiements escompté, il y a lieu que les crédits de paiement correspondant à la mobilisation de l'instrument de flexibilité soient répartis sur plusieurs exercices.</w:t>
      </w:r>
    </w:p>
    <w:p>
      <w:pPr>
        <w:pStyle w:val="Point0number"/>
        <w:rPr>
          <w:noProof/>
        </w:rPr>
      </w:pPr>
      <w:r>
        <w:rPr>
          <w:noProof/>
        </w:rPr>
        <w:t>Afin de permettre une mobilisation rapide des fonds, la présente décision devrait s'appliquer à partir du début de l'exercice 2019,</w:t>
      </w:r>
    </w:p>
    <w:p>
      <w:pPr>
        <w:pStyle w:val="Formuledadoption"/>
        <w:rPr>
          <w:noProof/>
        </w:rPr>
      </w:pPr>
      <w:r>
        <w:rPr>
          <w:noProof/>
        </w:rPr>
        <w:t>ONT ADOPTÉ LA PRÉSENTE DÉCISION:</w:t>
      </w:r>
    </w:p>
    <w:p>
      <w:pPr>
        <w:pStyle w:val="Titrearticle"/>
        <w:rPr>
          <w:noProof/>
        </w:rPr>
      </w:pPr>
      <w:r>
        <w:rPr>
          <w:noProof/>
        </w:rPr>
        <w:t>Article premier</w:t>
      </w:r>
    </w:p>
    <w:p>
      <w:pPr>
        <w:pStyle w:val="Point0number"/>
        <w:numPr>
          <w:ilvl w:val="0"/>
          <w:numId w:val="5"/>
        </w:numPr>
        <w:spacing w:before="0" w:after="0"/>
        <w:rPr>
          <w:noProof/>
        </w:rPr>
      </w:pPr>
      <w:r>
        <w:rPr>
          <w:noProof/>
        </w:rPr>
        <w:t>Dans le cadre du budget général de l’Union relatif à l’exercice 2019, il est fait appel à l’instrument de flexibilité pour fournir le montant de 927 518 138 EUR en crédits d’engagement à la rubrique 3 (</w:t>
      </w:r>
      <w:r>
        <w:rPr>
          <w:i/>
          <w:noProof/>
        </w:rPr>
        <w:t>Sécurité et citoyenneté</w:t>
      </w:r>
      <w:r>
        <w:rPr>
          <w:noProof/>
        </w:rPr>
        <w:t>) et le montant de 38 069 903 EUR en crédits d’engagement à la rubrique 1b (</w:t>
      </w:r>
      <w:r>
        <w:rPr>
          <w:i/>
          <w:noProof/>
        </w:rPr>
        <w:t>Cohésion économique, sociale et territoriale</w:t>
      </w:r>
      <w:r>
        <w:rPr>
          <w:noProof/>
        </w:rPr>
        <w:t>).</w:t>
      </w:r>
    </w:p>
    <w:p>
      <w:pPr>
        <w:rPr>
          <w:noProof/>
        </w:rPr>
      </w:pPr>
      <w:r>
        <w:rPr>
          <w:noProof/>
        </w:rPr>
        <w:t>Les montants visés au premier alinéa doivent servir à financer des mesures visant à faire face aux défis actuels liés à la migration, à l'afflux de réfugiés et aux menaces pesant sur la sécurité ainsi qu’à l’extension du programme d’appui à la réforme structurelle.</w:t>
      </w:r>
    </w:p>
    <w:p>
      <w:pPr>
        <w:pStyle w:val="Point0number"/>
        <w:numPr>
          <w:ilvl w:val="0"/>
          <w:numId w:val="5"/>
        </w:numPr>
        <w:spacing w:before="0" w:after="0"/>
        <w:rPr>
          <w:noProof/>
        </w:rPr>
      </w:pPr>
      <w:r>
        <w:rPr>
          <w:noProof/>
        </w:rPr>
        <w:t>Sur la base du profil des paiements escompté, les crédits de paiement correspondant à la mobilisation de l'instrument de flexibilité sont estimés comme suit:</w:t>
      </w:r>
    </w:p>
    <w:p>
      <w:pPr>
        <w:pStyle w:val="Point0letter"/>
        <w:tabs>
          <w:tab w:val="clear" w:pos="850"/>
          <w:tab w:val="num" w:pos="426"/>
        </w:tabs>
        <w:ind w:left="426" w:hanging="424"/>
        <w:rPr>
          <w:noProof/>
        </w:rPr>
      </w:pPr>
      <w:r>
        <w:rPr>
          <w:noProof/>
        </w:rPr>
        <w:t>486 597 803 EUR en 2019;</w:t>
      </w:r>
    </w:p>
    <w:p>
      <w:pPr>
        <w:pStyle w:val="Point0letter"/>
        <w:tabs>
          <w:tab w:val="clear" w:pos="850"/>
          <w:tab w:val="num" w:pos="426"/>
        </w:tabs>
        <w:ind w:left="426" w:hanging="424"/>
        <w:rPr>
          <w:noProof/>
        </w:rPr>
      </w:pPr>
      <w:r>
        <w:rPr>
          <w:noProof/>
        </w:rPr>
        <w:t>194 720 174 EUR en 2020;</w:t>
      </w:r>
    </w:p>
    <w:p>
      <w:pPr>
        <w:pStyle w:val="Point0letter"/>
        <w:tabs>
          <w:tab w:val="clear" w:pos="850"/>
          <w:tab w:val="num" w:pos="426"/>
        </w:tabs>
        <w:ind w:left="426" w:hanging="424"/>
        <w:rPr>
          <w:noProof/>
        </w:rPr>
      </w:pPr>
      <w:r>
        <w:rPr>
          <w:noProof/>
        </w:rPr>
        <w:t>116 110 590 EUR en 2021;</w:t>
      </w:r>
    </w:p>
    <w:p>
      <w:pPr>
        <w:pStyle w:val="Point0letter"/>
        <w:tabs>
          <w:tab w:val="clear" w:pos="850"/>
          <w:tab w:val="num" w:pos="426"/>
        </w:tabs>
        <w:ind w:left="426" w:hanging="424"/>
        <w:rPr>
          <w:noProof/>
        </w:rPr>
      </w:pPr>
      <w:r>
        <w:rPr>
          <w:noProof/>
        </w:rPr>
        <w:t>116 871 924 EUR en 2022;</w:t>
      </w:r>
    </w:p>
    <w:p>
      <w:pPr>
        <w:pStyle w:val="Point0letter"/>
        <w:tabs>
          <w:tab w:val="clear" w:pos="850"/>
          <w:tab w:val="num" w:pos="426"/>
        </w:tabs>
        <w:ind w:left="426" w:hanging="424"/>
        <w:rPr>
          <w:noProof/>
        </w:rPr>
      </w:pPr>
      <w:r>
        <w:rPr>
          <w:noProof/>
        </w:rPr>
        <w:t>51 287 550 EUR en 2023.</w:t>
      </w:r>
    </w:p>
    <w:p>
      <w:pPr>
        <w:rPr>
          <w:noProof/>
        </w:rPr>
      </w:pPr>
      <w:r>
        <w:rPr>
          <w:noProof/>
        </w:rPr>
        <w:t>Les montants spécifiques des crédits de paiement de chaque exercice sont autorisés conformément à la procédure budgétaire annuelle.</w:t>
      </w:r>
    </w:p>
    <w:p>
      <w:pPr>
        <w:pStyle w:val="Titrearticle"/>
        <w:rPr>
          <w:noProof/>
        </w:rPr>
      </w:pPr>
      <w:r>
        <w:rPr>
          <w:noProof/>
        </w:rPr>
        <w:t>Article 2</w:t>
      </w:r>
    </w:p>
    <w:p>
      <w:pPr>
        <w:rPr>
          <w:i/>
          <w:noProof/>
        </w:rPr>
      </w:pPr>
      <w:r>
        <w:rPr>
          <w:noProof/>
        </w:rPr>
        <w:t xml:space="preserve">La présente décision entre en vigueur le jour de sa publication au </w:t>
      </w:r>
      <w:r>
        <w:rPr>
          <w:i/>
          <w:noProof/>
        </w:rPr>
        <w:t>Journal officiel de l'Union européenne</w:t>
      </w:r>
      <w:r>
        <w:rPr>
          <w:noProof/>
        </w:rPr>
        <w:t>.</w:t>
      </w:r>
    </w:p>
    <w:p>
      <w:pPr>
        <w:rPr>
          <w:noProof/>
        </w:rPr>
      </w:pPr>
      <w:r>
        <w:rPr>
          <w:noProof/>
        </w:rPr>
        <w:t>Elle est applicable à partir du 1</w:t>
      </w:r>
      <w:r>
        <w:rPr>
          <w:noProof/>
          <w:vertAlign w:val="superscript"/>
        </w:rPr>
        <w:t>er</w:t>
      </w:r>
      <w:r>
        <w:rPr>
          <w:noProof/>
        </w:rPr>
        <w:t> janvier 2019.</w:t>
      </w:r>
    </w:p>
    <w:p>
      <w:pPr>
        <w:rPr>
          <w:i/>
          <w:noProof/>
        </w:rPr>
      </w:pP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884.</w:t>
      </w:r>
    </w:p>
  </w:footnote>
  <w:footnote w:id="2">
    <w:p>
      <w:pPr>
        <w:pStyle w:val="FootnoteText"/>
      </w:pPr>
      <w:r>
        <w:rPr>
          <w:rStyle w:val="FootnoteReference"/>
        </w:rPr>
        <w:footnoteRef/>
      </w:r>
      <w:r>
        <w:tab/>
        <w:t>JO C 373 du 20.12.2013, p. 1.</w:t>
      </w:r>
    </w:p>
  </w:footnote>
  <w:footnote w:id="3">
    <w:p>
      <w:pPr>
        <w:pStyle w:val="FootnoteText"/>
      </w:pPr>
      <w:r>
        <w:rPr>
          <w:rStyle w:val="FootnoteReference"/>
        </w:rPr>
        <w:footnoteRef/>
      </w:r>
      <w:r>
        <w:tab/>
        <w:t>JO C 373 du 20.12.2013, p. 1.</w:t>
      </w:r>
    </w:p>
  </w:footnote>
  <w:footnote w:id="4">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5">
    <w:p>
      <w:pPr>
        <w:pStyle w:val="FootnoteText"/>
      </w:pPr>
      <w:r>
        <w:rPr>
          <w:rStyle w:val="FootnoteReference"/>
        </w:rPr>
        <w:footnoteRef/>
      </w:r>
      <w:r>
        <w:tab/>
        <w:t>COM(2017) 825 du 6.12.2017.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5A3E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2AA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8E05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69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C6E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8095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56170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8ABE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KOVA Lenka (BUDG)">
    <w15:presenceInfo w15:providerId="None" w15:userId="FILIPKOVA Lenka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1 10:22: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64F1DD2-C1C4-48AB-9E50-32170CE34D86"/>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mobilisation de l'instrument de flexibilité aux fins du financement de mesures budgétaires immédiates pour faire face aux défis actuels liés à la migration, à l'afflux de réfugiés et aux menaces pesant sur la sécurité ainsi qu\u8217?à l\u8217?extension du programme d\u8217?appui à la réforme structurell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05FA0F7-C86C-4DCE-9746-04E7F13C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974</Words>
  <Characters>5125</Characters>
  <Application>Microsoft Office Word</Application>
  <DocSecurity>0</DocSecurity>
  <Lines>109</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2018-06-19T12:54:00Z</dcterms:created>
  <dcterms:modified xsi:type="dcterms:W3CDTF">2018-06-21T08:22:00Z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