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18" w:rsidRDefault="0051105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13D856F-CCEB-4725-879E-3EE37384CCEE" style="width:449.4pt;height:352.55pt">
            <v:imagedata r:id="rId9" o:title=""/>
          </v:shape>
        </w:pict>
      </w:r>
    </w:p>
    <w:p w:rsidR="00237818" w:rsidRDefault="00237818">
      <w:pPr>
        <w:rPr>
          <w:noProof/>
        </w:rPr>
        <w:sectPr w:rsidR="00237818"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37818" w:rsidRDefault="00511055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237818" w:rsidRDefault="00511055">
      <w:pPr>
        <w:rPr>
          <w:noProof/>
        </w:rPr>
      </w:pPr>
      <w:r>
        <w:rPr>
          <w:noProof/>
        </w:rPr>
        <w:t>С Регламент (EC, Евратом) № 1311/2013 на Съвета от 2 декември 2013 г. за определяне на многогодишната финансова рамка за годините</w:t>
      </w:r>
      <w:r>
        <w:rPr>
          <w:noProof/>
        </w:rPr>
        <w:t xml:space="preserve"> 2014—2020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с член 10 от него, се разрешава мобилизирането на средства от фонд „Солидарност“ на Европейския съюз в рамките на годишен таван в размер на 500 милиона евро (по цени от 2011 г.) над съответните функции във финансовата рамка.</w:t>
      </w:r>
    </w:p>
    <w:p w:rsidR="00237818" w:rsidRDefault="00511055">
      <w:pPr>
        <w:rPr>
          <w:noProof/>
        </w:rPr>
      </w:pPr>
      <w:r>
        <w:rPr>
          <w:noProof/>
        </w:rPr>
        <w:t>Усл</w:t>
      </w:r>
      <w:r>
        <w:rPr>
          <w:noProof/>
        </w:rPr>
        <w:t xml:space="preserve">овията за мобилизирането на фонда са определени в точка 11 от Междуинституционалното споразумение от 2 декември 2013 г. между Европейския парламент, Съвета и Комисията относно бюджетната дисциплина, сътрудничеството по бюджетни въпроси и доброто финансово </w:t>
      </w:r>
      <w:r>
        <w:rPr>
          <w:noProof/>
        </w:rPr>
        <w:t>управление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 w:rsidR="00237818" w:rsidRDefault="00511055">
      <w:pPr>
        <w:rPr>
          <w:noProof/>
        </w:rPr>
      </w:pPr>
      <w:r>
        <w:rPr>
          <w:noProof/>
        </w:rPr>
        <w:t>Условията за допустимост по отношение на средствата от фонда са определени подробно в Регламента на Европейския парламент и Съвета за изменение на Регламент (ЕО) № 2012/2002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в който е предвидено за авансови плащания в бюджета да бъ</w:t>
      </w:r>
      <w:r>
        <w:rPr>
          <w:noProof/>
        </w:rPr>
        <w:t>дат включени максимум 50 000 000 EUR бюджетни кредити за поети задължения и бюджетни кредити за плащания.</w:t>
      </w:r>
    </w:p>
    <w:p w:rsidR="00237818" w:rsidRDefault="00511055">
      <w:pPr>
        <w:rPr>
          <w:noProof/>
        </w:rPr>
      </w:pPr>
      <w:r>
        <w:rPr>
          <w:noProof/>
        </w:rPr>
        <w:t>Комисията включва тези суми в проектобюджета за 2019 г.</w:t>
      </w:r>
    </w:p>
    <w:p w:rsidR="00237818" w:rsidRDefault="00237818">
      <w:pPr>
        <w:rPr>
          <w:noProof/>
        </w:rPr>
        <w:sectPr w:rsidR="00237818"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237818" w:rsidRDefault="00511055">
      <w:pPr>
        <w:pStyle w:val="Statut"/>
        <w:rPr>
          <w:noProof/>
        </w:rPr>
      </w:pPr>
      <w:r>
        <w:rPr>
          <w:noProof/>
        </w:rPr>
        <w:lastRenderedPageBreak/>
        <w:t>Предложение за</w:t>
      </w:r>
    </w:p>
    <w:p w:rsidR="00237818" w:rsidRDefault="00511055">
      <w:pPr>
        <w:pStyle w:val="Typedudocument"/>
        <w:rPr>
          <w:noProof/>
        </w:rPr>
      </w:pPr>
      <w:r>
        <w:rPr>
          <w:noProof/>
        </w:rPr>
        <w:t>РЕШЕНИЕ НА ЕВРОПЕЙСКИЯ ПАР</w:t>
      </w:r>
      <w:r>
        <w:rPr>
          <w:noProof/>
        </w:rPr>
        <w:t>ЛАМЕНТ И НА СЪВЕТА</w:t>
      </w:r>
    </w:p>
    <w:p w:rsidR="00237818" w:rsidRDefault="00511055">
      <w:pPr>
        <w:pStyle w:val="Titreobjet"/>
        <w:rPr>
          <w:noProof/>
        </w:rPr>
      </w:pPr>
      <w:r>
        <w:rPr>
          <w:noProof/>
        </w:rPr>
        <w:t>относно мобилизирането на средства от фонд „Солидарност“ на Европейския съюз за извършване на авансови плащания в рамките на общия бюджет на Съюза за 2019 г.</w:t>
      </w:r>
    </w:p>
    <w:p w:rsidR="00237818" w:rsidRDefault="00511055">
      <w:pPr>
        <w:pStyle w:val="Institutionquiagit"/>
        <w:spacing w:before="480" w:after="360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 w:rsidR="00237818" w:rsidRDefault="00511055">
      <w:pPr>
        <w:rPr>
          <w:noProof/>
        </w:rPr>
      </w:pPr>
      <w:r>
        <w:rPr>
          <w:noProof/>
        </w:rPr>
        <w:t xml:space="preserve">като взеха предвид </w:t>
      </w:r>
      <w:r>
        <w:rPr>
          <w:noProof/>
        </w:rPr>
        <w:t>Договора за функционирането на Европейския съюз,</w:t>
      </w:r>
    </w:p>
    <w:p w:rsidR="00237818" w:rsidRDefault="00511055">
      <w:pPr>
        <w:rPr>
          <w:noProof/>
        </w:rPr>
      </w:pPr>
      <w:r>
        <w:rPr>
          <w:noProof/>
        </w:rPr>
        <w:t>като взеха предвид Регламент (ЕО) № 2012/2002 на Съвета от 11 ноември 2002 г. за създаване на фонд „Солидарност“ на Европейския съюз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и по-специално член 4а, параграф 4 от него, </w:t>
      </w:r>
    </w:p>
    <w:p w:rsidR="00237818" w:rsidRDefault="00511055">
      <w:pPr>
        <w:rPr>
          <w:noProof/>
        </w:rPr>
      </w:pPr>
      <w:r>
        <w:rPr>
          <w:noProof/>
        </w:rPr>
        <w:t>като взеха предвид Междуинс</w:t>
      </w:r>
      <w:r>
        <w:rPr>
          <w:noProof/>
        </w:rPr>
        <w:t>титуционалното споразумение от 2 декември 2013 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5"/>
      </w:r>
      <w:r>
        <w:rPr>
          <w:noProof/>
        </w:rPr>
        <w:t>, и по-специално точка 11 от него,</w:t>
      </w:r>
    </w:p>
    <w:p w:rsidR="00237818" w:rsidRDefault="00511055">
      <w:pPr>
        <w:rPr>
          <w:noProof/>
        </w:rPr>
      </w:pPr>
      <w:r>
        <w:rPr>
          <w:noProof/>
        </w:rPr>
        <w:t>като взеха предвид предл</w:t>
      </w:r>
      <w:r>
        <w:rPr>
          <w:noProof/>
        </w:rPr>
        <w:t>ожението на Европейската комисия,</w:t>
      </w:r>
    </w:p>
    <w:p w:rsidR="00237818" w:rsidRDefault="00511055">
      <w:pPr>
        <w:spacing w:after="360"/>
        <w:rPr>
          <w:noProof/>
        </w:rPr>
      </w:pPr>
      <w:r>
        <w:rPr>
          <w:noProof/>
        </w:rPr>
        <w:t>като имат предвид, че:</w:t>
      </w:r>
    </w:p>
    <w:p w:rsidR="00237818" w:rsidRDefault="00511055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Фонд „Солидарност“ на Европейския съюз (наричан по-нататък „фондът“) има за цел да се осигури възможност на Съюза да реагира по бърз, ефективен и гъвкав начин на извънредни ситуации и да покаже солид</w:t>
      </w:r>
      <w:r>
        <w:rPr>
          <w:noProof/>
        </w:rPr>
        <w:t>арност с населението на регионите, засегнати от бедствия.</w:t>
      </w:r>
    </w:p>
    <w:p w:rsidR="00237818" w:rsidRDefault="00511055">
      <w:pPr>
        <w:pStyle w:val="Point0number"/>
        <w:rPr>
          <w:noProof/>
        </w:rPr>
      </w:pPr>
      <w:r>
        <w:rPr>
          <w:noProof/>
        </w:rPr>
        <w:t>Съгласно член 10 от Регламент (ЕС, Евратом) № 1311/2013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фондът не може да надвишава 500 000 000 EUR (по цени от 2011 г.).</w:t>
      </w:r>
    </w:p>
    <w:p w:rsidR="00237818" w:rsidRDefault="00511055">
      <w:pPr>
        <w:pStyle w:val="Point0number"/>
        <w:rPr>
          <w:noProof/>
          <w:sz w:val="22"/>
        </w:rPr>
      </w:pPr>
      <w:r>
        <w:rPr>
          <w:noProof/>
        </w:rPr>
        <w:t>В член 4а, параграф 4 от изменения Регламент (ЕО) № 2012/2002 е п</w:t>
      </w:r>
      <w:r>
        <w:rPr>
          <w:noProof/>
        </w:rPr>
        <w:t>редвидено, че когато е необходимо и за да се гарантира своевременното наличие на бюджетни ресурси, от фонда могат да се мобилизират максимум 50 000 000 EUR за авансови плащания, като съответните бюджетни кредити се включват в общия бюджет на Съюза.</w:t>
      </w:r>
    </w:p>
    <w:p w:rsidR="00237818" w:rsidRDefault="00511055">
      <w:pPr>
        <w:pStyle w:val="Point0number"/>
        <w:rPr>
          <w:noProof/>
          <w:sz w:val="22"/>
        </w:rPr>
      </w:pPr>
      <w:r>
        <w:rPr>
          <w:noProof/>
        </w:rPr>
        <w:t>С цел д</w:t>
      </w:r>
      <w:r>
        <w:rPr>
          <w:noProof/>
        </w:rPr>
        <w:t>а бъде гарантирано своевременното наличие на достатъчни бюджетни ресурси в общия бюджет на Съюза за 2019 г., от фонда следва да се мобилизират 50 000 000 EUR за авансови плащания,</w:t>
      </w:r>
    </w:p>
    <w:p w:rsidR="00237818" w:rsidRDefault="00511055">
      <w:pPr>
        <w:pStyle w:val="Point0number"/>
        <w:rPr>
          <w:noProof/>
        </w:rPr>
      </w:pPr>
      <w:r>
        <w:rPr>
          <w:noProof/>
        </w:rPr>
        <w:t>За да се сведе до минимум необходимото време за мобилизиране на фонда, насто</w:t>
      </w:r>
      <w:r>
        <w:rPr>
          <w:noProof/>
        </w:rPr>
        <w:t>ящото решение следва да се прилага от началото на финансовата 2019 година,</w:t>
      </w:r>
    </w:p>
    <w:p w:rsidR="00237818" w:rsidRDefault="00511055">
      <w:pPr>
        <w:pStyle w:val="Formuledadoption"/>
        <w:spacing w:before="240"/>
        <w:rPr>
          <w:noProof/>
        </w:rPr>
      </w:pPr>
      <w:r>
        <w:rPr>
          <w:noProof/>
        </w:rPr>
        <w:lastRenderedPageBreak/>
        <w:t xml:space="preserve">ПРИЕХА НАСТОЯЩОТО РЕШЕНИЕ: </w:t>
      </w:r>
    </w:p>
    <w:p w:rsidR="00237818" w:rsidRDefault="00511055">
      <w:pPr>
        <w:pStyle w:val="Titrearticle"/>
        <w:rPr>
          <w:noProof/>
        </w:rPr>
      </w:pPr>
      <w:r>
        <w:rPr>
          <w:noProof/>
        </w:rPr>
        <w:t>Член 1</w:t>
      </w:r>
    </w:p>
    <w:p w:rsidR="00237818" w:rsidRDefault="00511055">
      <w:pPr>
        <w:rPr>
          <w:noProof/>
        </w:rPr>
      </w:pPr>
      <w:r>
        <w:rPr>
          <w:noProof/>
        </w:rPr>
        <w:t xml:space="preserve">В рамките на общия бюджет на Европейския съюз за финансовата 2019 година фонд „Солидарност“ на Европейския съюз се мобилизира за осигуряване на </w:t>
      </w:r>
      <w:r>
        <w:rPr>
          <w:noProof/>
        </w:rPr>
        <w:t>50 000 000 EUR под формата на бюджетни кредити за поети задължения и бюджетни кредити за плащания за извършването на авансови плащания.</w:t>
      </w:r>
    </w:p>
    <w:p w:rsidR="00237818" w:rsidRDefault="00511055">
      <w:pPr>
        <w:pStyle w:val="Titrearticle"/>
        <w:rPr>
          <w:noProof/>
        </w:rPr>
      </w:pPr>
      <w:bookmarkStart w:id="0" w:name="_GoBack"/>
      <w:bookmarkEnd w:id="0"/>
      <w:r>
        <w:rPr>
          <w:noProof/>
        </w:rPr>
        <w:t>Член 2</w:t>
      </w:r>
    </w:p>
    <w:p w:rsidR="00237818" w:rsidRDefault="00511055">
      <w:pPr>
        <w:rPr>
          <w:noProof/>
        </w:rPr>
      </w:pPr>
      <w:r>
        <w:rPr>
          <w:noProof/>
        </w:rPr>
        <w:t xml:space="preserve">Настоящото решение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237818" w:rsidRDefault="00511055">
      <w:pPr>
        <w:rPr>
          <w:noProof/>
        </w:rPr>
      </w:pPr>
      <w:r>
        <w:rPr>
          <w:noProof/>
        </w:rPr>
        <w:t>То</w:t>
      </w:r>
      <w:r>
        <w:rPr>
          <w:noProof/>
        </w:rPr>
        <w:t xml:space="preserve"> се прилага от 1 януари 2019 г.</w:t>
      </w:r>
    </w:p>
    <w:p w:rsidR="00237818" w:rsidRDefault="00511055"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 w:rsidR="00237818" w:rsidRDefault="00511055"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 w:rsidR="00237818" w:rsidRDefault="00511055"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 w:rsidR="00237818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18" w:rsidRDefault="00511055">
      <w:pPr>
        <w:spacing w:before="0" w:after="0"/>
      </w:pPr>
      <w:r>
        <w:separator/>
      </w:r>
    </w:p>
  </w:endnote>
  <w:endnote w:type="continuationSeparator" w:id="0">
    <w:p w:rsidR="00237818" w:rsidRDefault="00511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18" w:rsidRDefault="0051105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18" w:rsidRDefault="0051105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18" w:rsidRDefault="00237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18" w:rsidRDefault="00511055">
      <w:pPr>
        <w:spacing w:before="0" w:after="0"/>
      </w:pPr>
      <w:r>
        <w:separator/>
      </w:r>
    </w:p>
  </w:footnote>
  <w:footnote w:type="continuationSeparator" w:id="0">
    <w:p w:rsidR="00237818" w:rsidRDefault="00511055">
      <w:pPr>
        <w:spacing w:before="0" w:after="0"/>
      </w:pPr>
      <w:r>
        <w:continuationSeparator/>
      </w:r>
    </w:p>
  </w:footnote>
  <w:footnote w:id="1">
    <w:p w:rsidR="00237818" w:rsidRDefault="00511055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347, 20.12.2013 г., стр. 884.</w:t>
      </w:r>
    </w:p>
  </w:footnote>
  <w:footnote w:id="2">
    <w:p w:rsidR="00237818" w:rsidRDefault="00511055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t>ОВ C 373, 20.12.2013 г., стр. 1.</w:t>
      </w:r>
    </w:p>
  </w:footnote>
  <w:footnote w:id="3">
    <w:p w:rsidR="00237818" w:rsidRDefault="00511055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t>ОВ L 189, 27.6.2014 г., стр. 143.</w:t>
      </w:r>
    </w:p>
  </w:footnote>
  <w:footnote w:id="4">
    <w:p w:rsidR="00237818" w:rsidRDefault="00511055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t xml:space="preserve">ОВ L 189, </w:t>
      </w:r>
      <w:r>
        <w:t>27.6.2014 г., стр. 143.</w:t>
      </w:r>
    </w:p>
  </w:footnote>
  <w:footnote w:id="5">
    <w:p w:rsidR="00237818" w:rsidRDefault="00511055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t>ОВ C 373, 20.12.2013 г., стр. 1.</w:t>
      </w:r>
    </w:p>
  </w:footnote>
  <w:footnote w:id="6">
    <w:p w:rsidR="00237818" w:rsidRDefault="00511055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t>ОВ L 347, 20.12.2013 г., стр. 884.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DCE7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8EAD8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4FEE4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2625B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EF6CD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AB0F3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3E001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686B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LIPKOVA Lenka (BUDG)">
    <w15:presenceInfo w15:providerId="None" w15:userId="FILIPKOVA Lenka (BUD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1 10:27:1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713D856F-CCEB-4725-879E-3EE37384CCEE"/>
    <w:docVar w:name="LW_COVERPAGE_TYPE" w:val="1"/>
    <w:docVar w:name="LW_CROSSREFERENCE" w:val="&lt;UNUSED&gt;"/>
    <w:docVar w:name="LW_DocType" w:val="COM"/>
    <w:docVar w:name="LW_EMISSION" w:val="23.5.2018"/>
    <w:docVar w:name="LW_EMISSION_ISODATE" w:val="2018-05-23"/>
    <w:docVar w:name="LW_EMISSION_LOCATION" w:val="BRX"/>
    <w:docVar w:name="LW_EMISSION_PREFIX" w:val="Брюксел, "/>
    <w:docVar w:name="LW_EMISSION_SUFFIX" w:val="&lt;EMPTY&gt;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2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4?\u1086?\u1073?\u1080?\u1083?\u1080?\u1079?\u1080?\u1088?\u1072?\u1085?\u1077?\u1090?\u1086? \u1085?\u1072? \u1089?\u1088?\u1077?\u1076?\u1089?\u1090?\u1074?\u1072? \u1086?\u1090? \u1092?\u1086?\u1085?\u1076? \u8222?\u1057?\u1086?\u1083?\u1080?\u1076?\u1072?\u1088?\u1085?\u1086?\u1089?\u1090?\u8220? \u1085?\u1072? \u1045?\u1074?\u1088?\u1086?\u1087?\u1077?\u1081?\u1089?\u1082?\u1080?\u1103? \u1089?\u1098?\u1102?\u1079? \u1079?\u1072? \u1080?\u1079?\u1074?\u1098?\u1088?\u1096?\u1074?\u1072?\u1085?\u1077? \u1085?\u1072? \u1072?\u1074?\u1072?\u1085?\u1089?\u1086?\u1074?\u1080? \u1087?\u1083?\u1072?\u1097?\u1072?\u1085?\u1080?\u1103? \u1074? \u1088?\u1072?\u1084?\u1082?\u1080?\u1090?\u1077? \u1085?\u1072? \u1086?\u1073?\u1097?\u1080?\u1103? \u1073?\u1102?\u1076?\u1078?\u1077?\u1090? \u1085?\u1072? \u1057?\u1098?\u1102?\u1079?\u1072? \u1079?\u1072? 2019 \u1075?.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237818"/>
    <w:rsid w:val="00237818"/>
    <w:rsid w:val="005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italic1">
    <w:name w:val="italic1"/>
    <w:basedOn w:val="DefaultParagraphFont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customStyle="1" w:styleId="italic1">
    <w:name w:val="italic1"/>
    <w:basedOn w:val="DefaultParagraphFont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1C6C-E029-4503-9674-CC92BFD9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562</Words>
  <Characters>2986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18</cp:revision>
  <dcterms:created xsi:type="dcterms:W3CDTF">2018-06-20T08:08:00Z</dcterms:created>
  <dcterms:modified xsi:type="dcterms:W3CDTF">2018-06-21T08:46:00Z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Yellow (DQC version 03)</vt:lpwstr>
  </property>
</Properties>
</file>