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DF0FDC8-8ADE-4187-9A3E-72F6057CA9D6"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tabs>
          <w:tab w:val="clear" w:pos="850"/>
          <w:tab w:val="num" w:pos="1004"/>
        </w:tabs>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tabs>
          <w:tab w:val="clear" w:pos="850"/>
          <w:tab w:val="num" w:pos="927"/>
        </w:tabs>
        <w:rPr>
          <w:noProof/>
        </w:rPr>
      </w:pPr>
      <w:r>
        <w:rPr>
          <w:noProof/>
        </w:rPr>
        <w:t>общия бюджет на Европейския съюз за 2018 финансова година, приет на 30 ноември 2017 г.</w:t>
      </w:r>
      <w:r>
        <w:rPr>
          <w:rStyle w:val="FootnoteReference"/>
          <w:noProof/>
        </w:rPr>
        <w:footnoteReference w:id="3"/>
      </w:r>
      <w:r>
        <w:rPr>
          <w:noProof/>
        </w:rPr>
        <w:t>,</w:t>
      </w:r>
    </w:p>
    <w:p>
      <w:pPr>
        <w:pStyle w:val="Tiret0"/>
        <w:tabs>
          <w:tab w:val="clear" w:pos="850"/>
          <w:tab w:val="num" w:pos="927"/>
        </w:tabs>
        <w:rPr>
          <w:noProof/>
        </w:rPr>
      </w:pPr>
      <w:r>
        <w:rPr>
          <w:noProof/>
        </w:rPr>
        <w:t>коригиращ бюджет № 1/2018</w:t>
      </w:r>
      <w:r>
        <w:rPr>
          <w:rStyle w:val="FootnoteReference"/>
          <w:noProof/>
        </w:rPr>
        <w:footnoteReference w:id="4"/>
      </w:r>
      <w:r>
        <w:rPr>
          <w:noProof/>
        </w:rPr>
        <w:t>, приет на 30 май 2018 г.,</w:t>
      </w:r>
    </w:p>
    <w:p>
      <w:pPr>
        <w:pStyle w:val="Tiret0"/>
        <w:tabs>
          <w:tab w:val="clear" w:pos="850"/>
          <w:tab w:val="num" w:pos="927"/>
        </w:tabs>
        <w:rPr>
          <w:noProof/>
        </w:rPr>
      </w:pPr>
      <w:r>
        <w:rPr>
          <w:noProof/>
        </w:rPr>
        <w:t>проект на коригиращ бюджет № 2/2018</w:t>
      </w:r>
      <w:r>
        <w:rPr>
          <w:rStyle w:val="FootnoteReference"/>
          <w:noProof/>
        </w:rPr>
        <w:footnoteReference w:id="5"/>
      </w:r>
      <w:r>
        <w:rPr>
          <w:noProof/>
        </w:rPr>
        <w:t>, приет на 13 април 2018 г.,</w:t>
      </w:r>
    </w:p>
    <w:p>
      <w:pPr>
        <w:pStyle w:val="Tiret0"/>
        <w:tabs>
          <w:tab w:val="clear" w:pos="850"/>
          <w:tab w:val="num" w:pos="927"/>
        </w:tabs>
        <w:rPr>
          <w:noProof/>
        </w:rPr>
      </w:pPr>
      <w:r>
        <w:rPr>
          <w:noProof/>
        </w:rPr>
        <w:t>проект на коригиращ бюджет № 3/2018</w:t>
      </w:r>
      <w:r>
        <w:rPr>
          <w:rStyle w:val="FootnoteReference"/>
          <w:noProof/>
        </w:rPr>
        <w:footnoteReference w:id="6"/>
      </w:r>
      <w:r>
        <w:rPr>
          <w:noProof/>
        </w:rPr>
        <w:t>, приет на 23 май 2018 г.,</w:t>
      </w:r>
    </w:p>
    <w:p>
      <w:pPr>
        <w:pStyle w:val="Tiret0"/>
        <w:numPr>
          <w:ilvl w:val="0"/>
          <w:numId w:val="0"/>
        </w:numPr>
        <w:spacing w:after="600"/>
        <w:rPr>
          <w:noProof/>
        </w:rPr>
      </w:pPr>
      <w:r>
        <w:rPr>
          <w:noProof/>
        </w:rPr>
        <w:t>С настоящото Европейската комисия представя на Европейския парламент и на Съвета проект на коригиращ бюджет № 4 към общия бюджет за 2018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http://eur-lex.europa.eu/budget/www/index-en.htm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СЪДЪРЖАНИЕ</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17181072"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_Toc517181072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7181073"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Финансиране със средствата на ФСЕС за 2018 г.</w:t>
            </w:r>
            <w:r>
              <w:rPr>
                <w:noProof/>
                <w:webHidden/>
              </w:rPr>
              <w:tab/>
            </w:r>
            <w:r>
              <w:rPr>
                <w:noProof/>
                <w:webHidden/>
              </w:rPr>
              <w:fldChar w:fldCharType="begin"/>
            </w:r>
            <w:r>
              <w:rPr>
                <w:noProof/>
                <w:webHidden/>
              </w:rPr>
              <w:instrText xml:space="preserve"> PAGEREF _Toc517181073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7181074"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Поискани бюджетни кредити в бюджета за 2018 г.</w:t>
            </w:r>
            <w:r>
              <w:rPr>
                <w:noProof/>
                <w:webHidden/>
              </w:rPr>
              <w:tab/>
            </w:r>
            <w:r>
              <w:rPr>
                <w:noProof/>
                <w:webHidden/>
              </w:rPr>
              <w:fldChar w:fldCharType="begin"/>
            </w:r>
            <w:r>
              <w:rPr>
                <w:noProof/>
                <w:webHidden/>
              </w:rPr>
              <w:instrText xml:space="preserve"> PAGEREF _Toc517181074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7181075"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_Toc517181075 \h </w:instrText>
            </w:r>
            <w:r>
              <w:rPr>
                <w:noProof/>
                <w:webHidden/>
              </w:rPr>
            </w:r>
            <w:r>
              <w:rPr>
                <w:noProof/>
                <w:webHidden/>
              </w:rPr>
              <w:fldChar w:fldCharType="separate"/>
            </w:r>
            <w:r>
              <w:rPr>
                <w:noProof/>
                <w:webHidden/>
              </w:rPr>
              <w:t>6</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14181799"/>
      <w:bookmarkStart w:id="12" w:name="_Toc517181072"/>
      <w:bookmarkStart w:id="13" w:name="_Toc351469332"/>
      <w:bookmarkStart w:id="14" w:name="_Toc361649879"/>
      <w:r>
        <w:t>1.</w:t>
      </w:r>
      <w:r>
        <w:tab/>
        <w:t>Въведение</w:t>
      </w:r>
      <w:bookmarkEnd w:id="8"/>
      <w:bookmarkEnd w:id="9"/>
      <w:bookmarkEnd w:id="10"/>
      <w:bookmarkEnd w:id="11"/>
      <w:bookmarkEnd w:id="12"/>
    </w:p>
    <w:p>
      <w:pPr>
        <w:spacing w:before="120" w:after="120"/>
        <w:jc w:val="both"/>
        <w:rPr>
          <w:noProof/>
        </w:rPr>
      </w:pPr>
      <w:r>
        <w:rPr>
          <w:noProof/>
        </w:rPr>
        <w:t>Проект на коригиращ бюджет (ПКБ) № 4 за 2018 г. придружава предложението</w:t>
      </w:r>
      <w:r>
        <w:rPr>
          <w:rStyle w:val="FootnoteReference"/>
          <w:noProof/>
        </w:rPr>
        <w:footnoteReference w:id="7"/>
      </w:r>
      <w:r>
        <w:rPr>
          <w:noProof/>
        </w:rPr>
        <w:t xml:space="preserve"> за мобилизиране на средства от фонд „Солидарност“ на Европейския съюз (ФСЕС) в размер на 33 992 206 EUR с цел предоставяне на помощ на България, Гърция, Литва и Полша вследствие на природните бедствия, настъпили в тези държави членки през 2017 г.:</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България</w:t>
      </w:r>
      <w:r>
        <w:rPr>
          <w:rFonts w:ascii="Times New Roman" w:hAnsi="Times New Roman"/>
          <w:noProof/>
          <w:sz w:val="24"/>
        </w:rPr>
        <w:t>: наводнения, причинени от необичайно силни валежи и силни бури в югоизточната част на страната (25 и 26 октомври 2017 г.);</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Гърция</w:t>
      </w:r>
      <w:r>
        <w:rPr>
          <w:rFonts w:ascii="Times New Roman" w:hAnsi="Times New Roman"/>
          <w:noProof/>
          <w:sz w:val="24"/>
        </w:rPr>
        <w:t>: земетресение с магнитуд от 6,6 по скалата на Рихтер, засегнало Южноегейския регион между Бодрум (Турция) и остров Кос (Гърция), последвано от голям брой вторични трусове (20 юли 2017 г.);</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Литва</w:t>
      </w:r>
      <w:r>
        <w:rPr>
          <w:rFonts w:ascii="Times New Roman" w:hAnsi="Times New Roman"/>
          <w:noProof/>
          <w:sz w:val="24"/>
        </w:rPr>
        <w:t>: наводнения, причинени от непрекъснати валежи през лятото и есента на 2017 г.;</w:t>
      </w:r>
    </w:p>
    <w:p>
      <w:pPr>
        <w:pStyle w:val="ListParagraph"/>
        <w:numPr>
          <w:ilvl w:val="0"/>
          <w:numId w:val="43"/>
        </w:numPr>
        <w:spacing w:after="120"/>
        <w:jc w:val="both"/>
        <w:rPr>
          <w:rFonts w:ascii="Times New Roman" w:hAnsi="Times New Roman"/>
          <w:noProof/>
          <w:sz w:val="24"/>
          <w:szCs w:val="24"/>
        </w:rPr>
      </w:pPr>
      <w:r>
        <w:rPr>
          <w:rFonts w:ascii="Times New Roman" w:hAnsi="Times New Roman"/>
          <w:i/>
          <w:noProof/>
          <w:sz w:val="24"/>
        </w:rPr>
        <w:t>Полша</w:t>
      </w:r>
      <w:r>
        <w:rPr>
          <w:rFonts w:ascii="Times New Roman" w:hAnsi="Times New Roman"/>
          <w:noProof/>
          <w:sz w:val="24"/>
        </w:rPr>
        <w:t>: изключително силни бури и обилни валежи (между 9 и 12 август 2017 г.).</w:t>
      </w:r>
    </w:p>
    <w:p>
      <w:pPr>
        <w:spacing w:before="120" w:after="120"/>
        <w:jc w:val="both"/>
        <w:rPr>
          <w:noProof/>
        </w:rPr>
      </w:pPr>
      <w:r>
        <w:rPr>
          <w:noProof/>
        </w:rPr>
        <w:t>В ПКБ № 4/2017 се предлага записването на необходимите бюджетни кредити в общия бюджет за 2018 г. под формата на бюджетни кредити за поети задължения и за плащания</w:t>
      </w:r>
    </w:p>
    <w:p>
      <w:pPr>
        <w:keepNext/>
        <w:tabs>
          <w:tab w:val="left" w:pos="850"/>
        </w:tabs>
        <w:spacing w:before="240" w:after="120"/>
        <w:ind w:left="851" w:hanging="851"/>
        <w:jc w:val="both"/>
        <w:outlineLvl w:val="0"/>
        <w:rPr>
          <w:b/>
          <w:smallCaps/>
          <w:noProof/>
        </w:rPr>
      </w:pPr>
      <w:bookmarkStart w:id="15" w:name="_Toc514181800"/>
      <w:bookmarkStart w:id="16" w:name="_Toc517181073"/>
      <w:bookmarkStart w:id="17" w:name="_Toc462410050"/>
      <w:bookmarkStart w:id="18" w:name="_Toc430865947"/>
      <w:bookmarkStart w:id="19" w:name="_Toc430867525"/>
      <w:r>
        <w:rPr>
          <w:b/>
          <w:smallCaps/>
          <w:noProof/>
        </w:rPr>
        <w:t>2.</w:t>
      </w:r>
      <w:r>
        <w:rPr>
          <w:noProof/>
        </w:rPr>
        <w:tab/>
      </w:r>
      <w:r>
        <w:rPr>
          <w:b/>
          <w:smallCaps/>
          <w:noProof/>
        </w:rPr>
        <w:t>Финансиране със средствата на ФСЕС за 2018 г.</w:t>
      </w:r>
      <w:bookmarkEnd w:id="15"/>
      <w:bookmarkEnd w:id="16"/>
    </w:p>
    <w:p>
      <w:pPr>
        <w:jc w:val="both"/>
        <w:rPr>
          <w:noProof/>
        </w:rPr>
      </w:pPr>
      <w:bookmarkStart w:id="20" w:name="_Toc460335328"/>
      <w:bookmarkStart w:id="21" w:name="_Toc430865948"/>
      <w:bookmarkStart w:id="22" w:name="_Toc430867526"/>
      <w:bookmarkEnd w:id="17"/>
      <w:r>
        <w:rPr>
          <w:noProof/>
        </w:rPr>
        <w:t>В съответствие с член 10, параграф 1 от Регламента за МФР общата налична сума за мобилизиране на средства от ФСЕС в началото на 2018 г. бе 421 142 057 EUR. Тя представлява сборът от останалите средства за 2018 г. в размер на 280 371 754 EUR (т.е. 574 342 834 EUR минус 293 971 080 EUR, които вече бяха мобилизирани през 2017 г.</w:t>
      </w:r>
      <w:r>
        <w:rPr>
          <w:rStyle w:val="FootnoteReference"/>
          <w:noProof/>
        </w:rPr>
        <w:footnoteReference w:id="8"/>
      </w:r>
      <w:r>
        <w:rPr>
          <w:noProof/>
        </w:rPr>
        <w:t>) и останалите средства за 2017 г. в размер на 140 770 303 EUR, които останаха неизразходени и бяха пренесени за 2018 г.</w:t>
      </w:r>
    </w:p>
    <w:p>
      <w:pPr>
        <w:spacing w:before="120" w:after="120"/>
        <w:jc w:val="both"/>
        <w:rPr>
          <w:noProof/>
        </w:rPr>
      </w:pPr>
      <w:r>
        <w:rPr>
          <w:noProof/>
        </w:rPr>
        <w:t>Сумата, която може да бъде мобилизирана на този етап за 2018 г., е 173 389 397 EUR. Тя съответства на общата сума, налична за мобилизиране на ФСЕС в началото на 2018 г. (421 142 057 EUR), минус запазените средства в размер на 143 585 709 EUR за спазване на задължението за заделяне на 25 % от годишните отпуснати средства за 2018 г. до 1 октомври 2018 г., както е предвидено в член 10, параграф 1 от Регламента за МФР, и минус сумата от 104 166 951 EUR, мобилизирана за Гърция, Испания, Франция и Португалия по-рано тази година</w:t>
      </w:r>
      <w:r>
        <w:rPr>
          <w:rStyle w:val="FootnoteReference"/>
          <w:noProof/>
        </w:rPr>
        <w:footnoteReference w:id="9"/>
      </w:r>
      <w:r>
        <w:rPr>
          <w:noProof/>
        </w:rPr>
        <w:t>.</w:t>
      </w:r>
    </w:p>
    <w:tbl>
      <w:tblPr>
        <w:tblStyle w:val="TableGrid"/>
        <w:tblW w:w="0" w:type="auto"/>
        <w:jc w:val="center"/>
        <w:tblLook w:val="04A0" w:firstRow="1" w:lastRow="0" w:firstColumn="1" w:lastColumn="0" w:noHBand="0" w:noVBand="1"/>
      </w:tblPr>
      <w:tblGrid>
        <w:gridCol w:w="6703"/>
        <w:gridCol w:w="1897"/>
      </w:tblGrid>
      <w:tr>
        <w:trPr>
          <w:trHeight w:val="490"/>
          <w:jc w:val="center"/>
        </w:trPr>
        <w:tc>
          <w:tcPr>
            <w:tcW w:w="6703" w:type="dxa"/>
            <w:shd w:val="clear" w:color="auto" w:fill="D9D9D9" w:themeFill="background1" w:themeFillShade="D9"/>
            <w:vAlign w:val="center"/>
          </w:tcPr>
          <w:p>
            <w:pPr>
              <w:keepNext/>
              <w:jc w:val="center"/>
              <w:rPr>
                <w:b/>
                <w:noProof/>
                <w:sz w:val="16"/>
                <w:szCs w:val="16"/>
              </w:rPr>
            </w:pPr>
            <w:r>
              <w:rPr>
                <w:b/>
                <w:noProof/>
                <w:sz w:val="20"/>
              </w:rPr>
              <w:t>Обобщаваща таблица за финансиране на ФСЕС</w:t>
            </w:r>
          </w:p>
        </w:tc>
        <w:tc>
          <w:tcPr>
            <w:tcW w:w="1897" w:type="dxa"/>
            <w:shd w:val="clear" w:color="auto" w:fill="D9D9D9" w:themeFill="background1" w:themeFillShade="D9"/>
            <w:vAlign w:val="center"/>
          </w:tcPr>
          <w:p>
            <w:pPr>
              <w:keepNext/>
              <w:jc w:val="center"/>
              <w:rPr>
                <w:b/>
                <w:noProof/>
                <w:sz w:val="16"/>
                <w:szCs w:val="16"/>
              </w:rPr>
            </w:pPr>
            <w:r>
              <w:rPr>
                <w:b/>
                <w:noProof/>
                <w:sz w:val="16"/>
              </w:rPr>
              <w:t>Размер</w:t>
            </w:r>
          </w:p>
          <w:p>
            <w:pPr>
              <w:keepNext/>
              <w:jc w:val="center"/>
              <w:rPr>
                <w:noProof/>
                <w:sz w:val="16"/>
                <w:szCs w:val="16"/>
              </w:rPr>
            </w:pPr>
            <w:r>
              <w:rPr>
                <w:b/>
                <w:noProof/>
                <w:sz w:val="16"/>
              </w:rPr>
              <w:t>EUR</w:t>
            </w:r>
          </w:p>
        </w:tc>
      </w:tr>
      <w:tr>
        <w:trPr>
          <w:trHeight w:val="258"/>
          <w:jc w:val="center"/>
        </w:trPr>
        <w:tc>
          <w:tcPr>
            <w:tcW w:w="6703" w:type="dxa"/>
          </w:tcPr>
          <w:p>
            <w:pPr>
              <w:keepNext/>
              <w:rPr>
                <w:noProof/>
                <w:sz w:val="16"/>
                <w:szCs w:val="16"/>
              </w:rPr>
            </w:pPr>
            <w:r>
              <w:rPr>
                <w:noProof/>
                <w:sz w:val="16"/>
              </w:rPr>
              <w:t>Средства за 2017 г., пренесени за 2018 г.</w:t>
            </w:r>
          </w:p>
        </w:tc>
        <w:tc>
          <w:tcPr>
            <w:tcW w:w="1897" w:type="dxa"/>
          </w:tcPr>
          <w:p>
            <w:pPr>
              <w:keepNext/>
              <w:jc w:val="right"/>
              <w:rPr>
                <w:noProof/>
                <w:sz w:val="16"/>
                <w:szCs w:val="16"/>
              </w:rPr>
            </w:pPr>
            <w:r>
              <w:rPr>
                <w:noProof/>
                <w:sz w:val="16"/>
              </w:rPr>
              <w:t>140 770 303</w:t>
            </w:r>
          </w:p>
        </w:tc>
      </w:tr>
      <w:tr>
        <w:trPr>
          <w:trHeight w:val="245"/>
          <w:jc w:val="center"/>
        </w:trPr>
        <w:tc>
          <w:tcPr>
            <w:tcW w:w="6703" w:type="dxa"/>
          </w:tcPr>
          <w:p>
            <w:pPr>
              <w:keepNext/>
              <w:rPr>
                <w:noProof/>
                <w:sz w:val="16"/>
                <w:szCs w:val="16"/>
              </w:rPr>
            </w:pPr>
            <w:r>
              <w:rPr>
                <w:noProof/>
                <w:sz w:val="16"/>
              </w:rPr>
              <w:t>Средства за 2018 г.</w:t>
            </w:r>
          </w:p>
        </w:tc>
        <w:tc>
          <w:tcPr>
            <w:tcW w:w="1897" w:type="dxa"/>
          </w:tcPr>
          <w:p>
            <w:pPr>
              <w:keepNext/>
              <w:jc w:val="right"/>
              <w:rPr>
                <w:noProof/>
                <w:sz w:val="16"/>
                <w:szCs w:val="16"/>
              </w:rPr>
            </w:pPr>
            <w:r>
              <w:rPr>
                <w:noProof/>
                <w:sz w:val="16"/>
              </w:rPr>
              <w:t>574 342 834</w:t>
            </w:r>
          </w:p>
        </w:tc>
      </w:tr>
      <w:tr>
        <w:trPr>
          <w:trHeight w:val="504"/>
          <w:jc w:val="center"/>
        </w:trPr>
        <w:tc>
          <w:tcPr>
            <w:tcW w:w="6703" w:type="dxa"/>
          </w:tcPr>
          <w:p>
            <w:pPr>
              <w:keepNext/>
              <w:rPr>
                <w:noProof/>
                <w:sz w:val="16"/>
                <w:szCs w:val="16"/>
              </w:rPr>
            </w:pPr>
            <w:r>
              <w:rPr>
                <w:noProof/>
                <w:sz w:val="16"/>
              </w:rPr>
              <w:t>Средства за 2018 г., предварително отпуснати през 2017 г. в съответствие с член 10, параграф 2 от Регламента за МФР</w:t>
            </w:r>
          </w:p>
        </w:tc>
        <w:tc>
          <w:tcPr>
            <w:tcW w:w="1897" w:type="dxa"/>
          </w:tcPr>
          <w:p>
            <w:pPr>
              <w:keepNext/>
              <w:jc w:val="right"/>
              <w:rPr>
                <w:noProof/>
                <w:sz w:val="16"/>
                <w:szCs w:val="16"/>
              </w:rPr>
            </w:pPr>
            <w:r>
              <w:rPr>
                <w:noProof/>
                <w:sz w:val="16"/>
              </w:rPr>
              <w:t>-293 971 080</w:t>
            </w:r>
          </w:p>
          <w:p>
            <w:pPr>
              <w:keepNext/>
              <w:jc w:val="right"/>
              <w:rPr>
                <w:noProof/>
                <w:sz w:val="16"/>
                <w:szCs w:val="16"/>
              </w:rPr>
            </w:pPr>
            <w:r>
              <w:rPr>
                <w:noProof/>
                <w:sz w:val="16"/>
              </w:rPr>
              <w:t>----------------</w:t>
            </w:r>
          </w:p>
        </w:tc>
      </w:tr>
      <w:tr>
        <w:trPr>
          <w:trHeight w:val="245"/>
          <w:jc w:val="center"/>
        </w:trPr>
        <w:tc>
          <w:tcPr>
            <w:tcW w:w="6703" w:type="dxa"/>
          </w:tcPr>
          <w:p>
            <w:pPr>
              <w:keepNext/>
              <w:rPr>
                <w:b/>
                <w:noProof/>
                <w:sz w:val="16"/>
                <w:szCs w:val="16"/>
              </w:rPr>
            </w:pPr>
            <w:r>
              <w:rPr>
                <w:b/>
                <w:noProof/>
                <w:sz w:val="16"/>
              </w:rPr>
              <w:t>Общо налични средства в началото на 2018 г.</w:t>
            </w:r>
          </w:p>
        </w:tc>
        <w:tc>
          <w:tcPr>
            <w:tcW w:w="1897" w:type="dxa"/>
          </w:tcPr>
          <w:p>
            <w:pPr>
              <w:keepNext/>
              <w:jc w:val="right"/>
              <w:rPr>
                <w:b/>
                <w:noProof/>
                <w:sz w:val="16"/>
                <w:szCs w:val="16"/>
              </w:rPr>
            </w:pPr>
            <w:r>
              <w:rPr>
                <w:b/>
                <w:noProof/>
                <w:sz w:val="16"/>
              </w:rPr>
              <w:t>421 142 057</w:t>
            </w:r>
          </w:p>
        </w:tc>
      </w:tr>
      <w:tr>
        <w:trPr>
          <w:trHeight w:val="258"/>
          <w:jc w:val="center"/>
        </w:trPr>
        <w:tc>
          <w:tcPr>
            <w:tcW w:w="6703" w:type="dxa"/>
          </w:tcPr>
          <w:p>
            <w:pPr>
              <w:keepNext/>
              <w:rPr>
                <w:noProof/>
                <w:sz w:val="16"/>
                <w:szCs w:val="16"/>
              </w:rPr>
            </w:pPr>
            <w:r>
              <w:rPr>
                <w:noProof/>
                <w:sz w:val="16"/>
              </w:rPr>
              <w:t>Минус вече мобилизирана сума за Гърция, Испания, Франция и Португалия</w:t>
            </w:r>
          </w:p>
        </w:tc>
        <w:tc>
          <w:tcPr>
            <w:tcW w:w="1897" w:type="dxa"/>
          </w:tcPr>
          <w:p>
            <w:pPr>
              <w:keepNext/>
              <w:jc w:val="right"/>
              <w:rPr>
                <w:noProof/>
                <w:sz w:val="16"/>
                <w:szCs w:val="16"/>
              </w:rPr>
            </w:pPr>
            <w:r>
              <w:rPr>
                <w:noProof/>
                <w:sz w:val="16"/>
              </w:rPr>
              <w:t>-104 166 951</w:t>
            </w:r>
          </w:p>
        </w:tc>
      </w:tr>
      <w:tr>
        <w:trPr>
          <w:trHeight w:val="504"/>
          <w:jc w:val="center"/>
        </w:trPr>
        <w:tc>
          <w:tcPr>
            <w:tcW w:w="6703" w:type="dxa"/>
          </w:tcPr>
          <w:p>
            <w:pPr>
              <w:keepNext/>
              <w:rPr>
                <w:noProof/>
                <w:sz w:val="16"/>
                <w:szCs w:val="16"/>
              </w:rPr>
            </w:pPr>
            <w:r>
              <w:rPr>
                <w:noProof/>
                <w:sz w:val="16"/>
              </w:rPr>
              <w:t>Минус 25 %, заделени от бюджетните средства за 2018 г.</w:t>
            </w:r>
          </w:p>
        </w:tc>
        <w:tc>
          <w:tcPr>
            <w:tcW w:w="1897" w:type="dxa"/>
          </w:tcPr>
          <w:p>
            <w:pPr>
              <w:keepNext/>
              <w:jc w:val="right"/>
              <w:rPr>
                <w:noProof/>
                <w:sz w:val="16"/>
                <w:szCs w:val="16"/>
              </w:rPr>
            </w:pPr>
            <w:r>
              <w:rPr>
                <w:noProof/>
                <w:sz w:val="16"/>
              </w:rPr>
              <w:t>-143 585 709</w:t>
            </w:r>
          </w:p>
          <w:p>
            <w:pPr>
              <w:keepNext/>
              <w:jc w:val="right"/>
              <w:rPr>
                <w:noProof/>
                <w:sz w:val="16"/>
                <w:szCs w:val="16"/>
              </w:rPr>
            </w:pPr>
            <w:r>
              <w:rPr>
                <w:noProof/>
                <w:sz w:val="16"/>
              </w:rPr>
              <w:t>----------------</w:t>
            </w:r>
          </w:p>
        </w:tc>
      </w:tr>
      <w:tr>
        <w:trPr>
          <w:trHeight w:val="245"/>
          <w:jc w:val="center"/>
        </w:trPr>
        <w:tc>
          <w:tcPr>
            <w:tcW w:w="6703" w:type="dxa"/>
          </w:tcPr>
          <w:p>
            <w:pPr>
              <w:keepNext/>
              <w:rPr>
                <w:b/>
                <w:noProof/>
                <w:sz w:val="16"/>
                <w:szCs w:val="16"/>
              </w:rPr>
            </w:pPr>
            <w:r>
              <w:rPr>
                <w:b/>
                <w:noProof/>
                <w:sz w:val="16"/>
              </w:rPr>
              <w:t>Максимален размер на наличните към момента средства (2017+2018 г.)</w:t>
            </w:r>
          </w:p>
        </w:tc>
        <w:tc>
          <w:tcPr>
            <w:tcW w:w="1897" w:type="dxa"/>
          </w:tcPr>
          <w:p>
            <w:pPr>
              <w:keepNext/>
              <w:jc w:val="right"/>
              <w:rPr>
                <w:b/>
                <w:noProof/>
                <w:sz w:val="16"/>
                <w:szCs w:val="16"/>
              </w:rPr>
            </w:pPr>
            <w:r>
              <w:rPr>
                <w:b/>
                <w:noProof/>
                <w:sz w:val="16"/>
              </w:rPr>
              <w:t>173 389 397</w:t>
            </w:r>
          </w:p>
        </w:tc>
      </w:tr>
      <w:tr>
        <w:trPr>
          <w:trHeight w:val="245"/>
          <w:jc w:val="center"/>
        </w:trPr>
        <w:tc>
          <w:tcPr>
            <w:tcW w:w="6703" w:type="dxa"/>
          </w:tcPr>
          <w:p>
            <w:pPr>
              <w:keepNext/>
              <w:rPr>
                <w:bCs/>
                <w:noProof/>
                <w:sz w:val="16"/>
                <w:szCs w:val="16"/>
              </w:rPr>
            </w:pPr>
            <w:r>
              <w:rPr>
                <w:noProof/>
                <w:sz w:val="16"/>
              </w:rPr>
              <w:t>Общ размер на предложената помощ за България, Гърция, Литва и Полша</w:t>
            </w:r>
          </w:p>
        </w:tc>
        <w:tc>
          <w:tcPr>
            <w:tcW w:w="1897" w:type="dxa"/>
          </w:tcPr>
          <w:p>
            <w:pPr>
              <w:keepNext/>
              <w:jc w:val="right"/>
              <w:rPr>
                <w:bCs/>
                <w:noProof/>
                <w:sz w:val="16"/>
                <w:szCs w:val="16"/>
                <w:u w:val="single"/>
              </w:rPr>
            </w:pPr>
            <w:r>
              <w:rPr>
                <w:noProof/>
                <w:sz w:val="16"/>
                <w:u w:val="single"/>
              </w:rPr>
              <w:t>- 33 992 206</w:t>
            </w:r>
          </w:p>
        </w:tc>
      </w:tr>
      <w:tr>
        <w:trPr>
          <w:trHeight w:val="258"/>
          <w:jc w:val="center"/>
        </w:trPr>
        <w:tc>
          <w:tcPr>
            <w:tcW w:w="6703" w:type="dxa"/>
          </w:tcPr>
          <w:p>
            <w:pPr>
              <w:keepNext/>
              <w:rPr>
                <w:b/>
                <w:noProof/>
                <w:sz w:val="16"/>
                <w:szCs w:val="16"/>
              </w:rPr>
            </w:pPr>
            <w:r>
              <w:rPr>
                <w:b/>
                <w:noProof/>
                <w:sz w:val="16"/>
              </w:rPr>
              <w:t>Оставащи налични средства до 1 октомври 2018 г.</w:t>
            </w:r>
          </w:p>
        </w:tc>
        <w:tc>
          <w:tcPr>
            <w:tcW w:w="1897" w:type="dxa"/>
          </w:tcPr>
          <w:p>
            <w:pPr>
              <w:keepNext/>
              <w:jc w:val="right"/>
              <w:rPr>
                <w:b/>
                <w:noProof/>
                <w:sz w:val="16"/>
                <w:szCs w:val="16"/>
              </w:rPr>
            </w:pPr>
            <w:r>
              <w:rPr>
                <w:b/>
                <w:noProof/>
                <w:sz w:val="16"/>
              </w:rPr>
              <w:t>139 397 191</w:t>
            </w:r>
          </w:p>
        </w:tc>
      </w:tr>
    </w:tbl>
    <w:p>
      <w:pPr>
        <w:spacing w:before="120" w:after="120"/>
        <w:jc w:val="both"/>
        <w:rPr>
          <w:noProof/>
        </w:rPr>
      </w:pPr>
    </w:p>
    <w:p>
      <w:pPr>
        <w:pStyle w:val="ManualHeading1"/>
      </w:pPr>
      <w:bookmarkStart w:id="23" w:name="_Toc484781561"/>
      <w:bookmarkStart w:id="24" w:name="_Toc514181801"/>
      <w:bookmarkStart w:id="25" w:name="_Toc517181074"/>
      <w:r>
        <w:t>3.</w:t>
      </w:r>
      <w:r>
        <w:tab/>
        <w:t>Поискани бюджетни кредити в бюджета</w:t>
      </w:r>
      <w:bookmarkEnd w:id="23"/>
      <w:r>
        <w:t xml:space="preserve"> за 2018 г.</w:t>
      </w:r>
      <w:bookmarkEnd w:id="24"/>
      <w:bookmarkEnd w:id="25"/>
    </w:p>
    <w:p>
      <w:pPr>
        <w:spacing w:before="120" w:after="120"/>
        <w:jc w:val="both"/>
        <w:rPr>
          <w:noProof/>
        </w:rPr>
      </w:pPr>
      <w:r>
        <w:rPr>
          <w:noProof/>
        </w:rPr>
        <w:t>Въз основа на заявленията, подадени от България, Гърция, Литва и Полша, изчислението на финансовия принос от ФСЕС, основаващо се на приблизителната оценка на общите преки щети, възлиза на 33 992 206 EUR. Комисията предлага бюджетът за 2018 г. да бъде изменен, като средствата по бюджетен ред 13 06 01 „</w:t>
      </w:r>
      <w:r>
        <w:rPr>
          <w:i/>
          <w:noProof/>
        </w:rPr>
        <w:t>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r>
        <w:rPr>
          <w:noProof/>
        </w:rPr>
        <w:t>“ се увеличат с 33 992 206 EUR бюджетни кредити за поети задължения и бюджетни кредити за плащания (вж. таблицата по-долу).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rPr>
              <w:t>Суми в EUR</w:t>
            </w:r>
          </w:p>
        </w:tc>
      </w:tr>
      <w:t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Бюджетен ред</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Наименование</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Бюджетни кредити за плащания</w:t>
            </w:r>
          </w:p>
        </w:tc>
      </w:tr>
      <w:tr>
        <w:tc>
          <w:tcPr>
            <w:tcW w:w="1276" w:type="dxa"/>
          </w:tcPr>
          <w:p>
            <w:pPr>
              <w:widowControl w:val="0"/>
              <w:spacing w:before="15" w:after="15"/>
              <w:ind w:right="-113"/>
              <w:jc w:val="both"/>
              <w:rPr>
                <w:noProof/>
                <w:sz w:val="22"/>
                <w:szCs w:val="22"/>
              </w:rPr>
            </w:pPr>
            <w:r>
              <w:rPr>
                <w:noProof/>
                <w:sz w:val="22"/>
              </w:rPr>
              <w:t>13 06 01</w:t>
            </w:r>
          </w:p>
        </w:tc>
        <w:tc>
          <w:tcPr>
            <w:tcW w:w="5103" w:type="dxa"/>
          </w:tcPr>
          <w:p>
            <w:pPr>
              <w:widowControl w:val="0"/>
              <w:spacing w:before="15" w:after="15"/>
              <w:ind w:right="-113"/>
              <w:jc w:val="both"/>
              <w:rPr>
                <w:noProof/>
                <w:sz w:val="22"/>
                <w:szCs w:val="22"/>
              </w:rPr>
            </w:pPr>
            <w:r>
              <w:rPr>
                <w:noProof/>
                <w:sz w:val="22"/>
              </w:rPr>
              <w:t>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tc>
        <w:tc>
          <w:tcPr>
            <w:tcW w:w="1701" w:type="dxa"/>
          </w:tcPr>
          <w:p>
            <w:pPr>
              <w:widowControl w:val="0"/>
              <w:spacing w:before="15" w:after="15"/>
              <w:jc w:val="right"/>
              <w:rPr>
                <w:noProof/>
                <w:sz w:val="22"/>
                <w:szCs w:val="22"/>
              </w:rPr>
            </w:pPr>
            <w:r>
              <w:rPr>
                <w:noProof/>
              </w:rPr>
              <w:t>33 992 206</w:t>
            </w:r>
          </w:p>
        </w:tc>
        <w:tc>
          <w:tcPr>
            <w:tcW w:w="1701" w:type="dxa"/>
          </w:tcPr>
          <w:p>
            <w:pPr>
              <w:widowControl w:val="0"/>
              <w:spacing w:before="15" w:after="15"/>
              <w:jc w:val="right"/>
              <w:rPr>
                <w:noProof/>
                <w:sz w:val="22"/>
                <w:szCs w:val="22"/>
              </w:rPr>
            </w:pPr>
            <w:r>
              <w:rPr>
                <w:noProof/>
              </w:rPr>
              <w:t>33 992 206</w:t>
            </w:r>
          </w:p>
        </w:tc>
      </w:tr>
      <w:tr>
        <w:tc>
          <w:tcPr>
            <w:tcW w:w="6379" w:type="dxa"/>
            <w:gridSpan w:val="2"/>
            <w:shd w:val="clear" w:color="auto" w:fill="D9D9D9"/>
          </w:tcPr>
          <w:p>
            <w:pPr>
              <w:widowControl w:val="0"/>
              <w:tabs>
                <w:tab w:val="left" w:pos="975"/>
              </w:tabs>
              <w:spacing w:before="15" w:after="15"/>
              <w:jc w:val="both"/>
              <w:rPr>
                <w:b/>
                <w:noProof/>
                <w:sz w:val="22"/>
                <w:szCs w:val="22"/>
              </w:rPr>
            </w:pPr>
            <w:r>
              <w:rPr>
                <w:b/>
                <w:noProof/>
                <w:sz w:val="22"/>
              </w:rPr>
              <w:t>Общо</w:t>
            </w:r>
            <w:r>
              <w:rPr>
                <w:noProof/>
              </w:rPr>
              <w:tab/>
            </w:r>
          </w:p>
        </w:tc>
        <w:tc>
          <w:tcPr>
            <w:tcW w:w="1701" w:type="dxa"/>
            <w:shd w:val="clear" w:color="auto" w:fill="D9D9D9"/>
          </w:tcPr>
          <w:p>
            <w:pPr>
              <w:widowControl w:val="0"/>
              <w:spacing w:before="15" w:after="15"/>
              <w:jc w:val="right"/>
              <w:rPr>
                <w:b/>
                <w:noProof/>
                <w:sz w:val="22"/>
                <w:szCs w:val="22"/>
              </w:rPr>
            </w:pPr>
            <w:r>
              <w:rPr>
                <w:b/>
                <w:noProof/>
              </w:rPr>
              <w:t>33 992 206</w:t>
            </w:r>
          </w:p>
        </w:tc>
        <w:tc>
          <w:tcPr>
            <w:tcW w:w="1701" w:type="dxa"/>
            <w:shd w:val="clear" w:color="auto" w:fill="D9D9D9"/>
          </w:tcPr>
          <w:p>
            <w:pPr>
              <w:widowControl w:val="0"/>
              <w:spacing w:before="15" w:after="15"/>
              <w:jc w:val="right"/>
              <w:rPr>
                <w:b/>
                <w:noProof/>
                <w:sz w:val="22"/>
                <w:szCs w:val="22"/>
              </w:rPr>
            </w:pPr>
            <w:r>
              <w:rPr>
                <w:b/>
                <w:noProof/>
              </w:rPr>
              <w:t>33 992 206</w:t>
            </w:r>
          </w:p>
        </w:tc>
      </w:tr>
    </w:tbl>
    <w:p>
      <w:pPr>
        <w:pStyle w:val="ManualHeading1"/>
        <w:pageBreakBefore/>
      </w:pPr>
      <w:bookmarkStart w:id="26" w:name="_Toc514181802"/>
      <w:bookmarkStart w:id="27" w:name="_Toc517181075"/>
      <w:bookmarkEnd w:id="20"/>
      <w:bookmarkEnd w:id="21"/>
      <w:bookmarkEnd w:id="22"/>
      <w:r>
        <w:t>4.</w:t>
      </w:r>
      <w:r>
        <w:tab/>
        <w:t>Обобщаваща таблица по функции от МФР</w:t>
      </w:r>
      <w:bookmarkEnd w:id="26"/>
      <w:bookmarkEnd w:id="27"/>
    </w:p>
    <w:tbl>
      <w:tblPr>
        <w:tblW w:w="10940" w:type="dxa"/>
        <w:jc w:val="center"/>
        <w:tblInd w:w="93" w:type="dxa"/>
        <w:tblLook w:val="04A0" w:firstRow="1" w:lastRow="0" w:firstColumn="1" w:lastColumn="0" w:noHBand="0" w:noVBand="1"/>
      </w:tblPr>
      <w:tblGrid>
        <w:gridCol w:w="358"/>
        <w:gridCol w:w="3251"/>
        <w:gridCol w:w="1347"/>
        <w:gridCol w:w="1346"/>
        <w:gridCol w:w="973"/>
        <w:gridCol w:w="972"/>
        <w:gridCol w:w="1347"/>
        <w:gridCol w:w="1346"/>
      </w:tblGrid>
      <w:tr>
        <w:trPr>
          <w:trHeight w:val="210"/>
          <w:jc w:val="center"/>
        </w:trPr>
        <w:tc>
          <w:tcPr>
            <w:tcW w:w="35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8"/>
          <w:bookmarkEnd w:id="19"/>
          <w:p>
            <w:pPr>
              <w:jc w:val="center"/>
              <w:rPr>
                <w:b/>
                <w:bCs/>
                <w:noProof/>
                <w:color w:val="000000"/>
                <w:sz w:val="14"/>
                <w:szCs w:val="14"/>
              </w:rPr>
            </w:pPr>
            <w:r>
              <w:rPr>
                <w:b/>
                <w:noProof/>
                <w:color w:val="000000"/>
                <w:sz w:val="14"/>
              </w:rPr>
              <w:t>Функция</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2018 г.</w:t>
            </w:r>
          </w:p>
        </w:tc>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Проект на коригиращ бюджет 4/2018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2018 г.</w:t>
            </w:r>
          </w:p>
        </w:tc>
      </w:tr>
      <w:tr>
        <w:trPr>
          <w:trHeight w:val="210"/>
          <w:jc w:val="center"/>
        </w:trPr>
        <w:tc>
          <w:tcPr>
            <w:tcW w:w="35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КБ 1 и ПКБ 2-3/2018)</w:t>
            </w:r>
          </w:p>
        </w:tc>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КБ 1 и ПКБ 2-4/2018)</w:t>
            </w:r>
          </w:p>
        </w:tc>
      </w:tr>
      <w:tr>
        <w:trPr>
          <w:trHeight w:val="210"/>
          <w:jc w:val="center"/>
        </w:trPr>
        <w:tc>
          <w:tcPr>
            <w:tcW w:w="35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98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98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328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Интелигентен и приобщаващ растеж</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Таван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1а</w:t>
            </w:r>
          </w:p>
        </w:tc>
        <w:tc>
          <w:tcPr>
            <w:tcW w:w="32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Конкурентоспособност за растеж и работни места</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1б </w:t>
            </w:r>
          </w:p>
        </w:tc>
        <w:tc>
          <w:tcPr>
            <w:tcW w:w="32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Икономическо, социално и териториално сближаване</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Устойчив растеж: природни ресурси</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Европейски фонд за гарантиране на земеделието (ЕФГЗ) — Разходи, свързани с пазара, и преки плащания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 за ЕФГЗ</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Сигурност и гражданство</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Глобална Европа</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32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Администрация</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компенсирани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административни разходи на институциите</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c>
          <w:tcPr>
            <w:tcW w:w="98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98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компенсирани от маржа за непредвидени обстоятелства</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98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Общо</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c>
          <w:tcPr>
            <w:tcW w:w="98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98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Таван</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jc w:val="center"/>
        </w:trPr>
        <w:tc>
          <w:tcPr>
            <w:tcW w:w="35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компенсирани от маржа за непредвидени обстоятелства</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98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r>
      <w:tr>
        <w:trPr>
          <w:trHeight w:val="225"/>
          <w:jc w:val="center"/>
        </w:trPr>
        <w:tc>
          <w:tcPr>
            <w:tcW w:w="354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Марж</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Други специални инструменти</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c>
          <w:tcPr>
            <w:tcW w:w="98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33 992 206</w:t>
            </w:r>
          </w:p>
        </w:tc>
        <w:tc>
          <w:tcPr>
            <w:tcW w:w="98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33 992 206</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551 238 311</w:t>
            </w:r>
          </w:p>
        </w:tc>
      </w:tr>
      <w:tr>
        <w:trPr>
          <w:trHeight w:val="225"/>
          <w:jc w:val="center"/>
        </w:trPr>
        <w:tc>
          <w:tcPr>
            <w:tcW w:w="354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Общо всичко</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160 711 166 116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33 992 206</w:t>
            </w:r>
          </w:p>
        </w:tc>
        <w:tc>
          <w:tcPr>
            <w:tcW w:w="98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33 992 206</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160 745 158 322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144 812 619 001</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06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ru-RU"/>
        </w:rPr>
      </w:pPr>
      <w:r>
        <w:rPr>
          <w:rStyle w:val="FootnoteReference"/>
        </w:rPr>
        <w:footnoteRef/>
      </w:r>
      <w:r>
        <w:t xml:space="preserve"> </w:t>
      </w:r>
      <w:r>
        <w:tab/>
      </w:r>
      <w:r>
        <w:rPr>
          <w:sz w:val="18"/>
        </w:rPr>
        <w:t>ОВ L 298, 26.10.2012 г., стр. 1.</w:t>
      </w:r>
    </w:p>
  </w:footnote>
  <w:footnote w:id="3">
    <w:p>
      <w:pPr>
        <w:pStyle w:val="FootnoteText"/>
        <w:rPr>
          <w:lang w:val="ru-RU"/>
        </w:rPr>
      </w:pPr>
      <w:r>
        <w:rPr>
          <w:rStyle w:val="FootnoteReference"/>
        </w:rPr>
        <w:footnoteRef/>
      </w:r>
      <w:r>
        <w:t xml:space="preserve"> </w:t>
      </w:r>
      <w:r>
        <w:tab/>
      </w:r>
      <w:r>
        <w:rPr>
          <w:sz w:val="18"/>
        </w:rPr>
        <w:t>ОВ L 57, 28.2.2018 г., стр. 1.</w:t>
      </w:r>
    </w:p>
  </w:footnote>
  <w:footnote w:id="4">
    <w:p>
      <w:pPr>
        <w:pStyle w:val="FootnoteText"/>
        <w:rPr>
          <w:lang w:val="ru-RU"/>
        </w:rPr>
      </w:pPr>
      <w:r>
        <w:rPr>
          <w:rStyle w:val="FootnoteReference"/>
        </w:rPr>
        <w:footnoteRef/>
      </w:r>
      <w:r>
        <w:t xml:space="preserve"> </w:t>
      </w:r>
      <w:r>
        <w:tab/>
      </w:r>
      <w:r>
        <w:rPr>
          <w:sz w:val="18"/>
        </w:rPr>
        <w:t>ОВ L XXX, XX.XX.2018 г.</w:t>
      </w:r>
    </w:p>
  </w:footnote>
  <w:footnote w:id="5">
    <w:p>
      <w:pPr>
        <w:pStyle w:val="FootnoteText"/>
      </w:pPr>
      <w:r>
        <w:rPr>
          <w:rStyle w:val="FootnoteReference"/>
        </w:rPr>
        <w:footnoteRef/>
      </w:r>
      <w:r>
        <w:t xml:space="preserve"> </w:t>
      </w:r>
      <w:r>
        <w:tab/>
      </w:r>
      <w:r>
        <w:rPr>
          <w:sz w:val="18"/>
        </w:rPr>
        <w:t>COM(2018) 227.</w:t>
      </w:r>
    </w:p>
  </w:footnote>
  <w:footnote w:id="6">
    <w:p>
      <w:pPr>
        <w:pStyle w:val="FootnoteText"/>
      </w:pPr>
      <w:r>
        <w:rPr>
          <w:rStyle w:val="FootnoteReference"/>
        </w:rPr>
        <w:footnoteRef/>
      </w:r>
      <w:r>
        <w:t xml:space="preserve"> </w:t>
      </w:r>
      <w:r>
        <w:tab/>
      </w:r>
      <w:r>
        <w:rPr>
          <w:sz w:val="18"/>
        </w:rPr>
        <w:t>COM(2018)</w:t>
      </w:r>
      <w:r>
        <w:t xml:space="preserve"> </w:t>
      </w:r>
      <w:r>
        <w:rPr>
          <w:sz w:val="18"/>
        </w:rPr>
        <w:t>310</w:t>
      </w:r>
      <w:r>
        <w:t>.</w:t>
      </w:r>
    </w:p>
  </w:footnote>
  <w:footnote w:id="7">
    <w:p>
      <w:pPr>
        <w:pStyle w:val="FootnoteText"/>
      </w:pPr>
      <w:r>
        <w:rPr>
          <w:rStyle w:val="FootnoteReference"/>
        </w:rPr>
        <w:footnoteRef/>
      </w:r>
      <w:r>
        <w:t xml:space="preserve"> </w:t>
      </w:r>
      <w:r>
        <w:tab/>
        <w:t>COM(2018)360, 31.5.2018 г.</w:t>
      </w:r>
    </w:p>
  </w:footnote>
  <w:footnote w:id="8">
    <w:p>
      <w:pPr>
        <w:pStyle w:val="FootnoteText"/>
      </w:pPr>
      <w:r>
        <w:rPr>
          <w:rStyle w:val="FootnoteReference"/>
        </w:rPr>
        <w:footnoteRef/>
      </w:r>
      <w:r>
        <w:t xml:space="preserve"> </w:t>
      </w:r>
      <w:r>
        <w:tab/>
        <w:t>Решение (ЕС) 2017/1599 на Европейския парламент и на Съвета от 13 септември 2017 г. относно мобилизирането на средства от фонд „Солидарност“ на Европейския съюз за оказване на помощ на Италия (OВ L 245, 23.9.2017 г.) и придружаващия го коригиращ бюджет № 4/2017 (ОВ L 330, 13.12.2017 г.).</w:t>
      </w:r>
    </w:p>
  </w:footnote>
  <w:footnote w:id="9">
    <w:p>
      <w:pPr>
        <w:pStyle w:val="FootnoteText"/>
      </w:pPr>
      <w:r>
        <w:rPr>
          <w:rStyle w:val="FootnoteReference"/>
        </w:rPr>
        <w:footnoteRef/>
      </w:r>
      <w:r>
        <w:t xml:space="preserve"> </w:t>
      </w:r>
      <w:r>
        <w:tab/>
        <w:t>Предложение за Решение на Европейския парламент и на Съвета за мобилизиране на средства от фонд „Солидарност“ на Европейския съюз с цел предоставяне на помощ на Гърция, Испания, Франция и Португалия (COM(2018) 150, 22.2.2018 г.) и придружаващия го коригиращ бюджет № 1/2018 (COM(2018) 150, 22.2.2018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EBC3E06"/>
    <w:multiLevelType w:val="hybridMultilevel"/>
    <w:tmpl w:val="745C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6">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AD6263"/>
    <w:multiLevelType w:val="hybridMultilevel"/>
    <w:tmpl w:val="9356C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14"/>
  </w:num>
  <w:num w:numId="5">
    <w:abstractNumId w:val="9"/>
  </w:num>
  <w:num w:numId="6">
    <w:abstractNumId w:val="20"/>
  </w:num>
  <w:num w:numId="7">
    <w:abstractNumId w:val="6"/>
  </w:num>
  <w:num w:numId="8">
    <w:abstractNumId w:val="21"/>
  </w:num>
  <w:num w:numId="9">
    <w:abstractNumId w:val="0"/>
  </w:num>
  <w:num w:numId="10">
    <w:abstractNumId w:val="1"/>
  </w:num>
  <w:num w:numId="11">
    <w:abstractNumId w:val="11"/>
  </w:num>
  <w:num w:numId="12">
    <w:abstractNumId w:val="15"/>
  </w:num>
  <w:num w:numId="13">
    <w:abstractNumId w:val="16"/>
  </w:num>
  <w:num w:numId="14">
    <w:abstractNumId w:val="15"/>
  </w:num>
  <w:num w:numId="15">
    <w:abstractNumId w:val="15"/>
  </w:num>
  <w:num w:numId="16">
    <w:abstractNumId w:val="15"/>
  </w:num>
  <w:num w:numId="17">
    <w:abstractNumId w:val="5"/>
  </w:num>
  <w:num w:numId="18">
    <w:abstractNumId w:val="17"/>
  </w:num>
  <w:num w:numId="19">
    <w:abstractNumId w:val="25"/>
  </w:num>
  <w:num w:numId="20">
    <w:abstractNumId w:val="20"/>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6"/>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8"/>
  </w:num>
  <w:num w:numId="34">
    <w:abstractNumId w:val="4"/>
  </w:num>
  <w:num w:numId="35">
    <w:abstractNumId w:val="10"/>
  </w:num>
  <w:num w:numId="36">
    <w:abstractNumId w:val="12"/>
  </w:num>
  <w:num w:numId="37">
    <w:abstractNumId w:val="19"/>
  </w:num>
  <w:num w:numId="38">
    <w:abstractNumId w:val="27"/>
  </w:num>
  <w:num w:numId="39">
    <w:abstractNumId w:val="13"/>
  </w:num>
  <w:num w:numId="40">
    <w:abstractNumId w:val="8"/>
  </w:num>
  <w:num w:numId="41">
    <w:abstractNumId w:val="7"/>
  </w:num>
  <w:num w:numId="42">
    <w:abstractNumId w:val="22"/>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DF0FDC8-8ADE-4187-9A3E-72F6057CA9D6"/>
    <w:docVar w:name="LW_COVERPAGE_TYPE" w:val="1"/>
    <w:docVar w:name="LW_CROSSREFERENCE" w:val="&lt;UNUSED&gt;"/>
    <w:docVar w:name="LW_DocType" w:val="NORMAL"/>
    <w:docVar w:name="LW_EMISSION" w:val="31.5.2018"/>
    <w:docVar w:name="LW_EMISSION_ISODATE" w:val="2018-05-31"/>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5?\u1088?\u1080?\u1076?\u1088?\u1091?\u1078?\u1072?\u1074?\u1072?\u1097? \u1087?\u1088?\u1077?\u1076?\u1083?\u1086?\u1078?\u1077?\u1085?\u1080?\u1077?\u1090?\u1086? \u1079?\u1072? \u1084?\u1086?\u1073?\u1080?\u1083?\u1080?\u1079?\u1080?\u1088?\u1072?\u1085?\u1077? \u1085?\u1072? \u1089?\u1088?\u1077?\u1076?\u1089?\u1090?\u1074?\u1072? \u1086?\u1090? \u1092?\u1086?\u1085?\u1076? \u8222?\u1057?\u1086?\u1083?\u1080?\u1076?\u1072?\u1088?\u1085?\u1086?\u1089?\u1090?\u8220? \u1085?\u1072? \u1045?\u1074?\u1088?\u1086?\u1087?\u1077?\u1081?\u1089?\u1082?\u1080?\u1103? \u1089?\u1098?\u1102?\u1079? \u1079?\u1072? \u1087?\u1088?\u1077?\u1076?\u1086?\u1089?\u1090?\u1072?\u1074?\u1103?\u1085?\u1077? \u1085?\u1072? \u1089?\u1088?\u1077?\u1076?\u1089?\u1090?\u1074?\u1072? \u1085?\u1072? \u1041?\u1098?\u1083?\u1075?\u1072?\u1088?\u1080?\u1103?, \u1043?\u1098?\u1088?\u1094?\u1080?\u1103?, \u1051?\u1080?\u1090?\u1074?\u1072? \u1080? \u1055?\u1086?\u1083?\u1096?\u1072?"/>
    <w:docVar w:name="LW_TITRE.OBJ.CP_PREVIOUS" w:val="&lt;UNUSED&gt;"/>
    <w:docVar w:name="LW_TYPE.DOC.CP" w:val="\u1055?\u1056?\u1054?\u1045?\u1050?\u1058? \u1053?\u1040? \u1050?\u1054?\u1056?\u1048?\u1043?\u1048?\u1056?\u1040?\u1065? \u1041?\u1070?\u1044?\u1046?\u1045?\u1058? \u8470? 4_x000b_\u1050?\u1066?\u1052? \u1054?\u1041?\u1065?\u1048?\u1071? \u1041?\u1070?\u1044?\u1046?\u1045?\u1058? \u1047?\u1040? 2018 \u1075?."/>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link w:val="BVIfnrCarCarCarCarCharCharCharCha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semiHidden="1" w:unhideWhenUsed="1" w:qFormat="1"/>
    <w:lsdException w:name="footnote reference" w:uiPriority="99"/>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link w:val="BVIfnrCarCarCarCarCharCharCharCha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bg-BG"/>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38367012">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4671900">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50796095">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1417984">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05208242">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05FF-017E-4E68-BEA7-4739EAA7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6916</Characters>
  <Application>Microsoft Office Word</Application>
  <DocSecurity>0</DocSecurity>
  <Lines>494</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8202</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2018-05-29T07:31:00Z</dcterms:created>
  <dcterms:modified xsi:type="dcterms:W3CDTF">2018-06-21T08:34:00Z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