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4" type="#_x0000_t75" alt="6E55B929-FB84-4924-B194-26E19A06971C" style="width:450.75pt;height:321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60"/>
        </w:sectPr>
      </w:pPr>
    </w:p>
    <w:p>
      <w:pPr>
        <w:rPr>
          <w:noProof/>
        </w:rPr>
      </w:pPr>
      <w:bookmarkStart w:id="1" w:name="_GoBack"/>
      <w:bookmarkEnd w:id="1"/>
      <w:r>
        <w:rPr>
          <w:noProof/>
        </w:rPr>
        <w:lastRenderedPageBreak/>
        <w:t>Vu:</w:t>
      </w:r>
    </w:p>
    <w:p>
      <w:pPr>
        <w:pStyle w:val="Tiret0"/>
        <w:tabs>
          <w:tab w:val="clear" w:pos="850"/>
          <w:tab w:val="num" w:pos="1004"/>
        </w:tabs>
        <w:rPr>
          <w:noProof/>
        </w:rPr>
      </w:pPr>
      <w:r>
        <w:rPr>
          <w:noProof/>
        </w:rPr>
        <w:t>le traité sur le fonctionnement de l’Union européenne, et notamment son article 314, lu en combinaison avec le traité instituant la Communauté européenne de l’énergie atomique, et notamment son article 106 </w:t>
      </w:r>
      <w:r>
        <w:rPr>
          <w:i/>
          <w:noProof/>
        </w:rPr>
        <w:t>bis</w:t>
      </w:r>
      <w:r>
        <w:rPr>
          <w:noProof/>
        </w:rPr>
        <w:t>,</w:t>
      </w:r>
    </w:p>
    <w:p>
      <w:pPr>
        <w:pStyle w:val="Tiret0"/>
        <w:tabs>
          <w:tab w:val="clear" w:pos="850"/>
          <w:tab w:val="num" w:pos="927"/>
        </w:tabs>
        <w:rPr>
          <w:rFonts w:cs="Arial"/>
          <w:noProof/>
          <w:szCs w:val="18"/>
        </w:rPr>
      </w:pPr>
      <w:r>
        <w:rPr>
          <w:noProof/>
        </w:rPr>
        <w:t>le règlement (UE, Euratom) nº 966/2012 du Parlement européen et du Conseil du 25 octobre 2012 relatif aux règles financières applicables au budget général de l’Union</w:t>
      </w:r>
      <w:r>
        <w:rPr>
          <w:rStyle w:val="FootnoteReference"/>
          <w:noProof/>
        </w:rPr>
        <w:footnoteReference w:id="2"/>
      </w:r>
      <w:r>
        <w:rPr>
          <w:noProof/>
        </w:rPr>
        <w:t>, et notamment son article 41,</w:t>
      </w:r>
    </w:p>
    <w:p>
      <w:pPr>
        <w:pStyle w:val="Tiret0"/>
        <w:tabs>
          <w:tab w:val="clear" w:pos="850"/>
          <w:tab w:val="num" w:pos="927"/>
        </w:tabs>
        <w:rPr>
          <w:noProof/>
        </w:rPr>
      </w:pPr>
      <w:r>
        <w:rPr>
          <w:noProof/>
        </w:rPr>
        <w:t>le budget général de l’Union européenne pour l’exercice 2018, adopté le 30 novembre 2017</w:t>
      </w:r>
      <w:r>
        <w:rPr>
          <w:rStyle w:val="FootnoteReference"/>
          <w:noProof/>
        </w:rPr>
        <w:footnoteReference w:id="3"/>
      </w:r>
      <w:r>
        <w:rPr>
          <w:noProof/>
        </w:rPr>
        <w:t>,</w:t>
      </w:r>
    </w:p>
    <w:p>
      <w:pPr>
        <w:pStyle w:val="Tiret0"/>
        <w:tabs>
          <w:tab w:val="clear" w:pos="850"/>
          <w:tab w:val="num" w:pos="927"/>
        </w:tabs>
        <w:rPr>
          <w:noProof/>
        </w:rPr>
      </w:pPr>
      <w:r>
        <w:rPr>
          <w:noProof/>
        </w:rPr>
        <w:t>le budget rectificatif nº 1/2018</w:t>
      </w:r>
      <w:r>
        <w:rPr>
          <w:rStyle w:val="FootnoteReference"/>
          <w:noProof/>
        </w:rPr>
        <w:footnoteReference w:id="4"/>
      </w:r>
      <w:r>
        <w:rPr>
          <w:noProof/>
        </w:rPr>
        <w:t>, adopté le 30 mai 2018,</w:t>
      </w:r>
    </w:p>
    <w:p>
      <w:pPr>
        <w:pStyle w:val="Tiret0"/>
        <w:tabs>
          <w:tab w:val="clear" w:pos="850"/>
          <w:tab w:val="num" w:pos="927"/>
        </w:tabs>
        <w:rPr>
          <w:noProof/>
        </w:rPr>
      </w:pPr>
      <w:r>
        <w:rPr>
          <w:noProof/>
        </w:rPr>
        <w:t>le projet de budget rectificatif nº 2/2018</w:t>
      </w:r>
      <w:r>
        <w:rPr>
          <w:rStyle w:val="FootnoteReference"/>
          <w:noProof/>
        </w:rPr>
        <w:footnoteReference w:id="5"/>
      </w:r>
      <w:r>
        <w:rPr>
          <w:noProof/>
        </w:rPr>
        <w:t>, adopté le 13 avril 2018,</w:t>
      </w:r>
    </w:p>
    <w:p>
      <w:pPr>
        <w:pStyle w:val="Tiret0"/>
        <w:tabs>
          <w:tab w:val="clear" w:pos="850"/>
          <w:tab w:val="num" w:pos="927"/>
        </w:tabs>
        <w:rPr>
          <w:noProof/>
        </w:rPr>
      </w:pPr>
      <w:r>
        <w:rPr>
          <w:noProof/>
        </w:rPr>
        <w:t>le projet de budget rectificatif nº 3/2018</w:t>
      </w:r>
      <w:r>
        <w:rPr>
          <w:rStyle w:val="FootnoteReference"/>
          <w:noProof/>
        </w:rPr>
        <w:footnoteReference w:id="6"/>
      </w:r>
      <w:r>
        <w:rPr>
          <w:noProof/>
        </w:rPr>
        <w:t>, adopté le 23 mai 2018,</w:t>
      </w:r>
    </w:p>
    <w:p>
      <w:pPr>
        <w:pStyle w:val="Tiret0"/>
        <w:numPr>
          <w:ilvl w:val="0"/>
          <w:numId w:val="0"/>
        </w:numPr>
        <w:spacing w:after="600"/>
        <w:rPr>
          <w:noProof/>
        </w:rPr>
      </w:pPr>
      <w:r>
        <w:rPr>
          <w:noProof/>
        </w:rPr>
        <w:t>la Commission européenne présente ci-après au Parlement européen et au Conseil le projet de budget rectificatif nº 4 au budget général 2018.</w:t>
      </w:r>
    </w:p>
    <w:p>
      <w:pPr>
        <w:spacing w:after="240"/>
        <w:jc w:val="both"/>
        <w:rPr>
          <w:b/>
          <w:noProof/>
          <w:u w:val="single"/>
        </w:rPr>
      </w:pPr>
      <w:r>
        <w:rPr>
          <w:b/>
          <w:noProof/>
          <w:u w:val="single"/>
        </w:rPr>
        <w:t>MODIFICATIONS À L’ÉTAT DES RECETTES ET DES DÉPENSES PAR SECTION</w:t>
      </w:r>
    </w:p>
    <w:p>
      <w:pPr>
        <w:jc w:val="both"/>
        <w:rPr>
          <w:noProof/>
        </w:rPr>
      </w:pPr>
      <w:r>
        <w:rPr>
          <w:noProof/>
        </w:rPr>
        <w:t>Les modifications apportées à l’état des recettes et des dépenses par section sont disponibles sur EUR-Lex (</w:t>
      </w:r>
      <w:hyperlink r:id="rId16">
        <w:r>
          <w:rPr>
            <w:rStyle w:val="Hyperlink"/>
            <w:noProof/>
            <w:color w:val="auto"/>
          </w:rPr>
          <w:t>http://eur-lex.europa.eu/budget/www/index-fr.htm</w:t>
        </w:r>
      </w:hyperlink>
      <w:r>
        <w:rPr>
          <w:noProof/>
        </w:rPr>
        <w:t>). Une version en anglais de ces modifications est jointe à titre indicatif en annexe budgétaire.</w:t>
      </w:r>
    </w:p>
    <w:p>
      <w:pPr>
        <w:rPr>
          <w:noProof/>
        </w:rPr>
        <w:sectPr>
          <w:headerReference w:type="even" r:id="rId17"/>
          <w:headerReference w:type="default" r:id="rId18"/>
          <w:footerReference w:type="even" r:id="rId19"/>
          <w:footerReference w:type="default" r:id="rId20"/>
          <w:headerReference w:type="first" r:id="rId21"/>
          <w:footerReference w:type="first" r:id="rId22"/>
          <w:pgSz w:w="11907" w:h="16839"/>
          <w:pgMar w:top="1418" w:right="1418" w:bottom="1418" w:left="1418" w:header="709" w:footer="709" w:gutter="0"/>
          <w:pgNumType w:start="2"/>
          <w:cols w:space="720"/>
          <w:docGrid w:linePitch="360"/>
        </w:sectPr>
      </w:pPr>
    </w:p>
    <w:p>
      <w:pPr>
        <w:pStyle w:val="TOCHeading"/>
        <w:rPr>
          <w:noProof/>
        </w:rPr>
      </w:pPr>
      <w:bookmarkStart w:id="2" w:name="_Toc294675429"/>
      <w:bookmarkStart w:id="3" w:name="_Toc272133653"/>
      <w:bookmarkStart w:id="4" w:name="_Toc294673202"/>
      <w:bookmarkStart w:id="5" w:name="_Toc318365572"/>
      <w:bookmarkStart w:id="6" w:name="_Toc361649893"/>
      <w:bookmarkStart w:id="7" w:name="_Toc387301589"/>
      <w:r>
        <w:rPr>
          <w:noProof/>
        </w:rPr>
        <w:t>TABLE DES MATIÈRES</w:t>
      </w:r>
    </w:p>
    <w:sdt>
      <w:sdtPr>
        <w:rPr>
          <w:b w:val="0"/>
          <w:noProof/>
          <w:sz w:val="24"/>
        </w:rPr>
        <w:id w:val="2029912794"/>
        <w:docPartObj>
          <w:docPartGallery w:val="Table of Contents"/>
          <w:docPartUnique/>
        </w:docPartObj>
      </w:sdtPr>
      <w:sdtEndPr>
        <w:rPr>
          <w:bCs/>
        </w:rPr>
      </w:sdtEndPr>
      <w:sdtContent>
        <w:p>
          <w:pPr>
            <w:pStyle w:val="TOCHeading"/>
            <w:spacing w:before="0" w:after="0"/>
            <w:jc w:val="left"/>
            <w:rPr>
              <w:noProof/>
            </w:rPr>
          </w:pPr>
        </w:p>
        <w:p>
          <w:pPr>
            <w:pStyle w:val="TOC1"/>
            <w:tabs>
              <w:tab w:val="left" w:pos="709"/>
              <w:tab w:val="right" w:leader="dot" w:pos="9061"/>
            </w:tabs>
            <w:rPr>
              <w:rFonts w:asciiTheme="minorHAnsi" w:eastAsiaTheme="minorEastAsia" w:hAnsiTheme="minorHAnsi" w:cstheme="minorBidi"/>
              <w:b w:val="0"/>
              <w:bCs w:val="0"/>
              <w:caps w:val="0"/>
              <w:noProof/>
              <w:sz w:val="22"/>
              <w:szCs w:val="22"/>
              <w:lang w:val="en-GB" w:eastAsia="en-GB" w:bidi="ar-SA"/>
            </w:rPr>
          </w:pPr>
          <w:r>
            <w:rPr>
              <w:noProof/>
            </w:rPr>
            <w:fldChar w:fldCharType="begin"/>
          </w:r>
          <w:r>
            <w:rPr>
              <w:noProof/>
            </w:rPr>
            <w:instrText xml:space="preserve"> TOC \o "1-3" \h \z \u </w:instrText>
          </w:r>
          <w:r>
            <w:rPr>
              <w:noProof/>
            </w:rPr>
            <w:fldChar w:fldCharType="separate"/>
          </w:r>
          <w:hyperlink w:anchor="_Toc517271327" w:history="1">
            <w:r>
              <w:rPr>
                <w:rStyle w:val="Hyperlink"/>
                <w:noProof/>
              </w:rPr>
              <w:t>1.</w:t>
            </w:r>
            <w:r>
              <w:rPr>
                <w:rFonts w:asciiTheme="minorHAnsi" w:eastAsiaTheme="minorEastAsia" w:hAnsiTheme="minorHAnsi" w:cstheme="minorBidi"/>
                <w:b w:val="0"/>
                <w:bCs w:val="0"/>
                <w:caps w:val="0"/>
                <w:noProof/>
                <w:sz w:val="22"/>
                <w:szCs w:val="22"/>
                <w:lang w:val="en-GB" w:eastAsia="en-GB" w:bidi="ar-SA"/>
              </w:rPr>
              <w:tab/>
            </w:r>
            <w:r>
              <w:rPr>
                <w:rStyle w:val="Hyperlink"/>
                <w:noProof/>
              </w:rPr>
              <w:t>Introduction</w:t>
            </w:r>
            <w:r>
              <w:rPr>
                <w:noProof/>
                <w:webHidden/>
              </w:rPr>
              <w:tab/>
            </w:r>
            <w:r>
              <w:rPr>
                <w:noProof/>
                <w:webHidden/>
              </w:rPr>
              <w:fldChar w:fldCharType="begin"/>
            </w:r>
            <w:r>
              <w:rPr>
                <w:noProof/>
                <w:webHidden/>
              </w:rPr>
              <w:instrText xml:space="preserve"> PAGEREF _Toc517271327 \h </w:instrText>
            </w:r>
            <w:r>
              <w:rPr>
                <w:noProof/>
                <w:webHidden/>
              </w:rPr>
            </w:r>
            <w:r>
              <w:rPr>
                <w:noProof/>
                <w:webHidden/>
              </w:rPr>
              <w:fldChar w:fldCharType="separate"/>
            </w:r>
            <w:r>
              <w:rPr>
                <w:noProof/>
                <w:webHidden/>
              </w:rPr>
              <w:t>4</w:t>
            </w:r>
            <w:r>
              <w:rPr>
                <w:noProof/>
                <w:webHidden/>
              </w:rPr>
              <w:fldChar w:fldCharType="end"/>
            </w:r>
          </w:hyperlink>
        </w:p>
        <w:p>
          <w:pPr>
            <w:pStyle w:val="TOC1"/>
            <w:tabs>
              <w:tab w:val="left" w:pos="709"/>
              <w:tab w:val="right" w:leader="dot" w:pos="9061"/>
            </w:tabs>
            <w:rPr>
              <w:rFonts w:asciiTheme="minorHAnsi" w:eastAsiaTheme="minorEastAsia" w:hAnsiTheme="minorHAnsi" w:cstheme="minorBidi"/>
              <w:b w:val="0"/>
              <w:bCs w:val="0"/>
              <w:caps w:val="0"/>
              <w:noProof/>
              <w:sz w:val="22"/>
              <w:szCs w:val="22"/>
              <w:lang w:val="en-GB" w:eastAsia="en-GB" w:bidi="ar-SA"/>
            </w:rPr>
          </w:pPr>
          <w:hyperlink w:anchor="_Toc517271328" w:history="1">
            <w:r>
              <w:rPr>
                <w:rStyle w:val="Hyperlink"/>
                <w:smallCaps/>
                <w:noProof/>
              </w:rPr>
              <w:t>2.</w:t>
            </w:r>
            <w:r>
              <w:rPr>
                <w:rFonts w:asciiTheme="minorHAnsi" w:eastAsiaTheme="minorEastAsia" w:hAnsiTheme="minorHAnsi" w:cstheme="minorBidi"/>
                <w:b w:val="0"/>
                <w:bCs w:val="0"/>
                <w:caps w:val="0"/>
                <w:noProof/>
                <w:sz w:val="22"/>
                <w:szCs w:val="22"/>
                <w:lang w:val="en-GB" w:eastAsia="en-GB" w:bidi="ar-SA"/>
              </w:rPr>
              <w:tab/>
            </w:r>
            <w:r>
              <w:rPr>
                <w:rStyle w:val="Hyperlink"/>
                <w:smallCaps/>
                <w:noProof/>
              </w:rPr>
              <w:t>Financement provenant de la dotation du FSUE pour 2018</w:t>
            </w:r>
            <w:r>
              <w:rPr>
                <w:noProof/>
                <w:webHidden/>
              </w:rPr>
              <w:tab/>
            </w:r>
            <w:r>
              <w:rPr>
                <w:noProof/>
                <w:webHidden/>
              </w:rPr>
              <w:fldChar w:fldCharType="begin"/>
            </w:r>
            <w:r>
              <w:rPr>
                <w:noProof/>
                <w:webHidden/>
              </w:rPr>
              <w:instrText xml:space="preserve"> PAGEREF _Toc517271328 \h </w:instrText>
            </w:r>
            <w:r>
              <w:rPr>
                <w:noProof/>
                <w:webHidden/>
              </w:rPr>
            </w:r>
            <w:r>
              <w:rPr>
                <w:noProof/>
                <w:webHidden/>
              </w:rPr>
              <w:fldChar w:fldCharType="separate"/>
            </w:r>
            <w:r>
              <w:rPr>
                <w:noProof/>
                <w:webHidden/>
              </w:rPr>
              <w:t>4</w:t>
            </w:r>
            <w:r>
              <w:rPr>
                <w:noProof/>
                <w:webHidden/>
              </w:rPr>
              <w:fldChar w:fldCharType="end"/>
            </w:r>
          </w:hyperlink>
        </w:p>
        <w:p>
          <w:pPr>
            <w:pStyle w:val="TOC1"/>
            <w:tabs>
              <w:tab w:val="left" w:pos="709"/>
              <w:tab w:val="right" w:leader="dot" w:pos="9061"/>
            </w:tabs>
            <w:rPr>
              <w:rFonts w:asciiTheme="minorHAnsi" w:eastAsiaTheme="minorEastAsia" w:hAnsiTheme="minorHAnsi" w:cstheme="minorBidi"/>
              <w:b w:val="0"/>
              <w:bCs w:val="0"/>
              <w:caps w:val="0"/>
              <w:noProof/>
              <w:sz w:val="22"/>
              <w:szCs w:val="22"/>
              <w:lang w:val="en-GB" w:eastAsia="en-GB" w:bidi="ar-SA"/>
            </w:rPr>
          </w:pPr>
          <w:hyperlink w:anchor="_Toc517271329" w:history="1">
            <w:r>
              <w:rPr>
                <w:rStyle w:val="Hyperlink"/>
                <w:noProof/>
              </w:rPr>
              <w:t>3.</w:t>
            </w:r>
            <w:r>
              <w:rPr>
                <w:rFonts w:asciiTheme="minorHAnsi" w:eastAsiaTheme="minorEastAsia" w:hAnsiTheme="minorHAnsi" w:cstheme="minorBidi"/>
                <w:b w:val="0"/>
                <w:bCs w:val="0"/>
                <w:caps w:val="0"/>
                <w:noProof/>
                <w:sz w:val="22"/>
                <w:szCs w:val="22"/>
                <w:lang w:val="en-GB" w:eastAsia="en-GB" w:bidi="ar-SA"/>
              </w:rPr>
              <w:tab/>
            </w:r>
            <w:r>
              <w:rPr>
                <w:rStyle w:val="Hyperlink"/>
                <w:noProof/>
              </w:rPr>
              <w:t>Crédits demandés dans le budget 2018</w:t>
            </w:r>
            <w:r>
              <w:rPr>
                <w:noProof/>
                <w:webHidden/>
              </w:rPr>
              <w:tab/>
            </w:r>
            <w:r>
              <w:rPr>
                <w:noProof/>
                <w:webHidden/>
              </w:rPr>
              <w:fldChar w:fldCharType="begin"/>
            </w:r>
            <w:r>
              <w:rPr>
                <w:noProof/>
                <w:webHidden/>
              </w:rPr>
              <w:instrText xml:space="preserve"> PAGEREF _Toc517271329 \h </w:instrText>
            </w:r>
            <w:r>
              <w:rPr>
                <w:noProof/>
                <w:webHidden/>
              </w:rPr>
            </w:r>
            <w:r>
              <w:rPr>
                <w:noProof/>
                <w:webHidden/>
              </w:rPr>
              <w:fldChar w:fldCharType="separate"/>
            </w:r>
            <w:r>
              <w:rPr>
                <w:noProof/>
                <w:webHidden/>
              </w:rPr>
              <w:t>5</w:t>
            </w:r>
            <w:r>
              <w:rPr>
                <w:noProof/>
                <w:webHidden/>
              </w:rPr>
              <w:fldChar w:fldCharType="end"/>
            </w:r>
          </w:hyperlink>
        </w:p>
        <w:p>
          <w:pPr>
            <w:pStyle w:val="TOC1"/>
            <w:tabs>
              <w:tab w:val="left" w:pos="709"/>
              <w:tab w:val="right" w:leader="dot" w:pos="9061"/>
            </w:tabs>
            <w:rPr>
              <w:rFonts w:asciiTheme="minorHAnsi" w:eastAsiaTheme="minorEastAsia" w:hAnsiTheme="minorHAnsi" w:cstheme="minorBidi"/>
              <w:b w:val="0"/>
              <w:bCs w:val="0"/>
              <w:caps w:val="0"/>
              <w:noProof/>
              <w:sz w:val="22"/>
              <w:szCs w:val="22"/>
              <w:lang w:val="en-GB" w:eastAsia="en-GB" w:bidi="ar-SA"/>
            </w:rPr>
          </w:pPr>
          <w:hyperlink w:anchor="_Toc517271330" w:history="1">
            <w:r>
              <w:rPr>
                <w:rStyle w:val="Hyperlink"/>
                <w:noProof/>
              </w:rPr>
              <w:t>4.</w:t>
            </w:r>
            <w:r>
              <w:rPr>
                <w:rFonts w:asciiTheme="minorHAnsi" w:eastAsiaTheme="minorEastAsia" w:hAnsiTheme="minorHAnsi" w:cstheme="minorBidi"/>
                <w:b w:val="0"/>
                <w:bCs w:val="0"/>
                <w:caps w:val="0"/>
                <w:noProof/>
                <w:sz w:val="22"/>
                <w:szCs w:val="22"/>
                <w:lang w:val="en-GB" w:eastAsia="en-GB" w:bidi="ar-SA"/>
              </w:rPr>
              <w:tab/>
            </w:r>
            <w:r>
              <w:rPr>
                <w:rStyle w:val="Hyperlink"/>
                <w:noProof/>
              </w:rPr>
              <w:t>Tableau récapitulatif par rubrique du CFP</w:t>
            </w:r>
            <w:r>
              <w:rPr>
                <w:noProof/>
                <w:webHidden/>
              </w:rPr>
              <w:tab/>
            </w:r>
            <w:r>
              <w:rPr>
                <w:noProof/>
                <w:webHidden/>
              </w:rPr>
              <w:fldChar w:fldCharType="begin"/>
            </w:r>
            <w:r>
              <w:rPr>
                <w:noProof/>
                <w:webHidden/>
              </w:rPr>
              <w:instrText xml:space="preserve"> PAGEREF _Toc517271330 \h </w:instrText>
            </w:r>
            <w:r>
              <w:rPr>
                <w:noProof/>
                <w:webHidden/>
              </w:rPr>
            </w:r>
            <w:r>
              <w:rPr>
                <w:noProof/>
                <w:webHidden/>
              </w:rPr>
              <w:fldChar w:fldCharType="separate"/>
            </w:r>
            <w:r>
              <w:rPr>
                <w:noProof/>
                <w:webHidden/>
              </w:rPr>
              <w:t>6</w:t>
            </w:r>
            <w:r>
              <w:rPr>
                <w:noProof/>
                <w:webHidden/>
              </w:rPr>
              <w:fldChar w:fldCharType="end"/>
            </w:r>
          </w:hyperlink>
        </w:p>
        <w:p>
          <w:pPr>
            <w:rPr>
              <w:rFonts w:asciiTheme="minorHAnsi" w:eastAsiaTheme="minorEastAsia" w:hAnsiTheme="minorHAnsi" w:cstheme="minorBidi"/>
              <w:noProof/>
              <w:sz w:val="22"/>
              <w:szCs w:val="22"/>
            </w:rPr>
            <w:sectPr>
              <w:headerReference w:type="even" r:id="rId23"/>
              <w:headerReference w:type="default" r:id="rId24"/>
              <w:footerReference w:type="even" r:id="rId25"/>
              <w:footerReference w:type="default" r:id="rId26"/>
              <w:headerReference w:type="first" r:id="rId27"/>
              <w:footerReference w:type="first" r:id="rId28"/>
              <w:pgSz w:w="11907" w:h="16839"/>
              <w:pgMar w:top="1418" w:right="1418" w:bottom="1418" w:left="1418" w:header="709" w:footer="709" w:gutter="0"/>
              <w:pgNumType w:start="3"/>
              <w:cols w:space="720"/>
            </w:sectPr>
          </w:pPr>
          <w:r>
            <w:rPr>
              <w:b/>
              <w:bCs/>
              <w:noProof/>
            </w:rPr>
            <w:fldChar w:fldCharType="end"/>
          </w:r>
        </w:p>
      </w:sdtContent>
    </w:sdt>
    <w:p>
      <w:pPr>
        <w:pStyle w:val="ManualHeading1"/>
      </w:pPr>
      <w:bookmarkStart w:id="8" w:name="_Toc385506031"/>
      <w:bookmarkStart w:id="9" w:name="_Toc430865946"/>
      <w:bookmarkStart w:id="10" w:name="_Toc430867524"/>
      <w:bookmarkStart w:id="11" w:name="_Toc514181799"/>
      <w:bookmarkStart w:id="12" w:name="_Toc517271327"/>
      <w:bookmarkStart w:id="13" w:name="_Toc351469332"/>
      <w:bookmarkStart w:id="14" w:name="_Toc361649879"/>
      <w:r>
        <w:t>1.</w:t>
      </w:r>
      <w:r>
        <w:tab/>
        <w:t>Introduction</w:t>
      </w:r>
      <w:bookmarkEnd w:id="8"/>
      <w:bookmarkEnd w:id="9"/>
      <w:bookmarkEnd w:id="10"/>
      <w:bookmarkEnd w:id="11"/>
      <w:bookmarkEnd w:id="12"/>
    </w:p>
    <w:p>
      <w:pPr>
        <w:spacing w:before="120" w:after="120"/>
        <w:jc w:val="both"/>
        <w:rPr>
          <w:noProof/>
        </w:rPr>
      </w:pPr>
      <w:r>
        <w:rPr>
          <w:noProof/>
        </w:rPr>
        <w:t>Le projet de budget rectificatif (PBR) nº 4 pour l’exercice 2018 accompagne la proposition</w:t>
      </w:r>
      <w:r>
        <w:rPr>
          <w:rStyle w:val="FootnoteReference"/>
          <w:noProof/>
        </w:rPr>
        <w:footnoteReference w:id="7"/>
      </w:r>
      <w:r>
        <w:rPr>
          <w:noProof/>
        </w:rPr>
        <w:t xml:space="preserve"> de mobilisation du Fonds de solidarité de l’Union européenne (FSUE), pour un montant de 33 992 206 EUR, visant à venir en aide à la Bulgarie, à la Grèce, à la Lituanie et à la Pologne à la suite de catastrophes naturelles survenues dans ces États membres au cours de l’année 2017:</w:t>
      </w:r>
    </w:p>
    <w:p>
      <w:pPr>
        <w:pStyle w:val="ListParagraph"/>
        <w:numPr>
          <w:ilvl w:val="0"/>
          <w:numId w:val="43"/>
        </w:numPr>
        <w:spacing w:after="120"/>
        <w:jc w:val="both"/>
        <w:rPr>
          <w:rFonts w:ascii="Times New Roman" w:hAnsi="Times New Roman"/>
          <w:noProof/>
          <w:sz w:val="24"/>
          <w:szCs w:val="24"/>
        </w:rPr>
      </w:pPr>
      <w:r>
        <w:rPr>
          <w:rFonts w:ascii="Times New Roman" w:hAnsi="Times New Roman"/>
          <w:i/>
          <w:noProof/>
          <w:sz w:val="24"/>
        </w:rPr>
        <w:t>Bulgarie</w:t>
      </w:r>
      <w:r>
        <w:rPr>
          <w:rFonts w:ascii="Times New Roman" w:hAnsi="Times New Roman"/>
          <w:noProof/>
          <w:sz w:val="24"/>
        </w:rPr>
        <w:t>: inondations causées par de fortes précipitations et des tempêtes violentes inhabituelles dans la région sud-est du pays (25 et 26 octobre 2017);</w:t>
      </w:r>
    </w:p>
    <w:p>
      <w:pPr>
        <w:pStyle w:val="ListParagraph"/>
        <w:numPr>
          <w:ilvl w:val="0"/>
          <w:numId w:val="43"/>
        </w:numPr>
        <w:spacing w:after="120"/>
        <w:jc w:val="both"/>
        <w:rPr>
          <w:rFonts w:ascii="Times New Roman" w:hAnsi="Times New Roman"/>
          <w:noProof/>
          <w:sz w:val="24"/>
          <w:szCs w:val="24"/>
        </w:rPr>
      </w:pPr>
      <w:r>
        <w:rPr>
          <w:rFonts w:ascii="Times New Roman" w:hAnsi="Times New Roman"/>
          <w:i/>
          <w:noProof/>
          <w:sz w:val="24"/>
        </w:rPr>
        <w:t>Grèce</w:t>
      </w:r>
      <w:r>
        <w:rPr>
          <w:rFonts w:ascii="Times New Roman" w:hAnsi="Times New Roman"/>
          <w:noProof/>
          <w:sz w:val="24"/>
        </w:rPr>
        <w:t>: séisme d’une magnitude de 6,6 sur l’échelle de Richter, suivi de nombreuses répliques, ayant frappé la région de l’Égée méridionale entre Bodrum (Turquie) et l’île de Kos (Grèce) (20 juillet 2017);</w:t>
      </w:r>
    </w:p>
    <w:p>
      <w:pPr>
        <w:pStyle w:val="ListParagraph"/>
        <w:numPr>
          <w:ilvl w:val="0"/>
          <w:numId w:val="43"/>
        </w:numPr>
        <w:spacing w:after="120"/>
        <w:jc w:val="both"/>
        <w:rPr>
          <w:rFonts w:ascii="Times New Roman" w:hAnsi="Times New Roman"/>
          <w:noProof/>
          <w:sz w:val="24"/>
          <w:szCs w:val="24"/>
        </w:rPr>
      </w:pPr>
      <w:r>
        <w:rPr>
          <w:rFonts w:ascii="Times New Roman" w:hAnsi="Times New Roman"/>
          <w:i/>
          <w:noProof/>
          <w:sz w:val="24"/>
        </w:rPr>
        <w:t>Lituanie</w:t>
      </w:r>
      <w:r>
        <w:rPr>
          <w:rFonts w:ascii="Times New Roman" w:hAnsi="Times New Roman"/>
          <w:noProof/>
          <w:sz w:val="24"/>
        </w:rPr>
        <w:t>: inondations causées par des pluies continues durant l’été et l’automne 2017;</w:t>
      </w:r>
    </w:p>
    <w:p>
      <w:pPr>
        <w:pStyle w:val="ListParagraph"/>
        <w:numPr>
          <w:ilvl w:val="0"/>
          <w:numId w:val="43"/>
        </w:numPr>
        <w:spacing w:after="120"/>
        <w:jc w:val="both"/>
        <w:rPr>
          <w:rFonts w:ascii="Times New Roman" w:hAnsi="Times New Roman"/>
          <w:noProof/>
          <w:sz w:val="24"/>
          <w:szCs w:val="24"/>
        </w:rPr>
      </w:pPr>
      <w:r>
        <w:rPr>
          <w:rFonts w:ascii="Times New Roman" w:hAnsi="Times New Roman"/>
          <w:i/>
          <w:noProof/>
          <w:sz w:val="24"/>
        </w:rPr>
        <w:t>Pologne</w:t>
      </w:r>
      <w:r>
        <w:rPr>
          <w:rFonts w:ascii="Times New Roman" w:hAnsi="Times New Roman"/>
          <w:noProof/>
          <w:sz w:val="24"/>
        </w:rPr>
        <w:t>: tempêtes d’une extrême violence et pluies torrentielles (entre le 9 et le 12 août 2017).</w:t>
      </w:r>
    </w:p>
    <w:p>
      <w:pPr>
        <w:spacing w:before="120" w:after="120"/>
        <w:jc w:val="both"/>
        <w:rPr>
          <w:noProof/>
        </w:rPr>
      </w:pPr>
      <w:r>
        <w:rPr>
          <w:noProof/>
        </w:rPr>
        <w:t>Le PBR nº 4/2018 propose d’inscrire les crédits nécessaires au budget général 2018, tant en engagements qu’en paiements.</w:t>
      </w:r>
    </w:p>
    <w:p>
      <w:pPr>
        <w:keepNext/>
        <w:tabs>
          <w:tab w:val="left" w:pos="850"/>
        </w:tabs>
        <w:spacing w:before="240" w:after="120"/>
        <w:ind w:left="851" w:hanging="851"/>
        <w:jc w:val="both"/>
        <w:outlineLvl w:val="0"/>
        <w:rPr>
          <w:b/>
          <w:smallCaps/>
          <w:noProof/>
        </w:rPr>
      </w:pPr>
      <w:bookmarkStart w:id="15" w:name="_Toc514181800"/>
      <w:bookmarkStart w:id="16" w:name="_Toc517271328"/>
      <w:bookmarkStart w:id="17" w:name="_Toc462410050"/>
      <w:bookmarkStart w:id="18" w:name="_Toc430865947"/>
      <w:bookmarkStart w:id="19" w:name="_Toc430867525"/>
      <w:r>
        <w:rPr>
          <w:b/>
          <w:smallCaps/>
          <w:noProof/>
        </w:rPr>
        <w:t>2.</w:t>
      </w:r>
      <w:r>
        <w:rPr>
          <w:noProof/>
        </w:rPr>
        <w:tab/>
      </w:r>
      <w:r>
        <w:rPr>
          <w:b/>
          <w:smallCaps/>
          <w:noProof/>
        </w:rPr>
        <w:t>Financement provenant de la dotation du FSUE pour 2018</w:t>
      </w:r>
      <w:bookmarkEnd w:id="15"/>
      <w:bookmarkEnd w:id="16"/>
    </w:p>
    <w:p>
      <w:pPr>
        <w:jc w:val="both"/>
        <w:rPr>
          <w:noProof/>
        </w:rPr>
      </w:pPr>
      <w:bookmarkStart w:id="20" w:name="_Toc460335328"/>
      <w:bookmarkStart w:id="21" w:name="_Toc430865948"/>
      <w:bookmarkStart w:id="22" w:name="_Toc430867526"/>
      <w:bookmarkEnd w:id="17"/>
      <w:r>
        <w:rPr>
          <w:noProof/>
        </w:rPr>
        <w:t>Conformément à l’article 10, paragraphe 1, du règlement CFP, le montant total disponible début 2018 pour l’intervention du FSUE était de 421 142 057 EUR, ce montant correspondant à la dotation restante pour 2018, soit 280 371 754 EUR (c’est-à-dire 574 342 834 EUR moins les 293 971 080 EUR déjà mobilisés en 2017</w:t>
      </w:r>
      <w:r>
        <w:rPr>
          <w:rStyle w:val="FootnoteReference"/>
          <w:noProof/>
        </w:rPr>
        <w:footnoteReference w:id="8"/>
      </w:r>
      <w:r>
        <w:rPr>
          <w:noProof/>
        </w:rPr>
        <w:t>), majorée de la dotation restante pour 2017 à hauteur d’un montant de 140 770 303 EUR qui, n’ayant pas été dépensé, a été reporté à 2018.</w:t>
      </w:r>
    </w:p>
    <w:p>
      <w:pPr>
        <w:spacing w:before="120" w:after="120"/>
        <w:jc w:val="both"/>
        <w:rPr>
          <w:noProof/>
        </w:rPr>
      </w:pPr>
      <w:r>
        <w:rPr>
          <w:noProof/>
        </w:rPr>
        <w:t>Le montant mobilisable à ce stade de l’année 2018 est de 173 389 397 EUR. Celui-ci correspond au montant total disponible au début de 2018 pour l’intervention du FSUE (421 142 057 EUR), déduction faite d’une retenue de 143 585 709 EUR afin de respecter l’obligation de mettre de côté 25 % de la dotation annuelle de 2018 jusqu’au 1</w:t>
      </w:r>
      <w:r>
        <w:rPr>
          <w:noProof/>
          <w:vertAlign w:val="superscript"/>
        </w:rPr>
        <w:t>er</w:t>
      </w:r>
      <w:r>
        <w:rPr>
          <w:noProof/>
        </w:rPr>
        <w:t> octobre 2018, comme le dispose l’article 10, paragraphe 1, du règlement CFP, et déduction faite du montant de 104 166 951 EUR mobilisé pour la Grèce, l’Espagne, la France et le Portugal plus tôt cette année</w:t>
      </w:r>
      <w:r>
        <w:rPr>
          <w:rStyle w:val="FootnoteReference"/>
          <w:noProof/>
        </w:rPr>
        <w:footnoteReference w:id="9"/>
      </w:r>
      <w:r>
        <w:rPr>
          <w:noProof/>
        </w:rPr>
        <w:t>.</w:t>
      </w:r>
    </w:p>
    <w:tbl>
      <w:tblPr>
        <w:tblStyle w:val="TableGrid"/>
        <w:tblW w:w="0" w:type="auto"/>
        <w:jc w:val="center"/>
        <w:tblLook w:val="04A0" w:firstRow="1" w:lastRow="0" w:firstColumn="1" w:lastColumn="0" w:noHBand="0" w:noVBand="1"/>
      </w:tblPr>
      <w:tblGrid>
        <w:gridCol w:w="6703"/>
        <w:gridCol w:w="1897"/>
      </w:tblGrid>
      <w:tr>
        <w:trPr>
          <w:trHeight w:val="490"/>
          <w:jc w:val="center"/>
        </w:trPr>
        <w:tc>
          <w:tcPr>
            <w:tcW w:w="6703" w:type="dxa"/>
            <w:shd w:val="clear" w:color="auto" w:fill="D9D9D9" w:themeFill="background1" w:themeFillShade="D9"/>
            <w:vAlign w:val="center"/>
          </w:tcPr>
          <w:p>
            <w:pPr>
              <w:keepNext/>
              <w:jc w:val="center"/>
              <w:rPr>
                <w:b/>
                <w:noProof/>
                <w:sz w:val="16"/>
                <w:szCs w:val="16"/>
              </w:rPr>
            </w:pPr>
            <w:r>
              <w:rPr>
                <w:b/>
                <w:noProof/>
                <w:sz w:val="20"/>
              </w:rPr>
              <w:t>Tableau récapitulatif du financement du FSUE</w:t>
            </w:r>
          </w:p>
        </w:tc>
        <w:tc>
          <w:tcPr>
            <w:tcW w:w="1897" w:type="dxa"/>
            <w:shd w:val="clear" w:color="auto" w:fill="D9D9D9" w:themeFill="background1" w:themeFillShade="D9"/>
            <w:vAlign w:val="center"/>
          </w:tcPr>
          <w:p>
            <w:pPr>
              <w:keepNext/>
              <w:jc w:val="center"/>
              <w:rPr>
                <w:b/>
                <w:noProof/>
                <w:sz w:val="16"/>
                <w:szCs w:val="16"/>
              </w:rPr>
            </w:pPr>
            <w:r>
              <w:rPr>
                <w:b/>
                <w:noProof/>
                <w:sz w:val="16"/>
              </w:rPr>
              <w:t>Montant</w:t>
            </w:r>
          </w:p>
          <w:p>
            <w:pPr>
              <w:keepNext/>
              <w:jc w:val="center"/>
              <w:rPr>
                <w:noProof/>
                <w:sz w:val="16"/>
                <w:szCs w:val="16"/>
              </w:rPr>
            </w:pPr>
            <w:r>
              <w:rPr>
                <w:b/>
                <w:noProof/>
                <w:sz w:val="16"/>
              </w:rPr>
              <w:t>en EUR</w:t>
            </w:r>
          </w:p>
        </w:tc>
      </w:tr>
      <w:tr>
        <w:trPr>
          <w:trHeight w:val="258"/>
          <w:jc w:val="center"/>
        </w:trPr>
        <w:tc>
          <w:tcPr>
            <w:tcW w:w="6703" w:type="dxa"/>
          </w:tcPr>
          <w:p>
            <w:pPr>
              <w:keepNext/>
              <w:rPr>
                <w:noProof/>
                <w:sz w:val="16"/>
                <w:szCs w:val="16"/>
              </w:rPr>
            </w:pPr>
            <w:r>
              <w:rPr>
                <w:noProof/>
                <w:sz w:val="16"/>
              </w:rPr>
              <w:t>Dotation de 2017 reportée à 2018</w:t>
            </w:r>
          </w:p>
        </w:tc>
        <w:tc>
          <w:tcPr>
            <w:tcW w:w="1897" w:type="dxa"/>
          </w:tcPr>
          <w:p>
            <w:pPr>
              <w:keepNext/>
              <w:jc w:val="right"/>
              <w:rPr>
                <w:noProof/>
                <w:sz w:val="16"/>
                <w:szCs w:val="16"/>
              </w:rPr>
            </w:pPr>
            <w:r>
              <w:rPr>
                <w:noProof/>
                <w:sz w:val="16"/>
              </w:rPr>
              <w:t>140 770 303</w:t>
            </w:r>
          </w:p>
        </w:tc>
      </w:tr>
      <w:tr>
        <w:trPr>
          <w:trHeight w:val="245"/>
          <w:jc w:val="center"/>
        </w:trPr>
        <w:tc>
          <w:tcPr>
            <w:tcW w:w="6703" w:type="dxa"/>
          </w:tcPr>
          <w:p>
            <w:pPr>
              <w:keepNext/>
              <w:rPr>
                <w:noProof/>
                <w:sz w:val="16"/>
                <w:szCs w:val="16"/>
              </w:rPr>
            </w:pPr>
            <w:r>
              <w:rPr>
                <w:noProof/>
                <w:sz w:val="16"/>
              </w:rPr>
              <w:t>Dotation de 2018</w:t>
            </w:r>
          </w:p>
        </w:tc>
        <w:tc>
          <w:tcPr>
            <w:tcW w:w="1897" w:type="dxa"/>
          </w:tcPr>
          <w:p>
            <w:pPr>
              <w:keepNext/>
              <w:jc w:val="right"/>
              <w:rPr>
                <w:noProof/>
                <w:sz w:val="16"/>
                <w:szCs w:val="16"/>
              </w:rPr>
            </w:pPr>
            <w:r>
              <w:rPr>
                <w:noProof/>
                <w:sz w:val="16"/>
              </w:rPr>
              <w:t>574 342 834</w:t>
            </w:r>
          </w:p>
        </w:tc>
      </w:tr>
      <w:tr>
        <w:trPr>
          <w:trHeight w:val="504"/>
          <w:jc w:val="center"/>
        </w:trPr>
        <w:tc>
          <w:tcPr>
            <w:tcW w:w="6703" w:type="dxa"/>
          </w:tcPr>
          <w:p>
            <w:pPr>
              <w:keepNext/>
              <w:rPr>
                <w:noProof/>
                <w:sz w:val="16"/>
                <w:szCs w:val="16"/>
              </w:rPr>
            </w:pPr>
            <w:r>
              <w:rPr>
                <w:noProof/>
                <w:sz w:val="16"/>
              </w:rPr>
              <w:t>Dotation de 2018, versée par anticipation en 2017, conformément à l’article 10, paragraphe 2, du règlement CFP</w:t>
            </w:r>
          </w:p>
        </w:tc>
        <w:tc>
          <w:tcPr>
            <w:tcW w:w="1897" w:type="dxa"/>
          </w:tcPr>
          <w:p>
            <w:pPr>
              <w:keepNext/>
              <w:jc w:val="right"/>
              <w:rPr>
                <w:noProof/>
                <w:sz w:val="16"/>
                <w:szCs w:val="16"/>
              </w:rPr>
            </w:pPr>
            <w:r>
              <w:rPr>
                <w:noProof/>
                <w:sz w:val="16"/>
              </w:rPr>
              <w:t>-293 971 080</w:t>
            </w:r>
          </w:p>
          <w:p>
            <w:pPr>
              <w:keepNext/>
              <w:jc w:val="right"/>
              <w:rPr>
                <w:noProof/>
                <w:sz w:val="16"/>
                <w:szCs w:val="16"/>
              </w:rPr>
            </w:pPr>
            <w:r>
              <w:rPr>
                <w:noProof/>
                <w:sz w:val="16"/>
              </w:rPr>
              <w:t>----------------</w:t>
            </w:r>
          </w:p>
        </w:tc>
      </w:tr>
      <w:tr>
        <w:trPr>
          <w:trHeight w:val="245"/>
          <w:jc w:val="center"/>
        </w:trPr>
        <w:tc>
          <w:tcPr>
            <w:tcW w:w="6703" w:type="dxa"/>
          </w:tcPr>
          <w:p>
            <w:pPr>
              <w:keepNext/>
              <w:rPr>
                <w:b/>
                <w:noProof/>
                <w:sz w:val="16"/>
                <w:szCs w:val="16"/>
              </w:rPr>
            </w:pPr>
            <w:r>
              <w:rPr>
                <w:b/>
                <w:noProof/>
                <w:sz w:val="16"/>
              </w:rPr>
              <w:t>Total disponible au début de l’année 2018</w:t>
            </w:r>
          </w:p>
        </w:tc>
        <w:tc>
          <w:tcPr>
            <w:tcW w:w="1897" w:type="dxa"/>
          </w:tcPr>
          <w:p>
            <w:pPr>
              <w:keepNext/>
              <w:jc w:val="right"/>
              <w:rPr>
                <w:b/>
                <w:noProof/>
                <w:sz w:val="16"/>
                <w:szCs w:val="16"/>
              </w:rPr>
            </w:pPr>
            <w:r>
              <w:rPr>
                <w:b/>
                <w:noProof/>
                <w:sz w:val="16"/>
              </w:rPr>
              <w:t>421 142 057</w:t>
            </w:r>
          </w:p>
        </w:tc>
      </w:tr>
      <w:tr>
        <w:trPr>
          <w:trHeight w:val="258"/>
          <w:jc w:val="center"/>
        </w:trPr>
        <w:tc>
          <w:tcPr>
            <w:tcW w:w="6703" w:type="dxa"/>
          </w:tcPr>
          <w:p>
            <w:pPr>
              <w:keepNext/>
              <w:rPr>
                <w:noProof/>
                <w:sz w:val="16"/>
                <w:szCs w:val="16"/>
              </w:rPr>
            </w:pPr>
            <w:r>
              <w:rPr>
                <w:noProof/>
                <w:sz w:val="16"/>
              </w:rPr>
              <w:t>Déduction du montant déjà mobilisé en 2018 en faveur de la Grèce, de l’Espagne, de la France et du Portugal</w:t>
            </w:r>
          </w:p>
        </w:tc>
        <w:tc>
          <w:tcPr>
            <w:tcW w:w="1897" w:type="dxa"/>
          </w:tcPr>
          <w:p>
            <w:pPr>
              <w:keepNext/>
              <w:jc w:val="right"/>
              <w:rPr>
                <w:noProof/>
                <w:sz w:val="16"/>
                <w:szCs w:val="16"/>
              </w:rPr>
            </w:pPr>
            <w:r>
              <w:rPr>
                <w:noProof/>
                <w:sz w:val="16"/>
              </w:rPr>
              <w:t>-104 166 951</w:t>
            </w:r>
          </w:p>
        </w:tc>
      </w:tr>
      <w:tr>
        <w:trPr>
          <w:trHeight w:val="504"/>
          <w:jc w:val="center"/>
        </w:trPr>
        <w:tc>
          <w:tcPr>
            <w:tcW w:w="6703" w:type="dxa"/>
          </w:tcPr>
          <w:p>
            <w:pPr>
              <w:keepNext/>
              <w:rPr>
                <w:noProof/>
                <w:sz w:val="16"/>
                <w:szCs w:val="16"/>
              </w:rPr>
            </w:pPr>
            <w:r>
              <w:rPr>
                <w:noProof/>
                <w:sz w:val="16"/>
              </w:rPr>
              <w:t>Déduction de la retenue de 25 % du montant de la dotation de 2018</w:t>
            </w:r>
          </w:p>
        </w:tc>
        <w:tc>
          <w:tcPr>
            <w:tcW w:w="1897" w:type="dxa"/>
          </w:tcPr>
          <w:p>
            <w:pPr>
              <w:keepNext/>
              <w:jc w:val="right"/>
              <w:rPr>
                <w:noProof/>
                <w:sz w:val="16"/>
                <w:szCs w:val="16"/>
              </w:rPr>
            </w:pPr>
            <w:r>
              <w:rPr>
                <w:noProof/>
                <w:sz w:val="16"/>
              </w:rPr>
              <w:t>-143 585 709</w:t>
            </w:r>
          </w:p>
          <w:p>
            <w:pPr>
              <w:keepNext/>
              <w:jc w:val="right"/>
              <w:rPr>
                <w:noProof/>
                <w:sz w:val="16"/>
                <w:szCs w:val="16"/>
              </w:rPr>
            </w:pPr>
            <w:r>
              <w:rPr>
                <w:noProof/>
                <w:sz w:val="16"/>
              </w:rPr>
              <w:t>----------------</w:t>
            </w:r>
          </w:p>
        </w:tc>
      </w:tr>
      <w:tr>
        <w:trPr>
          <w:trHeight w:val="245"/>
          <w:jc w:val="center"/>
        </w:trPr>
        <w:tc>
          <w:tcPr>
            <w:tcW w:w="6703" w:type="dxa"/>
          </w:tcPr>
          <w:p>
            <w:pPr>
              <w:keepNext/>
              <w:rPr>
                <w:b/>
                <w:noProof/>
                <w:sz w:val="16"/>
                <w:szCs w:val="16"/>
              </w:rPr>
            </w:pPr>
            <w:r>
              <w:rPr>
                <w:b/>
                <w:noProof/>
                <w:sz w:val="16"/>
              </w:rPr>
              <w:t>Montant maximal actuellement disponible (dotations 2017+2018)</w:t>
            </w:r>
          </w:p>
        </w:tc>
        <w:tc>
          <w:tcPr>
            <w:tcW w:w="1897" w:type="dxa"/>
          </w:tcPr>
          <w:p>
            <w:pPr>
              <w:keepNext/>
              <w:jc w:val="right"/>
              <w:rPr>
                <w:b/>
                <w:noProof/>
                <w:sz w:val="16"/>
                <w:szCs w:val="16"/>
              </w:rPr>
            </w:pPr>
            <w:r>
              <w:rPr>
                <w:b/>
                <w:noProof/>
                <w:sz w:val="16"/>
              </w:rPr>
              <w:t>173 389 397</w:t>
            </w:r>
          </w:p>
        </w:tc>
      </w:tr>
      <w:tr>
        <w:trPr>
          <w:trHeight w:val="245"/>
          <w:jc w:val="center"/>
        </w:trPr>
        <w:tc>
          <w:tcPr>
            <w:tcW w:w="6703" w:type="dxa"/>
          </w:tcPr>
          <w:p>
            <w:pPr>
              <w:keepNext/>
              <w:rPr>
                <w:bCs/>
                <w:noProof/>
                <w:sz w:val="16"/>
                <w:szCs w:val="16"/>
              </w:rPr>
            </w:pPr>
            <w:r>
              <w:rPr>
                <w:noProof/>
                <w:sz w:val="16"/>
              </w:rPr>
              <w:t>Montant total de l’aide proposée à mobiliser pour la Bulgarie, la Grèce, la Lituanie et la Pologne</w:t>
            </w:r>
          </w:p>
        </w:tc>
        <w:tc>
          <w:tcPr>
            <w:tcW w:w="1897" w:type="dxa"/>
          </w:tcPr>
          <w:p>
            <w:pPr>
              <w:keepNext/>
              <w:jc w:val="right"/>
              <w:rPr>
                <w:bCs/>
                <w:noProof/>
                <w:sz w:val="16"/>
                <w:szCs w:val="16"/>
                <w:u w:val="single"/>
              </w:rPr>
            </w:pPr>
            <w:r>
              <w:rPr>
                <w:noProof/>
                <w:sz w:val="16"/>
                <w:u w:val="single"/>
              </w:rPr>
              <w:t>- 33 992 206</w:t>
            </w:r>
          </w:p>
        </w:tc>
      </w:tr>
      <w:tr>
        <w:trPr>
          <w:trHeight w:val="258"/>
          <w:jc w:val="center"/>
        </w:trPr>
        <w:tc>
          <w:tcPr>
            <w:tcW w:w="6703" w:type="dxa"/>
          </w:tcPr>
          <w:p>
            <w:pPr>
              <w:keepNext/>
              <w:rPr>
                <w:b/>
                <w:noProof/>
                <w:sz w:val="16"/>
                <w:szCs w:val="16"/>
              </w:rPr>
            </w:pPr>
            <w:r>
              <w:rPr>
                <w:b/>
                <w:noProof/>
                <w:sz w:val="16"/>
              </w:rPr>
              <w:t>Disponibilités restantes jusqu’au 1</w:t>
            </w:r>
            <w:r>
              <w:rPr>
                <w:b/>
                <w:noProof/>
                <w:sz w:val="16"/>
                <w:vertAlign w:val="superscript"/>
              </w:rPr>
              <w:t>er</w:t>
            </w:r>
            <w:r>
              <w:rPr>
                <w:b/>
                <w:noProof/>
                <w:sz w:val="16"/>
              </w:rPr>
              <w:t> octobre 2018</w:t>
            </w:r>
          </w:p>
        </w:tc>
        <w:tc>
          <w:tcPr>
            <w:tcW w:w="1897" w:type="dxa"/>
          </w:tcPr>
          <w:p>
            <w:pPr>
              <w:keepNext/>
              <w:jc w:val="right"/>
              <w:rPr>
                <w:b/>
                <w:noProof/>
                <w:sz w:val="16"/>
                <w:szCs w:val="16"/>
              </w:rPr>
            </w:pPr>
            <w:r>
              <w:rPr>
                <w:b/>
                <w:noProof/>
                <w:sz w:val="16"/>
              </w:rPr>
              <w:t>139 397 191</w:t>
            </w:r>
          </w:p>
        </w:tc>
      </w:tr>
    </w:tbl>
    <w:p>
      <w:pPr>
        <w:spacing w:before="120" w:after="120"/>
        <w:jc w:val="both"/>
        <w:rPr>
          <w:noProof/>
        </w:rPr>
      </w:pPr>
    </w:p>
    <w:p>
      <w:pPr>
        <w:pStyle w:val="ManualHeading1"/>
      </w:pPr>
      <w:bookmarkStart w:id="23" w:name="_Toc484781561"/>
      <w:bookmarkStart w:id="24" w:name="_Toc514181801"/>
      <w:bookmarkStart w:id="25" w:name="_Toc517271329"/>
      <w:r>
        <w:t>3.</w:t>
      </w:r>
      <w:r>
        <w:tab/>
        <w:t>Crédits demandés dans le budget</w:t>
      </w:r>
      <w:bookmarkEnd w:id="23"/>
      <w:r>
        <w:t> 2018</w:t>
      </w:r>
      <w:bookmarkEnd w:id="24"/>
      <w:bookmarkEnd w:id="25"/>
    </w:p>
    <w:p>
      <w:pPr>
        <w:spacing w:before="120" w:after="120"/>
        <w:jc w:val="both"/>
        <w:rPr>
          <w:noProof/>
        </w:rPr>
      </w:pPr>
      <w:r>
        <w:rPr>
          <w:noProof/>
        </w:rPr>
        <w:t>Sur la base des demandes d’intervention présentées par la Bulgarie, la Grèce, la Lituanie et la Pologne, la contribution financière du FSUE, qui repose sur l’estimation des montants totaux des dommages directs, est fixée à 33 992 206 EUR. La Commission propose de modifier le budget 2018 en renforçant la ligne </w:t>
      </w:r>
      <w:r>
        <w:rPr>
          <w:i/>
          <w:noProof/>
        </w:rPr>
        <w:t>13 06 01 «Assistance aux États membres en cas de catastrophe naturelle majeure ayant de graves répercussions sur les conditions de vie, l’environnement naturel et l’économie»</w:t>
      </w:r>
      <w:r>
        <w:rPr>
          <w:noProof/>
        </w:rPr>
        <w:t xml:space="preserve"> d’un montant de 33 992 206 EUR, à la fois en crédits d’engagement et en crédits de paiement (voir tableau ci-dessous).</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5103"/>
        <w:gridCol w:w="1701"/>
        <w:gridCol w:w="1701"/>
      </w:tblGrid>
      <w:tr>
        <w:tc>
          <w:tcPr>
            <w:tcW w:w="9781" w:type="dxa"/>
            <w:gridSpan w:val="4"/>
            <w:tcBorders>
              <w:top w:val="nil"/>
              <w:left w:val="nil"/>
              <w:bottom w:val="single" w:sz="4" w:space="0" w:color="auto"/>
              <w:right w:val="nil"/>
            </w:tcBorders>
            <w:shd w:val="clear" w:color="auto" w:fill="auto"/>
            <w:vAlign w:val="center"/>
          </w:tcPr>
          <w:p>
            <w:pPr>
              <w:widowControl w:val="0"/>
              <w:spacing w:before="15" w:after="15"/>
              <w:jc w:val="right"/>
              <w:rPr>
                <w:i/>
                <w:noProof/>
                <w:sz w:val="22"/>
                <w:szCs w:val="22"/>
              </w:rPr>
            </w:pPr>
            <w:r>
              <w:rPr>
                <w:i/>
                <w:noProof/>
                <w:sz w:val="22"/>
              </w:rPr>
              <w:t>Montants en EUR</w:t>
            </w:r>
          </w:p>
        </w:tc>
      </w:tr>
      <w:tr>
        <w:tc>
          <w:tcPr>
            <w:tcW w:w="1276" w:type="dxa"/>
            <w:tcBorders>
              <w:top w:val="single" w:sz="4" w:space="0" w:color="auto"/>
            </w:tcBorders>
            <w:shd w:val="clear" w:color="auto" w:fill="D9D9D9"/>
            <w:vAlign w:val="center"/>
          </w:tcPr>
          <w:p>
            <w:pPr>
              <w:widowControl w:val="0"/>
              <w:spacing w:before="15" w:after="15"/>
              <w:jc w:val="center"/>
              <w:rPr>
                <w:b/>
                <w:noProof/>
                <w:sz w:val="22"/>
                <w:szCs w:val="22"/>
              </w:rPr>
            </w:pPr>
            <w:r>
              <w:rPr>
                <w:b/>
                <w:noProof/>
                <w:sz w:val="22"/>
              </w:rPr>
              <w:t>Ligne budgétaire</w:t>
            </w:r>
          </w:p>
        </w:tc>
        <w:tc>
          <w:tcPr>
            <w:tcW w:w="5103" w:type="dxa"/>
            <w:tcBorders>
              <w:top w:val="single" w:sz="4" w:space="0" w:color="auto"/>
            </w:tcBorders>
            <w:shd w:val="clear" w:color="auto" w:fill="D9D9D9"/>
            <w:vAlign w:val="center"/>
          </w:tcPr>
          <w:p>
            <w:pPr>
              <w:widowControl w:val="0"/>
              <w:spacing w:before="15" w:after="15"/>
              <w:jc w:val="center"/>
              <w:rPr>
                <w:b/>
                <w:noProof/>
                <w:sz w:val="22"/>
                <w:szCs w:val="22"/>
              </w:rPr>
            </w:pPr>
            <w:r>
              <w:rPr>
                <w:b/>
                <w:noProof/>
                <w:sz w:val="22"/>
              </w:rPr>
              <w:t>Intitulé</w:t>
            </w:r>
          </w:p>
        </w:tc>
        <w:tc>
          <w:tcPr>
            <w:tcW w:w="1701" w:type="dxa"/>
            <w:tcBorders>
              <w:top w:val="single" w:sz="4" w:space="0" w:color="auto"/>
            </w:tcBorders>
            <w:shd w:val="clear" w:color="auto" w:fill="D9D9D9"/>
          </w:tcPr>
          <w:p>
            <w:pPr>
              <w:widowControl w:val="0"/>
              <w:spacing w:before="15" w:after="15"/>
              <w:jc w:val="center"/>
              <w:rPr>
                <w:b/>
                <w:noProof/>
                <w:sz w:val="22"/>
                <w:szCs w:val="22"/>
              </w:rPr>
            </w:pPr>
            <w:r>
              <w:rPr>
                <w:b/>
                <w:noProof/>
                <w:sz w:val="22"/>
              </w:rPr>
              <w:t>Crédits d’engagement</w:t>
            </w:r>
          </w:p>
        </w:tc>
        <w:tc>
          <w:tcPr>
            <w:tcW w:w="1701" w:type="dxa"/>
            <w:tcBorders>
              <w:top w:val="single" w:sz="4" w:space="0" w:color="auto"/>
            </w:tcBorders>
            <w:shd w:val="clear" w:color="auto" w:fill="D9D9D9"/>
            <w:vAlign w:val="center"/>
          </w:tcPr>
          <w:p>
            <w:pPr>
              <w:widowControl w:val="0"/>
              <w:spacing w:before="15" w:after="15"/>
              <w:jc w:val="center"/>
              <w:rPr>
                <w:b/>
                <w:noProof/>
                <w:sz w:val="22"/>
                <w:szCs w:val="22"/>
              </w:rPr>
            </w:pPr>
            <w:r>
              <w:rPr>
                <w:b/>
                <w:noProof/>
                <w:sz w:val="22"/>
              </w:rPr>
              <w:t>Crédits de paiement</w:t>
            </w:r>
          </w:p>
        </w:tc>
      </w:tr>
      <w:tr>
        <w:tc>
          <w:tcPr>
            <w:tcW w:w="1276" w:type="dxa"/>
          </w:tcPr>
          <w:p>
            <w:pPr>
              <w:widowControl w:val="0"/>
              <w:spacing w:before="15" w:after="15"/>
              <w:ind w:right="-113"/>
              <w:jc w:val="both"/>
              <w:rPr>
                <w:noProof/>
                <w:sz w:val="22"/>
                <w:szCs w:val="22"/>
              </w:rPr>
            </w:pPr>
            <w:r>
              <w:rPr>
                <w:noProof/>
                <w:sz w:val="22"/>
              </w:rPr>
              <w:t>13 06 01</w:t>
            </w:r>
          </w:p>
        </w:tc>
        <w:tc>
          <w:tcPr>
            <w:tcW w:w="5103" w:type="dxa"/>
          </w:tcPr>
          <w:p>
            <w:pPr>
              <w:widowControl w:val="0"/>
              <w:spacing w:before="15" w:after="15"/>
              <w:ind w:right="-113"/>
              <w:jc w:val="both"/>
              <w:rPr>
                <w:noProof/>
                <w:sz w:val="22"/>
                <w:szCs w:val="22"/>
              </w:rPr>
            </w:pPr>
            <w:r>
              <w:rPr>
                <w:noProof/>
                <w:sz w:val="22"/>
              </w:rPr>
              <w:t>Assistance aux États membres en cas de catastrophe naturelle majeure ayant de graves répercussions sur les conditions de vie, l’environnement naturel et l’économie</w:t>
            </w:r>
          </w:p>
        </w:tc>
        <w:tc>
          <w:tcPr>
            <w:tcW w:w="1701" w:type="dxa"/>
          </w:tcPr>
          <w:p>
            <w:pPr>
              <w:widowControl w:val="0"/>
              <w:spacing w:before="15" w:after="15"/>
              <w:jc w:val="right"/>
              <w:rPr>
                <w:noProof/>
                <w:sz w:val="22"/>
                <w:szCs w:val="22"/>
              </w:rPr>
            </w:pPr>
            <w:r>
              <w:rPr>
                <w:noProof/>
              </w:rPr>
              <w:t>33 992 206</w:t>
            </w:r>
          </w:p>
        </w:tc>
        <w:tc>
          <w:tcPr>
            <w:tcW w:w="1701" w:type="dxa"/>
          </w:tcPr>
          <w:p>
            <w:pPr>
              <w:widowControl w:val="0"/>
              <w:spacing w:before="15" w:after="15"/>
              <w:jc w:val="right"/>
              <w:rPr>
                <w:noProof/>
                <w:sz w:val="22"/>
                <w:szCs w:val="22"/>
              </w:rPr>
            </w:pPr>
            <w:r>
              <w:rPr>
                <w:noProof/>
              </w:rPr>
              <w:t>33 992 206</w:t>
            </w:r>
          </w:p>
        </w:tc>
      </w:tr>
      <w:tr>
        <w:tc>
          <w:tcPr>
            <w:tcW w:w="6379" w:type="dxa"/>
            <w:gridSpan w:val="2"/>
            <w:shd w:val="clear" w:color="auto" w:fill="D9D9D9"/>
          </w:tcPr>
          <w:p>
            <w:pPr>
              <w:widowControl w:val="0"/>
              <w:tabs>
                <w:tab w:val="left" w:pos="975"/>
              </w:tabs>
              <w:spacing w:before="15" w:after="15"/>
              <w:jc w:val="both"/>
              <w:rPr>
                <w:b/>
                <w:noProof/>
                <w:sz w:val="22"/>
                <w:szCs w:val="22"/>
              </w:rPr>
            </w:pPr>
            <w:r>
              <w:rPr>
                <w:b/>
                <w:noProof/>
                <w:sz w:val="22"/>
              </w:rPr>
              <w:t>Total</w:t>
            </w:r>
            <w:r>
              <w:rPr>
                <w:noProof/>
              </w:rPr>
              <w:tab/>
            </w:r>
          </w:p>
        </w:tc>
        <w:tc>
          <w:tcPr>
            <w:tcW w:w="1701" w:type="dxa"/>
            <w:shd w:val="clear" w:color="auto" w:fill="D9D9D9"/>
          </w:tcPr>
          <w:p>
            <w:pPr>
              <w:widowControl w:val="0"/>
              <w:spacing w:before="15" w:after="15"/>
              <w:jc w:val="right"/>
              <w:rPr>
                <w:b/>
                <w:noProof/>
                <w:sz w:val="22"/>
                <w:szCs w:val="22"/>
              </w:rPr>
            </w:pPr>
            <w:r>
              <w:rPr>
                <w:b/>
                <w:noProof/>
              </w:rPr>
              <w:t>33 992 206</w:t>
            </w:r>
          </w:p>
        </w:tc>
        <w:tc>
          <w:tcPr>
            <w:tcW w:w="1701" w:type="dxa"/>
            <w:shd w:val="clear" w:color="auto" w:fill="D9D9D9"/>
          </w:tcPr>
          <w:p>
            <w:pPr>
              <w:widowControl w:val="0"/>
              <w:spacing w:before="15" w:after="15"/>
              <w:jc w:val="right"/>
              <w:rPr>
                <w:b/>
                <w:noProof/>
                <w:sz w:val="22"/>
                <w:szCs w:val="22"/>
              </w:rPr>
            </w:pPr>
            <w:r>
              <w:rPr>
                <w:b/>
                <w:noProof/>
              </w:rPr>
              <w:t>33 992 206</w:t>
            </w:r>
          </w:p>
        </w:tc>
      </w:tr>
    </w:tbl>
    <w:p>
      <w:pPr>
        <w:pStyle w:val="ManualHeading1"/>
        <w:pageBreakBefore/>
      </w:pPr>
      <w:bookmarkStart w:id="26" w:name="_Toc514181802"/>
      <w:bookmarkStart w:id="27" w:name="_Toc517271330"/>
      <w:bookmarkEnd w:id="20"/>
      <w:bookmarkEnd w:id="21"/>
      <w:bookmarkEnd w:id="22"/>
      <w:r>
        <w:t>4.</w:t>
      </w:r>
      <w:r>
        <w:tab/>
        <w:t>Tableau récapitulatif par rubrique du CFP</w:t>
      </w:r>
      <w:bookmarkEnd w:id="26"/>
      <w:bookmarkEnd w:id="27"/>
    </w:p>
    <w:tbl>
      <w:tblPr>
        <w:tblW w:w="10940" w:type="dxa"/>
        <w:jc w:val="center"/>
        <w:tblInd w:w="93" w:type="dxa"/>
        <w:tblLook w:val="04A0" w:firstRow="1" w:lastRow="0" w:firstColumn="1" w:lastColumn="0" w:noHBand="0" w:noVBand="1"/>
      </w:tblPr>
      <w:tblGrid>
        <w:gridCol w:w="357"/>
        <w:gridCol w:w="3251"/>
        <w:gridCol w:w="1347"/>
        <w:gridCol w:w="1347"/>
        <w:gridCol w:w="972"/>
        <w:gridCol w:w="972"/>
        <w:gridCol w:w="1347"/>
        <w:gridCol w:w="1347"/>
      </w:tblGrid>
      <w:tr>
        <w:trPr>
          <w:trHeight w:val="210"/>
          <w:jc w:val="center"/>
        </w:trPr>
        <w:tc>
          <w:tcPr>
            <w:tcW w:w="3540" w:type="dxa"/>
            <w:gridSpan w:val="2"/>
            <w:vMerge w:val="restart"/>
            <w:tcBorders>
              <w:top w:val="single" w:sz="4" w:space="0" w:color="auto"/>
              <w:left w:val="single" w:sz="4" w:space="0" w:color="auto"/>
              <w:bottom w:val="nil"/>
              <w:right w:val="single" w:sz="4" w:space="0" w:color="000000"/>
            </w:tcBorders>
            <w:shd w:val="clear" w:color="000000" w:fill="D9D9D9"/>
            <w:vAlign w:val="center"/>
            <w:hideMark/>
          </w:tcPr>
          <w:bookmarkEnd w:id="2"/>
          <w:bookmarkEnd w:id="3"/>
          <w:bookmarkEnd w:id="4"/>
          <w:bookmarkEnd w:id="5"/>
          <w:bookmarkEnd w:id="6"/>
          <w:bookmarkEnd w:id="7"/>
          <w:bookmarkEnd w:id="13"/>
          <w:bookmarkEnd w:id="14"/>
          <w:bookmarkEnd w:id="18"/>
          <w:bookmarkEnd w:id="19"/>
          <w:p>
            <w:pPr>
              <w:jc w:val="center"/>
              <w:rPr>
                <w:b/>
                <w:bCs/>
                <w:noProof/>
                <w:color w:val="000000"/>
                <w:sz w:val="14"/>
                <w:szCs w:val="14"/>
              </w:rPr>
            </w:pPr>
            <w:r>
              <w:rPr>
                <w:b/>
                <w:noProof/>
                <w:color w:val="000000"/>
                <w:sz w:val="14"/>
              </w:rPr>
              <w:t>Rubrique</w:t>
            </w:r>
          </w:p>
        </w:tc>
        <w:tc>
          <w:tcPr>
            <w:tcW w:w="2720" w:type="dxa"/>
            <w:gridSpan w:val="2"/>
            <w:tcBorders>
              <w:top w:val="single" w:sz="4" w:space="0" w:color="auto"/>
              <w:left w:val="nil"/>
              <w:bottom w:val="nil"/>
              <w:right w:val="single" w:sz="4" w:space="0" w:color="000000"/>
            </w:tcBorders>
            <w:shd w:val="clear" w:color="000000" w:fill="D9D9D9"/>
            <w:vAlign w:val="center"/>
            <w:hideMark/>
          </w:tcPr>
          <w:p>
            <w:pPr>
              <w:jc w:val="center"/>
              <w:rPr>
                <w:b/>
                <w:bCs/>
                <w:noProof/>
                <w:color w:val="000000"/>
                <w:sz w:val="14"/>
                <w:szCs w:val="14"/>
              </w:rPr>
            </w:pPr>
            <w:r>
              <w:rPr>
                <w:b/>
                <w:noProof/>
                <w:color w:val="000000"/>
                <w:sz w:val="14"/>
              </w:rPr>
              <w:t>Budget 2018</w:t>
            </w:r>
          </w:p>
        </w:tc>
        <w:tc>
          <w:tcPr>
            <w:tcW w:w="1960" w:type="dxa"/>
            <w:gridSpan w:val="2"/>
            <w:vMerge w:val="restart"/>
            <w:tcBorders>
              <w:top w:val="single" w:sz="4" w:space="0" w:color="auto"/>
              <w:left w:val="single" w:sz="4" w:space="0" w:color="auto"/>
              <w:bottom w:val="single" w:sz="4" w:space="0" w:color="000000"/>
              <w:right w:val="single" w:sz="4" w:space="0" w:color="000000"/>
            </w:tcBorders>
            <w:shd w:val="clear" w:color="000000" w:fill="D9D9D9"/>
            <w:vAlign w:val="center"/>
            <w:hideMark/>
          </w:tcPr>
          <w:p>
            <w:pPr>
              <w:jc w:val="center"/>
              <w:rPr>
                <w:b/>
                <w:bCs/>
                <w:noProof/>
                <w:color w:val="000000"/>
                <w:sz w:val="14"/>
                <w:szCs w:val="14"/>
              </w:rPr>
            </w:pPr>
            <w:r>
              <w:rPr>
                <w:b/>
                <w:noProof/>
                <w:color w:val="000000"/>
                <w:sz w:val="14"/>
              </w:rPr>
              <w:t>Projet de budget rectificatif nº 4/2018</w:t>
            </w:r>
          </w:p>
        </w:tc>
        <w:tc>
          <w:tcPr>
            <w:tcW w:w="2720" w:type="dxa"/>
            <w:gridSpan w:val="2"/>
            <w:tcBorders>
              <w:top w:val="single" w:sz="4" w:space="0" w:color="auto"/>
              <w:left w:val="nil"/>
              <w:bottom w:val="nil"/>
              <w:right w:val="single" w:sz="4" w:space="0" w:color="000000"/>
            </w:tcBorders>
            <w:shd w:val="clear" w:color="000000" w:fill="D9D9D9"/>
            <w:vAlign w:val="center"/>
            <w:hideMark/>
          </w:tcPr>
          <w:p>
            <w:pPr>
              <w:jc w:val="center"/>
              <w:rPr>
                <w:b/>
                <w:bCs/>
                <w:noProof/>
                <w:color w:val="000000"/>
                <w:sz w:val="14"/>
                <w:szCs w:val="14"/>
              </w:rPr>
            </w:pPr>
            <w:r>
              <w:rPr>
                <w:b/>
                <w:noProof/>
                <w:color w:val="000000"/>
                <w:sz w:val="14"/>
              </w:rPr>
              <w:t>Budget 2018</w:t>
            </w:r>
          </w:p>
        </w:tc>
      </w:tr>
      <w:tr>
        <w:trPr>
          <w:trHeight w:val="210"/>
          <w:jc w:val="center"/>
        </w:trPr>
        <w:tc>
          <w:tcPr>
            <w:tcW w:w="3540" w:type="dxa"/>
            <w:gridSpan w:val="2"/>
            <w:vMerge/>
            <w:tcBorders>
              <w:top w:val="single" w:sz="4" w:space="0" w:color="auto"/>
              <w:left w:val="single" w:sz="4" w:space="0" w:color="auto"/>
              <w:bottom w:val="nil"/>
              <w:right w:val="single" w:sz="4" w:space="0" w:color="000000"/>
            </w:tcBorders>
            <w:vAlign w:val="center"/>
            <w:hideMark/>
          </w:tcPr>
          <w:p>
            <w:pPr>
              <w:rPr>
                <w:b/>
                <w:bCs/>
                <w:noProof/>
                <w:color w:val="000000"/>
                <w:sz w:val="14"/>
                <w:szCs w:val="14"/>
              </w:rPr>
            </w:pPr>
          </w:p>
        </w:tc>
        <w:tc>
          <w:tcPr>
            <w:tcW w:w="2720" w:type="dxa"/>
            <w:gridSpan w:val="2"/>
            <w:tcBorders>
              <w:top w:val="nil"/>
              <w:left w:val="nil"/>
              <w:bottom w:val="single" w:sz="4" w:space="0" w:color="auto"/>
              <w:right w:val="single" w:sz="4" w:space="0" w:color="000000"/>
            </w:tcBorders>
            <w:shd w:val="clear" w:color="000000" w:fill="D9D9D9"/>
            <w:vAlign w:val="center"/>
            <w:hideMark/>
          </w:tcPr>
          <w:p>
            <w:pPr>
              <w:jc w:val="center"/>
              <w:rPr>
                <w:b/>
                <w:bCs/>
                <w:noProof/>
                <w:color w:val="000000"/>
                <w:sz w:val="14"/>
                <w:szCs w:val="14"/>
              </w:rPr>
            </w:pPr>
            <w:r>
              <w:rPr>
                <w:b/>
                <w:noProof/>
                <w:color w:val="000000"/>
                <w:sz w:val="14"/>
              </w:rPr>
              <w:t>(y compris BR 1 et PBR 2-3/2018)</w:t>
            </w:r>
          </w:p>
        </w:tc>
        <w:tc>
          <w:tcPr>
            <w:tcW w:w="1960" w:type="dxa"/>
            <w:gridSpan w:val="2"/>
            <w:vMerge/>
            <w:tcBorders>
              <w:top w:val="single" w:sz="4" w:space="0" w:color="auto"/>
              <w:left w:val="single" w:sz="4" w:space="0" w:color="auto"/>
              <w:bottom w:val="single" w:sz="4" w:space="0" w:color="000000"/>
              <w:right w:val="single" w:sz="4" w:space="0" w:color="000000"/>
            </w:tcBorders>
            <w:vAlign w:val="center"/>
            <w:hideMark/>
          </w:tcPr>
          <w:p>
            <w:pPr>
              <w:rPr>
                <w:b/>
                <w:bCs/>
                <w:noProof/>
                <w:color w:val="000000"/>
                <w:sz w:val="14"/>
                <w:szCs w:val="14"/>
              </w:rPr>
            </w:pPr>
          </w:p>
        </w:tc>
        <w:tc>
          <w:tcPr>
            <w:tcW w:w="2720" w:type="dxa"/>
            <w:gridSpan w:val="2"/>
            <w:tcBorders>
              <w:top w:val="nil"/>
              <w:left w:val="nil"/>
              <w:bottom w:val="single" w:sz="4" w:space="0" w:color="auto"/>
              <w:right w:val="single" w:sz="4" w:space="0" w:color="000000"/>
            </w:tcBorders>
            <w:shd w:val="clear" w:color="000000" w:fill="D9D9D9"/>
            <w:vAlign w:val="center"/>
            <w:hideMark/>
          </w:tcPr>
          <w:p>
            <w:pPr>
              <w:jc w:val="center"/>
              <w:rPr>
                <w:b/>
                <w:bCs/>
                <w:noProof/>
                <w:color w:val="000000"/>
                <w:sz w:val="14"/>
                <w:szCs w:val="14"/>
              </w:rPr>
            </w:pPr>
            <w:r>
              <w:rPr>
                <w:b/>
                <w:noProof/>
                <w:color w:val="000000"/>
                <w:sz w:val="14"/>
              </w:rPr>
              <w:t>(y compris BR 1 et PBR 2-4/2018)</w:t>
            </w:r>
          </w:p>
        </w:tc>
      </w:tr>
      <w:tr>
        <w:trPr>
          <w:trHeight w:val="210"/>
          <w:jc w:val="center"/>
        </w:trPr>
        <w:tc>
          <w:tcPr>
            <w:tcW w:w="3540" w:type="dxa"/>
            <w:gridSpan w:val="2"/>
            <w:vMerge/>
            <w:tcBorders>
              <w:top w:val="single" w:sz="4" w:space="0" w:color="auto"/>
              <w:left w:val="single" w:sz="4" w:space="0" w:color="auto"/>
              <w:bottom w:val="nil"/>
              <w:right w:val="single" w:sz="4" w:space="0" w:color="000000"/>
            </w:tcBorders>
            <w:vAlign w:val="center"/>
            <w:hideMark/>
          </w:tcPr>
          <w:p>
            <w:pPr>
              <w:rPr>
                <w:b/>
                <w:bCs/>
                <w:noProof/>
                <w:color w:val="000000"/>
                <w:sz w:val="14"/>
                <w:szCs w:val="14"/>
              </w:rPr>
            </w:pPr>
          </w:p>
        </w:tc>
        <w:tc>
          <w:tcPr>
            <w:tcW w:w="1360" w:type="dxa"/>
            <w:tcBorders>
              <w:top w:val="nil"/>
              <w:left w:val="nil"/>
              <w:bottom w:val="nil"/>
              <w:right w:val="single" w:sz="4" w:space="0" w:color="auto"/>
            </w:tcBorders>
            <w:shd w:val="clear" w:color="000000" w:fill="D9D9D9"/>
            <w:vAlign w:val="center"/>
            <w:hideMark/>
          </w:tcPr>
          <w:p>
            <w:pPr>
              <w:jc w:val="center"/>
              <w:rPr>
                <w:b/>
                <w:bCs/>
                <w:noProof/>
                <w:color w:val="000000"/>
                <w:sz w:val="14"/>
                <w:szCs w:val="14"/>
              </w:rPr>
            </w:pPr>
            <w:r>
              <w:rPr>
                <w:b/>
                <w:noProof/>
                <w:color w:val="000000"/>
                <w:sz w:val="14"/>
              </w:rPr>
              <w:t>CE</w:t>
            </w:r>
          </w:p>
        </w:tc>
        <w:tc>
          <w:tcPr>
            <w:tcW w:w="1360" w:type="dxa"/>
            <w:tcBorders>
              <w:top w:val="nil"/>
              <w:left w:val="nil"/>
              <w:bottom w:val="single" w:sz="4" w:space="0" w:color="auto"/>
              <w:right w:val="single" w:sz="4" w:space="0" w:color="auto"/>
            </w:tcBorders>
            <w:shd w:val="clear" w:color="000000" w:fill="D9D9D9"/>
            <w:vAlign w:val="center"/>
            <w:hideMark/>
          </w:tcPr>
          <w:p>
            <w:pPr>
              <w:jc w:val="center"/>
              <w:rPr>
                <w:b/>
                <w:bCs/>
                <w:noProof/>
                <w:color w:val="000000"/>
                <w:sz w:val="14"/>
                <w:szCs w:val="14"/>
              </w:rPr>
            </w:pPr>
            <w:r>
              <w:rPr>
                <w:b/>
                <w:noProof/>
                <w:color w:val="000000"/>
                <w:sz w:val="14"/>
              </w:rPr>
              <w:t>CP</w:t>
            </w:r>
          </w:p>
        </w:tc>
        <w:tc>
          <w:tcPr>
            <w:tcW w:w="980" w:type="dxa"/>
            <w:tcBorders>
              <w:top w:val="nil"/>
              <w:left w:val="nil"/>
              <w:bottom w:val="single" w:sz="4" w:space="0" w:color="auto"/>
              <w:right w:val="single" w:sz="4" w:space="0" w:color="auto"/>
            </w:tcBorders>
            <w:shd w:val="clear" w:color="000000" w:fill="D9D9D9"/>
            <w:vAlign w:val="center"/>
            <w:hideMark/>
          </w:tcPr>
          <w:p>
            <w:pPr>
              <w:jc w:val="center"/>
              <w:rPr>
                <w:b/>
                <w:bCs/>
                <w:noProof/>
                <w:color w:val="000000"/>
                <w:sz w:val="14"/>
                <w:szCs w:val="14"/>
              </w:rPr>
            </w:pPr>
            <w:r>
              <w:rPr>
                <w:b/>
                <w:noProof/>
                <w:color w:val="000000"/>
                <w:sz w:val="14"/>
              </w:rPr>
              <w:t>CE</w:t>
            </w:r>
          </w:p>
        </w:tc>
        <w:tc>
          <w:tcPr>
            <w:tcW w:w="980" w:type="dxa"/>
            <w:tcBorders>
              <w:top w:val="nil"/>
              <w:left w:val="nil"/>
              <w:bottom w:val="single" w:sz="4" w:space="0" w:color="auto"/>
              <w:right w:val="single" w:sz="4" w:space="0" w:color="auto"/>
            </w:tcBorders>
            <w:shd w:val="clear" w:color="000000" w:fill="D9D9D9"/>
            <w:vAlign w:val="center"/>
            <w:hideMark/>
          </w:tcPr>
          <w:p>
            <w:pPr>
              <w:jc w:val="center"/>
              <w:rPr>
                <w:b/>
                <w:bCs/>
                <w:noProof/>
                <w:color w:val="000000"/>
                <w:sz w:val="14"/>
                <w:szCs w:val="14"/>
              </w:rPr>
            </w:pPr>
            <w:r>
              <w:rPr>
                <w:b/>
                <w:noProof/>
                <w:color w:val="000000"/>
                <w:sz w:val="14"/>
              </w:rPr>
              <w:t>CP</w:t>
            </w:r>
          </w:p>
        </w:tc>
        <w:tc>
          <w:tcPr>
            <w:tcW w:w="1360" w:type="dxa"/>
            <w:tcBorders>
              <w:top w:val="nil"/>
              <w:left w:val="nil"/>
              <w:bottom w:val="single" w:sz="4" w:space="0" w:color="auto"/>
              <w:right w:val="single" w:sz="4" w:space="0" w:color="auto"/>
            </w:tcBorders>
            <w:shd w:val="clear" w:color="000000" w:fill="D9D9D9"/>
            <w:vAlign w:val="center"/>
            <w:hideMark/>
          </w:tcPr>
          <w:p>
            <w:pPr>
              <w:jc w:val="center"/>
              <w:rPr>
                <w:b/>
                <w:bCs/>
                <w:noProof/>
                <w:color w:val="000000"/>
                <w:sz w:val="14"/>
                <w:szCs w:val="14"/>
              </w:rPr>
            </w:pPr>
            <w:r>
              <w:rPr>
                <w:b/>
                <w:noProof/>
                <w:color w:val="000000"/>
                <w:sz w:val="14"/>
              </w:rPr>
              <w:t>CE</w:t>
            </w:r>
          </w:p>
        </w:tc>
        <w:tc>
          <w:tcPr>
            <w:tcW w:w="1360" w:type="dxa"/>
            <w:tcBorders>
              <w:top w:val="nil"/>
              <w:left w:val="nil"/>
              <w:bottom w:val="single" w:sz="4" w:space="0" w:color="auto"/>
              <w:right w:val="single" w:sz="4" w:space="0" w:color="auto"/>
            </w:tcBorders>
            <w:shd w:val="clear" w:color="000000" w:fill="D9D9D9"/>
            <w:vAlign w:val="center"/>
            <w:hideMark/>
          </w:tcPr>
          <w:p>
            <w:pPr>
              <w:jc w:val="center"/>
              <w:rPr>
                <w:b/>
                <w:bCs/>
                <w:noProof/>
                <w:color w:val="000000"/>
                <w:sz w:val="14"/>
                <w:szCs w:val="14"/>
              </w:rPr>
            </w:pPr>
            <w:r>
              <w:rPr>
                <w:b/>
                <w:noProof/>
                <w:color w:val="000000"/>
                <w:sz w:val="14"/>
              </w:rPr>
              <w:t>CP</w:t>
            </w:r>
          </w:p>
        </w:tc>
      </w:tr>
      <w:tr>
        <w:trPr>
          <w:trHeight w:val="225"/>
          <w:jc w:val="center"/>
        </w:trPr>
        <w:tc>
          <w:tcPr>
            <w:tcW w:w="260" w:type="dxa"/>
            <w:tcBorders>
              <w:top w:val="single" w:sz="4" w:space="0" w:color="auto"/>
              <w:left w:val="single" w:sz="4" w:space="0" w:color="auto"/>
              <w:bottom w:val="dotted" w:sz="4" w:space="0" w:color="auto"/>
              <w:right w:val="nil"/>
            </w:tcBorders>
            <w:shd w:val="clear" w:color="auto" w:fill="auto"/>
            <w:vAlign w:val="center"/>
            <w:hideMark/>
          </w:tcPr>
          <w:p>
            <w:pPr>
              <w:rPr>
                <w:b/>
                <w:bCs/>
                <w:noProof/>
                <w:color w:val="000000"/>
                <w:sz w:val="14"/>
                <w:szCs w:val="14"/>
              </w:rPr>
            </w:pPr>
            <w:r>
              <w:rPr>
                <w:b/>
                <w:noProof/>
                <w:color w:val="000000"/>
                <w:sz w:val="14"/>
              </w:rPr>
              <w:t>1.</w:t>
            </w:r>
          </w:p>
        </w:tc>
        <w:tc>
          <w:tcPr>
            <w:tcW w:w="3280" w:type="dxa"/>
            <w:tcBorders>
              <w:top w:val="single" w:sz="4" w:space="0" w:color="auto"/>
              <w:left w:val="nil"/>
              <w:bottom w:val="dotted" w:sz="4" w:space="0" w:color="auto"/>
              <w:right w:val="single" w:sz="4" w:space="0" w:color="auto"/>
            </w:tcBorders>
            <w:shd w:val="clear" w:color="auto" w:fill="auto"/>
            <w:vAlign w:val="center"/>
            <w:hideMark/>
          </w:tcPr>
          <w:p>
            <w:pPr>
              <w:rPr>
                <w:b/>
                <w:bCs/>
                <w:noProof/>
                <w:color w:val="000000"/>
                <w:sz w:val="14"/>
                <w:szCs w:val="14"/>
              </w:rPr>
            </w:pPr>
            <w:r>
              <w:rPr>
                <w:b/>
                <w:noProof/>
                <w:color w:val="000000"/>
                <w:sz w:val="14"/>
              </w:rPr>
              <w:t>Croissance intelligente et inclusive</w:t>
            </w:r>
          </w:p>
        </w:tc>
        <w:tc>
          <w:tcPr>
            <w:tcW w:w="1360" w:type="dxa"/>
            <w:tcBorders>
              <w:top w:val="single" w:sz="4" w:space="0" w:color="auto"/>
              <w:left w:val="nil"/>
              <w:bottom w:val="dotted" w:sz="4" w:space="0" w:color="auto"/>
              <w:right w:val="single" w:sz="4" w:space="0" w:color="auto"/>
            </w:tcBorders>
            <w:shd w:val="clear" w:color="auto" w:fill="auto"/>
            <w:vAlign w:val="center"/>
            <w:hideMark/>
          </w:tcPr>
          <w:p>
            <w:pPr>
              <w:jc w:val="right"/>
              <w:rPr>
                <w:b/>
                <w:bCs/>
                <w:noProof/>
                <w:color w:val="000000"/>
                <w:sz w:val="14"/>
                <w:szCs w:val="14"/>
              </w:rPr>
            </w:pPr>
            <w:r>
              <w:rPr>
                <w:b/>
                <w:noProof/>
                <w:color w:val="000000"/>
                <w:sz w:val="14"/>
              </w:rPr>
              <w:t>77 533 697 652</w:t>
            </w:r>
          </w:p>
        </w:tc>
        <w:tc>
          <w:tcPr>
            <w:tcW w:w="1360"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4"/>
                <w:szCs w:val="14"/>
              </w:rPr>
            </w:pPr>
            <w:r>
              <w:rPr>
                <w:b/>
                <w:noProof/>
                <w:color w:val="000000"/>
                <w:sz w:val="14"/>
              </w:rPr>
              <w:t>66 624 486 101</w:t>
            </w:r>
          </w:p>
        </w:tc>
        <w:tc>
          <w:tcPr>
            <w:tcW w:w="980"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4"/>
                <w:szCs w:val="14"/>
              </w:rPr>
            </w:pPr>
            <w:r>
              <w:rPr>
                <w:b/>
                <w:noProof/>
                <w:color w:val="000000"/>
                <w:sz w:val="14"/>
              </w:rPr>
              <w:t xml:space="preserve">   </w:t>
            </w:r>
          </w:p>
        </w:tc>
        <w:tc>
          <w:tcPr>
            <w:tcW w:w="980"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4"/>
                <w:szCs w:val="14"/>
              </w:rPr>
            </w:pPr>
            <w:r>
              <w:rPr>
                <w:b/>
                <w:noProof/>
                <w:color w:val="000000"/>
                <w:sz w:val="14"/>
              </w:rPr>
              <w:t xml:space="preserve">   </w:t>
            </w:r>
          </w:p>
        </w:tc>
        <w:tc>
          <w:tcPr>
            <w:tcW w:w="1360"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4"/>
                <w:szCs w:val="14"/>
              </w:rPr>
            </w:pPr>
            <w:r>
              <w:rPr>
                <w:b/>
                <w:noProof/>
                <w:color w:val="000000"/>
                <w:sz w:val="14"/>
              </w:rPr>
              <w:t>77 533 697 652</w:t>
            </w:r>
          </w:p>
        </w:tc>
        <w:tc>
          <w:tcPr>
            <w:tcW w:w="1360"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4"/>
                <w:szCs w:val="14"/>
              </w:rPr>
            </w:pPr>
            <w:r>
              <w:rPr>
                <w:b/>
                <w:noProof/>
                <w:color w:val="000000"/>
                <w:sz w:val="14"/>
              </w:rPr>
              <w:t>66 624 486 101</w:t>
            </w:r>
          </w:p>
        </w:tc>
      </w:tr>
      <w:tr>
        <w:trPr>
          <w:trHeight w:val="225"/>
          <w:jc w:val="center"/>
        </w:trPr>
        <w:tc>
          <w:tcPr>
            <w:tcW w:w="3540"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jc w:val="right"/>
              <w:rPr>
                <w:i/>
                <w:iCs/>
                <w:noProof/>
                <w:color w:val="000000"/>
                <w:sz w:val="14"/>
                <w:szCs w:val="14"/>
              </w:rPr>
            </w:pPr>
            <w:r>
              <w:rPr>
                <w:i/>
                <w:noProof/>
                <w:color w:val="000000"/>
                <w:sz w:val="14"/>
              </w:rPr>
              <w:t>dont part relevant de la marge globale pour les engagements</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1 113 697 652</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98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xml:space="preserve">   </w:t>
            </w:r>
          </w:p>
        </w:tc>
        <w:tc>
          <w:tcPr>
            <w:tcW w:w="98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1 113 697 652</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r>
      <w:tr>
        <w:trPr>
          <w:trHeight w:val="225"/>
          <w:jc w:val="center"/>
        </w:trPr>
        <w:tc>
          <w:tcPr>
            <w:tcW w:w="3540"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jc w:val="right"/>
              <w:rPr>
                <w:i/>
                <w:iCs/>
                <w:noProof/>
                <w:color w:val="000000"/>
                <w:sz w:val="14"/>
                <w:szCs w:val="14"/>
              </w:rPr>
            </w:pPr>
            <w:r>
              <w:rPr>
                <w:i/>
                <w:noProof/>
                <w:color w:val="000000"/>
                <w:sz w:val="14"/>
              </w:rPr>
              <w:t xml:space="preserve">Plafond </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76 420 000 000</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98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xml:space="preserve">   </w:t>
            </w:r>
          </w:p>
        </w:tc>
        <w:tc>
          <w:tcPr>
            <w:tcW w:w="98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76 420 000 000</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r>
      <w:tr>
        <w:trPr>
          <w:trHeight w:val="225"/>
          <w:jc w:val="center"/>
        </w:trPr>
        <w:tc>
          <w:tcPr>
            <w:tcW w:w="3540"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jc w:val="right"/>
              <w:rPr>
                <w:i/>
                <w:iCs/>
                <w:noProof/>
                <w:color w:val="000000"/>
                <w:sz w:val="14"/>
                <w:szCs w:val="14"/>
              </w:rPr>
            </w:pPr>
            <w:r>
              <w:rPr>
                <w:i/>
                <w:noProof/>
                <w:color w:val="000000"/>
                <w:sz w:val="14"/>
              </w:rPr>
              <w:t>Marge</w:t>
            </w:r>
          </w:p>
        </w:tc>
        <w:tc>
          <w:tcPr>
            <w:tcW w:w="136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xml:space="preserve">   </w:t>
            </w:r>
          </w:p>
        </w:tc>
        <w:tc>
          <w:tcPr>
            <w:tcW w:w="136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98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98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136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xml:space="preserve">   </w:t>
            </w:r>
          </w:p>
        </w:tc>
        <w:tc>
          <w:tcPr>
            <w:tcW w:w="136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r>
      <w:tr>
        <w:trPr>
          <w:trHeight w:val="225"/>
          <w:jc w:val="center"/>
        </w:trPr>
        <w:tc>
          <w:tcPr>
            <w:tcW w:w="260" w:type="dxa"/>
            <w:tcBorders>
              <w:top w:val="nil"/>
              <w:left w:val="single" w:sz="4" w:space="0" w:color="auto"/>
              <w:bottom w:val="dotted" w:sz="4" w:space="0" w:color="auto"/>
              <w:right w:val="nil"/>
            </w:tcBorders>
            <w:shd w:val="clear" w:color="auto" w:fill="auto"/>
            <w:vAlign w:val="center"/>
            <w:hideMark/>
          </w:tcPr>
          <w:p>
            <w:pPr>
              <w:rPr>
                <w:noProof/>
                <w:color w:val="000000"/>
                <w:sz w:val="14"/>
                <w:szCs w:val="14"/>
              </w:rPr>
            </w:pPr>
            <w:r>
              <w:rPr>
                <w:noProof/>
                <w:color w:val="000000"/>
                <w:sz w:val="14"/>
              </w:rPr>
              <w:t>1a</w:t>
            </w:r>
          </w:p>
        </w:tc>
        <w:tc>
          <w:tcPr>
            <w:tcW w:w="3280" w:type="dxa"/>
            <w:tcBorders>
              <w:top w:val="nil"/>
              <w:left w:val="nil"/>
              <w:bottom w:val="dotted" w:sz="4" w:space="0" w:color="auto"/>
              <w:right w:val="single" w:sz="4" w:space="0" w:color="auto"/>
            </w:tcBorders>
            <w:shd w:val="clear" w:color="auto" w:fill="auto"/>
            <w:vAlign w:val="center"/>
            <w:hideMark/>
          </w:tcPr>
          <w:p>
            <w:pPr>
              <w:rPr>
                <w:noProof/>
                <w:color w:val="000000"/>
                <w:sz w:val="14"/>
                <w:szCs w:val="14"/>
              </w:rPr>
            </w:pPr>
            <w:r>
              <w:rPr>
                <w:noProof/>
                <w:color w:val="000000"/>
                <w:sz w:val="14"/>
              </w:rPr>
              <w:t>Compétitivité pour la croissance et l’emploi</w:t>
            </w:r>
          </w:p>
        </w:tc>
        <w:tc>
          <w:tcPr>
            <w:tcW w:w="1360" w:type="dxa"/>
            <w:tcBorders>
              <w:top w:val="nil"/>
              <w:left w:val="nil"/>
              <w:bottom w:val="dotted" w:sz="4" w:space="0" w:color="auto"/>
              <w:right w:val="single" w:sz="4" w:space="0" w:color="auto"/>
            </w:tcBorders>
            <w:shd w:val="clear" w:color="auto" w:fill="auto"/>
            <w:vAlign w:val="center"/>
            <w:hideMark/>
          </w:tcPr>
          <w:p>
            <w:pPr>
              <w:jc w:val="right"/>
              <w:rPr>
                <w:noProof/>
                <w:color w:val="000000"/>
                <w:sz w:val="14"/>
                <w:szCs w:val="14"/>
              </w:rPr>
            </w:pPr>
            <w:r>
              <w:rPr>
                <w:noProof/>
                <w:color w:val="000000"/>
                <w:sz w:val="14"/>
              </w:rPr>
              <w:t>22 001 452 724</w:t>
            </w:r>
          </w:p>
        </w:tc>
        <w:tc>
          <w:tcPr>
            <w:tcW w:w="1360" w:type="dxa"/>
            <w:tcBorders>
              <w:top w:val="nil"/>
              <w:left w:val="nil"/>
              <w:bottom w:val="dotted" w:sz="4" w:space="0" w:color="auto"/>
              <w:right w:val="single" w:sz="4" w:space="0" w:color="auto"/>
            </w:tcBorders>
            <w:shd w:val="clear" w:color="auto" w:fill="auto"/>
            <w:vAlign w:val="center"/>
            <w:hideMark/>
          </w:tcPr>
          <w:p>
            <w:pPr>
              <w:jc w:val="right"/>
              <w:rPr>
                <w:noProof/>
                <w:color w:val="000000"/>
                <w:sz w:val="14"/>
                <w:szCs w:val="14"/>
              </w:rPr>
            </w:pPr>
            <w:r>
              <w:rPr>
                <w:noProof/>
                <w:color w:val="000000"/>
                <w:sz w:val="14"/>
              </w:rPr>
              <w:t>20 097 167 844</w:t>
            </w:r>
          </w:p>
        </w:tc>
        <w:tc>
          <w:tcPr>
            <w:tcW w:w="980" w:type="dxa"/>
            <w:tcBorders>
              <w:top w:val="nil"/>
              <w:left w:val="nil"/>
              <w:bottom w:val="dotted" w:sz="4" w:space="0" w:color="auto"/>
              <w:right w:val="single" w:sz="4" w:space="0" w:color="auto"/>
            </w:tcBorders>
            <w:shd w:val="clear" w:color="auto" w:fill="auto"/>
            <w:vAlign w:val="center"/>
            <w:hideMark/>
          </w:tcPr>
          <w:p>
            <w:pPr>
              <w:jc w:val="right"/>
              <w:rPr>
                <w:noProof/>
                <w:color w:val="000000"/>
                <w:sz w:val="14"/>
                <w:szCs w:val="14"/>
              </w:rPr>
            </w:pPr>
            <w:r>
              <w:rPr>
                <w:noProof/>
                <w:color w:val="000000"/>
                <w:sz w:val="14"/>
              </w:rPr>
              <w:t> </w:t>
            </w:r>
          </w:p>
        </w:tc>
        <w:tc>
          <w:tcPr>
            <w:tcW w:w="980" w:type="dxa"/>
            <w:tcBorders>
              <w:top w:val="nil"/>
              <w:left w:val="nil"/>
              <w:bottom w:val="dotted" w:sz="4" w:space="0" w:color="auto"/>
              <w:right w:val="single" w:sz="4" w:space="0" w:color="auto"/>
            </w:tcBorders>
            <w:shd w:val="clear" w:color="auto" w:fill="auto"/>
            <w:vAlign w:val="center"/>
            <w:hideMark/>
          </w:tcPr>
          <w:p>
            <w:pPr>
              <w:jc w:val="right"/>
              <w:rPr>
                <w:noProof/>
                <w:color w:val="000000"/>
                <w:sz w:val="14"/>
                <w:szCs w:val="14"/>
              </w:rPr>
            </w:pPr>
            <w:r>
              <w:rPr>
                <w:noProof/>
                <w:color w:val="000000"/>
                <w:sz w:val="14"/>
              </w:rPr>
              <w:t> </w:t>
            </w:r>
          </w:p>
        </w:tc>
        <w:tc>
          <w:tcPr>
            <w:tcW w:w="1360" w:type="dxa"/>
            <w:tcBorders>
              <w:top w:val="nil"/>
              <w:left w:val="nil"/>
              <w:bottom w:val="dotted" w:sz="4" w:space="0" w:color="auto"/>
              <w:right w:val="single" w:sz="4" w:space="0" w:color="auto"/>
            </w:tcBorders>
            <w:shd w:val="clear" w:color="auto" w:fill="auto"/>
            <w:vAlign w:val="center"/>
            <w:hideMark/>
          </w:tcPr>
          <w:p>
            <w:pPr>
              <w:jc w:val="right"/>
              <w:rPr>
                <w:noProof/>
                <w:color w:val="000000"/>
                <w:sz w:val="14"/>
                <w:szCs w:val="14"/>
              </w:rPr>
            </w:pPr>
            <w:r>
              <w:rPr>
                <w:noProof/>
                <w:color w:val="000000"/>
                <w:sz w:val="14"/>
              </w:rPr>
              <w:t>22 001 452 724</w:t>
            </w:r>
          </w:p>
        </w:tc>
        <w:tc>
          <w:tcPr>
            <w:tcW w:w="1360" w:type="dxa"/>
            <w:tcBorders>
              <w:top w:val="nil"/>
              <w:left w:val="nil"/>
              <w:bottom w:val="dotted" w:sz="4" w:space="0" w:color="auto"/>
              <w:right w:val="single" w:sz="4" w:space="0" w:color="auto"/>
            </w:tcBorders>
            <w:shd w:val="clear" w:color="auto" w:fill="auto"/>
            <w:vAlign w:val="center"/>
            <w:hideMark/>
          </w:tcPr>
          <w:p>
            <w:pPr>
              <w:jc w:val="right"/>
              <w:rPr>
                <w:noProof/>
                <w:color w:val="000000"/>
                <w:sz w:val="14"/>
                <w:szCs w:val="14"/>
              </w:rPr>
            </w:pPr>
            <w:r>
              <w:rPr>
                <w:noProof/>
                <w:color w:val="000000"/>
                <w:sz w:val="14"/>
              </w:rPr>
              <w:t>20 097 167 844</w:t>
            </w:r>
          </w:p>
        </w:tc>
      </w:tr>
      <w:tr>
        <w:trPr>
          <w:trHeight w:val="225"/>
          <w:jc w:val="center"/>
        </w:trPr>
        <w:tc>
          <w:tcPr>
            <w:tcW w:w="3540"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jc w:val="right"/>
              <w:rPr>
                <w:i/>
                <w:iCs/>
                <w:noProof/>
                <w:color w:val="000000"/>
                <w:sz w:val="14"/>
                <w:szCs w:val="14"/>
              </w:rPr>
            </w:pPr>
            <w:r>
              <w:rPr>
                <w:i/>
                <w:noProof/>
                <w:color w:val="000000"/>
                <w:sz w:val="14"/>
              </w:rPr>
              <w:t>dont part relevant de la marge globale pour les engagements</w:t>
            </w:r>
          </w:p>
        </w:tc>
        <w:tc>
          <w:tcPr>
            <w:tcW w:w="1360" w:type="dxa"/>
            <w:tcBorders>
              <w:top w:val="nil"/>
              <w:left w:val="nil"/>
              <w:bottom w:val="dotted" w:sz="4" w:space="0" w:color="auto"/>
              <w:right w:val="single" w:sz="4" w:space="0" w:color="auto"/>
            </w:tcBorders>
            <w:shd w:val="clear" w:color="auto" w:fill="auto"/>
            <w:vAlign w:val="center"/>
            <w:hideMark/>
          </w:tcPr>
          <w:p>
            <w:pPr>
              <w:jc w:val="right"/>
              <w:rPr>
                <w:noProof/>
                <w:color w:val="000000"/>
                <w:sz w:val="14"/>
                <w:szCs w:val="14"/>
              </w:rPr>
            </w:pPr>
            <w:r>
              <w:rPr>
                <w:noProof/>
                <w:color w:val="000000"/>
                <w:sz w:val="14"/>
              </w:rPr>
              <w:t xml:space="preserve"> 762 452 724</w:t>
            </w:r>
          </w:p>
        </w:tc>
        <w:tc>
          <w:tcPr>
            <w:tcW w:w="1360" w:type="dxa"/>
            <w:tcBorders>
              <w:top w:val="nil"/>
              <w:left w:val="nil"/>
              <w:bottom w:val="dotted" w:sz="4" w:space="0" w:color="auto"/>
              <w:right w:val="single" w:sz="4" w:space="0" w:color="auto"/>
            </w:tcBorders>
            <w:shd w:val="clear" w:color="auto" w:fill="auto"/>
            <w:vAlign w:val="center"/>
            <w:hideMark/>
          </w:tcPr>
          <w:p>
            <w:pPr>
              <w:jc w:val="right"/>
              <w:rPr>
                <w:noProof/>
                <w:color w:val="000000"/>
                <w:sz w:val="14"/>
                <w:szCs w:val="14"/>
              </w:rPr>
            </w:pPr>
            <w:r>
              <w:rPr>
                <w:noProof/>
                <w:color w:val="000000"/>
                <w:sz w:val="14"/>
              </w:rPr>
              <w:t> </w:t>
            </w:r>
          </w:p>
        </w:tc>
        <w:tc>
          <w:tcPr>
            <w:tcW w:w="980" w:type="dxa"/>
            <w:tcBorders>
              <w:top w:val="nil"/>
              <w:left w:val="nil"/>
              <w:bottom w:val="dotted" w:sz="4" w:space="0" w:color="auto"/>
              <w:right w:val="single" w:sz="4" w:space="0" w:color="auto"/>
            </w:tcBorders>
            <w:shd w:val="clear" w:color="auto" w:fill="auto"/>
            <w:vAlign w:val="center"/>
            <w:hideMark/>
          </w:tcPr>
          <w:p>
            <w:pPr>
              <w:jc w:val="right"/>
              <w:rPr>
                <w:noProof/>
                <w:color w:val="000000"/>
                <w:sz w:val="14"/>
                <w:szCs w:val="14"/>
              </w:rPr>
            </w:pPr>
            <w:r>
              <w:rPr>
                <w:noProof/>
                <w:color w:val="000000"/>
                <w:sz w:val="14"/>
              </w:rPr>
              <w:t> </w:t>
            </w:r>
          </w:p>
        </w:tc>
        <w:tc>
          <w:tcPr>
            <w:tcW w:w="980" w:type="dxa"/>
            <w:tcBorders>
              <w:top w:val="nil"/>
              <w:left w:val="nil"/>
              <w:bottom w:val="dotted" w:sz="4" w:space="0" w:color="auto"/>
              <w:right w:val="single" w:sz="4" w:space="0" w:color="auto"/>
            </w:tcBorders>
            <w:shd w:val="clear" w:color="auto" w:fill="auto"/>
            <w:vAlign w:val="center"/>
            <w:hideMark/>
          </w:tcPr>
          <w:p>
            <w:pPr>
              <w:jc w:val="right"/>
              <w:rPr>
                <w:noProof/>
                <w:color w:val="000000"/>
                <w:sz w:val="14"/>
                <w:szCs w:val="14"/>
              </w:rPr>
            </w:pPr>
            <w:r>
              <w:rPr>
                <w:noProof/>
                <w:color w:val="000000"/>
                <w:sz w:val="14"/>
              </w:rPr>
              <w:t> </w:t>
            </w:r>
          </w:p>
        </w:tc>
        <w:tc>
          <w:tcPr>
            <w:tcW w:w="1360" w:type="dxa"/>
            <w:tcBorders>
              <w:top w:val="nil"/>
              <w:left w:val="nil"/>
              <w:bottom w:val="dotted" w:sz="4" w:space="0" w:color="auto"/>
              <w:right w:val="single" w:sz="4" w:space="0" w:color="auto"/>
            </w:tcBorders>
            <w:shd w:val="clear" w:color="auto" w:fill="auto"/>
            <w:vAlign w:val="center"/>
            <w:hideMark/>
          </w:tcPr>
          <w:p>
            <w:pPr>
              <w:jc w:val="right"/>
              <w:rPr>
                <w:noProof/>
                <w:color w:val="000000"/>
                <w:sz w:val="14"/>
                <w:szCs w:val="14"/>
              </w:rPr>
            </w:pPr>
            <w:r>
              <w:rPr>
                <w:noProof/>
                <w:color w:val="000000"/>
                <w:sz w:val="14"/>
              </w:rPr>
              <w:t xml:space="preserve"> 762 452 724</w:t>
            </w:r>
          </w:p>
        </w:tc>
        <w:tc>
          <w:tcPr>
            <w:tcW w:w="1360" w:type="dxa"/>
            <w:tcBorders>
              <w:top w:val="nil"/>
              <w:left w:val="nil"/>
              <w:bottom w:val="dotted" w:sz="4" w:space="0" w:color="auto"/>
              <w:right w:val="single" w:sz="4" w:space="0" w:color="auto"/>
            </w:tcBorders>
            <w:shd w:val="clear" w:color="auto" w:fill="auto"/>
            <w:vAlign w:val="center"/>
            <w:hideMark/>
          </w:tcPr>
          <w:p>
            <w:pPr>
              <w:jc w:val="right"/>
              <w:rPr>
                <w:noProof/>
                <w:color w:val="000000"/>
                <w:sz w:val="14"/>
                <w:szCs w:val="14"/>
              </w:rPr>
            </w:pPr>
            <w:r>
              <w:rPr>
                <w:noProof/>
                <w:color w:val="000000"/>
                <w:sz w:val="14"/>
              </w:rPr>
              <w:t> </w:t>
            </w:r>
          </w:p>
        </w:tc>
      </w:tr>
      <w:tr>
        <w:trPr>
          <w:trHeight w:val="225"/>
          <w:jc w:val="center"/>
        </w:trPr>
        <w:tc>
          <w:tcPr>
            <w:tcW w:w="3540"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jc w:val="right"/>
              <w:rPr>
                <w:i/>
                <w:iCs/>
                <w:noProof/>
                <w:color w:val="000000"/>
                <w:sz w:val="14"/>
                <w:szCs w:val="14"/>
              </w:rPr>
            </w:pPr>
            <w:r>
              <w:rPr>
                <w:i/>
                <w:noProof/>
                <w:color w:val="000000"/>
                <w:sz w:val="14"/>
              </w:rPr>
              <w:t>Plafond</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21 239 000 000</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98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98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21 239 000 000</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r>
      <w:tr>
        <w:trPr>
          <w:trHeight w:val="225"/>
          <w:jc w:val="center"/>
        </w:trPr>
        <w:tc>
          <w:tcPr>
            <w:tcW w:w="3540"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jc w:val="right"/>
              <w:rPr>
                <w:i/>
                <w:iCs/>
                <w:noProof/>
                <w:color w:val="000000"/>
                <w:sz w:val="14"/>
                <w:szCs w:val="14"/>
              </w:rPr>
            </w:pPr>
            <w:r>
              <w:rPr>
                <w:i/>
                <w:noProof/>
                <w:color w:val="000000"/>
                <w:sz w:val="14"/>
              </w:rPr>
              <w:t>Marge</w:t>
            </w:r>
          </w:p>
        </w:tc>
        <w:tc>
          <w:tcPr>
            <w:tcW w:w="136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xml:space="preserve">   </w:t>
            </w:r>
          </w:p>
        </w:tc>
        <w:tc>
          <w:tcPr>
            <w:tcW w:w="136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98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98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136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xml:space="preserve">   </w:t>
            </w:r>
          </w:p>
        </w:tc>
        <w:tc>
          <w:tcPr>
            <w:tcW w:w="136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r>
      <w:tr>
        <w:trPr>
          <w:trHeight w:val="225"/>
          <w:jc w:val="center"/>
        </w:trPr>
        <w:tc>
          <w:tcPr>
            <w:tcW w:w="260" w:type="dxa"/>
            <w:tcBorders>
              <w:top w:val="nil"/>
              <w:left w:val="single" w:sz="4" w:space="0" w:color="auto"/>
              <w:bottom w:val="dotted" w:sz="4" w:space="0" w:color="auto"/>
              <w:right w:val="nil"/>
            </w:tcBorders>
            <w:shd w:val="clear" w:color="auto" w:fill="auto"/>
            <w:vAlign w:val="center"/>
            <w:hideMark/>
          </w:tcPr>
          <w:p>
            <w:pPr>
              <w:rPr>
                <w:noProof/>
                <w:color w:val="000000"/>
                <w:sz w:val="14"/>
                <w:szCs w:val="14"/>
              </w:rPr>
            </w:pPr>
            <w:r>
              <w:rPr>
                <w:noProof/>
                <w:color w:val="000000"/>
                <w:sz w:val="14"/>
              </w:rPr>
              <w:t xml:space="preserve">1b </w:t>
            </w:r>
          </w:p>
        </w:tc>
        <w:tc>
          <w:tcPr>
            <w:tcW w:w="3280" w:type="dxa"/>
            <w:tcBorders>
              <w:top w:val="nil"/>
              <w:left w:val="nil"/>
              <w:bottom w:val="dotted" w:sz="4" w:space="0" w:color="auto"/>
              <w:right w:val="single" w:sz="4" w:space="0" w:color="auto"/>
            </w:tcBorders>
            <w:shd w:val="clear" w:color="auto" w:fill="auto"/>
            <w:vAlign w:val="center"/>
            <w:hideMark/>
          </w:tcPr>
          <w:p>
            <w:pPr>
              <w:rPr>
                <w:noProof/>
                <w:color w:val="000000"/>
                <w:sz w:val="14"/>
                <w:szCs w:val="14"/>
              </w:rPr>
            </w:pPr>
            <w:r>
              <w:rPr>
                <w:noProof/>
                <w:color w:val="000000"/>
                <w:sz w:val="14"/>
              </w:rPr>
              <w:t>Cohésion économique, sociale et territoriale</w:t>
            </w:r>
          </w:p>
        </w:tc>
        <w:tc>
          <w:tcPr>
            <w:tcW w:w="1360" w:type="dxa"/>
            <w:tcBorders>
              <w:top w:val="nil"/>
              <w:left w:val="nil"/>
              <w:bottom w:val="dotted" w:sz="4" w:space="0" w:color="auto"/>
              <w:right w:val="single" w:sz="4" w:space="0" w:color="auto"/>
            </w:tcBorders>
            <w:shd w:val="clear" w:color="auto" w:fill="auto"/>
            <w:vAlign w:val="center"/>
            <w:hideMark/>
          </w:tcPr>
          <w:p>
            <w:pPr>
              <w:jc w:val="right"/>
              <w:rPr>
                <w:noProof/>
                <w:color w:val="000000"/>
                <w:sz w:val="14"/>
                <w:szCs w:val="14"/>
              </w:rPr>
            </w:pPr>
            <w:r>
              <w:rPr>
                <w:noProof/>
                <w:color w:val="000000"/>
                <w:sz w:val="14"/>
              </w:rPr>
              <w:t>55 532 244 928</w:t>
            </w:r>
          </w:p>
        </w:tc>
        <w:tc>
          <w:tcPr>
            <w:tcW w:w="1360" w:type="dxa"/>
            <w:tcBorders>
              <w:top w:val="nil"/>
              <w:left w:val="nil"/>
              <w:bottom w:val="dotted" w:sz="4" w:space="0" w:color="auto"/>
              <w:right w:val="single" w:sz="4" w:space="0" w:color="auto"/>
            </w:tcBorders>
            <w:shd w:val="clear" w:color="auto" w:fill="auto"/>
            <w:vAlign w:val="center"/>
            <w:hideMark/>
          </w:tcPr>
          <w:p>
            <w:pPr>
              <w:jc w:val="right"/>
              <w:rPr>
                <w:noProof/>
                <w:color w:val="000000"/>
                <w:sz w:val="14"/>
                <w:szCs w:val="14"/>
              </w:rPr>
            </w:pPr>
            <w:r>
              <w:rPr>
                <w:noProof/>
                <w:color w:val="000000"/>
                <w:sz w:val="14"/>
              </w:rPr>
              <w:t>46 527 318 257</w:t>
            </w:r>
          </w:p>
        </w:tc>
        <w:tc>
          <w:tcPr>
            <w:tcW w:w="980" w:type="dxa"/>
            <w:tcBorders>
              <w:top w:val="nil"/>
              <w:left w:val="nil"/>
              <w:bottom w:val="dotted" w:sz="4" w:space="0" w:color="auto"/>
              <w:right w:val="single" w:sz="4" w:space="0" w:color="auto"/>
            </w:tcBorders>
            <w:shd w:val="clear" w:color="auto" w:fill="auto"/>
            <w:vAlign w:val="center"/>
            <w:hideMark/>
          </w:tcPr>
          <w:p>
            <w:pPr>
              <w:jc w:val="right"/>
              <w:rPr>
                <w:noProof/>
                <w:color w:val="000000"/>
                <w:sz w:val="14"/>
                <w:szCs w:val="14"/>
              </w:rPr>
            </w:pPr>
            <w:r>
              <w:rPr>
                <w:noProof/>
                <w:color w:val="000000"/>
                <w:sz w:val="14"/>
              </w:rPr>
              <w:t> </w:t>
            </w:r>
          </w:p>
        </w:tc>
        <w:tc>
          <w:tcPr>
            <w:tcW w:w="980" w:type="dxa"/>
            <w:tcBorders>
              <w:top w:val="nil"/>
              <w:left w:val="nil"/>
              <w:bottom w:val="dotted" w:sz="4" w:space="0" w:color="auto"/>
              <w:right w:val="single" w:sz="4" w:space="0" w:color="auto"/>
            </w:tcBorders>
            <w:shd w:val="clear" w:color="auto" w:fill="auto"/>
            <w:vAlign w:val="center"/>
            <w:hideMark/>
          </w:tcPr>
          <w:p>
            <w:pPr>
              <w:jc w:val="right"/>
              <w:rPr>
                <w:noProof/>
                <w:color w:val="000000"/>
                <w:sz w:val="14"/>
                <w:szCs w:val="14"/>
              </w:rPr>
            </w:pPr>
            <w:r>
              <w:rPr>
                <w:noProof/>
                <w:color w:val="000000"/>
                <w:sz w:val="14"/>
              </w:rPr>
              <w:t> </w:t>
            </w:r>
          </w:p>
        </w:tc>
        <w:tc>
          <w:tcPr>
            <w:tcW w:w="1360" w:type="dxa"/>
            <w:tcBorders>
              <w:top w:val="nil"/>
              <w:left w:val="nil"/>
              <w:bottom w:val="dotted" w:sz="4" w:space="0" w:color="auto"/>
              <w:right w:val="single" w:sz="4" w:space="0" w:color="auto"/>
            </w:tcBorders>
            <w:shd w:val="clear" w:color="auto" w:fill="auto"/>
            <w:vAlign w:val="center"/>
            <w:hideMark/>
          </w:tcPr>
          <w:p>
            <w:pPr>
              <w:jc w:val="right"/>
              <w:rPr>
                <w:noProof/>
                <w:color w:val="000000"/>
                <w:sz w:val="14"/>
                <w:szCs w:val="14"/>
              </w:rPr>
            </w:pPr>
            <w:r>
              <w:rPr>
                <w:noProof/>
                <w:color w:val="000000"/>
                <w:sz w:val="14"/>
              </w:rPr>
              <w:t>55 532 244 928</w:t>
            </w:r>
          </w:p>
        </w:tc>
        <w:tc>
          <w:tcPr>
            <w:tcW w:w="1360" w:type="dxa"/>
            <w:tcBorders>
              <w:top w:val="nil"/>
              <w:left w:val="nil"/>
              <w:bottom w:val="dotted" w:sz="4" w:space="0" w:color="auto"/>
              <w:right w:val="single" w:sz="4" w:space="0" w:color="auto"/>
            </w:tcBorders>
            <w:shd w:val="clear" w:color="auto" w:fill="auto"/>
            <w:vAlign w:val="center"/>
            <w:hideMark/>
          </w:tcPr>
          <w:p>
            <w:pPr>
              <w:jc w:val="right"/>
              <w:rPr>
                <w:noProof/>
                <w:color w:val="000000"/>
                <w:sz w:val="14"/>
                <w:szCs w:val="14"/>
              </w:rPr>
            </w:pPr>
            <w:r>
              <w:rPr>
                <w:noProof/>
                <w:color w:val="000000"/>
                <w:sz w:val="14"/>
              </w:rPr>
              <w:t>46 527 318 257</w:t>
            </w:r>
          </w:p>
        </w:tc>
      </w:tr>
      <w:tr>
        <w:trPr>
          <w:trHeight w:val="225"/>
          <w:jc w:val="center"/>
        </w:trPr>
        <w:tc>
          <w:tcPr>
            <w:tcW w:w="3540"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jc w:val="right"/>
              <w:rPr>
                <w:i/>
                <w:iCs/>
                <w:noProof/>
                <w:color w:val="000000"/>
                <w:sz w:val="14"/>
                <w:szCs w:val="14"/>
              </w:rPr>
            </w:pPr>
            <w:r>
              <w:rPr>
                <w:i/>
                <w:noProof/>
                <w:color w:val="000000"/>
                <w:sz w:val="14"/>
              </w:rPr>
              <w:t>dont part relevant de la marge globale pour les engagements</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xml:space="preserve"> 351 244 928</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98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98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xml:space="preserve"> 351 244 928</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r>
      <w:tr>
        <w:trPr>
          <w:trHeight w:val="225"/>
          <w:jc w:val="center"/>
        </w:trPr>
        <w:tc>
          <w:tcPr>
            <w:tcW w:w="3540"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jc w:val="right"/>
              <w:rPr>
                <w:i/>
                <w:iCs/>
                <w:noProof/>
                <w:color w:val="000000"/>
                <w:sz w:val="14"/>
                <w:szCs w:val="14"/>
              </w:rPr>
            </w:pPr>
            <w:r>
              <w:rPr>
                <w:i/>
                <w:noProof/>
                <w:color w:val="000000"/>
                <w:sz w:val="14"/>
              </w:rPr>
              <w:t>Plafond</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55 181 000 000</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98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98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55 181 000 000</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r>
      <w:tr>
        <w:trPr>
          <w:trHeight w:val="225"/>
          <w:jc w:val="center"/>
        </w:trPr>
        <w:tc>
          <w:tcPr>
            <w:tcW w:w="3540"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jc w:val="right"/>
              <w:rPr>
                <w:i/>
                <w:iCs/>
                <w:noProof/>
                <w:color w:val="000000"/>
                <w:sz w:val="14"/>
                <w:szCs w:val="14"/>
              </w:rPr>
            </w:pPr>
            <w:r>
              <w:rPr>
                <w:i/>
                <w:noProof/>
                <w:color w:val="000000"/>
                <w:sz w:val="14"/>
              </w:rPr>
              <w:t>Marge</w:t>
            </w:r>
          </w:p>
        </w:tc>
        <w:tc>
          <w:tcPr>
            <w:tcW w:w="136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xml:space="preserve">   </w:t>
            </w:r>
          </w:p>
        </w:tc>
        <w:tc>
          <w:tcPr>
            <w:tcW w:w="136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98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98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136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xml:space="preserve">   </w:t>
            </w:r>
          </w:p>
        </w:tc>
        <w:tc>
          <w:tcPr>
            <w:tcW w:w="136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r>
      <w:tr>
        <w:trPr>
          <w:trHeight w:val="225"/>
          <w:jc w:val="center"/>
        </w:trPr>
        <w:tc>
          <w:tcPr>
            <w:tcW w:w="260" w:type="dxa"/>
            <w:tcBorders>
              <w:top w:val="nil"/>
              <w:left w:val="single" w:sz="4" w:space="0" w:color="auto"/>
              <w:bottom w:val="dotted" w:sz="4" w:space="0" w:color="auto"/>
              <w:right w:val="nil"/>
            </w:tcBorders>
            <w:shd w:val="clear" w:color="auto" w:fill="auto"/>
            <w:vAlign w:val="center"/>
            <w:hideMark/>
          </w:tcPr>
          <w:p>
            <w:pPr>
              <w:rPr>
                <w:b/>
                <w:bCs/>
                <w:noProof/>
                <w:color w:val="000000"/>
                <w:sz w:val="14"/>
                <w:szCs w:val="14"/>
              </w:rPr>
            </w:pPr>
            <w:r>
              <w:rPr>
                <w:b/>
                <w:noProof/>
                <w:color w:val="000000"/>
                <w:sz w:val="14"/>
              </w:rPr>
              <w:t>2.</w:t>
            </w:r>
          </w:p>
        </w:tc>
        <w:tc>
          <w:tcPr>
            <w:tcW w:w="3280" w:type="dxa"/>
            <w:tcBorders>
              <w:top w:val="nil"/>
              <w:left w:val="nil"/>
              <w:bottom w:val="dotted" w:sz="4" w:space="0" w:color="auto"/>
              <w:right w:val="single" w:sz="4" w:space="0" w:color="auto"/>
            </w:tcBorders>
            <w:shd w:val="clear" w:color="auto" w:fill="auto"/>
            <w:vAlign w:val="center"/>
            <w:hideMark/>
          </w:tcPr>
          <w:p>
            <w:pPr>
              <w:rPr>
                <w:b/>
                <w:bCs/>
                <w:noProof/>
                <w:color w:val="000000"/>
                <w:sz w:val="14"/>
                <w:szCs w:val="14"/>
              </w:rPr>
            </w:pPr>
            <w:r>
              <w:rPr>
                <w:b/>
                <w:noProof/>
                <w:color w:val="000000"/>
                <w:sz w:val="14"/>
              </w:rPr>
              <w:t>Croissance durable: ressources naturelles</w:t>
            </w:r>
          </w:p>
        </w:tc>
        <w:tc>
          <w:tcPr>
            <w:tcW w:w="1360"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4"/>
                <w:szCs w:val="14"/>
              </w:rPr>
            </w:pPr>
            <w:r>
              <w:rPr>
                <w:b/>
                <w:noProof/>
                <w:color w:val="000000"/>
                <w:sz w:val="14"/>
              </w:rPr>
              <w:t>59 285 323 122</w:t>
            </w:r>
          </w:p>
        </w:tc>
        <w:tc>
          <w:tcPr>
            <w:tcW w:w="1360"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4"/>
                <w:szCs w:val="14"/>
              </w:rPr>
            </w:pPr>
            <w:r>
              <w:rPr>
                <w:b/>
                <w:noProof/>
                <w:color w:val="000000"/>
                <w:sz w:val="14"/>
              </w:rPr>
              <w:t>56 083 793 633</w:t>
            </w:r>
          </w:p>
        </w:tc>
        <w:tc>
          <w:tcPr>
            <w:tcW w:w="980"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4"/>
                <w:szCs w:val="14"/>
              </w:rPr>
            </w:pPr>
            <w:r>
              <w:rPr>
                <w:b/>
                <w:noProof/>
                <w:color w:val="000000"/>
                <w:sz w:val="14"/>
              </w:rPr>
              <w:t> </w:t>
            </w:r>
          </w:p>
        </w:tc>
        <w:tc>
          <w:tcPr>
            <w:tcW w:w="980"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4"/>
                <w:szCs w:val="14"/>
              </w:rPr>
            </w:pPr>
            <w:r>
              <w:rPr>
                <w:b/>
                <w:noProof/>
                <w:color w:val="000000"/>
                <w:sz w:val="14"/>
              </w:rPr>
              <w:t> </w:t>
            </w:r>
          </w:p>
        </w:tc>
        <w:tc>
          <w:tcPr>
            <w:tcW w:w="1360"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4"/>
                <w:szCs w:val="14"/>
              </w:rPr>
            </w:pPr>
            <w:r>
              <w:rPr>
                <w:b/>
                <w:noProof/>
                <w:color w:val="000000"/>
                <w:sz w:val="14"/>
              </w:rPr>
              <w:t>59 285 323 122</w:t>
            </w:r>
          </w:p>
        </w:tc>
        <w:tc>
          <w:tcPr>
            <w:tcW w:w="1360"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4"/>
                <w:szCs w:val="14"/>
              </w:rPr>
            </w:pPr>
            <w:r>
              <w:rPr>
                <w:b/>
                <w:noProof/>
                <w:color w:val="000000"/>
                <w:sz w:val="14"/>
              </w:rPr>
              <w:t>56 083 793 633</w:t>
            </w:r>
          </w:p>
        </w:tc>
      </w:tr>
      <w:tr>
        <w:trPr>
          <w:trHeight w:val="225"/>
          <w:jc w:val="center"/>
        </w:trPr>
        <w:tc>
          <w:tcPr>
            <w:tcW w:w="3540"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jc w:val="right"/>
              <w:rPr>
                <w:i/>
                <w:iCs/>
                <w:noProof/>
                <w:color w:val="000000"/>
                <w:sz w:val="14"/>
                <w:szCs w:val="14"/>
              </w:rPr>
            </w:pPr>
            <w:r>
              <w:rPr>
                <w:i/>
                <w:noProof/>
                <w:color w:val="000000"/>
                <w:sz w:val="14"/>
              </w:rPr>
              <w:t>Plafond</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60 267 000 000</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98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98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60 267 000 000</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r>
      <w:tr>
        <w:trPr>
          <w:trHeight w:val="225"/>
          <w:jc w:val="center"/>
        </w:trPr>
        <w:tc>
          <w:tcPr>
            <w:tcW w:w="3540"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jc w:val="right"/>
              <w:rPr>
                <w:i/>
                <w:iCs/>
                <w:noProof/>
                <w:color w:val="000000"/>
                <w:sz w:val="14"/>
                <w:szCs w:val="14"/>
              </w:rPr>
            </w:pPr>
            <w:r>
              <w:rPr>
                <w:i/>
                <w:noProof/>
                <w:color w:val="000000"/>
                <w:sz w:val="14"/>
              </w:rPr>
              <w:t>Marge</w:t>
            </w:r>
          </w:p>
        </w:tc>
        <w:tc>
          <w:tcPr>
            <w:tcW w:w="136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xml:space="preserve"> 981 676 878</w:t>
            </w:r>
          </w:p>
        </w:tc>
        <w:tc>
          <w:tcPr>
            <w:tcW w:w="136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98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98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136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xml:space="preserve"> 981 676 878</w:t>
            </w:r>
          </w:p>
        </w:tc>
        <w:tc>
          <w:tcPr>
            <w:tcW w:w="136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r>
      <w:tr>
        <w:trPr>
          <w:trHeight w:val="345"/>
          <w:jc w:val="center"/>
        </w:trPr>
        <w:tc>
          <w:tcPr>
            <w:tcW w:w="3540"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rPr>
                <w:noProof/>
                <w:color w:val="000000"/>
                <w:sz w:val="14"/>
                <w:szCs w:val="14"/>
              </w:rPr>
            </w:pPr>
            <w:r>
              <w:rPr>
                <w:noProof/>
                <w:color w:val="000000"/>
                <w:sz w:val="14"/>
              </w:rPr>
              <w:t>dont: Fonds européen agricole de garantie (FEAGA) — Dépenses relatives au marché et paiements directs</w:t>
            </w:r>
          </w:p>
        </w:tc>
        <w:tc>
          <w:tcPr>
            <w:tcW w:w="1360" w:type="dxa"/>
            <w:tcBorders>
              <w:top w:val="nil"/>
              <w:left w:val="nil"/>
              <w:bottom w:val="dotted" w:sz="4" w:space="0" w:color="auto"/>
              <w:right w:val="single" w:sz="4" w:space="0" w:color="auto"/>
            </w:tcBorders>
            <w:shd w:val="clear" w:color="auto" w:fill="auto"/>
            <w:vAlign w:val="center"/>
            <w:hideMark/>
          </w:tcPr>
          <w:p>
            <w:pPr>
              <w:jc w:val="right"/>
              <w:rPr>
                <w:noProof/>
                <w:color w:val="000000"/>
                <w:sz w:val="14"/>
                <w:szCs w:val="14"/>
              </w:rPr>
            </w:pPr>
            <w:r>
              <w:rPr>
                <w:noProof/>
                <w:color w:val="000000"/>
                <w:sz w:val="14"/>
              </w:rPr>
              <w:t>43 234 516 899</w:t>
            </w:r>
          </w:p>
        </w:tc>
        <w:tc>
          <w:tcPr>
            <w:tcW w:w="1360" w:type="dxa"/>
            <w:tcBorders>
              <w:top w:val="nil"/>
              <w:left w:val="nil"/>
              <w:bottom w:val="dotted" w:sz="4" w:space="0" w:color="auto"/>
              <w:right w:val="single" w:sz="4" w:space="0" w:color="auto"/>
            </w:tcBorders>
            <w:shd w:val="clear" w:color="auto" w:fill="auto"/>
            <w:vAlign w:val="center"/>
            <w:hideMark/>
          </w:tcPr>
          <w:p>
            <w:pPr>
              <w:jc w:val="right"/>
              <w:rPr>
                <w:noProof/>
                <w:color w:val="000000"/>
                <w:sz w:val="14"/>
                <w:szCs w:val="14"/>
              </w:rPr>
            </w:pPr>
            <w:r>
              <w:rPr>
                <w:noProof/>
                <w:color w:val="000000"/>
                <w:sz w:val="14"/>
              </w:rPr>
              <w:t>43 188 677 466</w:t>
            </w:r>
          </w:p>
        </w:tc>
        <w:tc>
          <w:tcPr>
            <w:tcW w:w="980" w:type="dxa"/>
            <w:tcBorders>
              <w:top w:val="nil"/>
              <w:left w:val="nil"/>
              <w:bottom w:val="dotted" w:sz="4" w:space="0" w:color="auto"/>
              <w:right w:val="single" w:sz="4" w:space="0" w:color="auto"/>
            </w:tcBorders>
            <w:shd w:val="clear" w:color="auto" w:fill="auto"/>
            <w:vAlign w:val="center"/>
            <w:hideMark/>
          </w:tcPr>
          <w:p>
            <w:pPr>
              <w:jc w:val="right"/>
              <w:rPr>
                <w:noProof/>
                <w:color w:val="000000"/>
                <w:sz w:val="14"/>
                <w:szCs w:val="14"/>
              </w:rPr>
            </w:pPr>
            <w:r>
              <w:rPr>
                <w:noProof/>
                <w:color w:val="000000"/>
                <w:sz w:val="14"/>
              </w:rPr>
              <w:t> </w:t>
            </w:r>
          </w:p>
        </w:tc>
        <w:tc>
          <w:tcPr>
            <w:tcW w:w="980" w:type="dxa"/>
            <w:tcBorders>
              <w:top w:val="nil"/>
              <w:left w:val="nil"/>
              <w:bottom w:val="dotted" w:sz="4" w:space="0" w:color="auto"/>
              <w:right w:val="single" w:sz="4" w:space="0" w:color="auto"/>
            </w:tcBorders>
            <w:shd w:val="clear" w:color="auto" w:fill="auto"/>
            <w:vAlign w:val="center"/>
            <w:hideMark/>
          </w:tcPr>
          <w:p>
            <w:pPr>
              <w:jc w:val="right"/>
              <w:rPr>
                <w:noProof/>
                <w:color w:val="000000"/>
                <w:sz w:val="14"/>
                <w:szCs w:val="14"/>
              </w:rPr>
            </w:pPr>
            <w:r>
              <w:rPr>
                <w:noProof/>
                <w:color w:val="000000"/>
                <w:sz w:val="14"/>
              </w:rPr>
              <w:t> </w:t>
            </w:r>
          </w:p>
        </w:tc>
        <w:tc>
          <w:tcPr>
            <w:tcW w:w="1360" w:type="dxa"/>
            <w:tcBorders>
              <w:top w:val="nil"/>
              <w:left w:val="nil"/>
              <w:bottom w:val="dotted" w:sz="4" w:space="0" w:color="auto"/>
              <w:right w:val="single" w:sz="4" w:space="0" w:color="auto"/>
            </w:tcBorders>
            <w:shd w:val="clear" w:color="auto" w:fill="auto"/>
            <w:vAlign w:val="center"/>
            <w:hideMark/>
          </w:tcPr>
          <w:p>
            <w:pPr>
              <w:jc w:val="right"/>
              <w:rPr>
                <w:noProof/>
                <w:color w:val="000000"/>
                <w:sz w:val="14"/>
                <w:szCs w:val="14"/>
              </w:rPr>
            </w:pPr>
            <w:r>
              <w:rPr>
                <w:noProof/>
                <w:color w:val="000000"/>
                <w:sz w:val="14"/>
              </w:rPr>
              <w:t>43 234 516 899</w:t>
            </w:r>
          </w:p>
        </w:tc>
        <w:tc>
          <w:tcPr>
            <w:tcW w:w="1360" w:type="dxa"/>
            <w:tcBorders>
              <w:top w:val="nil"/>
              <w:left w:val="nil"/>
              <w:bottom w:val="dotted" w:sz="4" w:space="0" w:color="auto"/>
              <w:right w:val="single" w:sz="4" w:space="0" w:color="auto"/>
            </w:tcBorders>
            <w:shd w:val="clear" w:color="auto" w:fill="auto"/>
            <w:vAlign w:val="center"/>
            <w:hideMark/>
          </w:tcPr>
          <w:p>
            <w:pPr>
              <w:jc w:val="right"/>
              <w:rPr>
                <w:noProof/>
                <w:color w:val="000000"/>
                <w:sz w:val="14"/>
                <w:szCs w:val="14"/>
              </w:rPr>
            </w:pPr>
            <w:r>
              <w:rPr>
                <w:noProof/>
                <w:color w:val="000000"/>
                <w:sz w:val="14"/>
              </w:rPr>
              <w:t>43 188 677 466</w:t>
            </w:r>
          </w:p>
        </w:tc>
      </w:tr>
      <w:tr>
        <w:trPr>
          <w:trHeight w:val="225"/>
          <w:jc w:val="center"/>
        </w:trPr>
        <w:tc>
          <w:tcPr>
            <w:tcW w:w="3540"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jc w:val="right"/>
              <w:rPr>
                <w:i/>
                <w:iCs/>
                <w:noProof/>
                <w:color w:val="000000"/>
                <w:sz w:val="14"/>
                <w:szCs w:val="14"/>
              </w:rPr>
            </w:pPr>
            <w:r>
              <w:rPr>
                <w:i/>
                <w:noProof/>
                <w:color w:val="000000"/>
                <w:sz w:val="14"/>
              </w:rPr>
              <w:t>Sous-plafond</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44 163 000 000</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98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98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44 163 000 000</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r>
      <w:tr>
        <w:trPr>
          <w:trHeight w:val="225"/>
          <w:jc w:val="center"/>
        </w:trPr>
        <w:tc>
          <w:tcPr>
            <w:tcW w:w="3540"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jc w:val="right"/>
              <w:rPr>
                <w:i/>
                <w:iCs/>
                <w:noProof/>
                <w:color w:val="000000"/>
                <w:sz w:val="14"/>
                <w:szCs w:val="14"/>
              </w:rPr>
            </w:pPr>
            <w:r>
              <w:rPr>
                <w:i/>
                <w:noProof/>
                <w:color w:val="000000"/>
                <w:sz w:val="14"/>
              </w:rPr>
              <w:t>Marge du FEAGA</w:t>
            </w:r>
          </w:p>
        </w:tc>
        <w:tc>
          <w:tcPr>
            <w:tcW w:w="136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xml:space="preserve"> 927 833 101</w:t>
            </w:r>
          </w:p>
        </w:tc>
        <w:tc>
          <w:tcPr>
            <w:tcW w:w="136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98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98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136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xml:space="preserve"> 927 833 101</w:t>
            </w:r>
          </w:p>
        </w:tc>
        <w:tc>
          <w:tcPr>
            <w:tcW w:w="136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r>
      <w:tr>
        <w:trPr>
          <w:trHeight w:val="225"/>
          <w:jc w:val="center"/>
        </w:trPr>
        <w:tc>
          <w:tcPr>
            <w:tcW w:w="260" w:type="dxa"/>
            <w:tcBorders>
              <w:top w:val="nil"/>
              <w:left w:val="single" w:sz="4" w:space="0" w:color="auto"/>
              <w:bottom w:val="dotted" w:sz="4" w:space="0" w:color="auto"/>
              <w:right w:val="nil"/>
            </w:tcBorders>
            <w:shd w:val="clear" w:color="auto" w:fill="auto"/>
            <w:vAlign w:val="center"/>
            <w:hideMark/>
          </w:tcPr>
          <w:p>
            <w:pPr>
              <w:rPr>
                <w:b/>
                <w:bCs/>
                <w:noProof/>
                <w:color w:val="000000"/>
                <w:sz w:val="14"/>
                <w:szCs w:val="14"/>
              </w:rPr>
            </w:pPr>
            <w:r>
              <w:rPr>
                <w:b/>
                <w:noProof/>
                <w:color w:val="000000"/>
                <w:sz w:val="14"/>
              </w:rPr>
              <w:t>3.</w:t>
            </w:r>
          </w:p>
        </w:tc>
        <w:tc>
          <w:tcPr>
            <w:tcW w:w="3280" w:type="dxa"/>
            <w:tcBorders>
              <w:top w:val="nil"/>
              <w:left w:val="nil"/>
              <w:bottom w:val="dotted" w:sz="4" w:space="0" w:color="auto"/>
              <w:right w:val="single" w:sz="4" w:space="0" w:color="auto"/>
            </w:tcBorders>
            <w:shd w:val="clear" w:color="auto" w:fill="auto"/>
            <w:vAlign w:val="center"/>
            <w:hideMark/>
          </w:tcPr>
          <w:p>
            <w:pPr>
              <w:rPr>
                <w:b/>
                <w:bCs/>
                <w:noProof/>
                <w:color w:val="000000"/>
                <w:sz w:val="14"/>
                <w:szCs w:val="14"/>
              </w:rPr>
            </w:pPr>
            <w:r>
              <w:rPr>
                <w:b/>
                <w:noProof/>
                <w:color w:val="000000"/>
                <w:sz w:val="14"/>
              </w:rPr>
              <w:t>Sécurité et citoyenneté</w:t>
            </w:r>
          </w:p>
        </w:tc>
        <w:tc>
          <w:tcPr>
            <w:tcW w:w="1360"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4"/>
                <w:szCs w:val="14"/>
              </w:rPr>
            </w:pPr>
            <w:r>
              <w:rPr>
                <w:b/>
                <w:noProof/>
                <w:color w:val="000000"/>
                <w:sz w:val="14"/>
              </w:rPr>
              <w:t>3 493 241 199</w:t>
            </w:r>
          </w:p>
        </w:tc>
        <w:tc>
          <w:tcPr>
            <w:tcW w:w="1360"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4"/>
                <w:szCs w:val="14"/>
              </w:rPr>
            </w:pPr>
            <w:r>
              <w:rPr>
                <w:b/>
                <w:noProof/>
                <w:color w:val="000000"/>
                <w:sz w:val="14"/>
              </w:rPr>
              <w:t>2 980 707 175</w:t>
            </w:r>
          </w:p>
        </w:tc>
        <w:tc>
          <w:tcPr>
            <w:tcW w:w="980"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4"/>
                <w:szCs w:val="14"/>
              </w:rPr>
            </w:pPr>
            <w:r>
              <w:rPr>
                <w:b/>
                <w:noProof/>
                <w:color w:val="000000"/>
                <w:sz w:val="14"/>
              </w:rPr>
              <w:t> </w:t>
            </w:r>
          </w:p>
        </w:tc>
        <w:tc>
          <w:tcPr>
            <w:tcW w:w="980"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4"/>
                <w:szCs w:val="14"/>
              </w:rPr>
            </w:pPr>
            <w:r>
              <w:rPr>
                <w:b/>
                <w:noProof/>
                <w:color w:val="000000"/>
                <w:sz w:val="14"/>
              </w:rPr>
              <w:t> </w:t>
            </w:r>
          </w:p>
        </w:tc>
        <w:tc>
          <w:tcPr>
            <w:tcW w:w="1360"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4"/>
                <w:szCs w:val="14"/>
              </w:rPr>
            </w:pPr>
            <w:r>
              <w:rPr>
                <w:b/>
                <w:noProof/>
                <w:color w:val="000000"/>
                <w:sz w:val="14"/>
              </w:rPr>
              <w:t>3 493 241 199</w:t>
            </w:r>
          </w:p>
        </w:tc>
        <w:tc>
          <w:tcPr>
            <w:tcW w:w="1360"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4"/>
                <w:szCs w:val="14"/>
              </w:rPr>
            </w:pPr>
            <w:r>
              <w:rPr>
                <w:b/>
                <w:noProof/>
                <w:color w:val="000000"/>
                <w:sz w:val="14"/>
              </w:rPr>
              <w:t>2 980 707 175</w:t>
            </w:r>
          </w:p>
        </w:tc>
      </w:tr>
      <w:tr>
        <w:trPr>
          <w:trHeight w:val="225"/>
          <w:jc w:val="center"/>
        </w:trPr>
        <w:tc>
          <w:tcPr>
            <w:tcW w:w="3540"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jc w:val="right"/>
              <w:rPr>
                <w:i/>
                <w:iCs/>
                <w:noProof/>
                <w:color w:val="000000"/>
                <w:sz w:val="14"/>
                <w:szCs w:val="14"/>
              </w:rPr>
            </w:pPr>
            <w:r>
              <w:rPr>
                <w:i/>
                <w:noProof/>
                <w:color w:val="000000"/>
                <w:sz w:val="14"/>
              </w:rPr>
              <w:t>dont part relevant de l'instrument de flexibilité</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xml:space="preserve"> 837 241 199</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98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98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xml:space="preserve"> 837 241 199</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r>
      <w:tr>
        <w:trPr>
          <w:trHeight w:val="225"/>
          <w:jc w:val="center"/>
        </w:trPr>
        <w:tc>
          <w:tcPr>
            <w:tcW w:w="3540"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jc w:val="right"/>
              <w:rPr>
                <w:i/>
                <w:iCs/>
                <w:noProof/>
                <w:color w:val="000000"/>
                <w:sz w:val="14"/>
                <w:szCs w:val="14"/>
              </w:rPr>
            </w:pPr>
            <w:r>
              <w:rPr>
                <w:i/>
                <w:noProof/>
                <w:color w:val="000000"/>
                <w:sz w:val="14"/>
              </w:rPr>
              <w:t>Plafond</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2 656 000 000</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98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98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2 656 000 000</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r>
      <w:tr>
        <w:trPr>
          <w:trHeight w:val="225"/>
          <w:jc w:val="center"/>
        </w:trPr>
        <w:tc>
          <w:tcPr>
            <w:tcW w:w="3540"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jc w:val="right"/>
              <w:rPr>
                <w:i/>
                <w:iCs/>
                <w:noProof/>
                <w:color w:val="000000"/>
                <w:sz w:val="14"/>
                <w:szCs w:val="14"/>
              </w:rPr>
            </w:pPr>
            <w:r>
              <w:rPr>
                <w:i/>
                <w:noProof/>
                <w:color w:val="000000"/>
                <w:sz w:val="14"/>
              </w:rPr>
              <w:t>Marge</w:t>
            </w:r>
          </w:p>
        </w:tc>
        <w:tc>
          <w:tcPr>
            <w:tcW w:w="136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xml:space="preserve">   </w:t>
            </w:r>
          </w:p>
        </w:tc>
        <w:tc>
          <w:tcPr>
            <w:tcW w:w="136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98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98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136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xml:space="preserve">   </w:t>
            </w:r>
          </w:p>
        </w:tc>
        <w:tc>
          <w:tcPr>
            <w:tcW w:w="136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r>
      <w:tr>
        <w:trPr>
          <w:trHeight w:val="225"/>
          <w:jc w:val="center"/>
        </w:trPr>
        <w:tc>
          <w:tcPr>
            <w:tcW w:w="260" w:type="dxa"/>
            <w:tcBorders>
              <w:top w:val="nil"/>
              <w:left w:val="single" w:sz="4" w:space="0" w:color="auto"/>
              <w:bottom w:val="dotted" w:sz="4" w:space="0" w:color="auto"/>
              <w:right w:val="nil"/>
            </w:tcBorders>
            <w:shd w:val="clear" w:color="auto" w:fill="auto"/>
            <w:vAlign w:val="center"/>
            <w:hideMark/>
          </w:tcPr>
          <w:p>
            <w:pPr>
              <w:rPr>
                <w:b/>
                <w:bCs/>
                <w:noProof/>
                <w:color w:val="000000"/>
                <w:sz w:val="14"/>
                <w:szCs w:val="14"/>
              </w:rPr>
            </w:pPr>
            <w:r>
              <w:rPr>
                <w:b/>
                <w:noProof/>
                <w:color w:val="000000"/>
                <w:sz w:val="14"/>
              </w:rPr>
              <w:t>4.</w:t>
            </w:r>
          </w:p>
        </w:tc>
        <w:tc>
          <w:tcPr>
            <w:tcW w:w="3280" w:type="dxa"/>
            <w:tcBorders>
              <w:top w:val="nil"/>
              <w:left w:val="nil"/>
              <w:bottom w:val="dotted" w:sz="4" w:space="0" w:color="auto"/>
              <w:right w:val="single" w:sz="4" w:space="0" w:color="auto"/>
            </w:tcBorders>
            <w:shd w:val="clear" w:color="auto" w:fill="auto"/>
            <w:vAlign w:val="center"/>
            <w:hideMark/>
          </w:tcPr>
          <w:p>
            <w:pPr>
              <w:rPr>
                <w:b/>
                <w:bCs/>
                <w:noProof/>
                <w:color w:val="000000"/>
                <w:sz w:val="14"/>
                <w:szCs w:val="14"/>
              </w:rPr>
            </w:pPr>
            <w:r>
              <w:rPr>
                <w:b/>
                <w:noProof/>
                <w:color w:val="000000"/>
                <w:sz w:val="14"/>
              </w:rPr>
              <w:t>L’Europe dans le monde</w:t>
            </w:r>
          </w:p>
        </w:tc>
        <w:tc>
          <w:tcPr>
            <w:tcW w:w="1360"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4"/>
                <w:szCs w:val="14"/>
              </w:rPr>
            </w:pPr>
            <w:r>
              <w:rPr>
                <w:b/>
                <w:noProof/>
                <w:color w:val="000000"/>
                <w:sz w:val="14"/>
              </w:rPr>
              <w:t>10 068 842 411</w:t>
            </w:r>
          </w:p>
        </w:tc>
        <w:tc>
          <w:tcPr>
            <w:tcW w:w="1360"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4"/>
                <w:szCs w:val="14"/>
              </w:rPr>
            </w:pPr>
            <w:r>
              <w:rPr>
                <w:b/>
                <w:noProof/>
                <w:color w:val="000000"/>
                <w:sz w:val="14"/>
              </w:rPr>
              <w:t>8 906 075 154</w:t>
            </w:r>
          </w:p>
        </w:tc>
        <w:tc>
          <w:tcPr>
            <w:tcW w:w="980"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4"/>
                <w:szCs w:val="14"/>
              </w:rPr>
            </w:pPr>
            <w:r>
              <w:rPr>
                <w:b/>
                <w:noProof/>
                <w:color w:val="000000"/>
                <w:sz w:val="14"/>
              </w:rPr>
              <w:t> </w:t>
            </w:r>
          </w:p>
        </w:tc>
        <w:tc>
          <w:tcPr>
            <w:tcW w:w="980"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4"/>
                <w:szCs w:val="14"/>
              </w:rPr>
            </w:pPr>
            <w:r>
              <w:rPr>
                <w:b/>
                <w:noProof/>
                <w:color w:val="000000"/>
                <w:sz w:val="14"/>
              </w:rPr>
              <w:t> </w:t>
            </w:r>
          </w:p>
        </w:tc>
        <w:tc>
          <w:tcPr>
            <w:tcW w:w="1360"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4"/>
                <w:szCs w:val="14"/>
              </w:rPr>
            </w:pPr>
            <w:r>
              <w:rPr>
                <w:b/>
                <w:noProof/>
                <w:color w:val="000000"/>
                <w:sz w:val="14"/>
              </w:rPr>
              <w:t>10 068 842 411</w:t>
            </w:r>
          </w:p>
        </w:tc>
        <w:tc>
          <w:tcPr>
            <w:tcW w:w="1360"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4"/>
                <w:szCs w:val="14"/>
              </w:rPr>
            </w:pPr>
            <w:r>
              <w:rPr>
                <w:b/>
                <w:noProof/>
                <w:color w:val="000000"/>
                <w:sz w:val="14"/>
              </w:rPr>
              <w:t>8 906 075 154</w:t>
            </w:r>
          </w:p>
        </w:tc>
      </w:tr>
      <w:tr>
        <w:trPr>
          <w:trHeight w:val="225"/>
          <w:jc w:val="center"/>
        </w:trPr>
        <w:tc>
          <w:tcPr>
            <w:tcW w:w="3540"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jc w:val="right"/>
              <w:rPr>
                <w:i/>
                <w:iCs/>
                <w:noProof/>
                <w:color w:val="000000"/>
                <w:sz w:val="14"/>
                <w:szCs w:val="14"/>
              </w:rPr>
            </w:pPr>
            <w:r>
              <w:rPr>
                <w:i/>
                <w:noProof/>
                <w:color w:val="000000"/>
                <w:sz w:val="14"/>
              </w:rPr>
              <w:t>dont part relevant de la marge globale pour les engagements</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xml:space="preserve"> 243 842 411</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98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98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xml:space="preserve"> 243 842 411</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r>
      <w:tr>
        <w:trPr>
          <w:trHeight w:val="225"/>
          <w:jc w:val="center"/>
        </w:trPr>
        <w:tc>
          <w:tcPr>
            <w:tcW w:w="3540"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jc w:val="right"/>
              <w:rPr>
                <w:i/>
                <w:iCs/>
                <w:noProof/>
                <w:color w:val="000000"/>
                <w:sz w:val="14"/>
                <w:szCs w:val="14"/>
              </w:rPr>
            </w:pPr>
            <w:r>
              <w:rPr>
                <w:i/>
                <w:noProof/>
                <w:color w:val="000000"/>
                <w:sz w:val="14"/>
              </w:rPr>
              <w:t>Plafond</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9 825 000 000</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98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98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9 825 000 000</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r>
      <w:tr>
        <w:trPr>
          <w:trHeight w:val="225"/>
          <w:jc w:val="center"/>
        </w:trPr>
        <w:tc>
          <w:tcPr>
            <w:tcW w:w="3540"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jc w:val="right"/>
              <w:rPr>
                <w:i/>
                <w:iCs/>
                <w:noProof/>
                <w:color w:val="000000"/>
                <w:sz w:val="14"/>
                <w:szCs w:val="14"/>
              </w:rPr>
            </w:pPr>
            <w:r>
              <w:rPr>
                <w:i/>
                <w:noProof/>
                <w:color w:val="000000"/>
                <w:sz w:val="14"/>
              </w:rPr>
              <w:t>Marge</w:t>
            </w:r>
          </w:p>
        </w:tc>
        <w:tc>
          <w:tcPr>
            <w:tcW w:w="1360" w:type="dxa"/>
            <w:tcBorders>
              <w:top w:val="nil"/>
              <w:left w:val="nil"/>
              <w:bottom w:val="single" w:sz="4" w:space="0" w:color="auto"/>
              <w:right w:val="single" w:sz="4" w:space="0" w:color="auto"/>
            </w:tcBorders>
            <w:shd w:val="clear" w:color="000000" w:fill="FFFFFF"/>
            <w:vAlign w:val="center"/>
            <w:hideMark/>
          </w:tcPr>
          <w:p>
            <w:pPr>
              <w:jc w:val="right"/>
              <w:rPr>
                <w:i/>
                <w:iCs/>
                <w:noProof/>
                <w:color w:val="000000"/>
                <w:sz w:val="14"/>
                <w:szCs w:val="14"/>
              </w:rPr>
            </w:pPr>
            <w:r>
              <w:rPr>
                <w:i/>
                <w:noProof/>
                <w:color w:val="000000"/>
                <w:sz w:val="14"/>
              </w:rPr>
              <w:t xml:space="preserve">   </w:t>
            </w:r>
          </w:p>
        </w:tc>
        <w:tc>
          <w:tcPr>
            <w:tcW w:w="1360" w:type="dxa"/>
            <w:tcBorders>
              <w:top w:val="nil"/>
              <w:left w:val="nil"/>
              <w:bottom w:val="single" w:sz="4" w:space="0" w:color="auto"/>
              <w:right w:val="single" w:sz="4" w:space="0" w:color="auto"/>
            </w:tcBorders>
            <w:shd w:val="clear" w:color="000000" w:fill="FFFFFF"/>
            <w:vAlign w:val="center"/>
            <w:hideMark/>
          </w:tcPr>
          <w:p>
            <w:pPr>
              <w:jc w:val="right"/>
              <w:rPr>
                <w:i/>
                <w:iCs/>
                <w:noProof/>
                <w:color w:val="000000"/>
                <w:sz w:val="14"/>
                <w:szCs w:val="14"/>
              </w:rPr>
            </w:pPr>
            <w:r>
              <w:rPr>
                <w:i/>
                <w:noProof/>
                <w:color w:val="000000"/>
                <w:sz w:val="14"/>
              </w:rPr>
              <w:t> </w:t>
            </w:r>
          </w:p>
        </w:tc>
        <w:tc>
          <w:tcPr>
            <w:tcW w:w="98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98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1360" w:type="dxa"/>
            <w:tcBorders>
              <w:top w:val="nil"/>
              <w:left w:val="nil"/>
              <w:bottom w:val="single" w:sz="4" w:space="0" w:color="auto"/>
              <w:right w:val="single" w:sz="4" w:space="0" w:color="auto"/>
            </w:tcBorders>
            <w:shd w:val="clear" w:color="000000" w:fill="FFFFFF"/>
            <w:vAlign w:val="center"/>
            <w:hideMark/>
          </w:tcPr>
          <w:p>
            <w:pPr>
              <w:jc w:val="right"/>
              <w:rPr>
                <w:i/>
                <w:iCs/>
                <w:noProof/>
                <w:color w:val="000000"/>
                <w:sz w:val="14"/>
                <w:szCs w:val="14"/>
              </w:rPr>
            </w:pPr>
            <w:r>
              <w:rPr>
                <w:i/>
                <w:noProof/>
                <w:color w:val="000000"/>
                <w:sz w:val="14"/>
              </w:rPr>
              <w:t xml:space="preserve">   </w:t>
            </w:r>
          </w:p>
        </w:tc>
        <w:tc>
          <w:tcPr>
            <w:tcW w:w="136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r>
      <w:tr>
        <w:trPr>
          <w:trHeight w:val="225"/>
          <w:jc w:val="center"/>
        </w:trPr>
        <w:tc>
          <w:tcPr>
            <w:tcW w:w="260" w:type="dxa"/>
            <w:tcBorders>
              <w:top w:val="nil"/>
              <w:left w:val="single" w:sz="4" w:space="0" w:color="auto"/>
              <w:bottom w:val="dotted" w:sz="4" w:space="0" w:color="auto"/>
              <w:right w:val="nil"/>
            </w:tcBorders>
            <w:shd w:val="clear" w:color="auto" w:fill="auto"/>
            <w:vAlign w:val="center"/>
            <w:hideMark/>
          </w:tcPr>
          <w:p>
            <w:pPr>
              <w:rPr>
                <w:b/>
                <w:bCs/>
                <w:noProof/>
                <w:color w:val="000000"/>
                <w:sz w:val="14"/>
                <w:szCs w:val="14"/>
              </w:rPr>
            </w:pPr>
            <w:r>
              <w:rPr>
                <w:b/>
                <w:noProof/>
                <w:color w:val="000000"/>
                <w:sz w:val="14"/>
              </w:rPr>
              <w:t>5.</w:t>
            </w:r>
          </w:p>
        </w:tc>
        <w:tc>
          <w:tcPr>
            <w:tcW w:w="3280" w:type="dxa"/>
            <w:tcBorders>
              <w:top w:val="nil"/>
              <w:left w:val="nil"/>
              <w:bottom w:val="dotted" w:sz="4" w:space="0" w:color="auto"/>
              <w:right w:val="single" w:sz="4" w:space="0" w:color="auto"/>
            </w:tcBorders>
            <w:shd w:val="clear" w:color="auto" w:fill="auto"/>
            <w:vAlign w:val="center"/>
            <w:hideMark/>
          </w:tcPr>
          <w:p>
            <w:pPr>
              <w:rPr>
                <w:b/>
                <w:bCs/>
                <w:noProof/>
                <w:color w:val="000000"/>
                <w:sz w:val="14"/>
                <w:szCs w:val="14"/>
              </w:rPr>
            </w:pPr>
            <w:r>
              <w:rPr>
                <w:b/>
                <w:noProof/>
                <w:color w:val="000000"/>
                <w:sz w:val="14"/>
              </w:rPr>
              <w:t>Administration</w:t>
            </w:r>
          </w:p>
        </w:tc>
        <w:tc>
          <w:tcPr>
            <w:tcW w:w="1360"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4"/>
                <w:szCs w:val="14"/>
              </w:rPr>
            </w:pPr>
            <w:r>
              <w:rPr>
                <w:b/>
                <w:noProof/>
                <w:color w:val="000000"/>
                <w:sz w:val="14"/>
              </w:rPr>
              <w:t>9 665 513 627</w:t>
            </w:r>
          </w:p>
        </w:tc>
        <w:tc>
          <w:tcPr>
            <w:tcW w:w="1360"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4"/>
                <w:szCs w:val="14"/>
              </w:rPr>
            </w:pPr>
            <w:r>
              <w:rPr>
                <w:b/>
                <w:noProof/>
                <w:color w:val="000000"/>
                <w:sz w:val="14"/>
              </w:rPr>
              <w:t>9 666 318 627</w:t>
            </w:r>
          </w:p>
        </w:tc>
        <w:tc>
          <w:tcPr>
            <w:tcW w:w="980"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4"/>
                <w:szCs w:val="14"/>
              </w:rPr>
            </w:pPr>
            <w:r>
              <w:rPr>
                <w:b/>
                <w:noProof/>
                <w:color w:val="000000"/>
                <w:sz w:val="14"/>
              </w:rPr>
              <w:t> </w:t>
            </w:r>
          </w:p>
        </w:tc>
        <w:tc>
          <w:tcPr>
            <w:tcW w:w="980"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4"/>
                <w:szCs w:val="14"/>
              </w:rPr>
            </w:pPr>
            <w:r>
              <w:rPr>
                <w:b/>
                <w:noProof/>
                <w:color w:val="000000"/>
                <w:sz w:val="14"/>
              </w:rPr>
              <w:t> </w:t>
            </w:r>
          </w:p>
        </w:tc>
        <w:tc>
          <w:tcPr>
            <w:tcW w:w="1360"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4"/>
                <w:szCs w:val="14"/>
              </w:rPr>
            </w:pPr>
            <w:r>
              <w:rPr>
                <w:b/>
                <w:noProof/>
                <w:color w:val="000000"/>
                <w:sz w:val="14"/>
              </w:rPr>
              <w:t>9 665 513 627</w:t>
            </w:r>
          </w:p>
        </w:tc>
        <w:tc>
          <w:tcPr>
            <w:tcW w:w="1360"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4"/>
                <w:szCs w:val="14"/>
              </w:rPr>
            </w:pPr>
            <w:r>
              <w:rPr>
                <w:b/>
                <w:noProof/>
                <w:color w:val="000000"/>
                <w:sz w:val="14"/>
              </w:rPr>
              <w:t>9 666 318 627</w:t>
            </w:r>
          </w:p>
        </w:tc>
      </w:tr>
      <w:tr>
        <w:trPr>
          <w:trHeight w:val="225"/>
          <w:jc w:val="center"/>
        </w:trPr>
        <w:tc>
          <w:tcPr>
            <w:tcW w:w="3540"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jc w:val="right"/>
              <w:rPr>
                <w:i/>
                <w:iCs/>
                <w:noProof/>
                <w:color w:val="000000"/>
                <w:sz w:val="14"/>
                <w:szCs w:val="14"/>
              </w:rPr>
            </w:pPr>
            <w:r>
              <w:rPr>
                <w:i/>
                <w:noProof/>
                <w:color w:val="000000"/>
                <w:sz w:val="14"/>
              </w:rPr>
              <w:t>Plafond</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10 346 000 000</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98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98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10 346 000 000</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r>
      <w:tr>
        <w:trPr>
          <w:trHeight w:val="225"/>
          <w:jc w:val="center"/>
        </w:trPr>
        <w:tc>
          <w:tcPr>
            <w:tcW w:w="3540"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jc w:val="right"/>
              <w:rPr>
                <w:i/>
                <w:iCs/>
                <w:noProof/>
                <w:color w:val="000000"/>
                <w:sz w:val="14"/>
                <w:szCs w:val="14"/>
              </w:rPr>
            </w:pPr>
            <w:r>
              <w:rPr>
                <w:i/>
                <w:noProof/>
                <w:color w:val="000000"/>
                <w:sz w:val="14"/>
              </w:rPr>
              <w:t>dont part compensée sur la marge pour imprévus</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- 318 000 000</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98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98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- 318 000 000</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r>
      <w:tr>
        <w:trPr>
          <w:trHeight w:val="225"/>
          <w:jc w:val="center"/>
        </w:trPr>
        <w:tc>
          <w:tcPr>
            <w:tcW w:w="3540"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jc w:val="right"/>
              <w:rPr>
                <w:i/>
                <w:iCs/>
                <w:noProof/>
                <w:color w:val="000000"/>
                <w:sz w:val="14"/>
                <w:szCs w:val="14"/>
              </w:rPr>
            </w:pPr>
            <w:r>
              <w:rPr>
                <w:i/>
                <w:noProof/>
                <w:color w:val="000000"/>
                <w:sz w:val="14"/>
              </w:rPr>
              <w:t>Marge</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xml:space="preserve"> 362 486 373</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98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98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xml:space="preserve"> 362 486 373</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r>
      <w:tr>
        <w:trPr>
          <w:trHeight w:val="360"/>
          <w:jc w:val="center"/>
        </w:trPr>
        <w:tc>
          <w:tcPr>
            <w:tcW w:w="3540"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rPr>
                <w:noProof/>
                <w:color w:val="000000"/>
                <w:sz w:val="14"/>
                <w:szCs w:val="14"/>
              </w:rPr>
            </w:pPr>
            <w:r>
              <w:rPr>
                <w:noProof/>
                <w:color w:val="000000"/>
                <w:sz w:val="14"/>
              </w:rPr>
              <w:t>dont: dépenses administratives des institutions</w:t>
            </w:r>
          </w:p>
        </w:tc>
        <w:tc>
          <w:tcPr>
            <w:tcW w:w="1360" w:type="dxa"/>
            <w:tcBorders>
              <w:top w:val="single" w:sz="4" w:space="0" w:color="auto"/>
              <w:left w:val="nil"/>
              <w:bottom w:val="dotted" w:sz="4" w:space="0" w:color="auto"/>
              <w:right w:val="single" w:sz="4" w:space="0" w:color="auto"/>
            </w:tcBorders>
            <w:shd w:val="clear" w:color="auto" w:fill="auto"/>
            <w:vAlign w:val="center"/>
            <w:hideMark/>
          </w:tcPr>
          <w:p>
            <w:pPr>
              <w:jc w:val="right"/>
              <w:rPr>
                <w:noProof/>
                <w:color w:val="000000"/>
                <w:sz w:val="14"/>
                <w:szCs w:val="14"/>
              </w:rPr>
            </w:pPr>
            <w:r>
              <w:rPr>
                <w:noProof/>
                <w:color w:val="000000"/>
                <w:sz w:val="14"/>
              </w:rPr>
              <w:t>7 579 920 627</w:t>
            </w:r>
          </w:p>
        </w:tc>
        <w:tc>
          <w:tcPr>
            <w:tcW w:w="1360" w:type="dxa"/>
            <w:tcBorders>
              <w:top w:val="single" w:sz="4" w:space="0" w:color="auto"/>
              <w:left w:val="nil"/>
              <w:bottom w:val="dotted" w:sz="4" w:space="0" w:color="auto"/>
              <w:right w:val="single" w:sz="4" w:space="0" w:color="auto"/>
            </w:tcBorders>
            <w:shd w:val="clear" w:color="auto" w:fill="auto"/>
            <w:vAlign w:val="center"/>
            <w:hideMark/>
          </w:tcPr>
          <w:p>
            <w:pPr>
              <w:jc w:val="right"/>
              <w:rPr>
                <w:noProof/>
                <w:color w:val="000000"/>
                <w:sz w:val="14"/>
                <w:szCs w:val="14"/>
              </w:rPr>
            </w:pPr>
            <w:r>
              <w:rPr>
                <w:noProof/>
                <w:color w:val="000000"/>
                <w:sz w:val="14"/>
              </w:rPr>
              <w:t>7 580 725 627</w:t>
            </w:r>
          </w:p>
        </w:tc>
        <w:tc>
          <w:tcPr>
            <w:tcW w:w="980" w:type="dxa"/>
            <w:tcBorders>
              <w:top w:val="single" w:sz="4" w:space="0" w:color="auto"/>
              <w:left w:val="nil"/>
              <w:bottom w:val="dotted" w:sz="4" w:space="0" w:color="auto"/>
              <w:right w:val="single" w:sz="4" w:space="0" w:color="auto"/>
            </w:tcBorders>
            <w:shd w:val="clear" w:color="auto" w:fill="auto"/>
            <w:vAlign w:val="center"/>
            <w:hideMark/>
          </w:tcPr>
          <w:p>
            <w:pPr>
              <w:jc w:val="right"/>
              <w:rPr>
                <w:noProof/>
                <w:color w:val="000000"/>
                <w:sz w:val="14"/>
                <w:szCs w:val="14"/>
              </w:rPr>
            </w:pPr>
            <w:r>
              <w:rPr>
                <w:noProof/>
                <w:color w:val="000000"/>
                <w:sz w:val="14"/>
              </w:rPr>
              <w:t> </w:t>
            </w:r>
          </w:p>
        </w:tc>
        <w:tc>
          <w:tcPr>
            <w:tcW w:w="980" w:type="dxa"/>
            <w:tcBorders>
              <w:top w:val="single" w:sz="4" w:space="0" w:color="auto"/>
              <w:left w:val="nil"/>
              <w:bottom w:val="dotted" w:sz="4" w:space="0" w:color="auto"/>
              <w:right w:val="single" w:sz="4" w:space="0" w:color="auto"/>
            </w:tcBorders>
            <w:shd w:val="clear" w:color="auto" w:fill="auto"/>
            <w:vAlign w:val="center"/>
            <w:hideMark/>
          </w:tcPr>
          <w:p>
            <w:pPr>
              <w:jc w:val="right"/>
              <w:rPr>
                <w:noProof/>
                <w:color w:val="000000"/>
                <w:sz w:val="14"/>
                <w:szCs w:val="14"/>
              </w:rPr>
            </w:pPr>
            <w:r>
              <w:rPr>
                <w:noProof/>
                <w:color w:val="000000"/>
                <w:sz w:val="14"/>
              </w:rPr>
              <w:t> </w:t>
            </w:r>
          </w:p>
        </w:tc>
        <w:tc>
          <w:tcPr>
            <w:tcW w:w="1360" w:type="dxa"/>
            <w:tcBorders>
              <w:top w:val="single" w:sz="4" w:space="0" w:color="auto"/>
              <w:left w:val="nil"/>
              <w:bottom w:val="dotted" w:sz="4" w:space="0" w:color="auto"/>
              <w:right w:val="single" w:sz="4" w:space="0" w:color="auto"/>
            </w:tcBorders>
            <w:shd w:val="clear" w:color="auto" w:fill="auto"/>
            <w:vAlign w:val="center"/>
            <w:hideMark/>
          </w:tcPr>
          <w:p>
            <w:pPr>
              <w:jc w:val="right"/>
              <w:rPr>
                <w:noProof/>
                <w:color w:val="000000"/>
                <w:sz w:val="14"/>
                <w:szCs w:val="14"/>
              </w:rPr>
            </w:pPr>
            <w:r>
              <w:rPr>
                <w:noProof/>
                <w:color w:val="000000"/>
                <w:sz w:val="14"/>
              </w:rPr>
              <w:t>7 579 920 627</w:t>
            </w:r>
          </w:p>
        </w:tc>
        <w:tc>
          <w:tcPr>
            <w:tcW w:w="1360" w:type="dxa"/>
            <w:tcBorders>
              <w:top w:val="single" w:sz="4" w:space="0" w:color="auto"/>
              <w:left w:val="nil"/>
              <w:bottom w:val="dotted" w:sz="4" w:space="0" w:color="auto"/>
              <w:right w:val="single" w:sz="4" w:space="0" w:color="auto"/>
            </w:tcBorders>
            <w:shd w:val="clear" w:color="auto" w:fill="auto"/>
            <w:vAlign w:val="center"/>
            <w:hideMark/>
          </w:tcPr>
          <w:p>
            <w:pPr>
              <w:jc w:val="right"/>
              <w:rPr>
                <w:noProof/>
                <w:color w:val="000000"/>
                <w:sz w:val="14"/>
                <w:szCs w:val="14"/>
              </w:rPr>
            </w:pPr>
            <w:r>
              <w:rPr>
                <w:noProof/>
                <w:color w:val="000000"/>
                <w:sz w:val="14"/>
              </w:rPr>
              <w:t>7 580 725 627</w:t>
            </w:r>
          </w:p>
        </w:tc>
      </w:tr>
      <w:tr>
        <w:trPr>
          <w:trHeight w:val="225"/>
          <w:jc w:val="center"/>
        </w:trPr>
        <w:tc>
          <w:tcPr>
            <w:tcW w:w="3540"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jc w:val="right"/>
              <w:rPr>
                <w:i/>
                <w:iCs/>
                <w:noProof/>
                <w:color w:val="000000"/>
                <w:sz w:val="14"/>
                <w:szCs w:val="14"/>
              </w:rPr>
            </w:pPr>
            <w:r>
              <w:rPr>
                <w:i/>
                <w:noProof/>
                <w:color w:val="000000"/>
                <w:sz w:val="14"/>
              </w:rPr>
              <w:t>Sous-plafond</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8 360 000 000</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98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98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8 360 000 000</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r>
      <w:tr>
        <w:trPr>
          <w:trHeight w:val="225"/>
          <w:jc w:val="center"/>
        </w:trPr>
        <w:tc>
          <w:tcPr>
            <w:tcW w:w="3540"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jc w:val="right"/>
              <w:rPr>
                <w:i/>
                <w:iCs/>
                <w:noProof/>
                <w:color w:val="000000"/>
                <w:sz w:val="14"/>
                <w:szCs w:val="14"/>
              </w:rPr>
            </w:pPr>
            <w:r>
              <w:rPr>
                <w:i/>
                <w:noProof/>
                <w:color w:val="000000"/>
                <w:sz w:val="14"/>
              </w:rPr>
              <w:t>dont part compensée sur la marge pour imprévus</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- 318 000 000</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98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98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- 318 000 000</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r>
      <w:tr>
        <w:trPr>
          <w:trHeight w:val="225"/>
          <w:jc w:val="center"/>
        </w:trPr>
        <w:tc>
          <w:tcPr>
            <w:tcW w:w="3540"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jc w:val="right"/>
              <w:rPr>
                <w:i/>
                <w:iCs/>
                <w:noProof/>
                <w:color w:val="000000"/>
                <w:sz w:val="14"/>
                <w:szCs w:val="14"/>
              </w:rPr>
            </w:pPr>
            <w:r>
              <w:rPr>
                <w:i/>
                <w:noProof/>
                <w:color w:val="000000"/>
                <w:sz w:val="14"/>
              </w:rPr>
              <w:t>Marge</w:t>
            </w:r>
          </w:p>
        </w:tc>
        <w:tc>
          <w:tcPr>
            <w:tcW w:w="136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xml:space="preserve"> 462 079 373</w:t>
            </w:r>
          </w:p>
        </w:tc>
        <w:tc>
          <w:tcPr>
            <w:tcW w:w="136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98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98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136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xml:space="preserve"> 462 079 373</w:t>
            </w:r>
          </w:p>
        </w:tc>
        <w:tc>
          <w:tcPr>
            <w:tcW w:w="136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r>
      <w:tr>
        <w:trPr>
          <w:trHeight w:val="225"/>
          <w:jc w:val="center"/>
        </w:trPr>
        <w:tc>
          <w:tcPr>
            <w:tcW w:w="3540" w:type="dxa"/>
            <w:gridSpan w:val="2"/>
            <w:tcBorders>
              <w:top w:val="single" w:sz="4" w:space="0" w:color="auto"/>
              <w:left w:val="single" w:sz="4" w:space="0" w:color="auto"/>
              <w:bottom w:val="dotted" w:sz="4" w:space="0" w:color="auto"/>
              <w:right w:val="single" w:sz="4" w:space="0" w:color="000000"/>
            </w:tcBorders>
            <w:shd w:val="clear" w:color="000000" w:fill="D9D9D9"/>
            <w:vAlign w:val="center"/>
            <w:hideMark/>
          </w:tcPr>
          <w:p>
            <w:pPr>
              <w:jc w:val="right"/>
              <w:rPr>
                <w:b/>
                <w:bCs/>
                <w:noProof/>
                <w:color w:val="000000"/>
                <w:sz w:val="14"/>
                <w:szCs w:val="14"/>
              </w:rPr>
            </w:pPr>
            <w:r>
              <w:rPr>
                <w:b/>
                <w:noProof/>
                <w:color w:val="000000"/>
                <w:sz w:val="14"/>
              </w:rPr>
              <w:t>Total</w:t>
            </w:r>
          </w:p>
        </w:tc>
        <w:tc>
          <w:tcPr>
            <w:tcW w:w="1360" w:type="dxa"/>
            <w:tcBorders>
              <w:top w:val="single" w:sz="4" w:space="0" w:color="auto"/>
              <w:left w:val="nil"/>
              <w:bottom w:val="dotted" w:sz="4" w:space="0" w:color="auto"/>
              <w:right w:val="single" w:sz="4" w:space="0" w:color="auto"/>
            </w:tcBorders>
            <w:shd w:val="clear" w:color="000000" w:fill="D9D9D9"/>
            <w:vAlign w:val="center"/>
            <w:hideMark/>
          </w:tcPr>
          <w:p>
            <w:pPr>
              <w:jc w:val="right"/>
              <w:rPr>
                <w:b/>
                <w:bCs/>
                <w:noProof/>
                <w:color w:val="000000"/>
                <w:sz w:val="14"/>
                <w:szCs w:val="14"/>
              </w:rPr>
            </w:pPr>
            <w:r>
              <w:rPr>
                <w:b/>
                <w:noProof/>
                <w:color w:val="000000"/>
                <w:sz w:val="14"/>
              </w:rPr>
              <w:t>160 046 618 011</w:t>
            </w:r>
          </w:p>
        </w:tc>
        <w:tc>
          <w:tcPr>
            <w:tcW w:w="1360" w:type="dxa"/>
            <w:tcBorders>
              <w:top w:val="single" w:sz="4" w:space="0" w:color="auto"/>
              <w:left w:val="nil"/>
              <w:bottom w:val="dotted" w:sz="4" w:space="0" w:color="auto"/>
              <w:right w:val="single" w:sz="4" w:space="0" w:color="auto"/>
            </w:tcBorders>
            <w:shd w:val="clear" w:color="000000" w:fill="D9D9D9"/>
            <w:vAlign w:val="center"/>
            <w:hideMark/>
          </w:tcPr>
          <w:p>
            <w:pPr>
              <w:jc w:val="right"/>
              <w:rPr>
                <w:b/>
                <w:bCs/>
                <w:noProof/>
                <w:color w:val="000000"/>
                <w:sz w:val="14"/>
                <w:szCs w:val="14"/>
              </w:rPr>
            </w:pPr>
            <w:r>
              <w:rPr>
                <w:b/>
                <w:noProof/>
                <w:color w:val="000000"/>
                <w:sz w:val="14"/>
              </w:rPr>
              <w:t>144 261 380 690</w:t>
            </w:r>
          </w:p>
        </w:tc>
        <w:tc>
          <w:tcPr>
            <w:tcW w:w="980" w:type="dxa"/>
            <w:tcBorders>
              <w:top w:val="single" w:sz="4" w:space="0" w:color="auto"/>
              <w:left w:val="nil"/>
              <w:bottom w:val="dotted" w:sz="4" w:space="0" w:color="auto"/>
              <w:right w:val="single" w:sz="4" w:space="0" w:color="auto"/>
            </w:tcBorders>
            <w:shd w:val="clear" w:color="000000" w:fill="D9D9D9"/>
            <w:vAlign w:val="center"/>
            <w:hideMark/>
          </w:tcPr>
          <w:p>
            <w:pPr>
              <w:jc w:val="right"/>
              <w:rPr>
                <w:b/>
                <w:bCs/>
                <w:noProof/>
                <w:color w:val="000000"/>
                <w:sz w:val="14"/>
                <w:szCs w:val="14"/>
              </w:rPr>
            </w:pPr>
            <w:r>
              <w:rPr>
                <w:b/>
                <w:noProof/>
                <w:color w:val="000000"/>
                <w:sz w:val="14"/>
              </w:rPr>
              <w:t xml:space="preserve">   </w:t>
            </w:r>
          </w:p>
        </w:tc>
        <w:tc>
          <w:tcPr>
            <w:tcW w:w="980" w:type="dxa"/>
            <w:tcBorders>
              <w:top w:val="single" w:sz="4" w:space="0" w:color="auto"/>
              <w:left w:val="nil"/>
              <w:bottom w:val="dotted" w:sz="4" w:space="0" w:color="auto"/>
              <w:right w:val="single" w:sz="4" w:space="0" w:color="auto"/>
            </w:tcBorders>
            <w:shd w:val="clear" w:color="000000" w:fill="D9D9D9"/>
            <w:vAlign w:val="center"/>
            <w:hideMark/>
          </w:tcPr>
          <w:p>
            <w:pPr>
              <w:jc w:val="right"/>
              <w:rPr>
                <w:b/>
                <w:bCs/>
                <w:noProof/>
                <w:color w:val="000000"/>
                <w:sz w:val="14"/>
                <w:szCs w:val="14"/>
              </w:rPr>
            </w:pPr>
            <w:r>
              <w:rPr>
                <w:b/>
                <w:noProof/>
                <w:color w:val="000000"/>
                <w:sz w:val="14"/>
              </w:rPr>
              <w:t xml:space="preserve">   </w:t>
            </w:r>
          </w:p>
        </w:tc>
        <w:tc>
          <w:tcPr>
            <w:tcW w:w="1360" w:type="dxa"/>
            <w:tcBorders>
              <w:top w:val="single" w:sz="4" w:space="0" w:color="auto"/>
              <w:left w:val="nil"/>
              <w:bottom w:val="dotted" w:sz="4" w:space="0" w:color="auto"/>
              <w:right w:val="single" w:sz="4" w:space="0" w:color="auto"/>
            </w:tcBorders>
            <w:shd w:val="clear" w:color="000000" w:fill="D9D9D9"/>
            <w:vAlign w:val="center"/>
            <w:hideMark/>
          </w:tcPr>
          <w:p>
            <w:pPr>
              <w:jc w:val="right"/>
              <w:rPr>
                <w:b/>
                <w:bCs/>
                <w:noProof/>
                <w:color w:val="000000"/>
                <w:sz w:val="14"/>
                <w:szCs w:val="14"/>
              </w:rPr>
            </w:pPr>
            <w:r>
              <w:rPr>
                <w:b/>
                <w:noProof/>
                <w:color w:val="000000"/>
                <w:sz w:val="14"/>
              </w:rPr>
              <w:t>160 046 618 011</w:t>
            </w:r>
          </w:p>
        </w:tc>
        <w:tc>
          <w:tcPr>
            <w:tcW w:w="1360" w:type="dxa"/>
            <w:tcBorders>
              <w:top w:val="single" w:sz="4" w:space="0" w:color="auto"/>
              <w:left w:val="nil"/>
              <w:bottom w:val="dotted" w:sz="4" w:space="0" w:color="auto"/>
              <w:right w:val="single" w:sz="4" w:space="0" w:color="auto"/>
            </w:tcBorders>
            <w:shd w:val="clear" w:color="000000" w:fill="D9D9D9"/>
            <w:vAlign w:val="center"/>
            <w:hideMark/>
          </w:tcPr>
          <w:p>
            <w:pPr>
              <w:jc w:val="right"/>
              <w:rPr>
                <w:b/>
                <w:bCs/>
                <w:noProof/>
                <w:color w:val="000000"/>
                <w:sz w:val="14"/>
                <w:szCs w:val="14"/>
              </w:rPr>
            </w:pPr>
            <w:r>
              <w:rPr>
                <w:b/>
                <w:noProof/>
                <w:color w:val="000000"/>
                <w:sz w:val="14"/>
              </w:rPr>
              <w:t>144 261 380 690</w:t>
            </w:r>
          </w:p>
        </w:tc>
      </w:tr>
      <w:tr>
        <w:trPr>
          <w:trHeight w:val="225"/>
          <w:jc w:val="center"/>
        </w:trPr>
        <w:tc>
          <w:tcPr>
            <w:tcW w:w="3540" w:type="dxa"/>
            <w:gridSpan w:val="2"/>
            <w:tcBorders>
              <w:top w:val="dotted" w:sz="4" w:space="0" w:color="auto"/>
              <w:left w:val="single" w:sz="4" w:space="0" w:color="auto"/>
              <w:bottom w:val="dotted" w:sz="4" w:space="0" w:color="auto"/>
              <w:right w:val="single" w:sz="4" w:space="0" w:color="000000"/>
            </w:tcBorders>
            <w:shd w:val="clear" w:color="000000" w:fill="D9D9D9"/>
            <w:vAlign w:val="center"/>
            <w:hideMark/>
          </w:tcPr>
          <w:p>
            <w:pPr>
              <w:jc w:val="right"/>
              <w:rPr>
                <w:b/>
                <w:bCs/>
                <w:i/>
                <w:iCs/>
                <w:noProof/>
                <w:color w:val="000000"/>
                <w:sz w:val="14"/>
                <w:szCs w:val="14"/>
              </w:rPr>
            </w:pPr>
            <w:r>
              <w:rPr>
                <w:b/>
                <w:i/>
                <w:noProof/>
                <w:color w:val="000000"/>
                <w:sz w:val="14"/>
              </w:rPr>
              <w:t>dont part relevant de l'instrument de flexibilité</w:t>
            </w:r>
          </w:p>
        </w:tc>
        <w:tc>
          <w:tcPr>
            <w:tcW w:w="1360" w:type="dxa"/>
            <w:tcBorders>
              <w:top w:val="nil"/>
              <w:left w:val="nil"/>
              <w:bottom w:val="dotted" w:sz="4" w:space="0" w:color="auto"/>
              <w:right w:val="single" w:sz="4" w:space="0" w:color="auto"/>
            </w:tcBorders>
            <w:shd w:val="clear" w:color="000000" w:fill="D9D9D9"/>
            <w:vAlign w:val="center"/>
            <w:hideMark/>
          </w:tcPr>
          <w:p>
            <w:pPr>
              <w:jc w:val="right"/>
              <w:rPr>
                <w:b/>
                <w:bCs/>
                <w:i/>
                <w:iCs/>
                <w:noProof/>
                <w:color w:val="000000"/>
                <w:sz w:val="14"/>
                <w:szCs w:val="14"/>
              </w:rPr>
            </w:pPr>
            <w:r>
              <w:rPr>
                <w:b/>
                <w:i/>
                <w:noProof/>
                <w:color w:val="000000"/>
                <w:sz w:val="14"/>
              </w:rPr>
              <w:t xml:space="preserve"> 837 241 199</w:t>
            </w:r>
          </w:p>
        </w:tc>
        <w:tc>
          <w:tcPr>
            <w:tcW w:w="1360" w:type="dxa"/>
            <w:tcBorders>
              <w:top w:val="nil"/>
              <w:left w:val="nil"/>
              <w:bottom w:val="dotted" w:sz="4" w:space="0" w:color="auto"/>
              <w:right w:val="single" w:sz="4" w:space="0" w:color="auto"/>
            </w:tcBorders>
            <w:shd w:val="clear" w:color="000000" w:fill="D9D9D9"/>
            <w:vAlign w:val="center"/>
            <w:hideMark/>
          </w:tcPr>
          <w:p>
            <w:pPr>
              <w:jc w:val="right"/>
              <w:rPr>
                <w:b/>
                <w:bCs/>
                <w:i/>
                <w:iCs/>
                <w:noProof/>
                <w:color w:val="000000"/>
                <w:sz w:val="14"/>
                <w:szCs w:val="14"/>
              </w:rPr>
            </w:pPr>
            <w:r>
              <w:rPr>
                <w:b/>
                <w:i/>
                <w:noProof/>
                <w:color w:val="000000"/>
                <w:sz w:val="14"/>
              </w:rPr>
              <w:t xml:space="preserve"> 678 340 197</w:t>
            </w:r>
          </w:p>
        </w:tc>
        <w:tc>
          <w:tcPr>
            <w:tcW w:w="980" w:type="dxa"/>
            <w:tcBorders>
              <w:top w:val="nil"/>
              <w:left w:val="nil"/>
              <w:bottom w:val="dotted" w:sz="4" w:space="0" w:color="auto"/>
              <w:right w:val="single" w:sz="4" w:space="0" w:color="auto"/>
            </w:tcBorders>
            <w:shd w:val="clear" w:color="000000" w:fill="D9D9D9"/>
            <w:vAlign w:val="center"/>
            <w:hideMark/>
          </w:tcPr>
          <w:p>
            <w:pPr>
              <w:jc w:val="right"/>
              <w:rPr>
                <w:b/>
                <w:bCs/>
                <w:i/>
                <w:iCs/>
                <w:noProof/>
                <w:color w:val="000000"/>
                <w:sz w:val="14"/>
                <w:szCs w:val="14"/>
              </w:rPr>
            </w:pPr>
            <w:r>
              <w:rPr>
                <w:b/>
                <w:i/>
                <w:noProof/>
                <w:color w:val="000000"/>
                <w:sz w:val="14"/>
              </w:rPr>
              <w:t xml:space="preserve">   </w:t>
            </w:r>
          </w:p>
        </w:tc>
        <w:tc>
          <w:tcPr>
            <w:tcW w:w="980" w:type="dxa"/>
            <w:tcBorders>
              <w:top w:val="nil"/>
              <w:left w:val="nil"/>
              <w:bottom w:val="dotted" w:sz="4" w:space="0" w:color="auto"/>
              <w:right w:val="single" w:sz="4" w:space="0" w:color="auto"/>
            </w:tcBorders>
            <w:shd w:val="clear" w:color="000000" w:fill="D9D9D9"/>
            <w:vAlign w:val="center"/>
            <w:hideMark/>
          </w:tcPr>
          <w:p>
            <w:pPr>
              <w:jc w:val="right"/>
              <w:rPr>
                <w:b/>
                <w:bCs/>
                <w:i/>
                <w:iCs/>
                <w:noProof/>
                <w:color w:val="000000"/>
                <w:sz w:val="14"/>
                <w:szCs w:val="14"/>
              </w:rPr>
            </w:pPr>
            <w:r>
              <w:rPr>
                <w:b/>
                <w:i/>
                <w:noProof/>
                <w:color w:val="000000"/>
                <w:sz w:val="14"/>
              </w:rPr>
              <w:t> </w:t>
            </w:r>
          </w:p>
        </w:tc>
        <w:tc>
          <w:tcPr>
            <w:tcW w:w="1360" w:type="dxa"/>
            <w:tcBorders>
              <w:top w:val="nil"/>
              <w:left w:val="nil"/>
              <w:bottom w:val="dotted" w:sz="4" w:space="0" w:color="auto"/>
              <w:right w:val="single" w:sz="4" w:space="0" w:color="auto"/>
            </w:tcBorders>
            <w:shd w:val="clear" w:color="000000" w:fill="D9D9D9"/>
            <w:vAlign w:val="center"/>
            <w:hideMark/>
          </w:tcPr>
          <w:p>
            <w:pPr>
              <w:jc w:val="right"/>
              <w:rPr>
                <w:b/>
                <w:bCs/>
                <w:i/>
                <w:iCs/>
                <w:noProof/>
                <w:color w:val="000000"/>
                <w:sz w:val="14"/>
                <w:szCs w:val="14"/>
              </w:rPr>
            </w:pPr>
            <w:r>
              <w:rPr>
                <w:b/>
                <w:i/>
                <w:noProof/>
                <w:color w:val="000000"/>
                <w:sz w:val="14"/>
              </w:rPr>
              <w:t xml:space="preserve"> 837 241 199</w:t>
            </w:r>
          </w:p>
        </w:tc>
        <w:tc>
          <w:tcPr>
            <w:tcW w:w="1360" w:type="dxa"/>
            <w:tcBorders>
              <w:top w:val="nil"/>
              <w:left w:val="nil"/>
              <w:bottom w:val="dotted" w:sz="4" w:space="0" w:color="auto"/>
              <w:right w:val="single" w:sz="4" w:space="0" w:color="auto"/>
            </w:tcBorders>
            <w:shd w:val="clear" w:color="000000" w:fill="D9D9D9"/>
            <w:vAlign w:val="center"/>
            <w:hideMark/>
          </w:tcPr>
          <w:p>
            <w:pPr>
              <w:jc w:val="right"/>
              <w:rPr>
                <w:b/>
                <w:bCs/>
                <w:i/>
                <w:iCs/>
                <w:noProof/>
                <w:color w:val="000000"/>
                <w:sz w:val="14"/>
                <w:szCs w:val="14"/>
              </w:rPr>
            </w:pPr>
            <w:r>
              <w:rPr>
                <w:b/>
                <w:i/>
                <w:noProof/>
                <w:color w:val="000000"/>
                <w:sz w:val="14"/>
              </w:rPr>
              <w:t xml:space="preserve"> 678 340 197</w:t>
            </w:r>
          </w:p>
        </w:tc>
      </w:tr>
      <w:tr>
        <w:trPr>
          <w:trHeight w:val="225"/>
          <w:jc w:val="center"/>
        </w:trPr>
        <w:tc>
          <w:tcPr>
            <w:tcW w:w="3540" w:type="dxa"/>
            <w:gridSpan w:val="2"/>
            <w:tcBorders>
              <w:top w:val="dotted" w:sz="4" w:space="0" w:color="auto"/>
              <w:left w:val="single" w:sz="4" w:space="0" w:color="auto"/>
              <w:bottom w:val="dotted" w:sz="4" w:space="0" w:color="auto"/>
              <w:right w:val="single" w:sz="4" w:space="0" w:color="000000"/>
            </w:tcBorders>
            <w:shd w:val="clear" w:color="000000" w:fill="D9D9D9"/>
            <w:vAlign w:val="center"/>
            <w:hideMark/>
          </w:tcPr>
          <w:p>
            <w:pPr>
              <w:jc w:val="right"/>
              <w:rPr>
                <w:b/>
                <w:bCs/>
                <w:i/>
                <w:iCs/>
                <w:noProof/>
                <w:color w:val="000000"/>
                <w:sz w:val="14"/>
                <w:szCs w:val="14"/>
              </w:rPr>
            </w:pPr>
            <w:r>
              <w:rPr>
                <w:b/>
                <w:i/>
                <w:noProof/>
                <w:color w:val="000000"/>
                <w:sz w:val="14"/>
              </w:rPr>
              <w:t>dont part relevant de la marge globale pour les engagements</w:t>
            </w:r>
          </w:p>
        </w:tc>
        <w:tc>
          <w:tcPr>
            <w:tcW w:w="1360" w:type="dxa"/>
            <w:tcBorders>
              <w:top w:val="nil"/>
              <w:left w:val="nil"/>
              <w:bottom w:val="dotted" w:sz="4" w:space="0" w:color="auto"/>
              <w:right w:val="single" w:sz="4" w:space="0" w:color="auto"/>
            </w:tcBorders>
            <w:shd w:val="clear" w:color="000000" w:fill="D9D9D9"/>
            <w:vAlign w:val="center"/>
            <w:hideMark/>
          </w:tcPr>
          <w:p>
            <w:pPr>
              <w:jc w:val="right"/>
              <w:rPr>
                <w:b/>
                <w:bCs/>
                <w:i/>
                <w:iCs/>
                <w:noProof/>
                <w:color w:val="000000"/>
                <w:sz w:val="14"/>
                <w:szCs w:val="14"/>
              </w:rPr>
            </w:pPr>
            <w:r>
              <w:rPr>
                <w:b/>
                <w:i/>
                <w:noProof/>
                <w:color w:val="000000"/>
                <w:sz w:val="14"/>
              </w:rPr>
              <w:t>1 357 540 063</w:t>
            </w:r>
          </w:p>
        </w:tc>
        <w:tc>
          <w:tcPr>
            <w:tcW w:w="1360" w:type="dxa"/>
            <w:tcBorders>
              <w:top w:val="nil"/>
              <w:left w:val="nil"/>
              <w:bottom w:val="dotted" w:sz="4" w:space="0" w:color="auto"/>
              <w:right w:val="single" w:sz="4" w:space="0" w:color="auto"/>
            </w:tcBorders>
            <w:shd w:val="clear" w:color="000000" w:fill="D9D9D9"/>
            <w:vAlign w:val="center"/>
            <w:hideMark/>
          </w:tcPr>
          <w:p>
            <w:pPr>
              <w:jc w:val="right"/>
              <w:rPr>
                <w:b/>
                <w:bCs/>
                <w:i/>
                <w:iCs/>
                <w:noProof/>
                <w:color w:val="000000"/>
                <w:sz w:val="14"/>
                <w:szCs w:val="14"/>
              </w:rPr>
            </w:pPr>
            <w:r>
              <w:rPr>
                <w:b/>
                <w:i/>
                <w:noProof/>
                <w:color w:val="000000"/>
                <w:sz w:val="14"/>
              </w:rPr>
              <w:t> </w:t>
            </w:r>
          </w:p>
        </w:tc>
        <w:tc>
          <w:tcPr>
            <w:tcW w:w="980" w:type="dxa"/>
            <w:tcBorders>
              <w:top w:val="nil"/>
              <w:left w:val="nil"/>
              <w:bottom w:val="dotted" w:sz="4" w:space="0" w:color="auto"/>
              <w:right w:val="single" w:sz="4" w:space="0" w:color="auto"/>
            </w:tcBorders>
            <w:shd w:val="clear" w:color="000000" w:fill="D9D9D9"/>
            <w:vAlign w:val="center"/>
            <w:hideMark/>
          </w:tcPr>
          <w:p>
            <w:pPr>
              <w:jc w:val="right"/>
              <w:rPr>
                <w:b/>
                <w:bCs/>
                <w:i/>
                <w:iCs/>
                <w:noProof/>
                <w:color w:val="000000"/>
                <w:sz w:val="14"/>
                <w:szCs w:val="14"/>
              </w:rPr>
            </w:pPr>
            <w:r>
              <w:rPr>
                <w:b/>
                <w:i/>
                <w:noProof/>
                <w:color w:val="000000"/>
                <w:sz w:val="14"/>
              </w:rPr>
              <w:t xml:space="preserve">   </w:t>
            </w:r>
          </w:p>
        </w:tc>
        <w:tc>
          <w:tcPr>
            <w:tcW w:w="980" w:type="dxa"/>
            <w:tcBorders>
              <w:top w:val="nil"/>
              <w:left w:val="nil"/>
              <w:bottom w:val="dotted" w:sz="4" w:space="0" w:color="auto"/>
              <w:right w:val="single" w:sz="4" w:space="0" w:color="auto"/>
            </w:tcBorders>
            <w:shd w:val="clear" w:color="000000" w:fill="D9D9D9"/>
            <w:vAlign w:val="center"/>
            <w:hideMark/>
          </w:tcPr>
          <w:p>
            <w:pPr>
              <w:jc w:val="right"/>
              <w:rPr>
                <w:b/>
                <w:bCs/>
                <w:i/>
                <w:iCs/>
                <w:noProof/>
                <w:color w:val="000000"/>
                <w:sz w:val="14"/>
                <w:szCs w:val="14"/>
              </w:rPr>
            </w:pPr>
            <w:r>
              <w:rPr>
                <w:b/>
                <w:i/>
                <w:noProof/>
                <w:color w:val="000000"/>
                <w:sz w:val="14"/>
              </w:rPr>
              <w:t> </w:t>
            </w:r>
          </w:p>
        </w:tc>
        <w:tc>
          <w:tcPr>
            <w:tcW w:w="1360" w:type="dxa"/>
            <w:tcBorders>
              <w:top w:val="nil"/>
              <w:left w:val="nil"/>
              <w:bottom w:val="dotted" w:sz="4" w:space="0" w:color="auto"/>
              <w:right w:val="single" w:sz="4" w:space="0" w:color="auto"/>
            </w:tcBorders>
            <w:shd w:val="clear" w:color="000000" w:fill="D9D9D9"/>
            <w:vAlign w:val="center"/>
            <w:hideMark/>
          </w:tcPr>
          <w:p>
            <w:pPr>
              <w:jc w:val="right"/>
              <w:rPr>
                <w:b/>
                <w:bCs/>
                <w:i/>
                <w:iCs/>
                <w:noProof/>
                <w:color w:val="000000"/>
                <w:sz w:val="14"/>
                <w:szCs w:val="14"/>
              </w:rPr>
            </w:pPr>
            <w:r>
              <w:rPr>
                <w:b/>
                <w:i/>
                <w:noProof/>
                <w:color w:val="000000"/>
                <w:sz w:val="14"/>
              </w:rPr>
              <w:t>1 357 540 063</w:t>
            </w:r>
          </w:p>
        </w:tc>
        <w:tc>
          <w:tcPr>
            <w:tcW w:w="1360" w:type="dxa"/>
            <w:tcBorders>
              <w:top w:val="nil"/>
              <w:left w:val="nil"/>
              <w:bottom w:val="dotted" w:sz="4" w:space="0" w:color="auto"/>
              <w:right w:val="single" w:sz="4" w:space="0" w:color="auto"/>
            </w:tcBorders>
            <w:shd w:val="clear" w:color="000000" w:fill="D9D9D9"/>
            <w:vAlign w:val="center"/>
            <w:hideMark/>
          </w:tcPr>
          <w:p>
            <w:pPr>
              <w:jc w:val="right"/>
              <w:rPr>
                <w:b/>
                <w:bCs/>
                <w:i/>
                <w:iCs/>
                <w:noProof/>
                <w:color w:val="000000"/>
                <w:sz w:val="14"/>
                <w:szCs w:val="14"/>
              </w:rPr>
            </w:pPr>
            <w:r>
              <w:rPr>
                <w:b/>
                <w:i/>
                <w:noProof/>
                <w:color w:val="000000"/>
                <w:sz w:val="14"/>
              </w:rPr>
              <w:t> </w:t>
            </w:r>
          </w:p>
        </w:tc>
      </w:tr>
      <w:tr>
        <w:trPr>
          <w:trHeight w:val="225"/>
          <w:jc w:val="center"/>
        </w:trPr>
        <w:tc>
          <w:tcPr>
            <w:tcW w:w="3540" w:type="dxa"/>
            <w:gridSpan w:val="2"/>
            <w:tcBorders>
              <w:top w:val="dotted" w:sz="4" w:space="0" w:color="auto"/>
              <w:left w:val="single" w:sz="4" w:space="0" w:color="auto"/>
              <w:bottom w:val="dotted" w:sz="4" w:space="0" w:color="auto"/>
              <w:right w:val="single" w:sz="4" w:space="0" w:color="000000"/>
            </w:tcBorders>
            <w:shd w:val="clear" w:color="000000" w:fill="D9D9D9"/>
            <w:vAlign w:val="center"/>
            <w:hideMark/>
          </w:tcPr>
          <w:p>
            <w:pPr>
              <w:jc w:val="right"/>
              <w:rPr>
                <w:b/>
                <w:bCs/>
                <w:i/>
                <w:iCs/>
                <w:noProof/>
                <w:color w:val="000000"/>
                <w:sz w:val="14"/>
                <w:szCs w:val="14"/>
              </w:rPr>
            </w:pPr>
            <w:r>
              <w:rPr>
                <w:b/>
                <w:i/>
                <w:noProof/>
                <w:color w:val="000000"/>
                <w:sz w:val="14"/>
              </w:rPr>
              <w:t>Plafond</w:t>
            </w:r>
          </w:p>
        </w:tc>
        <w:tc>
          <w:tcPr>
            <w:tcW w:w="1360" w:type="dxa"/>
            <w:tcBorders>
              <w:top w:val="nil"/>
              <w:left w:val="nil"/>
              <w:bottom w:val="dotted" w:sz="4" w:space="0" w:color="auto"/>
              <w:right w:val="single" w:sz="4" w:space="0" w:color="auto"/>
            </w:tcBorders>
            <w:shd w:val="clear" w:color="000000" w:fill="D9D9D9"/>
            <w:vAlign w:val="center"/>
            <w:hideMark/>
          </w:tcPr>
          <w:p>
            <w:pPr>
              <w:jc w:val="right"/>
              <w:rPr>
                <w:b/>
                <w:bCs/>
                <w:i/>
                <w:iCs/>
                <w:noProof/>
                <w:color w:val="000000"/>
                <w:sz w:val="14"/>
                <w:szCs w:val="14"/>
              </w:rPr>
            </w:pPr>
            <w:r>
              <w:rPr>
                <w:b/>
                <w:i/>
                <w:noProof/>
                <w:color w:val="000000"/>
                <w:sz w:val="14"/>
              </w:rPr>
              <w:t>159 514 000 000</w:t>
            </w:r>
          </w:p>
        </w:tc>
        <w:tc>
          <w:tcPr>
            <w:tcW w:w="1360" w:type="dxa"/>
            <w:tcBorders>
              <w:top w:val="nil"/>
              <w:left w:val="nil"/>
              <w:bottom w:val="dotted" w:sz="4" w:space="0" w:color="auto"/>
              <w:right w:val="single" w:sz="4" w:space="0" w:color="auto"/>
            </w:tcBorders>
            <w:shd w:val="clear" w:color="000000" w:fill="D9D9D9"/>
            <w:vAlign w:val="center"/>
            <w:hideMark/>
          </w:tcPr>
          <w:p>
            <w:pPr>
              <w:jc w:val="right"/>
              <w:rPr>
                <w:b/>
                <w:bCs/>
                <w:i/>
                <w:iCs/>
                <w:noProof/>
                <w:color w:val="000000"/>
                <w:sz w:val="14"/>
                <w:szCs w:val="14"/>
              </w:rPr>
            </w:pPr>
            <w:r>
              <w:rPr>
                <w:b/>
                <w:i/>
                <w:noProof/>
                <w:color w:val="000000"/>
                <w:sz w:val="14"/>
              </w:rPr>
              <w:t>154 565 000 000</w:t>
            </w:r>
          </w:p>
        </w:tc>
        <w:tc>
          <w:tcPr>
            <w:tcW w:w="980" w:type="dxa"/>
            <w:tcBorders>
              <w:top w:val="nil"/>
              <w:left w:val="nil"/>
              <w:bottom w:val="dotted" w:sz="4" w:space="0" w:color="auto"/>
              <w:right w:val="single" w:sz="4" w:space="0" w:color="auto"/>
            </w:tcBorders>
            <w:shd w:val="clear" w:color="000000" w:fill="D9D9D9"/>
            <w:vAlign w:val="center"/>
            <w:hideMark/>
          </w:tcPr>
          <w:p>
            <w:pPr>
              <w:jc w:val="right"/>
              <w:rPr>
                <w:b/>
                <w:bCs/>
                <w:i/>
                <w:iCs/>
                <w:noProof/>
                <w:color w:val="000000"/>
                <w:sz w:val="14"/>
                <w:szCs w:val="14"/>
              </w:rPr>
            </w:pPr>
            <w:r>
              <w:rPr>
                <w:b/>
                <w:i/>
                <w:noProof/>
                <w:color w:val="000000"/>
                <w:sz w:val="14"/>
              </w:rPr>
              <w:t xml:space="preserve">   </w:t>
            </w:r>
          </w:p>
        </w:tc>
        <w:tc>
          <w:tcPr>
            <w:tcW w:w="980" w:type="dxa"/>
            <w:tcBorders>
              <w:top w:val="nil"/>
              <w:left w:val="nil"/>
              <w:bottom w:val="dotted" w:sz="4" w:space="0" w:color="auto"/>
              <w:right w:val="single" w:sz="4" w:space="0" w:color="auto"/>
            </w:tcBorders>
            <w:shd w:val="clear" w:color="000000" w:fill="D9D9D9"/>
            <w:vAlign w:val="center"/>
            <w:hideMark/>
          </w:tcPr>
          <w:p>
            <w:pPr>
              <w:jc w:val="right"/>
              <w:rPr>
                <w:b/>
                <w:bCs/>
                <w:i/>
                <w:iCs/>
                <w:noProof/>
                <w:color w:val="000000"/>
                <w:sz w:val="14"/>
                <w:szCs w:val="14"/>
              </w:rPr>
            </w:pPr>
            <w:r>
              <w:rPr>
                <w:b/>
                <w:i/>
                <w:noProof/>
                <w:color w:val="000000"/>
                <w:sz w:val="14"/>
              </w:rPr>
              <w:t> </w:t>
            </w:r>
          </w:p>
        </w:tc>
        <w:tc>
          <w:tcPr>
            <w:tcW w:w="1360" w:type="dxa"/>
            <w:tcBorders>
              <w:top w:val="nil"/>
              <w:left w:val="nil"/>
              <w:bottom w:val="dotted" w:sz="4" w:space="0" w:color="auto"/>
              <w:right w:val="single" w:sz="4" w:space="0" w:color="auto"/>
            </w:tcBorders>
            <w:shd w:val="clear" w:color="000000" w:fill="D9D9D9"/>
            <w:vAlign w:val="center"/>
            <w:hideMark/>
          </w:tcPr>
          <w:p>
            <w:pPr>
              <w:jc w:val="right"/>
              <w:rPr>
                <w:b/>
                <w:bCs/>
                <w:i/>
                <w:iCs/>
                <w:noProof/>
                <w:color w:val="000000"/>
                <w:sz w:val="14"/>
                <w:szCs w:val="14"/>
              </w:rPr>
            </w:pPr>
            <w:r>
              <w:rPr>
                <w:b/>
                <w:i/>
                <w:noProof/>
                <w:color w:val="000000"/>
                <w:sz w:val="14"/>
              </w:rPr>
              <w:t>159 514 000 000</w:t>
            </w:r>
          </w:p>
        </w:tc>
        <w:tc>
          <w:tcPr>
            <w:tcW w:w="1360" w:type="dxa"/>
            <w:tcBorders>
              <w:top w:val="nil"/>
              <w:left w:val="nil"/>
              <w:bottom w:val="dotted" w:sz="4" w:space="0" w:color="auto"/>
              <w:right w:val="single" w:sz="4" w:space="0" w:color="auto"/>
            </w:tcBorders>
            <w:shd w:val="clear" w:color="000000" w:fill="D9D9D9"/>
            <w:vAlign w:val="center"/>
            <w:hideMark/>
          </w:tcPr>
          <w:p>
            <w:pPr>
              <w:jc w:val="right"/>
              <w:rPr>
                <w:b/>
                <w:bCs/>
                <w:i/>
                <w:iCs/>
                <w:noProof/>
                <w:color w:val="000000"/>
                <w:sz w:val="14"/>
                <w:szCs w:val="14"/>
              </w:rPr>
            </w:pPr>
            <w:r>
              <w:rPr>
                <w:b/>
                <w:i/>
                <w:noProof/>
                <w:color w:val="000000"/>
                <w:sz w:val="14"/>
              </w:rPr>
              <w:t>154 565 000 000</w:t>
            </w:r>
          </w:p>
        </w:tc>
      </w:tr>
      <w:tr>
        <w:trPr>
          <w:trHeight w:val="225"/>
          <w:jc w:val="center"/>
        </w:trPr>
        <w:tc>
          <w:tcPr>
            <w:tcW w:w="3540" w:type="dxa"/>
            <w:gridSpan w:val="2"/>
            <w:tcBorders>
              <w:top w:val="dotted" w:sz="4" w:space="0" w:color="auto"/>
              <w:left w:val="single" w:sz="4" w:space="0" w:color="auto"/>
              <w:bottom w:val="dotted" w:sz="4" w:space="0" w:color="auto"/>
              <w:right w:val="single" w:sz="4" w:space="0" w:color="000000"/>
            </w:tcBorders>
            <w:shd w:val="clear" w:color="000000" w:fill="D9D9D9"/>
            <w:vAlign w:val="center"/>
            <w:hideMark/>
          </w:tcPr>
          <w:p>
            <w:pPr>
              <w:jc w:val="right"/>
              <w:rPr>
                <w:b/>
                <w:bCs/>
                <w:i/>
                <w:iCs/>
                <w:noProof/>
                <w:color w:val="000000"/>
                <w:sz w:val="14"/>
                <w:szCs w:val="14"/>
              </w:rPr>
            </w:pPr>
            <w:r>
              <w:rPr>
                <w:b/>
                <w:i/>
                <w:noProof/>
                <w:color w:val="000000"/>
                <w:sz w:val="14"/>
              </w:rPr>
              <w:t>dont part compensée sur la marge pour imprévus</w:t>
            </w:r>
          </w:p>
        </w:tc>
        <w:tc>
          <w:tcPr>
            <w:tcW w:w="1360" w:type="dxa"/>
            <w:tcBorders>
              <w:top w:val="nil"/>
              <w:left w:val="nil"/>
              <w:bottom w:val="dotted" w:sz="4" w:space="0" w:color="auto"/>
              <w:right w:val="single" w:sz="4" w:space="0" w:color="auto"/>
            </w:tcBorders>
            <w:shd w:val="clear" w:color="000000" w:fill="D9D9D9"/>
            <w:vAlign w:val="center"/>
            <w:hideMark/>
          </w:tcPr>
          <w:p>
            <w:pPr>
              <w:jc w:val="right"/>
              <w:rPr>
                <w:b/>
                <w:bCs/>
                <w:i/>
                <w:iCs/>
                <w:noProof/>
                <w:color w:val="000000"/>
                <w:sz w:val="14"/>
                <w:szCs w:val="14"/>
              </w:rPr>
            </w:pPr>
            <w:r>
              <w:rPr>
                <w:b/>
                <w:i/>
                <w:noProof/>
                <w:color w:val="000000"/>
                <w:sz w:val="14"/>
              </w:rPr>
              <w:t>- 318 000 000</w:t>
            </w:r>
          </w:p>
        </w:tc>
        <w:tc>
          <w:tcPr>
            <w:tcW w:w="1360" w:type="dxa"/>
            <w:tcBorders>
              <w:top w:val="nil"/>
              <w:left w:val="nil"/>
              <w:bottom w:val="dotted" w:sz="4" w:space="0" w:color="auto"/>
              <w:right w:val="single" w:sz="4" w:space="0" w:color="auto"/>
            </w:tcBorders>
            <w:shd w:val="clear" w:color="000000" w:fill="D9D9D9"/>
            <w:vAlign w:val="center"/>
            <w:hideMark/>
          </w:tcPr>
          <w:p>
            <w:pPr>
              <w:jc w:val="right"/>
              <w:rPr>
                <w:b/>
                <w:bCs/>
                <w:i/>
                <w:iCs/>
                <w:noProof/>
                <w:color w:val="000000"/>
                <w:sz w:val="14"/>
                <w:szCs w:val="14"/>
              </w:rPr>
            </w:pPr>
            <w:r>
              <w:rPr>
                <w:b/>
                <w:i/>
                <w:noProof/>
                <w:color w:val="000000"/>
                <w:sz w:val="14"/>
              </w:rPr>
              <w:t> </w:t>
            </w:r>
          </w:p>
        </w:tc>
        <w:tc>
          <w:tcPr>
            <w:tcW w:w="980" w:type="dxa"/>
            <w:tcBorders>
              <w:top w:val="nil"/>
              <w:left w:val="nil"/>
              <w:bottom w:val="dotted" w:sz="4" w:space="0" w:color="auto"/>
              <w:right w:val="single" w:sz="4" w:space="0" w:color="auto"/>
            </w:tcBorders>
            <w:shd w:val="clear" w:color="000000" w:fill="D9D9D9"/>
            <w:vAlign w:val="center"/>
            <w:hideMark/>
          </w:tcPr>
          <w:p>
            <w:pPr>
              <w:jc w:val="right"/>
              <w:rPr>
                <w:b/>
                <w:bCs/>
                <w:i/>
                <w:iCs/>
                <w:noProof/>
                <w:color w:val="000000"/>
                <w:sz w:val="14"/>
                <w:szCs w:val="14"/>
              </w:rPr>
            </w:pPr>
            <w:r>
              <w:rPr>
                <w:b/>
                <w:i/>
                <w:noProof/>
                <w:color w:val="000000"/>
                <w:sz w:val="14"/>
              </w:rPr>
              <w:t xml:space="preserve">   </w:t>
            </w:r>
          </w:p>
        </w:tc>
        <w:tc>
          <w:tcPr>
            <w:tcW w:w="980" w:type="dxa"/>
            <w:tcBorders>
              <w:top w:val="nil"/>
              <w:left w:val="nil"/>
              <w:bottom w:val="dotted" w:sz="4" w:space="0" w:color="auto"/>
              <w:right w:val="single" w:sz="4" w:space="0" w:color="auto"/>
            </w:tcBorders>
            <w:shd w:val="clear" w:color="000000" w:fill="D9D9D9"/>
            <w:vAlign w:val="center"/>
            <w:hideMark/>
          </w:tcPr>
          <w:p>
            <w:pPr>
              <w:jc w:val="right"/>
              <w:rPr>
                <w:b/>
                <w:bCs/>
                <w:i/>
                <w:iCs/>
                <w:noProof/>
                <w:color w:val="000000"/>
                <w:sz w:val="14"/>
                <w:szCs w:val="14"/>
              </w:rPr>
            </w:pPr>
            <w:r>
              <w:rPr>
                <w:b/>
                <w:i/>
                <w:noProof/>
                <w:color w:val="000000"/>
                <w:sz w:val="14"/>
              </w:rPr>
              <w:t> </w:t>
            </w:r>
          </w:p>
        </w:tc>
        <w:tc>
          <w:tcPr>
            <w:tcW w:w="1360" w:type="dxa"/>
            <w:tcBorders>
              <w:top w:val="nil"/>
              <w:left w:val="nil"/>
              <w:bottom w:val="dotted" w:sz="4" w:space="0" w:color="auto"/>
              <w:right w:val="single" w:sz="4" w:space="0" w:color="auto"/>
            </w:tcBorders>
            <w:shd w:val="clear" w:color="000000" w:fill="D9D9D9"/>
            <w:vAlign w:val="center"/>
            <w:hideMark/>
          </w:tcPr>
          <w:p>
            <w:pPr>
              <w:jc w:val="right"/>
              <w:rPr>
                <w:b/>
                <w:bCs/>
                <w:i/>
                <w:iCs/>
                <w:noProof/>
                <w:color w:val="000000"/>
                <w:sz w:val="14"/>
                <w:szCs w:val="14"/>
              </w:rPr>
            </w:pPr>
            <w:r>
              <w:rPr>
                <w:b/>
                <w:i/>
                <w:noProof/>
                <w:color w:val="000000"/>
                <w:sz w:val="14"/>
              </w:rPr>
              <w:t>- 318 000 000</w:t>
            </w:r>
          </w:p>
        </w:tc>
        <w:tc>
          <w:tcPr>
            <w:tcW w:w="1360" w:type="dxa"/>
            <w:tcBorders>
              <w:top w:val="nil"/>
              <w:left w:val="nil"/>
              <w:bottom w:val="dotted" w:sz="4" w:space="0" w:color="auto"/>
              <w:right w:val="single" w:sz="4" w:space="0" w:color="auto"/>
            </w:tcBorders>
            <w:shd w:val="clear" w:color="000000" w:fill="D9D9D9"/>
            <w:vAlign w:val="center"/>
            <w:hideMark/>
          </w:tcPr>
          <w:p>
            <w:pPr>
              <w:jc w:val="right"/>
              <w:rPr>
                <w:b/>
                <w:bCs/>
                <w:i/>
                <w:iCs/>
                <w:noProof/>
                <w:color w:val="000000"/>
                <w:sz w:val="14"/>
                <w:szCs w:val="14"/>
              </w:rPr>
            </w:pPr>
            <w:r>
              <w:rPr>
                <w:b/>
                <w:i/>
                <w:noProof/>
                <w:color w:val="000000"/>
                <w:sz w:val="14"/>
              </w:rPr>
              <w:t xml:space="preserve">   </w:t>
            </w:r>
          </w:p>
        </w:tc>
      </w:tr>
      <w:tr>
        <w:trPr>
          <w:trHeight w:val="225"/>
          <w:jc w:val="center"/>
        </w:trPr>
        <w:tc>
          <w:tcPr>
            <w:tcW w:w="3540" w:type="dxa"/>
            <w:gridSpan w:val="2"/>
            <w:tcBorders>
              <w:top w:val="dotted" w:sz="4" w:space="0" w:color="auto"/>
              <w:left w:val="single" w:sz="4" w:space="0" w:color="auto"/>
              <w:bottom w:val="nil"/>
              <w:right w:val="single" w:sz="4" w:space="0" w:color="000000"/>
            </w:tcBorders>
            <w:shd w:val="clear" w:color="000000" w:fill="D9D9D9"/>
            <w:vAlign w:val="center"/>
            <w:hideMark/>
          </w:tcPr>
          <w:p>
            <w:pPr>
              <w:jc w:val="right"/>
              <w:rPr>
                <w:b/>
                <w:bCs/>
                <w:i/>
                <w:iCs/>
                <w:noProof/>
                <w:color w:val="000000"/>
                <w:sz w:val="14"/>
                <w:szCs w:val="14"/>
              </w:rPr>
            </w:pPr>
            <w:r>
              <w:rPr>
                <w:b/>
                <w:i/>
                <w:noProof/>
                <w:color w:val="000000"/>
                <w:sz w:val="14"/>
              </w:rPr>
              <w:t>Marge</w:t>
            </w:r>
          </w:p>
        </w:tc>
        <w:tc>
          <w:tcPr>
            <w:tcW w:w="1360" w:type="dxa"/>
            <w:tcBorders>
              <w:top w:val="nil"/>
              <w:left w:val="nil"/>
              <w:bottom w:val="single" w:sz="4" w:space="0" w:color="auto"/>
              <w:right w:val="single" w:sz="4" w:space="0" w:color="auto"/>
            </w:tcBorders>
            <w:shd w:val="clear" w:color="000000" w:fill="D9D9D9"/>
            <w:vAlign w:val="center"/>
            <w:hideMark/>
          </w:tcPr>
          <w:p>
            <w:pPr>
              <w:jc w:val="right"/>
              <w:rPr>
                <w:b/>
                <w:bCs/>
                <w:i/>
                <w:iCs/>
                <w:noProof/>
                <w:color w:val="000000"/>
                <w:sz w:val="14"/>
                <w:szCs w:val="14"/>
              </w:rPr>
            </w:pPr>
            <w:r>
              <w:rPr>
                <w:b/>
                <w:i/>
                <w:noProof/>
                <w:color w:val="000000"/>
                <w:sz w:val="14"/>
              </w:rPr>
              <w:t>1 344 163 251</w:t>
            </w:r>
          </w:p>
        </w:tc>
        <w:tc>
          <w:tcPr>
            <w:tcW w:w="1360" w:type="dxa"/>
            <w:tcBorders>
              <w:top w:val="nil"/>
              <w:left w:val="nil"/>
              <w:bottom w:val="single" w:sz="4" w:space="0" w:color="auto"/>
              <w:right w:val="single" w:sz="4" w:space="0" w:color="auto"/>
            </w:tcBorders>
            <w:shd w:val="clear" w:color="000000" w:fill="D9D9D9"/>
            <w:vAlign w:val="center"/>
            <w:hideMark/>
          </w:tcPr>
          <w:p>
            <w:pPr>
              <w:jc w:val="right"/>
              <w:rPr>
                <w:b/>
                <w:bCs/>
                <w:i/>
                <w:iCs/>
                <w:noProof/>
                <w:color w:val="000000"/>
                <w:sz w:val="14"/>
                <w:szCs w:val="14"/>
              </w:rPr>
            </w:pPr>
            <w:r>
              <w:rPr>
                <w:b/>
                <w:i/>
                <w:noProof/>
                <w:color w:val="000000"/>
                <w:sz w:val="14"/>
              </w:rPr>
              <w:t>10 981 959 507</w:t>
            </w:r>
          </w:p>
        </w:tc>
        <w:tc>
          <w:tcPr>
            <w:tcW w:w="980" w:type="dxa"/>
            <w:tcBorders>
              <w:top w:val="nil"/>
              <w:left w:val="nil"/>
              <w:bottom w:val="single" w:sz="4" w:space="0" w:color="auto"/>
              <w:right w:val="single" w:sz="4" w:space="0" w:color="auto"/>
            </w:tcBorders>
            <w:shd w:val="clear" w:color="000000" w:fill="D9D9D9"/>
            <w:vAlign w:val="center"/>
            <w:hideMark/>
          </w:tcPr>
          <w:p>
            <w:pPr>
              <w:jc w:val="right"/>
              <w:rPr>
                <w:b/>
                <w:bCs/>
                <w:i/>
                <w:iCs/>
                <w:noProof/>
                <w:color w:val="000000"/>
                <w:sz w:val="14"/>
                <w:szCs w:val="14"/>
              </w:rPr>
            </w:pPr>
            <w:r>
              <w:rPr>
                <w:b/>
                <w:i/>
                <w:noProof/>
                <w:color w:val="000000"/>
                <w:sz w:val="14"/>
              </w:rPr>
              <w:t> </w:t>
            </w:r>
          </w:p>
        </w:tc>
        <w:tc>
          <w:tcPr>
            <w:tcW w:w="980" w:type="dxa"/>
            <w:tcBorders>
              <w:top w:val="nil"/>
              <w:left w:val="nil"/>
              <w:bottom w:val="single" w:sz="4" w:space="0" w:color="auto"/>
              <w:right w:val="single" w:sz="4" w:space="0" w:color="auto"/>
            </w:tcBorders>
            <w:shd w:val="clear" w:color="000000" w:fill="D9D9D9"/>
            <w:vAlign w:val="center"/>
            <w:hideMark/>
          </w:tcPr>
          <w:p>
            <w:pPr>
              <w:jc w:val="right"/>
              <w:rPr>
                <w:b/>
                <w:bCs/>
                <w:i/>
                <w:iCs/>
                <w:noProof/>
                <w:color w:val="000000"/>
                <w:sz w:val="14"/>
                <w:szCs w:val="14"/>
              </w:rPr>
            </w:pPr>
            <w:r>
              <w:rPr>
                <w:b/>
                <w:i/>
                <w:noProof/>
                <w:color w:val="000000"/>
                <w:sz w:val="14"/>
              </w:rPr>
              <w:t> </w:t>
            </w:r>
          </w:p>
        </w:tc>
        <w:tc>
          <w:tcPr>
            <w:tcW w:w="1360" w:type="dxa"/>
            <w:tcBorders>
              <w:top w:val="nil"/>
              <w:left w:val="nil"/>
              <w:bottom w:val="single" w:sz="4" w:space="0" w:color="auto"/>
              <w:right w:val="single" w:sz="4" w:space="0" w:color="auto"/>
            </w:tcBorders>
            <w:shd w:val="clear" w:color="000000" w:fill="D9D9D9"/>
            <w:vAlign w:val="center"/>
            <w:hideMark/>
          </w:tcPr>
          <w:p>
            <w:pPr>
              <w:jc w:val="right"/>
              <w:rPr>
                <w:b/>
                <w:bCs/>
                <w:i/>
                <w:iCs/>
                <w:noProof/>
                <w:color w:val="000000"/>
                <w:sz w:val="14"/>
                <w:szCs w:val="14"/>
              </w:rPr>
            </w:pPr>
            <w:r>
              <w:rPr>
                <w:b/>
                <w:i/>
                <w:noProof/>
                <w:color w:val="000000"/>
                <w:sz w:val="14"/>
              </w:rPr>
              <w:t>1 344 163 251</w:t>
            </w:r>
          </w:p>
        </w:tc>
        <w:tc>
          <w:tcPr>
            <w:tcW w:w="1360" w:type="dxa"/>
            <w:tcBorders>
              <w:top w:val="nil"/>
              <w:left w:val="nil"/>
              <w:bottom w:val="single" w:sz="4" w:space="0" w:color="auto"/>
              <w:right w:val="single" w:sz="4" w:space="0" w:color="auto"/>
            </w:tcBorders>
            <w:shd w:val="clear" w:color="000000" w:fill="D9D9D9"/>
            <w:vAlign w:val="center"/>
            <w:hideMark/>
          </w:tcPr>
          <w:p>
            <w:pPr>
              <w:jc w:val="right"/>
              <w:rPr>
                <w:b/>
                <w:bCs/>
                <w:i/>
                <w:iCs/>
                <w:noProof/>
                <w:color w:val="000000"/>
                <w:sz w:val="14"/>
                <w:szCs w:val="14"/>
              </w:rPr>
            </w:pPr>
            <w:r>
              <w:rPr>
                <w:b/>
                <w:i/>
                <w:noProof/>
                <w:color w:val="000000"/>
                <w:sz w:val="14"/>
              </w:rPr>
              <w:t>10 981 959 507</w:t>
            </w:r>
          </w:p>
        </w:tc>
      </w:tr>
      <w:tr>
        <w:trPr>
          <w:trHeight w:val="225"/>
          <w:jc w:val="center"/>
        </w:trPr>
        <w:tc>
          <w:tcPr>
            <w:tcW w:w="260" w:type="dxa"/>
            <w:tcBorders>
              <w:top w:val="single" w:sz="4" w:space="0" w:color="auto"/>
              <w:left w:val="single" w:sz="4" w:space="0" w:color="auto"/>
              <w:bottom w:val="single" w:sz="4" w:space="0" w:color="auto"/>
              <w:right w:val="nil"/>
            </w:tcBorders>
            <w:shd w:val="clear" w:color="auto" w:fill="auto"/>
            <w:vAlign w:val="center"/>
            <w:hideMark/>
          </w:tcPr>
          <w:p>
            <w:pPr>
              <w:rPr>
                <w:b/>
                <w:bCs/>
                <w:noProof/>
                <w:color w:val="000000"/>
                <w:sz w:val="14"/>
                <w:szCs w:val="14"/>
              </w:rPr>
            </w:pPr>
            <w:r>
              <w:rPr>
                <w:b/>
                <w:noProof/>
                <w:color w:val="000000"/>
                <w:sz w:val="14"/>
              </w:rPr>
              <w:t> </w:t>
            </w:r>
          </w:p>
        </w:tc>
        <w:tc>
          <w:tcPr>
            <w:tcW w:w="3280" w:type="dxa"/>
            <w:tcBorders>
              <w:top w:val="single" w:sz="4" w:space="0" w:color="auto"/>
              <w:left w:val="nil"/>
              <w:bottom w:val="single" w:sz="4" w:space="0" w:color="auto"/>
              <w:right w:val="single" w:sz="4" w:space="0" w:color="auto"/>
            </w:tcBorders>
            <w:shd w:val="clear" w:color="auto" w:fill="auto"/>
            <w:vAlign w:val="center"/>
            <w:hideMark/>
          </w:tcPr>
          <w:p>
            <w:pPr>
              <w:rPr>
                <w:b/>
                <w:bCs/>
                <w:noProof/>
                <w:color w:val="000000"/>
                <w:sz w:val="14"/>
                <w:szCs w:val="14"/>
              </w:rPr>
            </w:pPr>
            <w:r>
              <w:rPr>
                <w:b/>
                <w:noProof/>
                <w:color w:val="000000"/>
                <w:sz w:val="14"/>
              </w:rPr>
              <w:t>Autres instruments spéciaux</w:t>
            </w:r>
          </w:p>
        </w:tc>
        <w:tc>
          <w:tcPr>
            <w:tcW w:w="1360" w:type="dxa"/>
            <w:tcBorders>
              <w:top w:val="nil"/>
              <w:left w:val="nil"/>
              <w:bottom w:val="single" w:sz="4" w:space="0" w:color="auto"/>
              <w:right w:val="single" w:sz="4" w:space="0" w:color="auto"/>
            </w:tcBorders>
            <w:shd w:val="clear" w:color="auto" w:fill="auto"/>
            <w:vAlign w:val="center"/>
            <w:hideMark/>
          </w:tcPr>
          <w:p>
            <w:pPr>
              <w:jc w:val="right"/>
              <w:rPr>
                <w:b/>
                <w:bCs/>
                <w:noProof/>
                <w:color w:val="000000"/>
                <w:sz w:val="14"/>
                <w:szCs w:val="14"/>
              </w:rPr>
            </w:pPr>
            <w:r>
              <w:rPr>
                <w:b/>
                <w:noProof/>
                <w:color w:val="000000"/>
                <w:sz w:val="14"/>
              </w:rPr>
              <w:t xml:space="preserve"> 664 548 105</w:t>
            </w:r>
          </w:p>
        </w:tc>
        <w:tc>
          <w:tcPr>
            <w:tcW w:w="1360" w:type="dxa"/>
            <w:tcBorders>
              <w:top w:val="nil"/>
              <w:left w:val="nil"/>
              <w:bottom w:val="single" w:sz="4" w:space="0" w:color="auto"/>
              <w:right w:val="single" w:sz="4" w:space="0" w:color="auto"/>
            </w:tcBorders>
            <w:shd w:val="clear" w:color="auto" w:fill="auto"/>
            <w:vAlign w:val="center"/>
            <w:hideMark/>
          </w:tcPr>
          <w:p>
            <w:pPr>
              <w:jc w:val="right"/>
              <w:rPr>
                <w:b/>
                <w:bCs/>
                <w:noProof/>
                <w:color w:val="000000"/>
                <w:sz w:val="14"/>
                <w:szCs w:val="14"/>
              </w:rPr>
            </w:pPr>
            <w:r>
              <w:rPr>
                <w:b/>
                <w:noProof/>
                <w:color w:val="000000"/>
                <w:sz w:val="14"/>
              </w:rPr>
              <w:t xml:space="preserve"> 517 246 105</w:t>
            </w:r>
          </w:p>
        </w:tc>
        <w:tc>
          <w:tcPr>
            <w:tcW w:w="980" w:type="dxa"/>
            <w:tcBorders>
              <w:top w:val="nil"/>
              <w:left w:val="nil"/>
              <w:bottom w:val="single" w:sz="4" w:space="0" w:color="auto"/>
              <w:right w:val="single" w:sz="4" w:space="0" w:color="auto"/>
            </w:tcBorders>
            <w:shd w:val="clear" w:color="auto" w:fill="auto"/>
            <w:vAlign w:val="center"/>
            <w:hideMark/>
          </w:tcPr>
          <w:p>
            <w:pPr>
              <w:jc w:val="right"/>
              <w:rPr>
                <w:b/>
                <w:bCs/>
                <w:noProof/>
                <w:color w:val="000000"/>
                <w:sz w:val="14"/>
                <w:szCs w:val="14"/>
              </w:rPr>
            </w:pPr>
            <w:r>
              <w:rPr>
                <w:b/>
                <w:noProof/>
                <w:color w:val="000000"/>
                <w:sz w:val="14"/>
              </w:rPr>
              <w:t xml:space="preserve"> 33 992 206</w:t>
            </w:r>
          </w:p>
        </w:tc>
        <w:tc>
          <w:tcPr>
            <w:tcW w:w="980" w:type="dxa"/>
            <w:tcBorders>
              <w:top w:val="nil"/>
              <w:left w:val="nil"/>
              <w:bottom w:val="single" w:sz="4" w:space="0" w:color="auto"/>
              <w:right w:val="single" w:sz="4" w:space="0" w:color="auto"/>
            </w:tcBorders>
            <w:shd w:val="clear" w:color="auto" w:fill="auto"/>
            <w:vAlign w:val="center"/>
            <w:hideMark/>
          </w:tcPr>
          <w:p>
            <w:pPr>
              <w:jc w:val="right"/>
              <w:rPr>
                <w:b/>
                <w:bCs/>
                <w:noProof/>
                <w:color w:val="000000"/>
                <w:sz w:val="14"/>
                <w:szCs w:val="14"/>
              </w:rPr>
            </w:pPr>
            <w:r>
              <w:rPr>
                <w:b/>
                <w:noProof/>
                <w:color w:val="000000"/>
                <w:sz w:val="14"/>
              </w:rPr>
              <w:t xml:space="preserve"> 33 992 206</w:t>
            </w:r>
          </w:p>
        </w:tc>
        <w:tc>
          <w:tcPr>
            <w:tcW w:w="1360" w:type="dxa"/>
            <w:tcBorders>
              <w:top w:val="nil"/>
              <w:left w:val="nil"/>
              <w:bottom w:val="single" w:sz="4" w:space="0" w:color="auto"/>
              <w:right w:val="single" w:sz="4" w:space="0" w:color="auto"/>
            </w:tcBorders>
            <w:shd w:val="clear" w:color="auto" w:fill="auto"/>
            <w:vAlign w:val="center"/>
            <w:hideMark/>
          </w:tcPr>
          <w:p>
            <w:pPr>
              <w:jc w:val="right"/>
              <w:rPr>
                <w:b/>
                <w:bCs/>
                <w:noProof/>
                <w:color w:val="000000"/>
                <w:sz w:val="14"/>
                <w:szCs w:val="14"/>
              </w:rPr>
            </w:pPr>
            <w:r>
              <w:rPr>
                <w:b/>
                <w:noProof/>
                <w:color w:val="000000"/>
                <w:sz w:val="14"/>
              </w:rPr>
              <w:t xml:space="preserve"> 698 540 311</w:t>
            </w:r>
          </w:p>
        </w:tc>
        <w:tc>
          <w:tcPr>
            <w:tcW w:w="1360" w:type="dxa"/>
            <w:tcBorders>
              <w:top w:val="nil"/>
              <w:left w:val="nil"/>
              <w:bottom w:val="single" w:sz="4" w:space="0" w:color="auto"/>
              <w:right w:val="single" w:sz="4" w:space="0" w:color="auto"/>
            </w:tcBorders>
            <w:shd w:val="clear" w:color="auto" w:fill="auto"/>
            <w:vAlign w:val="center"/>
            <w:hideMark/>
          </w:tcPr>
          <w:p>
            <w:pPr>
              <w:jc w:val="right"/>
              <w:rPr>
                <w:b/>
                <w:bCs/>
                <w:noProof/>
                <w:color w:val="000000"/>
                <w:sz w:val="14"/>
                <w:szCs w:val="14"/>
              </w:rPr>
            </w:pPr>
            <w:r>
              <w:rPr>
                <w:b/>
                <w:noProof/>
                <w:color w:val="000000"/>
                <w:sz w:val="14"/>
              </w:rPr>
              <w:t xml:space="preserve"> 551 238 311</w:t>
            </w:r>
          </w:p>
        </w:tc>
      </w:tr>
      <w:tr>
        <w:trPr>
          <w:trHeight w:val="225"/>
          <w:jc w:val="center"/>
        </w:trPr>
        <w:tc>
          <w:tcPr>
            <w:tcW w:w="3540" w:type="dxa"/>
            <w:gridSpan w:val="2"/>
            <w:tcBorders>
              <w:top w:val="nil"/>
              <w:left w:val="single" w:sz="4" w:space="0" w:color="auto"/>
              <w:bottom w:val="single" w:sz="4" w:space="0" w:color="auto"/>
              <w:right w:val="single" w:sz="4" w:space="0" w:color="000000"/>
            </w:tcBorders>
            <w:shd w:val="clear" w:color="000000" w:fill="D9D9D9"/>
            <w:vAlign w:val="center"/>
            <w:hideMark/>
          </w:tcPr>
          <w:p>
            <w:pPr>
              <w:jc w:val="right"/>
              <w:rPr>
                <w:b/>
                <w:bCs/>
                <w:noProof/>
                <w:color w:val="000000"/>
                <w:sz w:val="14"/>
                <w:szCs w:val="14"/>
              </w:rPr>
            </w:pPr>
            <w:r>
              <w:rPr>
                <w:b/>
                <w:noProof/>
                <w:color w:val="000000"/>
                <w:sz w:val="14"/>
              </w:rPr>
              <w:t>Total général</w:t>
            </w:r>
          </w:p>
        </w:tc>
        <w:tc>
          <w:tcPr>
            <w:tcW w:w="1360" w:type="dxa"/>
            <w:tcBorders>
              <w:top w:val="nil"/>
              <w:left w:val="nil"/>
              <w:bottom w:val="single" w:sz="4" w:space="0" w:color="auto"/>
              <w:right w:val="single" w:sz="4" w:space="0" w:color="auto"/>
            </w:tcBorders>
            <w:shd w:val="clear" w:color="000000" w:fill="D9D9D9"/>
            <w:vAlign w:val="center"/>
            <w:hideMark/>
          </w:tcPr>
          <w:p>
            <w:pPr>
              <w:jc w:val="right"/>
              <w:rPr>
                <w:b/>
                <w:bCs/>
                <w:noProof/>
                <w:color w:val="000000"/>
                <w:sz w:val="14"/>
                <w:szCs w:val="14"/>
              </w:rPr>
            </w:pPr>
            <w:r>
              <w:rPr>
                <w:b/>
                <w:noProof/>
                <w:color w:val="000000"/>
                <w:sz w:val="14"/>
              </w:rPr>
              <w:t>160 711 166 116</w:t>
            </w:r>
          </w:p>
        </w:tc>
        <w:tc>
          <w:tcPr>
            <w:tcW w:w="1360" w:type="dxa"/>
            <w:tcBorders>
              <w:top w:val="nil"/>
              <w:left w:val="nil"/>
              <w:bottom w:val="single" w:sz="4" w:space="0" w:color="auto"/>
              <w:right w:val="single" w:sz="4" w:space="0" w:color="auto"/>
            </w:tcBorders>
            <w:shd w:val="clear" w:color="000000" w:fill="D9D9D9"/>
            <w:vAlign w:val="center"/>
            <w:hideMark/>
          </w:tcPr>
          <w:p>
            <w:pPr>
              <w:jc w:val="right"/>
              <w:rPr>
                <w:b/>
                <w:bCs/>
                <w:noProof/>
                <w:color w:val="000000"/>
                <w:sz w:val="14"/>
                <w:szCs w:val="14"/>
              </w:rPr>
            </w:pPr>
            <w:r>
              <w:rPr>
                <w:b/>
                <w:noProof/>
                <w:color w:val="000000"/>
                <w:sz w:val="14"/>
              </w:rPr>
              <w:t>144 778 626 795</w:t>
            </w:r>
          </w:p>
        </w:tc>
        <w:tc>
          <w:tcPr>
            <w:tcW w:w="980" w:type="dxa"/>
            <w:tcBorders>
              <w:top w:val="nil"/>
              <w:left w:val="nil"/>
              <w:bottom w:val="single" w:sz="4" w:space="0" w:color="auto"/>
              <w:right w:val="single" w:sz="4" w:space="0" w:color="auto"/>
            </w:tcBorders>
            <w:shd w:val="clear" w:color="000000" w:fill="D9D9D9"/>
            <w:vAlign w:val="center"/>
            <w:hideMark/>
          </w:tcPr>
          <w:p>
            <w:pPr>
              <w:jc w:val="right"/>
              <w:rPr>
                <w:b/>
                <w:bCs/>
                <w:noProof/>
                <w:color w:val="000000"/>
                <w:sz w:val="14"/>
                <w:szCs w:val="14"/>
              </w:rPr>
            </w:pPr>
            <w:r>
              <w:rPr>
                <w:b/>
                <w:noProof/>
                <w:color w:val="000000"/>
                <w:sz w:val="14"/>
              </w:rPr>
              <w:t xml:space="preserve"> 33 992 206</w:t>
            </w:r>
          </w:p>
        </w:tc>
        <w:tc>
          <w:tcPr>
            <w:tcW w:w="980" w:type="dxa"/>
            <w:tcBorders>
              <w:top w:val="nil"/>
              <w:left w:val="nil"/>
              <w:bottom w:val="single" w:sz="4" w:space="0" w:color="auto"/>
              <w:right w:val="single" w:sz="4" w:space="0" w:color="auto"/>
            </w:tcBorders>
            <w:shd w:val="clear" w:color="000000" w:fill="D9D9D9"/>
            <w:vAlign w:val="center"/>
            <w:hideMark/>
          </w:tcPr>
          <w:p>
            <w:pPr>
              <w:jc w:val="right"/>
              <w:rPr>
                <w:b/>
                <w:bCs/>
                <w:noProof/>
                <w:color w:val="000000"/>
                <w:sz w:val="14"/>
                <w:szCs w:val="14"/>
              </w:rPr>
            </w:pPr>
            <w:r>
              <w:rPr>
                <w:b/>
                <w:noProof/>
                <w:color w:val="000000"/>
                <w:sz w:val="14"/>
              </w:rPr>
              <w:t xml:space="preserve"> 33 992 206</w:t>
            </w:r>
          </w:p>
        </w:tc>
        <w:tc>
          <w:tcPr>
            <w:tcW w:w="1360" w:type="dxa"/>
            <w:tcBorders>
              <w:top w:val="nil"/>
              <w:left w:val="nil"/>
              <w:bottom w:val="single" w:sz="4" w:space="0" w:color="auto"/>
              <w:right w:val="single" w:sz="4" w:space="0" w:color="auto"/>
            </w:tcBorders>
            <w:shd w:val="clear" w:color="000000" w:fill="D9D9D9"/>
            <w:vAlign w:val="center"/>
            <w:hideMark/>
          </w:tcPr>
          <w:p>
            <w:pPr>
              <w:jc w:val="right"/>
              <w:rPr>
                <w:b/>
                <w:bCs/>
                <w:noProof/>
                <w:color w:val="000000"/>
                <w:sz w:val="14"/>
                <w:szCs w:val="14"/>
              </w:rPr>
            </w:pPr>
            <w:r>
              <w:rPr>
                <w:b/>
                <w:noProof/>
                <w:color w:val="000000"/>
                <w:sz w:val="14"/>
              </w:rPr>
              <w:t>160 745 158 322</w:t>
            </w:r>
          </w:p>
        </w:tc>
        <w:tc>
          <w:tcPr>
            <w:tcW w:w="1360" w:type="dxa"/>
            <w:tcBorders>
              <w:top w:val="nil"/>
              <w:left w:val="nil"/>
              <w:bottom w:val="single" w:sz="4" w:space="0" w:color="auto"/>
              <w:right w:val="single" w:sz="4" w:space="0" w:color="auto"/>
            </w:tcBorders>
            <w:shd w:val="clear" w:color="000000" w:fill="D9D9D9"/>
            <w:vAlign w:val="center"/>
            <w:hideMark/>
          </w:tcPr>
          <w:p>
            <w:pPr>
              <w:jc w:val="right"/>
              <w:rPr>
                <w:b/>
                <w:bCs/>
                <w:noProof/>
                <w:color w:val="000000"/>
                <w:sz w:val="14"/>
                <w:szCs w:val="14"/>
              </w:rPr>
            </w:pPr>
            <w:r>
              <w:rPr>
                <w:b/>
                <w:noProof/>
                <w:color w:val="000000"/>
                <w:sz w:val="14"/>
              </w:rPr>
              <w:t>144 812 619 001</w:t>
            </w:r>
          </w:p>
        </w:tc>
      </w:tr>
    </w:tbl>
    <w:p>
      <w:pPr>
        <w:rPr>
          <w:noProof/>
        </w:rPr>
      </w:pPr>
    </w:p>
    <w:sectPr>
      <w:headerReference w:type="even" r:id="rId29"/>
      <w:headerReference w:type="default" r:id="rId30"/>
      <w:footerReference w:type="even" r:id="rId31"/>
      <w:footerReference w:type="default" r:id="rId32"/>
      <w:headerReference w:type="first" r:id="rId33"/>
      <w:footerReference w:type="first" r:id="rId34"/>
      <w:pgSz w:w="11907" w:h="16839"/>
      <w:pgMar w:top="1021" w:right="1347" w:bottom="1021" w:left="1021" w:header="709" w:footer="46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 w:type="continuationNotice"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EUAlbertina">
    <w:altName w:val="EU Albertin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03606731"/>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6</w:t>
        </w:r>
        <w:r>
          <w:rPr>
            <w:noProof/>
          </w:rPr>
          <w:fldChar w:fldCharType="end"/>
        </w:r>
      </w:p>
    </w:sdtContent>
  </w:sdt>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32795468"/>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30970510"/>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3</w:t>
        </w:r>
        <w:r>
          <w:rPr>
            <w:noProof/>
          </w:rPr>
          <w:fldChar w:fldCharType="end"/>
        </w:r>
      </w:p>
    </w:sdtContent>
  </w:sdt>
  <w:p>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 w:type="continuationNotice" w:id="1">
    <w:p/>
  </w:footnote>
  <w:footnote w:id="2">
    <w:p>
      <w:pPr>
        <w:pStyle w:val="FootnoteText"/>
        <w:rPr>
          <w:lang w:val="da-DK"/>
        </w:rPr>
      </w:pPr>
      <w:r>
        <w:rPr>
          <w:rStyle w:val="FootnoteReference"/>
        </w:rPr>
        <w:footnoteRef/>
      </w:r>
      <w:r>
        <w:rPr>
          <w:lang w:val="da-DK"/>
        </w:rPr>
        <w:t xml:space="preserve"> </w:t>
      </w:r>
      <w:r>
        <w:rPr>
          <w:lang w:val="da-DK"/>
        </w:rPr>
        <w:tab/>
      </w:r>
      <w:r>
        <w:rPr>
          <w:sz w:val="18"/>
          <w:lang w:val="da-DK"/>
        </w:rPr>
        <w:t>JO L 298 du 26.10.2012, p. 1.</w:t>
      </w:r>
    </w:p>
  </w:footnote>
  <w:footnote w:id="3">
    <w:p>
      <w:pPr>
        <w:pStyle w:val="FootnoteText"/>
        <w:rPr>
          <w:lang w:val="da-DK"/>
        </w:rPr>
      </w:pPr>
      <w:r>
        <w:rPr>
          <w:rStyle w:val="FootnoteReference"/>
        </w:rPr>
        <w:footnoteRef/>
      </w:r>
      <w:r>
        <w:rPr>
          <w:lang w:val="da-DK"/>
        </w:rPr>
        <w:t xml:space="preserve"> </w:t>
      </w:r>
      <w:r>
        <w:rPr>
          <w:lang w:val="da-DK"/>
        </w:rPr>
        <w:tab/>
      </w:r>
      <w:r>
        <w:rPr>
          <w:sz w:val="18"/>
          <w:lang w:val="da-DK"/>
        </w:rPr>
        <w:t>JO L 57 du 28.2.2018, p. 1.</w:t>
      </w:r>
    </w:p>
  </w:footnote>
  <w:footnote w:id="4">
    <w:p>
      <w:pPr>
        <w:pStyle w:val="FootnoteText"/>
        <w:rPr>
          <w:lang w:val="da-DK"/>
        </w:rPr>
      </w:pPr>
      <w:r>
        <w:rPr>
          <w:rStyle w:val="FootnoteReference"/>
        </w:rPr>
        <w:footnoteRef/>
      </w:r>
      <w:r>
        <w:rPr>
          <w:lang w:val="da-DK"/>
        </w:rPr>
        <w:t xml:space="preserve"> </w:t>
      </w:r>
      <w:r>
        <w:rPr>
          <w:lang w:val="da-DK"/>
        </w:rPr>
        <w:tab/>
      </w:r>
      <w:r>
        <w:rPr>
          <w:sz w:val="18"/>
          <w:lang w:val="da-DK"/>
        </w:rPr>
        <w:t>JO L XXX du XX.XX.2018.</w:t>
      </w:r>
    </w:p>
  </w:footnote>
  <w:footnote w:id="5">
    <w:p>
      <w:pPr>
        <w:pStyle w:val="FootnoteText"/>
        <w:rPr>
          <w:lang w:val="da-DK"/>
        </w:rPr>
      </w:pPr>
      <w:r>
        <w:rPr>
          <w:rStyle w:val="FootnoteReference"/>
        </w:rPr>
        <w:footnoteRef/>
      </w:r>
      <w:r>
        <w:rPr>
          <w:lang w:val="da-DK"/>
        </w:rPr>
        <w:t xml:space="preserve"> </w:t>
      </w:r>
      <w:r>
        <w:rPr>
          <w:lang w:val="da-DK"/>
        </w:rPr>
        <w:tab/>
      </w:r>
      <w:r>
        <w:rPr>
          <w:sz w:val="18"/>
          <w:lang w:val="da-DK"/>
        </w:rPr>
        <w:t>COM(2018) 227.</w:t>
      </w:r>
    </w:p>
  </w:footnote>
  <w:footnote w:id="6">
    <w:p>
      <w:pPr>
        <w:pStyle w:val="FootnoteText"/>
        <w:rPr>
          <w:lang w:val="da-DK"/>
        </w:rPr>
      </w:pPr>
      <w:r>
        <w:rPr>
          <w:rStyle w:val="FootnoteReference"/>
        </w:rPr>
        <w:footnoteRef/>
      </w:r>
      <w:r>
        <w:rPr>
          <w:lang w:val="da-DK"/>
        </w:rPr>
        <w:t xml:space="preserve"> </w:t>
      </w:r>
      <w:r>
        <w:rPr>
          <w:lang w:val="da-DK"/>
        </w:rPr>
        <w:tab/>
        <w:t>COM(2018) 310.</w:t>
      </w:r>
    </w:p>
  </w:footnote>
  <w:footnote w:id="7">
    <w:p>
      <w:pPr>
        <w:pStyle w:val="FootnoteText"/>
      </w:pPr>
      <w:r>
        <w:rPr>
          <w:rStyle w:val="FootnoteReference"/>
        </w:rPr>
        <w:footnoteRef/>
      </w:r>
      <w:r>
        <w:t xml:space="preserve"> </w:t>
      </w:r>
      <w:r>
        <w:tab/>
        <w:t>COM(2018) 360 du 31.5.2018.</w:t>
      </w:r>
    </w:p>
  </w:footnote>
  <w:footnote w:id="8">
    <w:p>
      <w:pPr>
        <w:pStyle w:val="FootnoteText"/>
      </w:pPr>
      <w:r>
        <w:rPr>
          <w:rStyle w:val="FootnoteReference"/>
        </w:rPr>
        <w:footnoteRef/>
      </w:r>
      <w:r>
        <w:t xml:space="preserve"> </w:t>
      </w:r>
      <w:r>
        <w:tab/>
        <w:t>Décision (UE) 2017/1599 du Parlement européen et du Conseil du 13 septembre 2017 relative à la mobilisation du Fonds de solidarité de l’Union européenne pour venir en aide à l’Italie (JO L 245 du 23.9.2017) et budget rectificatif n° 4/2017 qui l’accompagne (JO L 330 du 13.12.2017).</w:t>
      </w:r>
    </w:p>
  </w:footnote>
  <w:footnote w:id="9">
    <w:p>
      <w:pPr>
        <w:pStyle w:val="FootnoteText"/>
      </w:pPr>
      <w:r>
        <w:rPr>
          <w:rStyle w:val="FootnoteReference"/>
        </w:rPr>
        <w:footnoteRef/>
      </w:r>
      <w:r>
        <w:t xml:space="preserve"> </w:t>
      </w:r>
      <w:r>
        <w:tab/>
        <w:t>Proposition de décision du Parlement européen et du Conseil relative à la mobilisation du Fonds de solidarité de l’Union européenne pour venir en aide à la Grèce, à l’Espagne, à la France et au Portugal [COM(2018) 150 du 22.2.2018] et projet de budget rectificatif n° 1/2018 qui l’accompagne [COM(2018) 150 du 22.2.2018].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rPr>
        <w:sz w:val="2"/>
        <w:szCs w:val="2"/>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rPr>
        <w:sz w:val="2"/>
        <w:szCs w:val="2"/>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4E49F88"/>
    <w:lvl w:ilvl="0">
      <w:start w:val="1"/>
      <w:numFmt w:val="decimal"/>
      <w:pStyle w:val="ListNumber5"/>
      <w:lvlText w:val="%1."/>
      <w:lvlJc w:val="left"/>
      <w:pPr>
        <w:tabs>
          <w:tab w:val="num" w:pos="1492"/>
        </w:tabs>
        <w:ind w:left="1492" w:hanging="360"/>
      </w:pPr>
    </w:lvl>
  </w:abstractNum>
  <w:abstractNum w:abstractNumId="1">
    <w:nsid w:val="FFFFFF82"/>
    <w:multiLevelType w:val="singleLevel"/>
    <w:tmpl w:val="338AC504"/>
    <w:lvl w:ilvl="0">
      <w:start w:val="1"/>
      <w:numFmt w:val="bullet"/>
      <w:pStyle w:val="ListBullet3"/>
      <w:lvlText w:val=""/>
      <w:lvlJc w:val="left"/>
      <w:pPr>
        <w:tabs>
          <w:tab w:val="num" w:pos="926"/>
        </w:tabs>
        <w:ind w:left="926" w:hanging="360"/>
      </w:pPr>
      <w:rPr>
        <w:rFonts w:ascii="Symbol" w:hAnsi="Symbol" w:hint="default"/>
      </w:rPr>
    </w:lvl>
  </w:abstractNum>
  <w:abstractNum w:abstractNumId="2">
    <w:nsid w:val="FFFFFF88"/>
    <w:multiLevelType w:val="singleLevel"/>
    <w:tmpl w:val="EA1A9734"/>
    <w:lvl w:ilvl="0">
      <w:start w:val="1"/>
      <w:numFmt w:val="decimal"/>
      <w:lvlText w:val="%1."/>
      <w:lvlJc w:val="left"/>
      <w:pPr>
        <w:tabs>
          <w:tab w:val="num" w:pos="360"/>
        </w:tabs>
        <w:ind w:left="360" w:hanging="360"/>
      </w:pPr>
    </w:lvl>
  </w:abstractNum>
  <w:abstractNum w:abstractNumId="3">
    <w:nsid w:val="04D63873"/>
    <w:multiLevelType w:val="multilevel"/>
    <w:tmpl w:val="86FE23B4"/>
    <w:lvl w:ilvl="0">
      <w:start w:val="1"/>
      <w:numFmt w:val="decimal"/>
      <w:lvlRestart w:val="0"/>
      <w:pStyle w:val="ListNumber"/>
      <w:lvlText w:val="(%1)"/>
      <w:lvlJc w:val="left"/>
      <w:pPr>
        <w:tabs>
          <w:tab w:val="num" w:pos="709"/>
        </w:tabs>
        <w:ind w:left="709" w:hanging="709"/>
      </w:pPr>
      <w:rPr>
        <w:rFonts w:hint="default"/>
      </w:rPr>
    </w:lvl>
    <w:lvl w:ilvl="1">
      <w:start w:val="1"/>
      <w:numFmt w:val="lowerLetter"/>
      <w:pStyle w:val="ListNumberLevel2"/>
      <w:lvlText w:val="(%2)"/>
      <w:lvlJc w:val="left"/>
      <w:pPr>
        <w:tabs>
          <w:tab w:val="num" w:pos="1417"/>
        </w:tabs>
        <w:ind w:left="1417" w:hanging="708"/>
      </w:pPr>
      <w:rPr>
        <w:rFonts w:hint="default"/>
      </w:rPr>
    </w:lvl>
    <w:lvl w:ilvl="2">
      <w:start w:val="1"/>
      <w:numFmt w:val="bullet"/>
      <w:pStyle w:val="ListNumberLevel3"/>
      <w:lvlText w:val="–"/>
      <w:lvlJc w:val="left"/>
      <w:pPr>
        <w:tabs>
          <w:tab w:val="num" w:pos="2126"/>
        </w:tabs>
        <w:ind w:left="2126" w:hanging="709"/>
      </w:pPr>
      <w:rPr>
        <w:rFonts w:ascii="Times New Roman" w:hAnsi="Times New Roman" w:cs="Times New Roman" w:hint="default"/>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nsid w:val="08BE211A"/>
    <w:multiLevelType w:val="hybridMultilevel"/>
    <w:tmpl w:val="B8AAEDF2"/>
    <w:lvl w:ilvl="0" w:tplc="767E329A">
      <w:start w:val="1"/>
      <w:numFmt w:val="bullet"/>
      <w:lvlText w:val="-"/>
      <w:lvlJc w:val="left"/>
      <w:pPr>
        <w:ind w:left="720" w:hanging="360"/>
      </w:pPr>
      <w:rPr>
        <w:rFonts w:ascii="Times New Roman" w:eastAsia="Times New Roman" w:hAnsi="Times New Roman" w:cs="Times New Roman" w:hint="default"/>
        <w:sz w:val="23"/>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CFF3F75"/>
    <w:multiLevelType w:val="hybridMultilevel"/>
    <w:tmpl w:val="A6E6743C"/>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7">
    <w:nsid w:val="1EBC3E06"/>
    <w:multiLevelType w:val="hybridMultilevel"/>
    <w:tmpl w:val="745C6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99C6FA8"/>
    <w:multiLevelType w:val="hybridMultilevel"/>
    <w:tmpl w:val="D7D82866"/>
    <w:lvl w:ilvl="0" w:tplc="70981A52">
      <w:start w:val="1"/>
      <w:numFmt w:val="bullet"/>
      <w:lvlText w:val=""/>
      <w:lvlJc w:val="left"/>
      <w:pPr>
        <w:ind w:left="525" w:hanging="525"/>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nsid w:val="2C8D5AD3"/>
    <w:multiLevelType w:val="singleLevel"/>
    <w:tmpl w:val="82EE6B70"/>
    <w:lvl w:ilvl="0">
      <w:start w:val="1"/>
      <w:numFmt w:val="bullet"/>
      <w:pStyle w:val="ListBullet2"/>
      <w:lvlText w:val=""/>
      <w:lvlJc w:val="left"/>
      <w:pPr>
        <w:tabs>
          <w:tab w:val="num" w:pos="1360"/>
        </w:tabs>
        <w:ind w:left="1360" w:hanging="283"/>
      </w:pPr>
      <w:rPr>
        <w:rFonts w:ascii="Symbol" w:hAnsi="Symbol"/>
      </w:rPr>
    </w:lvl>
  </w:abstractNum>
  <w:abstractNum w:abstractNumId="10">
    <w:nsid w:val="2CE46741"/>
    <w:multiLevelType w:val="hybridMultilevel"/>
    <w:tmpl w:val="CF823D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082309E"/>
    <w:multiLevelType w:val="hybridMultilevel"/>
    <w:tmpl w:val="C55042C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nsid w:val="32A52C4F"/>
    <w:multiLevelType w:val="singleLevel"/>
    <w:tmpl w:val="CEFC5A24"/>
    <w:lvl w:ilvl="0">
      <w:start w:val="1"/>
      <w:numFmt w:val="bullet"/>
      <w:lvlRestart w:val="0"/>
      <w:pStyle w:val="Tiret0"/>
      <w:lvlText w:val="–"/>
      <w:lvlJc w:val="left"/>
      <w:pPr>
        <w:tabs>
          <w:tab w:val="num" w:pos="850"/>
        </w:tabs>
        <w:ind w:left="850" w:hanging="850"/>
      </w:pPr>
    </w:lvl>
  </w:abstractNum>
  <w:abstractNum w:abstractNumId="13">
    <w:nsid w:val="34AF67B3"/>
    <w:multiLevelType w:val="hybridMultilevel"/>
    <w:tmpl w:val="206672F4"/>
    <w:lvl w:ilvl="0" w:tplc="5FD4A2D4">
      <w:start w:val="2"/>
      <w:numFmt w:val="bullet"/>
      <w:lvlText w:val="·"/>
      <w:lvlJc w:val="left"/>
      <w:pPr>
        <w:ind w:left="885" w:hanging="525"/>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3A7730C4"/>
    <w:multiLevelType w:val="singleLevel"/>
    <w:tmpl w:val="456C96DE"/>
    <w:lvl w:ilvl="0">
      <w:start w:val="1"/>
      <w:numFmt w:val="bullet"/>
      <w:pStyle w:val="ListBullet1"/>
      <w:lvlText w:val=""/>
      <w:lvlJc w:val="left"/>
      <w:pPr>
        <w:tabs>
          <w:tab w:val="num" w:pos="765"/>
        </w:tabs>
        <w:ind w:left="765" w:hanging="283"/>
      </w:pPr>
      <w:rPr>
        <w:rFonts w:ascii="Symbol" w:hAnsi="Symbol"/>
      </w:rPr>
    </w:lvl>
  </w:abstractNum>
  <w:abstractNum w:abstractNumId="15">
    <w:nsid w:val="40315490"/>
    <w:multiLevelType w:val="singleLevel"/>
    <w:tmpl w:val="1F86C700"/>
    <w:lvl w:ilvl="0">
      <w:start w:val="1"/>
      <w:numFmt w:val="bullet"/>
      <w:lvlRestart w:val="0"/>
      <w:lvlText w:val="–"/>
      <w:lvlJc w:val="left"/>
      <w:pPr>
        <w:tabs>
          <w:tab w:val="num" w:pos="283"/>
        </w:tabs>
        <w:ind w:left="283" w:hanging="283"/>
      </w:pPr>
      <w:rPr>
        <w:rFonts w:ascii="Times New Roman" w:hAnsi="Times New Roman" w:cs="Times New Roman"/>
      </w:rPr>
    </w:lvl>
  </w:abstractNum>
  <w:abstractNum w:abstractNumId="16">
    <w:nsid w:val="42B56982"/>
    <w:multiLevelType w:val="hybridMultilevel"/>
    <w:tmpl w:val="D0D27DF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nsid w:val="469A4672"/>
    <w:multiLevelType w:val="hybridMultilevel"/>
    <w:tmpl w:val="A9FA8E76"/>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53290503"/>
    <w:multiLevelType w:val="hybridMultilevel"/>
    <w:tmpl w:val="ADD2FC7E"/>
    <w:lvl w:ilvl="0" w:tplc="767E329A">
      <w:start w:val="1"/>
      <w:numFmt w:val="bullet"/>
      <w:lvlText w:val="-"/>
      <w:lvlJc w:val="left"/>
      <w:pPr>
        <w:ind w:left="720" w:hanging="360"/>
      </w:pPr>
      <w:rPr>
        <w:rFonts w:ascii="Times New Roman" w:eastAsia="Times New Roman" w:hAnsi="Times New Roman" w:cs="Times New Roman" w:hint="default"/>
        <w:sz w:val="23"/>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54E76506"/>
    <w:multiLevelType w:val="hybridMultilevel"/>
    <w:tmpl w:val="9AFA166C"/>
    <w:lvl w:ilvl="0" w:tplc="49467B38">
      <w:start w:val="13"/>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5F8C3B69"/>
    <w:multiLevelType w:val="multilevel"/>
    <w:tmpl w:val="C18A497C"/>
    <w:lvl w:ilvl="0">
      <w:start w:val="1"/>
      <w:numFmt w:val="decimal"/>
      <w:lvlRestart w:val="0"/>
      <w:lvlText w:val="(%1)"/>
      <w:lvlJc w:val="left"/>
      <w:pPr>
        <w:tabs>
          <w:tab w:val="num" w:pos="709"/>
        </w:tabs>
        <w:ind w:left="709" w:hanging="709"/>
      </w:pPr>
    </w:lvl>
    <w:lvl w:ilvl="1">
      <w:start w:val="1"/>
      <w:numFmt w:val="lowerLetter"/>
      <w:lvlText w:val="(%2)"/>
      <w:lvlJc w:val="left"/>
      <w:pPr>
        <w:tabs>
          <w:tab w:val="num" w:pos="1417"/>
        </w:tabs>
        <w:ind w:left="1417" w:hanging="708"/>
      </w:pPr>
    </w:lvl>
    <w:lvl w:ilvl="2">
      <w:start w:val="1"/>
      <w:numFmt w:val="bullet"/>
      <w:lvlText w:val="–"/>
      <w:lvlJc w:val="left"/>
      <w:pPr>
        <w:tabs>
          <w:tab w:val="num" w:pos="2126"/>
        </w:tabs>
        <w:ind w:left="2126" w:hanging="709"/>
      </w:pPr>
      <w:rPr>
        <w:rFonts w:ascii="Times New Roman" w:hAnsi="Times New Roman" w:cs="Times New Roman"/>
      </w:rPr>
    </w:lvl>
    <w:lvl w:ilvl="3">
      <w:start w:val="1"/>
      <w:numFmt w:val="bullet"/>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2">
    <w:nsid w:val="69AD6263"/>
    <w:multiLevelType w:val="hybridMultilevel"/>
    <w:tmpl w:val="9356CC4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6D2B5511"/>
    <w:multiLevelType w:val="singleLevel"/>
    <w:tmpl w:val="74A09970"/>
    <w:name w:val="Heading__2"/>
    <w:lvl w:ilvl="0">
      <w:start w:val="1"/>
      <w:numFmt w:val="bullet"/>
      <w:lvlRestart w:val="0"/>
      <w:pStyle w:val="ListBullet"/>
      <w:lvlText w:val=""/>
      <w:lvlJc w:val="left"/>
      <w:pPr>
        <w:tabs>
          <w:tab w:val="num" w:pos="283"/>
        </w:tabs>
        <w:ind w:left="283" w:hanging="283"/>
      </w:pPr>
      <w:rPr>
        <w:rFonts w:ascii="Symbol" w:hAnsi="Symbol" w:hint="default"/>
      </w:rPr>
    </w:lvl>
  </w:abstractNum>
  <w:abstractNum w:abstractNumId="24">
    <w:nsid w:val="724A4950"/>
    <w:multiLevelType w:val="hybridMultilevel"/>
    <w:tmpl w:val="71D679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nsid w:val="72796537"/>
    <w:multiLevelType w:val="hybridMultilevel"/>
    <w:tmpl w:val="307437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72AC004F"/>
    <w:multiLevelType w:val="multilevel"/>
    <w:tmpl w:val="57CA7644"/>
    <w:lvl w:ilvl="0">
      <w:start w:val="1"/>
      <w:numFmt w:val="decimal"/>
      <w:lvlRestart w:val="0"/>
      <w:lvlText w:val="(%1)"/>
      <w:lvlJc w:val="left"/>
      <w:pPr>
        <w:tabs>
          <w:tab w:val="num" w:pos="709"/>
        </w:tabs>
        <w:ind w:left="709" w:hanging="709"/>
      </w:pPr>
      <w:rPr>
        <w:rFonts w:hint="default"/>
      </w:rPr>
    </w:lvl>
    <w:lvl w:ilvl="1">
      <w:start w:val="1"/>
      <w:numFmt w:val="lowerLetter"/>
      <w:lvlText w:val="(%2)"/>
      <w:lvlJc w:val="left"/>
      <w:pPr>
        <w:tabs>
          <w:tab w:val="num" w:pos="1417"/>
        </w:tabs>
        <w:ind w:left="1417" w:hanging="708"/>
      </w:pPr>
      <w:rPr>
        <w:rFonts w:hint="default"/>
      </w:rPr>
    </w:lvl>
    <w:lvl w:ilvl="2">
      <w:start w:val="1"/>
      <w:numFmt w:val="bullet"/>
      <w:lvlText w:val="–"/>
      <w:lvlJc w:val="left"/>
      <w:pPr>
        <w:tabs>
          <w:tab w:val="num" w:pos="2126"/>
        </w:tabs>
        <w:ind w:left="2126" w:hanging="709"/>
      </w:pPr>
      <w:rPr>
        <w:rFonts w:ascii="Times New Roman" w:hAnsi="Times New Roman" w:cs="Times New Roman" w:hint="default"/>
      </w:rPr>
    </w:lvl>
    <w:lvl w:ilvl="3">
      <w:start w:val="1"/>
      <w:numFmt w:val="bullet"/>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7">
    <w:nsid w:val="7AC94459"/>
    <w:multiLevelType w:val="hybridMultilevel"/>
    <w:tmpl w:val="AB8E07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15"/>
  </w:num>
  <w:num w:numId="3">
    <w:abstractNumId w:val="23"/>
  </w:num>
  <w:num w:numId="4">
    <w:abstractNumId w:val="14"/>
  </w:num>
  <w:num w:numId="5">
    <w:abstractNumId w:val="9"/>
  </w:num>
  <w:num w:numId="6">
    <w:abstractNumId w:val="20"/>
  </w:num>
  <w:num w:numId="7">
    <w:abstractNumId w:val="6"/>
  </w:num>
  <w:num w:numId="8">
    <w:abstractNumId w:val="21"/>
  </w:num>
  <w:num w:numId="9">
    <w:abstractNumId w:val="0"/>
  </w:num>
  <w:num w:numId="10">
    <w:abstractNumId w:val="1"/>
  </w:num>
  <w:num w:numId="11">
    <w:abstractNumId w:val="11"/>
  </w:num>
  <w:num w:numId="12">
    <w:abstractNumId w:val="15"/>
  </w:num>
  <w:num w:numId="13">
    <w:abstractNumId w:val="16"/>
  </w:num>
  <w:num w:numId="14">
    <w:abstractNumId w:val="15"/>
  </w:num>
  <w:num w:numId="15">
    <w:abstractNumId w:val="15"/>
  </w:num>
  <w:num w:numId="16">
    <w:abstractNumId w:val="15"/>
  </w:num>
  <w:num w:numId="17">
    <w:abstractNumId w:val="5"/>
  </w:num>
  <w:num w:numId="18">
    <w:abstractNumId w:val="17"/>
  </w:num>
  <w:num w:numId="19">
    <w:abstractNumId w:val="25"/>
  </w:num>
  <w:num w:numId="20">
    <w:abstractNumId w:val="20"/>
  </w:num>
  <w:num w:numId="21">
    <w:abstractNumId w:val="2"/>
  </w:num>
  <w:num w:numId="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0"/>
  </w:num>
  <w:num w:numId="24">
    <w:abstractNumId w:val="20"/>
  </w:num>
  <w:num w:numId="25">
    <w:abstractNumId w:val="20"/>
  </w:num>
  <w:num w:numId="26">
    <w:abstractNumId w:val="20"/>
  </w:num>
  <w:num w:numId="27">
    <w:abstractNumId w:val="26"/>
  </w:num>
  <w:num w:numId="28">
    <w:abstractNumId w:val="3"/>
  </w:num>
  <w:num w:numId="29">
    <w:abstractNumId w:val="3"/>
    <w:lvlOverride w:ilvl="0">
      <w:lvl w:ilvl="0">
        <w:start w:val="1"/>
        <w:numFmt w:val="decimal"/>
        <w:lvlRestart w:val="0"/>
        <w:pStyle w:val="ListNumber"/>
        <w:lvlText w:val="(%1)"/>
        <w:lvlJc w:val="left"/>
        <w:pPr>
          <w:tabs>
            <w:tab w:val="num" w:pos="709"/>
          </w:tabs>
          <w:ind w:left="709" w:hanging="709"/>
        </w:pPr>
        <w:rPr>
          <w:rFonts w:hint="default"/>
        </w:rPr>
      </w:lvl>
    </w:lvlOverride>
    <w:lvlOverride w:ilvl="1">
      <w:lvl w:ilvl="1">
        <w:start w:val="1"/>
        <w:numFmt w:val="lowerLetter"/>
        <w:pStyle w:val="ListNumberLevel2"/>
        <w:lvlText w:val="(%2)"/>
        <w:lvlJc w:val="left"/>
        <w:pPr>
          <w:tabs>
            <w:tab w:val="num" w:pos="1417"/>
          </w:tabs>
          <w:ind w:left="1417" w:hanging="708"/>
        </w:pPr>
        <w:rPr>
          <w:rFonts w:hint="default"/>
        </w:rPr>
      </w:lvl>
    </w:lvlOverride>
    <w:lvlOverride w:ilvl="2">
      <w:lvl w:ilvl="2">
        <w:start w:val="1"/>
        <w:numFmt w:val="bullet"/>
        <w:pStyle w:val="ListNumberLevel3"/>
        <w:lvlText w:val="–"/>
        <w:lvlJc w:val="left"/>
        <w:pPr>
          <w:tabs>
            <w:tab w:val="num" w:pos="2126"/>
          </w:tabs>
          <w:ind w:left="2126" w:hanging="709"/>
        </w:pPr>
        <w:rPr>
          <w:rFonts w:ascii="Times New Roman" w:hAnsi="Times New Roman" w:cs="Times New Roman" w:hint="default"/>
        </w:rPr>
      </w:lvl>
    </w:lvlOverride>
    <w:lvlOverride w:ilvl="3">
      <w:lvl w:ilvl="3">
        <w:start w:val="1"/>
        <w:numFmt w:val="bullet"/>
        <w:pStyle w:val="ListNumberLevel4"/>
        <w:lvlText w:val=""/>
        <w:lvlJc w:val="left"/>
        <w:pPr>
          <w:tabs>
            <w:tab w:val="num" w:pos="2835"/>
          </w:tabs>
          <w:ind w:left="2835" w:hanging="709"/>
        </w:pPr>
        <w:rPr>
          <w:rFonts w:ascii="Symbol" w:hAnsi="Symbol" w:hint="default"/>
        </w:rPr>
      </w:lvl>
    </w:lvlOverride>
    <w:lvlOverride w:ilvl="4">
      <w:lvl w:ilvl="4">
        <w:start w:val="1"/>
        <w:numFmt w:val="lowerLetter"/>
        <w:lvlText w:val="(%5)"/>
        <w:lvlJc w:val="left"/>
        <w:pPr>
          <w:tabs>
            <w:tab w:val="num" w:pos="1800"/>
          </w:tabs>
          <w:ind w:left="1800" w:hanging="360"/>
        </w:pPr>
        <w:rPr>
          <w:rFonts w:hint="default"/>
        </w:rPr>
      </w:lvl>
    </w:lvlOverride>
    <w:lvlOverride w:ilvl="5">
      <w:lvl w:ilvl="5">
        <w:start w:val="1"/>
        <w:numFmt w:val="lowerRoman"/>
        <w:lvlText w:val="(%6)"/>
        <w:lvlJc w:val="left"/>
        <w:pPr>
          <w:tabs>
            <w:tab w:val="num" w:pos="2160"/>
          </w:tabs>
          <w:ind w:left="2160" w:hanging="360"/>
        </w:pPr>
        <w:rPr>
          <w:rFonts w:hint="default"/>
        </w:rPr>
      </w:lvl>
    </w:lvlOverride>
    <w:lvlOverride w:ilvl="6">
      <w:lvl w:ilvl="6">
        <w:start w:val="1"/>
        <w:numFmt w:val="decimal"/>
        <w:lvlText w:val="%7."/>
        <w:lvlJc w:val="left"/>
        <w:pPr>
          <w:tabs>
            <w:tab w:val="num" w:pos="2520"/>
          </w:tabs>
          <w:ind w:left="2520" w:hanging="360"/>
        </w:pPr>
        <w:rPr>
          <w:rFonts w:hint="default"/>
        </w:rPr>
      </w:lvl>
    </w:lvlOverride>
    <w:lvlOverride w:ilvl="7">
      <w:lvl w:ilvl="7">
        <w:start w:val="1"/>
        <w:numFmt w:val="lowerLetter"/>
        <w:lvlText w:val="%8."/>
        <w:lvlJc w:val="left"/>
        <w:pPr>
          <w:tabs>
            <w:tab w:val="num" w:pos="2880"/>
          </w:tabs>
          <w:ind w:left="2880" w:hanging="360"/>
        </w:pPr>
        <w:rPr>
          <w:rFonts w:hint="default"/>
        </w:rPr>
      </w:lvl>
    </w:lvlOverride>
    <w:lvlOverride w:ilvl="8">
      <w:lvl w:ilvl="8">
        <w:start w:val="1"/>
        <w:numFmt w:val="lowerRoman"/>
        <w:lvlText w:val="%9."/>
        <w:lvlJc w:val="left"/>
        <w:pPr>
          <w:tabs>
            <w:tab w:val="num" w:pos="3240"/>
          </w:tabs>
          <w:ind w:left="3240" w:hanging="360"/>
        </w:pPr>
        <w:rPr>
          <w:rFonts w:hint="default"/>
        </w:rPr>
      </w:lvl>
    </w:lvlOverride>
  </w:num>
  <w:num w:numId="30">
    <w:abstractNumId w:val="3"/>
    <w:lvlOverride w:ilvl="0">
      <w:lvl w:ilvl="0">
        <w:start w:val="1"/>
        <w:numFmt w:val="decimal"/>
        <w:lvlRestart w:val="0"/>
        <w:pStyle w:val="ListNumber"/>
        <w:lvlText w:val="(%1)"/>
        <w:lvlJc w:val="left"/>
        <w:pPr>
          <w:tabs>
            <w:tab w:val="num" w:pos="709"/>
          </w:tabs>
          <w:ind w:left="709" w:hanging="709"/>
        </w:pPr>
        <w:rPr>
          <w:rFonts w:hint="default"/>
        </w:rPr>
      </w:lvl>
    </w:lvlOverride>
    <w:lvlOverride w:ilvl="1">
      <w:lvl w:ilvl="1">
        <w:start w:val="1"/>
        <w:numFmt w:val="lowerLetter"/>
        <w:pStyle w:val="ListNumberLevel2"/>
        <w:lvlText w:val="(%2)"/>
        <w:lvlJc w:val="left"/>
        <w:pPr>
          <w:tabs>
            <w:tab w:val="num" w:pos="1417"/>
          </w:tabs>
          <w:ind w:left="1417" w:hanging="708"/>
        </w:pPr>
        <w:rPr>
          <w:rFonts w:hint="default"/>
        </w:rPr>
      </w:lvl>
    </w:lvlOverride>
    <w:lvlOverride w:ilvl="2">
      <w:lvl w:ilvl="2">
        <w:start w:val="1"/>
        <w:numFmt w:val="bullet"/>
        <w:pStyle w:val="ListNumberLevel3"/>
        <w:lvlText w:val="–"/>
        <w:lvlJc w:val="left"/>
        <w:pPr>
          <w:tabs>
            <w:tab w:val="num" w:pos="2126"/>
          </w:tabs>
          <w:ind w:left="2126" w:hanging="709"/>
        </w:pPr>
        <w:rPr>
          <w:rFonts w:ascii="Times New Roman" w:hAnsi="Times New Roman" w:cs="Times New Roman" w:hint="default"/>
        </w:rPr>
      </w:lvl>
    </w:lvlOverride>
    <w:lvlOverride w:ilvl="3">
      <w:lvl w:ilvl="3">
        <w:start w:val="1"/>
        <w:numFmt w:val="bullet"/>
        <w:pStyle w:val="ListNumberLevel4"/>
        <w:lvlText w:val=""/>
        <w:lvlJc w:val="left"/>
        <w:pPr>
          <w:tabs>
            <w:tab w:val="num" w:pos="2835"/>
          </w:tabs>
          <w:ind w:left="2835" w:hanging="709"/>
        </w:pPr>
        <w:rPr>
          <w:rFonts w:ascii="Symbol" w:hAnsi="Symbol" w:hint="default"/>
        </w:rPr>
      </w:lvl>
    </w:lvlOverride>
    <w:lvlOverride w:ilvl="4">
      <w:lvl w:ilvl="4">
        <w:start w:val="1"/>
        <w:numFmt w:val="lowerLetter"/>
        <w:lvlText w:val="(%5)"/>
        <w:lvlJc w:val="left"/>
        <w:pPr>
          <w:tabs>
            <w:tab w:val="num" w:pos="1800"/>
          </w:tabs>
          <w:ind w:left="1800" w:hanging="360"/>
        </w:pPr>
        <w:rPr>
          <w:rFonts w:hint="default"/>
        </w:rPr>
      </w:lvl>
    </w:lvlOverride>
    <w:lvlOverride w:ilvl="5">
      <w:lvl w:ilvl="5">
        <w:start w:val="1"/>
        <w:numFmt w:val="lowerRoman"/>
        <w:lvlText w:val="(%6)"/>
        <w:lvlJc w:val="left"/>
        <w:pPr>
          <w:tabs>
            <w:tab w:val="num" w:pos="2160"/>
          </w:tabs>
          <w:ind w:left="2160" w:hanging="360"/>
        </w:pPr>
        <w:rPr>
          <w:rFonts w:hint="default"/>
        </w:rPr>
      </w:lvl>
    </w:lvlOverride>
    <w:lvlOverride w:ilvl="6">
      <w:lvl w:ilvl="6">
        <w:start w:val="1"/>
        <w:numFmt w:val="decimal"/>
        <w:lvlText w:val="%7."/>
        <w:lvlJc w:val="left"/>
        <w:pPr>
          <w:tabs>
            <w:tab w:val="num" w:pos="2520"/>
          </w:tabs>
          <w:ind w:left="2520" w:hanging="360"/>
        </w:pPr>
        <w:rPr>
          <w:rFonts w:hint="default"/>
        </w:rPr>
      </w:lvl>
    </w:lvlOverride>
    <w:lvlOverride w:ilvl="7">
      <w:lvl w:ilvl="7">
        <w:start w:val="1"/>
        <w:numFmt w:val="lowerLetter"/>
        <w:lvlText w:val="%8."/>
        <w:lvlJc w:val="left"/>
        <w:pPr>
          <w:tabs>
            <w:tab w:val="num" w:pos="2880"/>
          </w:tabs>
          <w:ind w:left="2880" w:hanging="360"/>
        </w:pPr>
        <w:rPr>
          <w:rFonts w:hint="default"/>
        </w:rPr>
      </w:lvl>
    </w:lvlOverride>
    <w:lvlOverride w:ilvl="8">
      <w:lvl w:ilvl="8">
        <w:start w:val="1"/>
        <w:numFmt w:val="lowerRoman"/>
        <w:lvlText w:val="%9."/>
        <w:lvlJc w:val="left"/>
        <w:pPr>
          <w:tabs>
            <w:tab w:val="num" w:pos="3240"/>
          </w:tabs>
          <w:ind w:left="3240" w:hanging="360"/>
        </w:pPr>
        <w:rPr>
          <w:rFonts w:hint="default"/>
        </w:rPr>
      </w:lvl>
    </w:lvlOverride>
  </w:num>
  <w:num w:numId="31">
    <w:abstractNumId w:val="3"/>
    <w:lvlOverride w:ilvl="0">
      <w:startOverride w:val="1"/>
      <w:lvl w:ilvl="0">
        <w:start w:val="1"/>
        <w:numFmt w:val="decimal"/>
        <w:lvlRestart w:val="0"/>
        <w:pStyle w:val="ListNumber"/>
        <w:lvlText w:val="(%1)"/>
        <w:lvlJc w:val="left"/>
        <w:pPr>
          <w:tabs>
            <w:tab w:val="num" w:pos="709"/>
          </w:tabs>
          <w:ind w:left="709" w:hanging="709"/>
        </w:pPr>
        <w:rPr>
          <w:rFonts w:hint="default"/>
        </w:rPr>
      </w:lvl>
    </w:lvlOverride>
    <w:lvlOverride w:ilvl="1">
      <w:startOverride w:val="1"/>
      <w:lvl w:ilvl="1">
        <w:start w:val="1"/>
        <w:numFmt w:val="lowerLetter"/>
        <w:pStyle w:val="ListNumberLevel2"/>
        <w:lvlText w:val="(%2)"/>
        <w:lvlJc w:val="left"/>
        <w:pPr>
          <w:tabs>
            <w:tab w:val="num" w:pos="1417"/>
          </w:tabs>
          <w:ind w:left="1417" w:hanging="708"/>
        </w:pPr>
        <w:rPr>
          <w:rFonts w:hint="default"/>
        </w:rPr>
      </w:lvl>
    </w:lvlOverride>
    <w:lvlOverride w:ilvl="2">
      <w:startOverride w:val="1"/>
      <w:lvl w:ilvl="2">
        <w:start w:val="1"/>
        <w:numFmt w:val="bullet"/>
        <w:pStyle w:val="ListNumberLevel3"/>
        <w:lvlText w:val="–"/>
        <w:lvlJc w:val="left"/>
        <w:pPr>
          <w:tabs>
            <w:tab w:val="num" w:pos="2126"/>
          </w:tabs>
          <w:ind w:left="2126" w:hanging="709"/>
        </w:pPr>
        <w:rPr>
          <w:rFonts w:ascii="Times New Roman" w:hAnsi="Times New Roman" w:cs="Times New Roman" w:hint="default"/>
        </w:rPr>
      </w:lvl>
    </w:lvlOverride>
    <w:lvlOverride w:ilvl="3">
      <w:startOverride w:val="1"/>
      <w:lvl w:ilvl="3">
        <w:start w:val="1"/>
        <w:numFmt w:val="bullet"/>
        <w:pStyle w:val="ListNumberLevel4"/>
        <w:lvlText w:val=""/>
        <w:lvlJc w:val="left"/>
        <w:pPr>
          <w:tabs>
            <w:tab w:val="num" w:pos="2835"/>
          </w:tabs>
          <w:ind w:left="2835" w:hanging="709"/>
        </w:pPr>
        <w:rPr>
          <w:rFonts w:ascii="Symbol" w:hAnsi="Symbol" w:hint="default"/>
        </w:rPr>
      </w:lvl>
    </w:lvlOverride>
    <w:lvlOverride w:ilvl="4">
      <w:startOverride w:val="1"/>
      <w:lvl w:ilvl="4">
        <w:start w:val="1"/>
        <w:numFmt w:val="lowerLetter"/>
        <w:lvlText w:val="(%5)"/>
        <w:lvlJc w:val="left"/>
        <w:pPr>
          <w:tabs>
            <w:tab w:val="num" w:pos="1800"/>
          </w:tabs>
          <w:ind w:left="1800" w:hanging="360"/>
        </w:pPr>
        <w:rPr>
          <w:rFonts w:hint="default"/>
        </w:rPr>
      </w:lvl>
    </w:lvlOverride>
    <w:lvlOverride w:ilvl="5">
      <w:startOverride w:val="1"/>
      <w:lvl w:ilvl="5">
        <w:start w:val="1"/>
        <w:numFmt w:val="lowerRoman"/>
        <w:lvlText w:val="(%6)"/>
        <w:lvlJc w:val="left"/>
        <w:pPr>
          <w:tabs>
            <w:tab w:val="num" w:pos="2160"/>
          </w:tabs>
          <w:ind w:left="2160" w:hanging="360"/>
        </w:pPr>
        <w:rPr>
          <w:rFonts w:hint="default"/>
        </w:rPr>
      </w:lvl>
    </w:lvlOverride>
    <w:lvlOverride w:ilvl="6">
      <w:startOverride w:val="1"/>
      <w:lvl w:ilvl="6">
        <w:start w:val="1"/>
        <w:numFmt w:val="decimal"/>
        <w:lvlText w:val="%7."/>
        <w:lvlJc w:val="left"/>
        <w:pPr>
          <w:tabs>
            <w:tab w:val="num" w:pos="2520"/>
          </w:tabs>
          <w:ind w:left="2520" w:hanging="360"/>
        </w:pPr>
        <w:rPr>
          <w:rFonts w:hint="default"/>
        </w:rPr>
      </w:lvl>
    </w:lvlOverride>
    <w:lvlOverride w:ilvl="7">
      <w:startOverride w:val="1"/>
      <w:lvl w:ilvl="7">
        <w:start w:val="1"/>
        <w:numFmt w:val="lowerLetter"/>
        <w:lvlText w:val="%8."/>
        <w:lvlJc w:val="left"/>
        <w:pPr>
          <w:tabs>
            <w:tab w:val="num" w:pos="2880"/>
          </w:tabs>
          <w:ind w:left="2880" w:hanging="360"/>
        </w:pPr>
        <w:rPr>
          <w:rFonts w:hint="default"/>
        </w:rPr>
      </w:lvl>
    </w:lvlOverride>
    <w:lvlOverride w:ilvl="8">
      <w:startOverride w:val="1"/>
      <w:lvl w:ilvl="8">
        <w:start w:val="1"/>
        <w:numFmt w:val="lowerRoman"/>
        <w:lvlText w:val="%9."/>
        <w:lvlJc w:val="left"/>
        <w:pPr>
          <w:tabs>
            <w:tab w:val="num" w:pos="3240"/>
          </w:tabs>
          <w:ind w:left="3240" w:hanging="360"/>
        </w:pPr>
        <w:rPr>
          <w:rFonts w:hint="default"/>
        </w:rPr>
      </w:lvl>
    </w:lvlOverride>
  </w:num>
  <w:num w:numId="32">
    <w:abstractNumId w:val="3"/>
    <w:lvlOverride w:ilvl="0">
      <w:startOverride w:val="1"/>
      <w:lvl w:ilvl="0">
        <w:start w:val="1"/>
        <w:numFmt w:val="decimal"/>
        <w:lvlRestart w:val="0"/>
        <w:pStyle w:val="ListNumber"/>
        <w:lvlText w:val="(%1)"/>
        <w:lvlJc w:val="left"/>
        <w:pPr>
          <w:tabs>
            <w:tab w:val="num" w:pos="709"/>
          </w:tabs>
          <w:ind w:left="709" w:hanging="709"/>
        </w:pPr>
        <w:rPr>
          <w:rFonts w:hint="default"/>
        </w:rPr>
      </w:lvl>
    </w:lvlOverride>
    <w:lvlOverride w:ilvl="1">
      <w:startOverride w:val="1"/>
      <w:lvl w:ilvl="1">
        <w:start w:val="1"/>
        <w:numFmt w:val="lowerLetter"/>
        <w:pStyle w:val="ListNumberLevel2"/>
        <w:lvlText w:val="(%2)"/>
        <w:lvlJc w:val="left"/>
        <w:pPr>
          <w:tabs>
            <w:tab w:val="num" w:pos="1417"/>
          </w:tabs>
          <w:ind w:left="1417" w:hanging="708"/>
        </w:pPr>
        <w:rPr>
          <w:rFonts w:hint="default"/>
        </w:rPr>
      </w:lvl>
    </w:lvlOverride>
    <w:lvlOverride w:ilvl="2">
      <w:startOverride w:val="1"/>
      <w:lvl w:ilvl="2">
        <w:start w:val="1"/>
        <w:numFmt w:val="bullet"/>
        <w:pStyle w:val="ListNumberLevel3"/>
        <w:lvlText w:val="–"/>
        <w:lvlJc w:val="left"/>
        <w:pPr>
          <w:tabs>
            <w:tab w:val="num" w:pos="2126"/>
          </w:tabs>
          <w:ind w:left="2126" w:hanging="709"/>
        </w:pPr>
        <w:rPr>
          <w:rFonts w:ascii="Times New Roman" w:hAnsi="Times New Roman" w:cs="Times New Roman" w:hint="default"/>
        </w:rPr>
      </w:lvl>
    </w:lvlOverride>
    <w:lvlOverride w:ilvl="3">
      <w:startOverride w:val="1"/>
      <w:lvl w:ilvl="3">
        <w:start w:val="1"/>
        <w:numFmt w:val="bullet"/>
        <w:pStyle w:val="ListNumberLevel4"/>
        <w:lvlText w:val=""/>
        <w:lvlJc w:val="left"/>
        <w:pPr>
          <w:tabs>
            <w:tab w:val="num" w:pos="2835"/>
          </w:tabs>
          <w:ind w:left="2835" w:hanging="709"/>
        </w:pPr>
        <w:rPr>
          <w:rFonts w:ascii="Symbol" w:hAnsi="Symbol" w:hint="default"/>
        </w:rPr>
      </w:lvl>
    </w:lvlOverride>
    <w:lvlOverride w:ilvl="4">
      <w:startOverride w:val="1"/>
      <w:lvl w:ilvl="4">
        <w:start w:val="1"/>
        <w:numFmt w:val="lowerLetter"/>
        <w:lvlText w:val="(%5)"/>
        <w:lvlJc w:val="left"/>
        <w:pPr>
          <w:tabs>
            <w:tab w:val="num" w:pos="1800"/>
          </w:tabs>
          <w:ind w:left="1800" w:hanging="360"/>
        </w:pPr>
        <w:rPr>
          <w:rFonts w:hint="default"/>
        </w:rPr>
      </w:lvl>
    </w:lvlOverride>
    <w:lvlOverride w:ilvl="5">
      <w:startOverride w:val="1"/>
      <w:lvl w:ilvl="5">
        <w:start w:val="1"/>
        <w:numFmt w:val="lowerRoman"/>
        <w:lvlText w:val="(%6)"/>
        <w:lvlJc w:val="left"/>
        <w:pPr>
          <w:tabs>
            <w:tab w:val="num" w:pos="2160"/>
          </w:tabs>
          <w:ind w:left="2160" w:hanging="360"/>
        </w:pPr>
        <w:rPr>
          <w:rFonts w:hint="default"/>
        </w:rPr>
      </w:lvl>
    </w:lvlOverride>
    <w:lvlOverride w:ilvl="6">
      <w:startOverride w:val="1"/>
      <w:lvl w:ilvl="6">
        <w:start w:val="1"/>
        <w:numFmt w:val="decimal"/>
        <w:lvlText w:val="%7."/>
        <w:lvlJc w:val="left"/>
        <w:pPr>
          <w:tabs>
            <w:tab w:val="num" w:pos="2520"/>
          </w:tabs>
          <w:ind w:left="2520" w:hanging="360"/>
        </w:pPr>
        <w:rPr>
          <w:rFonts w:hint="default"/>
        </w:rPr>
      </w:lvl>
    </w:lvlOverride>
    <w:lvlOverride w:ilvl="7">
      <w:startOverride w:val="1"/>
      <w:lvl w:ilvl="7">
        <w:start w:val="1"/>
        <w:numFmt w:val="lowerLetter"/>
        <w:lvlText w:val="%8."/>
        <w:lvlJc w:val="left"/>
        <w:pPr>
          <w:tabs>
            <w:tab w:val="num" w:pos="2880"/>
          </w:tabs>
          <w:ind w:left="2880" w:hanging="360"/>
        </w:pPr>
        <w:rPr>
          <w:rFonts w:hint="default"/>
        </w:rPr>
      </w:lvl>
    </w:lvlOverride>
    <w:lvlOverride w:ilvl="8">
      <w:startOverride w:val="1"/>
      <w:lvl w:ilvl="8">
        <w:start w:val="1"/>
        <w:numFmt w:val="lowerRoman"/>
        <w:lvlText w:val="%9."/>
        <w:lvlJc w:val="left"/>
        <w:pPr>
          <w:tabs>
            <w:tab w:val="num" w:pos="3240"/>
          </w:tabs>
          <w:ind w:left="3240" w:hanging="360"/>
        </w:pPr>
        <w:rPr>
          <w:rFonts w:hint="default"/>
        </w:rPr>
      </w:lvl>
    </w:lvlOverride>
  </w:num>
  <w:num w:numId="33">
    <w:abstractNumId w:val="18"/>
  </w:num>
  <w:num w:numId="34">
    <w:abstractNumId w:val="4"/>
  </w:num>
  <w:num w:numId="35">
    <w:abstractNumId w:val="10"/>
  </w:num>
  <w:num w:numId="36">
    <w:abstractNumId w:val="12"/>
  </w:num>
  <w:num w:numId="37">
    <w:abstractNumId w:val="19"/>
  </w:num>
  <w:num w:numId="38">
    <w:abstractNumId w:val="27"/>
  </w:num>
  <w:num w:numId="39">
    <w:abstractNumId w:val="13"/>
  </w:num>
  <w:num w:numId="40">
    <w:abstractNumId w:val="8"/>
  </w:num>
  <w:num w:numId="41">
    <w:abstractNumId w:val="7"/>
  </w:num>
  <w:num w:numId="42">
    <w:abstractNumId w:val="22"/>
  </w:num>
  <w:num w:numId="43">
    <w:abstractNumId w:val="2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drawingGridHorizontalSpacing w:val="120"/>
  <w:displayHorizontalDrawingGridEvery w:val="2"/>
  <w:characterSpacingControl w:val="doNotCompress"/>
  <w:hdrShapeDefaults>
    <o:shapedefaults v:ext="edit" spidmax="8806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6E55B929-FB84-4924-B194-26E19A06971C"/>
    <w:docVar w:name="LW_COVERPAGE_TYPE" w:val="1"/>
    <w:docVar w:name="LW_CROSSREFERENCE" w:val="&lt;UNUSED&gt;"/>
    <w:docVar w:name="LW_DocType" w:val="NORMAL"/>
    <w:docVar w:name="LW_EMISSION" w:val="31.5.2018"/>
    <w:docVar w:name="LW_EMISSION_ISODATE" w:val="2018-05-31"/>
    <w:docVar w:name="LW_EMISSION_LOCATION" w:val="BRX"/>
    <w:docVar w:name="LW_EMISSION_PREFIX" w:val="Bruxelles, le "/>
    <w:docVar w:name="LW_EMISSION_SUFFIX" w:val="&lt;EMPTY&gt;"/>
    <w:docVar w:name="LW_ID_DOCTYPE_NONLW" w:val="CP-035"/>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lt;UNUSED&gt;"/>
    <w:docVar w:name="LW_REF.II.NEW.CP_NUMBER" w:val="&lt;UNUSED&gt;"/>
    <w:docVar w:name="LW_REF.II.NEW.CP_YEAR" w:val="2018"/>
    <w:docVar w:name="LW_REF.INST.NEW" w:val="COM"/>
    <w:docVar w:name="LW_REF.INST.NEW_ADOPTED" w:val="final"/>
    <w:docVar w:name="LW_REF.INST.NEW_TEXT" w:val="(2018) 361"/>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OUS.TITRE.OBJ.CP" w:val="&lt;UNUSED&gt;"/>
    <w:docVar w:name="LW_SUPERTITRE" w:val="&lt;UNUSED&gt;"/>
    <w:docVar w:name="LW_TITRE.OBJ.CP" w:val="accompagnant la proposition de mobilisation du Fonds de solidarité de l'Union _x000b_européenne pour venir en aide à la Bulgarie, à la Grèce, à la Lituanie et à la Pologne"/>
    <w:docVar w:name="LW_TITRE.OBJ.CP_PREVIOUS" w:val="&lt;UNUSED&gt;"/>
    <w:docVar w:name="LW_TYPE.DOC.CP" w:val="PROJET DE BUDGET RECTIFICATIF N° 4_x000b_AU BUDGET GÉNÉRAL 2018"/>
  </w:docVar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80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fr-FR"/>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qFormat="1"/>
    <w:lsdException w:name="header" w:uiPriority="99"/>
    <w:lsdException w:name="footer" w:uiPriority="99"/>
    <w:lsdException w:name="caption" w:semiHidden="1" w:unhideWhenUsed="1" w:qFormat="1"/>
    <w:lsdException w:name="footnote reference" w:uiPriority="99"/>
    <w:lsdException w:name="List Bullet 3" w:uiPriority="99"/>
    <w:lsdException w:name="Title" w:qFormat="1"/>
    <w:lsdException w:name="Default Paragraph Font" w:uiPriority="1"/>
    <w:lsdException w:name="Subtitle" w:qFormat="1"/>
    <w:lsdException w:name="Hyperlink" w:uiPriority="99"/>
    <w:lsdException w:name="Strong" w:qFormat="1"/>
    <w:lsdException w:name="Emphasis"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autoRedefine/>
    <w:qFormat/>
    <w:pPr>
      <w:keepNext/>
      <w:spacing w:before="240" w:after="120"/>
      <w:outlineLvl w:val="0"/>
    </w:pPr>
    <w:rPr>
      <w:rFonts w:ascii="Arial" w:hAnsi="Arial" w:cs="Arial"/>
      <w:b/>
      <w:bCs/>
      <w:kern w:val="32"/>
      <w:sz w:val="32"/>
      <w:szCs w:val="32"/>
    </w:rPr>
  </w:style>
  <w:style w:type="paragraph" w:styleId="Heading2">
    <w:name w:val="heading 2"/>
    <w:basedOn w:val="Normal"/>
    <w:next w:val="Normal"/>
    <w:autoRedefine/>
    <w:qFormat/>
    <w:pPr>
      <w:keepNext/>
      <w:spacing w:before="240" w:after="120"/>
      <w:ind w:left="720" w:hanging="720"/>
      <w:outlineLvl w:val="1"/>
    </w:pPr>
    <w:rPr>
      <w:rFonts w:ascii="Arial" w:hAnsi="Arial" w:cs="Arial"/>
      <w:b/>
      <w:bCs/>
      <w:i/>
      <w:iCs/>
      <w:sz w:val="28"/>
      <w:szCs w:val="28"/>
    </w:rPr>
  </w:style>
  <w:style w:type="paragraph" w:styleId="Heading3">
    <w:name w:val="heading 3"/>
    <w:basedOn w:val="Normal"/>
    <w:next w:val="Normal"/>
    <w:autoRedefine/>
    <w:qFormat/>
    <w:pPr>
      <w:keepNext/>
      <w:numPr>
        <w:ilvl w:val="2"/>
      </w:numPr>
      <w:tabs>
        <w:tab w:val="num" w:pos="850"/>
      </w:tabs>
      <w:spacing w:before="120" w:after="120"/>
      <w:ind w:left="850" w:hanging="850"/>
      <w:jc w:val="both"/>
      <w:outlineLvl w:val="2"/>
    </w:pPr>
    <w:rPr>
      <w:rFonts w:ascii="Arial" w:hAnsi="Arial" w:cs="Arial"/>
      <w:b/>
      <w:bCs/>
      <w:i/>
      <w:sz w:val="26"/>
      <w:szCs w:val="26"/>
    </w:rPr>
  </w:style>
  <w:style w:type="paragraph" w:styleId="Heading4">
    <w:name w:val="heading 4"/>
    <w:basedOn w:val="Normal"/>
    <w:next w:val="Normal"/>
    <w:qFormat/>
    <w:pPr>
      <w:keepNext/>
      <w:numPr>
        <w:ilvl w:val="3"/>
      </w:numPr>
      <w:tabs>
        <w:tab w:val="num" w:pos="1030"/>
      </w:tabs>
      <w:spacing w:before="120" w:after="120"/>
      <w:ind w:left="1030" w:hanging="850"/>
      <w:jc w:val="both"/>
      <w:outlineLvl w:val="3"/>
    </w:pPr>
    <w:rPr>
      <w:b/>
      <w:bCs/>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pPr>
      <w:tabs>
        <w:tab w:val="center" w:pos="4535"/>
        <w:tab w:val="right" w:pos="9071"/>
        <w:tab w:val="right" w:pos="9921"/>
      </w:tabs>
      <w:spacing w:before="360"/>
      <w:ind w:left="-850" w:right="-850"/>
    </w:pPr>
    <w:rPr>
      <w:rFonts w:eastAsiaTheme="minorHAnsi"/>
      <w:szCs w:val="22"/>
    </w:rPr>
  </w:style>
  <w:style w:type="paragraph" w:styleId="FootnoteText">
    <w:name w:val="footnote text"/>
    <w:basedOn w:val="Normal"/>
    <w:link w:val="FootnoteTextChar"/>
    <w:pPr>
      <w:ind w:left="720" w:hanging="720"/>
      <w:jc w:val="both"/>
    </w:pPr>
    <w:rPr>
      <w:sz w:val="20"/>
      <w:szCs w:val="20"/>
    </w:rPr>
  </w:style>
  <w:style w:type="paragraph" w:styleId="TOC1">
    <w:name w:val="toc 1"/>
    <w:basedOn w:val="Normal"/>
    <w:next w:val="Normal"/>
    <w:uiPriority w:val="39"/>
    <w:qFormat/>
    <w:pPr>
      <w:spacing w:before="120" w:after="120"/>
    </w:pPr>
    <w:rPr>
      <w:b/>
      <w:bCs/>
      <w:caps/>
      <w:sz w:val="20"/>
      <w:szCs w:val="20"/>
    </w:rPr>
  </w:style>
  <w:style w:type="character" w:styleId="FootnoteReference">
    <w:name w:val="footnote reference"/>
    <w:aliases w:val="stylish,Footnote Reference Superscript,BVI fnr,Footnote symbol,Footnote symboFußnotenzeichen,Footnote sign,Footnote Reference Number,E FNZ,-E Fußnotenzeichen,Footnote#,Footnote,Times 10 Point,Exposant 3 Point,Ref,de nota al pie,SUPER"/>
    <w:link w:val="BVIfnrCarCarCarCarCharCharCharChar"/>
    <w:uiPriority w:val="99"/>
    <w:rPr>
      <w:vertAlign w:val="superscript"/>
    </w:rPr>
  </w:style>
  <w:style w:type="paragraph" w:customStyle="1" w:styleId="Text1">
    <w:name w:val="Text 1"/>
    <w:basedOn w:val="Normal"/>
    <w:pPr>
      <w:spacing w:before="120" w:after="120"/>
      <w:ind w:left="850"/>
      <w:jc w:val="both"/>
    </w:pPr>
  </w:style>
  <w:style w:type="paragraph" w:customStyle="1" w:styleId="Tiret0">
    <w:name w:val="Tiret 0"/>
    <w:basedOn w:val="Normal"/>
    <w:pPr>
      <w:numPr>
        <w:numId w:val="1"/>
      </w:numPr>
      <w:spacing w:before="120" w:after="120"/>
      <w:jc w:val="both"/>
    </w:pPr>
  </w:style>
  <w:style w:type="paragraph" w:customStyle="1" w:styleId="ManualHeading1">
    <w:name w:val="Manual Heading 1"/>
    <w:basedOn w:val="Normal"/>
    <w:next w:val="Text1"/>
    <w:pPr>
      <w:keepNext/>
      <w:tabs>
        <w:tab w:val="left" w:pos="850"/>
      </w:tabs>
      <w:spacing w:before="240" w:after="120"/>
      <w:ind w:left="851" w:hanging="851"/>
      <w:jc w:val="both"/>
      <w:outlineLvl w:val="0"/>
    </w:pPr>
    <w:rPr>
      <w:b/>
      <w:smallCaps/>
      <w:noProof/>
    </w:rPr>
  </w:style>
  <w:style w:type="paragraph" w:customStyle="1" w:styleId="ManualHeading2">
    <w:name w:val="Manual Heading 2"/>
    <w:basedOn w:val="Normal"/>
    <w:next w:val="Normal"/>
    <w:pPr>
      <w:keepNext/>
      <w:tabs>
        <w:tab w:val="left" w:pos="850"/>
      </w:tabs>
      <w:spacing w:before="360" w:after="120"/>
      <w:ind w:left="850" w:hanging="850"/>
      <w:jc w:val="both"/>
      <w:outlineLvl w:val="1"/>
    </w:pPr>
    <w:rPr>
      <w:rFonts w:eastAsia="Calibri"/>
      <w:b/>
      <w:noProof/>
    </w:rPr>
  </w:style>
  <w:style w:type="paragraph" w:customStyle="1" w:styleId="ListDash">
    <w:name w:val="List Dash"/>
    <w:basedOn w:val="Normal"/>
    <w:link w:val="ListDashChar"/>
    <w:pPr>
      <w:spacing w:before="120" w:after="120"/>
      <w:jc w:val="both"/>
    </w:pPr>
  </w:style>
  <w:style w:type="paragraph" w:styleId="TOCHeading">
    <w:name w:val="TOC Heading"/>
    <w:basedOn w:val="Normal"/>
    <w:next w:val="Normal"/>
    <w:uiPriority w:val="39"/>
    <w:qFormat/>
    <w:pPr>
      <w:spacing w:before="120" w:after="240"/>
      <w:jc w:val="center"/>
    </w:pPr>
    <w:rPr>
      <w:b/>
      <w:sz w:val="28"/>
    </w:rPr>
  </w:style>
  <w:style w:type="paragraph" w:customStyle="1" w:styleId="Prliminairetitre">
    <w:name w:val="Préliminaire titre"/>
    <w:basedOn w:val="Normal"/>
    <w:next w:val="Normal"/>
    <w:pPr>
      <w:spacing w:before="360" w:after="360"/>
      <w:jc w:val="center"/>
    </w:pPr>
    <w:rPr>
      <w:b/>
    </w:rPr>
  </w:style>
  <w:style w:type="paragraph" w:customStyle="1" w:styleId="Prliminairetype">
    <w:name w:val="Préliminaire type"/>
    <w:basedOn w:val="Normal"/>
    <w:next w:val="Normal"/>
    <w:pPr>
      <w:spacing w:before="360"/>
      <w:jc w:val="center"/>
    </w:pPr>
    <w:rPr>
      <w:b/>
    </w:rPr>
  </w:style>
  <w:style w:type="character" w:styleId="Hyperlink">
    <w:name w:val="Hyperlink"/>
    <w:uiPriority w:val="99"/>
    <w:rPr>
      <w:color w:val="0000FF"/>
      <w:u w:val="single"/>
    </w:rPr>
  </w:style>
  <w:style w:type="character" w:customStyle="1" w:styleId="Marker">
    <w:name w:val="Marker"/>
    <w:rPr>
      <w:color w:val="0000FF"/>
      <w:shd w:val="clear" w:color="auto" w:fill="auto"/>
    </w:rPr>
  </w:style>
  <w:style w:type="paragraph" w:customStyle="1" w:styleId="Pagedecouverture">
    <w:name w:val="Page de couverture"/>
    <w:basedOn w:val="Normal"/>
    <w:next w:val="Normal"/>
    <w:pPr>
      <w:spacing w:before="120" w:after="120"/>
      <w:jc w:val="both"/>
    </w:pPr>
  </w:style>
  <w:style w:type="paragraph" w:styleId="Header">
    <w:name w:val="header"/>
    <w:basedOn w:val="Normal"/>
    <w:link w:val="HeaderChar"/>
    <w:uiPriority w:val="99"/>
    <w:unhideWhenUsed/>
    <w:pPr>
      <w:tabs>
        <w:tab w:val="center" w:pos="4535"/>
        <w:tab w:val="right" w:pos="9071"/>
      </w:tabs>
      <w:spacing w:after="120"/>
      <w:jc w:val="both"/>
    </w:pPr>
    <w:rPr>
      <w:rFonts w:eastAsiaTheme="minorHAnsi"/>
      <w:szCs w:val="22"/>
    </w:rPr>
  </w:style>
  <w:style w:type="paragraph" w:customStyle="1" w:styleId="FooterCoverPage">
    <w:name w:val="Footer Cover Page"/>
    <w:basedOn w:val="Normal"/>
    <w:pPr>
      <w:tabs>
        <w:tab w:val="center" w:pos="4535"/>
        <w:tab w:val="right" w:pos="9071"/>
        <w:tab w:val="right" w:pos="9921"/>
      </w:tabs>
      <w:spacing w:before="360"/>
      <w:ind w:left="-850" w:right="-850"/>
    </w:pPr>
  </w:style>
  <w:style w:type="paragraph" w:customStyle="1" w:styleId="HeaderCoverPage">
    <w:name w:val="Header Cover Page"/>
    <w:basedOn w:val="Normal"/>
    <w:pPr>
      <w:tabs>
        <w:tab w:val="center" w:pos="4535"/>
        <w:tab w:val="right" w:pos="9071"/>
      </w:tabs>
      <w:spacing w:after="120"/>
      <w:jc w:val="both"/>
    </w:pPr>
  </w:style>
  <w:style w:type="paragraph" w:styleId="TOC2">
    <w:name w:val="toc 2"/>
    <w:basedOn w:val="Normal"/>
    <w:next w:val="Normal"/>
    <w:autoRedefine/>
    <w:uiPriority w:val="39"/>
    <w:qFormat/>
    <w:pPr>
      <w:tabs>
        <w:tab w:val="left" w:pos="720"/>
        <w:tab w:val="right" w:leader="dot" w:pos="9061"/>
      </w:tabs>
      <w:ind w:left="709" w:hanging="469"/>
    </w:pPr>
    <w:rPr>
      <w:smallCaps/>
      <w:sz w:val="20"/>
      <w:szCs w:val="20"/>
    </w:rPr>
  </w:style>
  <w:style w:type="paragraph" w:styleId="TOC3">
    <w:name w:val="toc 3"/>
    <w:basedOn w:val="Normal"/>
    <w:next w:val="Normal"/>
    <w:autoRedefine/>
    <w:semiHidden/>
    <w:qFormat/>
    <w:pPr>
      <w:ind w:left="480"/>
    </w:pPr>
    <w:rPr>
      <w:i/>
      <w:iCs/>
      <w:sz w:val="20"/>
      <w:szCs w:val="20"/>
    </w:rPr>
  </w:style>
  <w:style w:type="paragraph" w:styleId="TOC4">
    <w:name w:val="toc 4"/>
    <w:basedOn w:val="Normal"/>
    <w:next w:val="Normal"/>
    <w:autoRedefine/>
    <w:semiHidden/>
    <w:pPr>
      <w:ind w:left="720"/>
    </w:pPr>
    <w:rPr>
      <w:sz w:val="18"/>
      <w:szCs w:val="18"/>
    </w:rPr>
  </w:style>
  <w:style w:type="paragraph" w:styleId="TOC5">
    <w:name w:val="toc 5"/>
    <w:basedOn w:val="Normal"/>
    <w:next w:val="Normal"/>
    <w:autoRedefine/>
    <w:semiHidden/>
    <w:pPr>
      <w:ind w:left="960"/>
    </w:pPr>
    <w:rPr>
      <w:sz w:val="18"/>
      <w:szCs w:val="18"/>
    </w:rPr>
  </w:style>
  <w:style w:type="paragraph" w:styleId="TOC6">
    <w:name w:val="toc 6"/>
    <w:basedOn w:val="Normal"/>
    <w:next w:val="Normal"/>
    <w:autoRedefine/>
    <w:semiHidden/>
    <w:pPr>
      <w:ind w:left="1200"/>
    </w:pPr>
    <w:rPr>
      <w:sz w:val="18"/>
      <w:szCs w:val="18"/>
    </w:rPr>
  </w:style>
  <w:style w:type="paragraph" w:styleId="TOC7">
    <w:name w:val="toc 7"/>
    <w:basedOn w:val="Normal"/>
    <w:next w:val="Normal"/>
    <w:autoRedefine/>
    <w:semiHidden/>
    <w:pPr>
      <w:ind w:left="1440"/>
    </w:pPr>
    <w:rPr>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styleId="ListBullet">
    <w:name w:val="List Bullet"/>
    <w:basedOn w:val="Normal"/>
    <w:pPr>
      <w:numPr>
        <w:numId w:val="3"/>
      </w:numPr>
      <w:spacing w:before="120" w:after="120"/>
      <w:jc w:val="both"/>
    </w:pPr>
  </w:style>
  <w:style w:type="paragraph" w:customStyle="1" w:styleId="ListDash2">
    <w:name w:val="List Dash 2"/>
    <w:basedOn w:val="Normal"/>
    <w:pPr>
      <w:tabs>
        <w:tab w:val="num" w:pos="1134"/>
      </w:tabs>
      <w:spacing w:before="120" w:after="120"/>
      <w:ind w:left="1134" w:hanging="283"/>
      <w:jc w:val="both"/>
    </w:pPr>
  </w:style>
  <w:style w:type="paragraph" w:customStyle="1" w:styleId="ListBullet1">
    <w:name w:val="List Bullet 1"/>
    <w:basedOn w:val="Text1"/>
    <w:pPr>
      <w:numPr>
        <w:numId w:val="4"/>
      </w:numPr>
      <w:spacing w:before="0" w:after="240"/>
    </w:pPr>
    <w:rPr>
      <w:szCs w:val="20"/>
    </w:rPr>
  </w:style>
  <w:style w:type="paragraph" w:styleId="ListBullet2">
    <w:name w:val="List Bullet 2"/>
    <w:basedOn w:val="Normal"/>
    <w:pPr>
      <w:numPr>
        <w:numId w:val="5"/>
      </w:numPr>
      <w:spacing w:after="240"/>
      <w:jc w:val="both"/>
    </w:pPr>
    <w:rPr>
      <w:szCs w:val="20"/>
    </w:rPr>
  </w:style>
  <w:style w:type="table" w:styleId="TableGrid">
    <w:name w:val="Table Grid"/>
    <w:basedOn w:val="TableNormal"/>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rPr>
      <w:color w:val="800080"/>
      <w:u w:val="single"/>
    </w:rPr>
  </w:style>
  <w:style w:type="paragraph" w:customStyle="1" w:styleId="Typedudocument">
    <w:name w:val="Type du document"/>
    <w:basedOn w:val="Normal"/>
    <w:next w:val="Titreobjet"/>
    <w:pPr>
      <w:spacing w:before="360"/>
      <w:jc w:val="center"/>
    </w:pPr>
    <w:rPr>
      <w:b/>
    </w:rPr>
  </w:style>
  <w:style w:type="paragraph" w:customStyle="1" w:styleId="Titreobjet">
    <w:name w:val="Titre objet"/>
    <w:basedOn w:val="Normal"/>
    <w:next w:val="Normal"/>
    <w:pPr>
      <w:spacing w:before="360" w:after="360"/>
      <w:jc w:val="center"/>
    </w:pPr>
    <w:rPr>
      <w:b/>
    </w:rPr>
  </w:style>
  <w:style w:type="character" w:styleId="Emphasis">
    <w:name w:val="Emphasis"/>
    <w:qFormat/>
    <w:rPr>
      <w:i/>
      <w:iCs/>
    </w:rPr>
  </w:style>
  <w:style w:type="paragraph" w:styleId="NormalWeb">
    <w:name w:val="Normal (Web)"/>
    <w:basedOn w:val="Normal"/>
    <w:uiPriority w:val="99"/>
    <w:pPr>
      <w:spacing w:before="100" w:beforeAutospacing="1" w:after="100" w:afterAutospacing="1"/>
    </w:pPr>
  </w:style>
  <w:style w:type="paragraph" w:customStyle="1" w:styleId="Text2">
    <w:name w:val="Text 2"/>
    <w:basedOn w:val="Normal"/>
    <w:pPr>
      <w:spacing w:before="120" w:after="120"/>
      <w:ind w:left="850"/>
      <w:jc w:val="both"/>
    </w:pPr>
  </w:style>
  <w:style w:type="paragraph" w:styleId="BalloonText">
    <w:name w:val="Balloon Text"/>
    <w:basedOn w:val="Normal"/>
    <w:semiHidden/>
    <w:rPr>
      <w:rFonts w:ascii="Tahoma" w:hAnsi="Tahoma" w:cs="Tahoma"/>
      <w:sz w:val="16"/>
      <w:szCs w:val="16"/>
    </w:rPr>
  </w:style>
  <w:style w:type="paragraph" w:styleId="ListNumber">
    <w:name w:val="List Number"/>
    <w:basedOn w:val="Normal"/>
    <w:pPr>
      <w:numPr>
        <w:numId w:val="28"/>
      </w:numPr>
      <w:spacing w:before="120" w:after="120"/>
      <w:jc w:val="both"/>
    </w:pPr>
  </w:style>
  <w:style w:type="paragraph" w:customStyle="1" w:styleId="ListNumberLevel2">
    <w:name w:val="List Number (Level 2)"/>
    <w:basedOn w:val="Normal"/>
    <w:pPr>
      <w:numPr>
        <w:ilvl w:val="1"/>
        <w:numId w:val="28"/>
      </w:numPr>
      <w:spacing w:before="120" w:after="120"/>
      <w:jc w:val="both"/>
    </w:pPr>
  </w:style>
  <w:style w:type="paragraph" w:customStyle="1" w:styleId="ListNumberLevel3">
    <w:name w:val="List Number (Level 3)"/>
    <w:basedOn w:val="Normal"/>
    <w:pPr>
      <w:numPr>
        <w:ilvl w:val="2"/>
        <w:numId w:val="28"/>
      </w:numPr>
      <w:spacing w:before="120" w:after="120"/>
      <w:jc w:val="both"/>
    </w:pPr>
  </w:style>
  <w:style w:type="paragraph" w:customStyle="1" w:styleId="ListNumberLevel4">
    <w:name w:val="List Number (Level 4)"/>
    <w:basedOn w:val="Normal"/>
    <w:pPr>
      <w:numPr>
        <w:ilvl w:val="3"/>
        <w:numId w:val="28"/>
      </w:numPr>
      <w:tabs>
        <w:tab w:val="clear" w:pos="2835"/>
        <w:tab w:val="num" w:pos="360"/>
      </w:tabs>
      <w:spacing w:before="120" w:after="120"/>
      <w:ind w:left="0" w:firstLine="0"/>
      <w:jc w:val="both"/>
    </w:pPr>
  </w:style>
  <w:style w:type="character" w:customStyle="1" w:styleId="ListDashChar">
    <w:name w:val="List Dash Char"/>
    <w:link w:val="ListDash"/>
    <w:rPr>
      <w:sz w:val="24"/>
      <w:szCs w:val="24"/>
      <w:lang w:eastAsia="fr-FR"/>
    </w:rPr>
  </w:style>
  <w:style w:type="paragraph" w:customStyle="1" w:styleId="StyleManualHeading2Italic">
    <w:name w:val="Style Manual Heading 2 + Italic"/>
    <w:basedOn w:val="ManualHeading2"/>
    <w:autoRedefine/>
    <w:pPr>
      <w:spacing w:before="160" w:after="160"/>
      <w:ind w:left="851" w:hanging="851"/>
    </w:pPr>
    <w:rPr>
      <w:bCs/>
      <w:i/>
      <w:iCs/>
    </w:rPr>
  </w:style>
  <w:style w:type="character" w:customStyle="1" w:styleId="FootnoteTextChar">
    <w:name w:val="Footnote Text Char"/>
    <w:link w:val="FootnoteText"/>
    <w:rPr>
      <w:lang w:eastAsia="fr-FR"/>
    </w:rPr>
  </w:style>
  <w:style w:type="paragraph" w:customStyle="1" w:styleId="NormalCentered">
    <w:name w:val="Normal Centered"/>
    <w:basedOn w:val="Normal"/>
    <w:uiPriority w:val="99"/>
    <w:pPr>
      <w:spacing w:before="120" w:after="120"/>
      <w:jc w:val="center"/>
    </w:pPr>
  </w:style>
  <w:style w:type="paragraph" w:customStyle="1" w:styleId="NormalRight">
    <w:name w:val="Normal Right"/>
    <w:basedOn w:val="Normal"/>
    <w:uiPriority w:val="99"/>
    <w:pPr>
      <w:spacing w:before="120" w:after="120"/>
      <w:jc w:val="right"/>
    </w:pPr>
  </w:style>
  <w:style w:type="paragraph" w:customStyle="1" w:styleId="NormalLeft">
    <w:name w:val="Normal Left"/>
    <w:basedOn w:val="Normal"/>
    <w:uiPriority w:val="99"/>
    <w:pPr>
      <w:spacing w:before="120" w:after="120"/>
    </w:pPr>
  </w:style>
  <w:style w:type="paragraph" w:styleId="Revision">
    <w:name w:val="Revision"/>
    <w:hidden/>
    <w:uiPriority w:val="99"/>
    <w:semiHidden/>
    <w:rPr>
      <w:sz w:val="24"/>
      <w:szCs w:val="24"/>
    </w:rPr>
  </w:style>
  <w:style w:type="paragraph" w:customStyle="1" w:styleId="Statut">
    <w:name w:val="Statut"/>
    <w:basedOn w:val="Normal"/>
    <w:next w:val="Typedudocument"/>
    <w:pPr>
      <w:spacing w:before="360"/>
      <w:jc w:val="center"/>
    </w:pPr>
    <w:rPr>
      <w:rFonts w:eastAsia="Calibri"/>
      <w:szCs w:val="22"/>
    </w:rPr>
  </w:style>
  <w:style w:type="paragraph" w:customStyle="1" w:styleId="Footnoter">
    <w:name w:val="Footnote r"/>
    <w:basedOn w:val="Normal"/>
    <w:pPr>
      <w:shd w:val="clear" w:color="auto" w:fill="F2F8FB"/>
      <w:spacing w:before="100" w:beforeAutospacing="1" w:after="100" w:afterAutospacing="1"/>
    </w:pPr>
    <w:rPr>
      <w:szCs w:val="22"/>
    </w:rPr>
  </w:style>
  <w:style w:type="character" w:customStyle="1" w:styleId="hps">
    <w:name w:val="hps"/>
  </w:style>
  <w:style w:type="paragraph" w:customStyle="1" w:styleId="Point0number">
    <w:name w:val="Point 0 (number)"/>
    <w:basedOn w:val="Normal"/>
    <w:pPr>
      <w:numPr>
        <w:numId w:val="7"/>
      </w:numPr>
      <w:spacing w:before="120" w:after="120"/>
      <w:jc w:val="both"/>
    </w:pPr>
    <w:rPr>
      <w:szCs w:val="22"/>
    </w:rPr>
  </w:style>
  <w:style w:type="paragraph" w:customStyle="1" w:styleId="Point1number">
    <w:name w:val="Point 1 (number)"/>
    <w:basedOn w:val="Normal"/>
    <w:pPr>
      <w:numPr>
        <w:ilvl w:val="2"/>
        <w:numId w:val="7"/>
      </w:numPr>
      <w:spacing w:before="120" w:after="120"/>
      <w:jc w:val="both"/>
    </w:pPr>
    <w:rPr>
      <w:szCs w:val="22"/>
    </w:rPr>
  </w:style>
  <w:style w:type="paragraph" w:customStyle="1" w:styleId="Point2number">
    <w:name w:val="Point 2 (number)"/>
    <w:basedOn w:val="Normal"/>
    <w:pPr>
      <w:numPr>
        <w:ilvl w:val="4"/>
        <w:numId w:val="7"/>
      </w:numPr>
      <w:spacing w:before="120" w:after="120"/>
      <w:jc w:val="both"/>
    </w:pPr>
    <w:rPr>
      <w:szCs w:val="22"/>
    </w:rPr>
  </w:style>
  <w:style w:type="paragraph" w:customStyle="1" w:styleId="Point3number">
    <w:name w:val="Point 3 (number)"/>
    <w:basedOn w:val="Normal"/>
    <w:pPr>
      <w:numPr>
        <w:ilvl w:val="6"/>
        <w:numId w:val="7"/>
      </w:numPr>
      <w:spacing w:before="120" w:after="120"/>
      <w:jc w:val="both"/>
    </w:pPr>
    <w:rPr>
      <w:szCs w:val="22"/>
    </w:rPr>
  </w:style>
  <w:style w:type="paragraph" w:customStyle="1" w:styleId="Point0letter">
    <w:name w:val="Point 0 (letter)"/>
    <w:basedOn w:val="Normal"/>
    <w:pPr>
      <w:numPr>
        <w:ilvl w:val="1"/>
        <w:numId w:val="7"/>
      </w:numPr>
      <w:spacing w:before="120" w:after="120"/>
      <w:jc w:val="both"/>
    </w:pPr>
    <w:rPr>
      <w:szCs w:val="22"/>
    </w:rPr>
  </w:style>
  <w:style w:type="paragraph" w:customStyle="1" w:styleId="Point1letter">
    <w:name w:val="Point 1 (letter)"/>
    <w:basedOn w:val="Normal"/>
    <w:pPr>
      <w:numPr>
        <w:ilvl w:val="3"/>
        <w:numId w:val="7"/>
      </w:numPr>
      <w:spacing w:before="120" w:after="120"/>
      <w:jc w:val="both"/>
    </w:pPr>
    <w:rPr>
      <w:szCs w:val="22"/>
    </w:rPr>
  </w:style>
  <w:style w:type="paragraph" w:customStyle="1" w:styleId="Point2letter">
    <w:name w:val="Point 2 (letter)"/>
    <w:basedOn w:val="Normal"/>
    <w:pPr>
      <w:numPr>
        <w:ilvl w:val="5"/>
        <w:numId w:val="7"/>
      </w:numPr>
      <w:spacing w:before="120" w:after="120"/>
      <w:jc w:val="both"/>
    </w:pPr>
    <w:rPr>
      <w:szCs w:val="22"/>
    </w:rPr>
  </w:style>
  <w:style w:type="paragraph" w:customStyle="1" w:styleId="Point3letter">
    <w:name w:val="Point 3 (letter)"/>
    <w:basedOn w:val="Normal"/>
    <w:pPr>
      <w:numPr>
        <w:ilvl w:val="7"/>
        <w:numId w:val="7"/>
      </w:numPr>
      <w:spacing w:before="120" w:after="120"/>
      <w:jc w:val="both"/>
    </w:pPr>
    <w:rPr>
      <w:szCs w:val="22"/>
    </w:rPr>
  </w:style>
  <w:style w:type="paragraph" w:customStyle="1" w:styleId="Point4letter">
    <w:name w:val="Point 4 (letter)"/>
    <w:basedOn w:val="Normal"/>
    <w:pPr>
      <w:numPr>
        <w:ilvl w:val="8"/>
        <w:numId w:val="7"/>
      </w:numPr>
      <w:spacing w:before="120" w:after="120"/>
      <w:jc w:val="both"/>
    </w:pPr>
    <w:rPr>
      <w:szCs w:val="22"/>
    </w:rPr>
  </w:style>
  <w:style w:type="paragraph" w:customStyle="1" w:styleId="Tiret2">
    <w:name w:val="Tiret 2"/>
    <w:basedOn w:val="Normal"/>
    <w:pPr>
      <w:numPr>
        <w:numId w:val="8"/>
      </w:numPr>
      <w:spacing w:before="120" w:after="120"/>
      <w:jc w:val="both"/>
    </w:pPr>
    <w:rPr>
      <w:szCs w:val="22"/>
    </w:rPr>
  </w:style>
  <w:style w:type="paragraph" w:styleId="ListParagraph">
    <w:name w:val="List Paragraph"/>
    <w:aliases w:val="Dot pt,F5 List Paragraph,List Paragraph1,No Spacing1,List Paragraph Char Char Char,Indicator Text,Colorful List - Accent 11,Numbered Para 1,Bullet 1,Bullet Points,MAIN CONTENT,List Paragraph11,List Paragraph12,List Paragraph2,OBC Bullet"/>
    <w:basedOn w:val="Normal"/>
    <w:link w:val="ListParagraphChar"/>
    <w:uiPriority w:val="34"/>
    <w:qFormat/>
    <w:pPr>
      <w:spacing w:after="200" w:line="276" w:lineRule="auto"/>
      <w:ind w:left="720"/>
      <w:contextualSpacing/>
    </w:pPr>
    <w:rPr>
      <w:rFonts w:ascii="Calibri" w:eastAsia="MS Mincho" w:hAnsi="Calibri"/>
      <w:sz w:val="22"/>
      <w:szCs w:val="22"/>
    </w:rPr>
  </w:style>
  <w:style w:type="character" w:customStyle="1" w:styleId="ListParagraphChar">
    <w:name w:val="List Paragraph Char"/>
    <w:aliases w:val="Dot pt Char,F5 List Paragraph Char,List Paragraph1 Char,No Spacing1 Char,List Paragraph Char Char Char Char,Indicator Text Char,Colorful List - Accent 11 Char,Numbered Para 1 Char,Bullet 1 Char,Bullet Points Char,MAIN CONTENT Char"/>
    <w:link w:val="ListParagraph"/>
    <w:uiPriority w:val="34"/>
    <w:qFormat/>
    <w:locked/>
    <w:rPr>
      <w:rFonts w:ascii="Calibri" w:eastAsia="MS Mincho" w:hAnsi="Calibri"/>
      <w:sz w:val="22"/>
      <w:szCs w:val="22"/>
    </w:rPr>
  </w:style>
  <w:style w:type="character" w:styleId="CommentReference">
    <w:name w:val="annotation reference"/>
    <w:rPr>
      <w:sz w:val="16"/>
      <w:szCs w:val="16"/>
    </w:rPr>
  </w:style>
  <w:style w:type="paragraph" w:styleId="CommentText">
    <w:name w:val="annotation text"/>
    <w:basedOn w:val="Normal"/>
    <w:link w:val="CommentTextChar"/>
    <w:rPr>
      <w:sz w:val="20"/>
      <w:szCs w:val="20"/>
    </w:rPr>
  </w:style>
  <w:style w:type="character" w:customStyle="1" w:styleId="CommentTextChar">
    <w:name w:val="Comment Text Char"/>
    <w:basedOn w:val="DefaultParagraphFont"/>
    <w:link w:val="CommentText"/>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Pr>
      <w:b/>
      <w:bCs/>
    </w:rPr>
  </w:style>
  <w:style w:type="paragraph" w:styleId="ListNumber5">
    <w:name w:val="List Number 5"/>
    <w:basedOn w:val="Normal"/>
    <w:pPr>
      <w:numPr>
        <w:numId w:val="9"/>
      </w:numPr>
      <w:contextualSpacing/>
    </w:pPr>
  </w:style>
  <w:style w:type="character" w:styleId="Strong">
    <w:name w:val="Strong"/>
    <w:basedOn w:val="DefaultParagraphFont"/>
    <w:qFormat/>
    <w:rPr>
      <w:b/>
      <w:bCs/>
    </w:rPr>
  </w:style>
  <w:style w:type="paragraph" w:styleId="ListBullet3">
    <w:name w:val="List Bullet 3"/>
    <w:basedOn w:val="Normal"/>
    <w:uiPriority w:val="99"/>
    <w:unhideWhenUsed/>
    <w:pPr>
      <w:numPr>
        <w:numId w:val="10"/>
      </w:numPr>
      <w:spacing w:before="120" w:after="120"/>
      <w:contextualSpacing/>
      <w:jc w:val="both"/>
    </w:pPr>
    <w:rPr>
      <w:rFonts w:eastAsia="Calibri"/>
      <w:szCs w:val="22"/>
    </w:rPr>
  </w:style>
  <w:style w:type="paragraph" w:customStyle="1" w:styleId="Default">
    <w:name w:val="Default"/>
    <w:pPr>
      <w:autoSpaceDE w:val="0"/>
      <w:autoSpaceDN w:val="0"/>
      <w:adjustRightInd w:val="0"/>
    </w:pPr>
    <w:rPr>
      <w:color w:val="000000"/>
      <w:sz w:val="24"/>
      <w:szCs w:val="24"/>
    </w:rPr>
  </w:style>
  <w:style w:type="paragraph" w:customStyle="1" w:styleId="CM4">
    <w:name w:val="CM4"/>
    <w:basedOn w:val="Normal"/>
    <w:next w:val="Normal"/>
    <w:uiPriority w:val="99"/>
    <w:pPr>
      <w:autoSpaceDE w:val="0"/>
      <w:autoSpaceDN w:val="0"/>
      <w:adjustRightInd w:val="0"/>
    </w:pPr>
    <w:rPr>
      <w:rFonts w:ascii="EUAlbertina" w:hAnsi="EUAlbertina"/>
    </w:rPr>
  </w:style>
  <w:style w:type="character" w:customStyle="1" w:styleId="FooterChar">
    <w:name w:val="Footer Char"/>
    <w:basedOn w:val="DefaultParagraphFont"/>
    <w:link w:val="Footer"/>
    <w:uiPriority w:val="99"/>
    <w:rPr>
      <w:rFonts w:eastAsiaTheme="minorHAnsi"/>
      <w:sz w:val="24"/>
      <w:szCs w:val="22"/>
      <w:lang w:eastAsia="fr-FR"/>
    </w:rPr>
  </w:style>
  <w:style w:type="paragraph" w:customStyle="1" w:styleId="Declassification">
    <w:name w:val="Declassification"/>
    <w:basedOn w:val="Normal"/>
    <w:next w:val="Normal"/>
    <w:pPr>
      <w:jc w:val="both"/>
    </w:pPr>
    <w:rPr>
      <w:rFonts w:eastAsiaTheme="minorHAnsi"/>
      <w:szCs w:val="22"/>
    </w:rPr>
  </w:style>
  <w:style w:type="character" w:customStyle="1" w:styleId="HeaderChar">
    <w:name w:val="Header Char"/>
    <w:basedOn w:val="DefaultParagraphFont"/>
    <w:link w:val="Header"/>
    <w:uiPriority w:val="99"/>
    <w:rPr>
      <w:rFonts w:eastAsiaTheme="minorHAnsi"/>
      <w:sz w:val="24"/>
      <w:szCs w:val="22"/>
      <w:lang w:eastAsia="fr-FR"/>
    </w:rPr>
  </w:style>
  <w:style w:type="paragraph" w:customStyle="1" w:styleId="HeaderLandscape">
    <w:name w:val="HeaderLandscape"/>
    <w:basedOn w:val="Normal"/>
    <w:pPr>
      <w:tabs>
        <w:tab w:val="center" w:pos="7285"/>
        <w:tab w:val="right" w:pos="14003"/>
      </w:tabs>
      <w:spacing w:after="120"/>
      <w:jc w:val="both"/>
    </w:pPr>
    <w:rPr>
      <w:rFonts w:eastAsiaTheme="minorHAnsi"/>
      <w:szCs w:val="22"/>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paragraph" w:customStyle="1" w:styleId="FooterLandscape">
    <w:name w:val="FooterLandscape"/>
    <w:basedOn w:val="Normal"/>
    <w:pPr>
      <w:tabs>
        <w:tab w:val="center" w:pos="7285"/>
        <w:tab w:val="center" w:pos="10913"/>
        <w:tab w:val="right" w:pos="15137"/>
      </w:tabs>
      <w:spacing w:before="360"/>
      <w:ind w:left="-567" w:right="-567"/>
    </w:pPr>
    <w:rPr>
      <w:rFonts w:eastAsiaTheme="minorHAnsi"/>
      <w:szCs w:val="2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ind w:left="113" w:right="113"/>
      <w:jc w:val="center"/>
    </w:pPr>
    <w:rPr>
      <w:b/>
      <w:sz w:val="32"/>
    </w:rPr>
  </w:style>
  <w:style w:type="paragraph" w:customStyle="1" w:styleId="doc-ti">
    <w:name w:val="doc-ti"/>
    <w:basedOn w:val="Normal"/>
    <w:pPr>
      <w:spacing w:before="240" w:after="120"/>
      <w:jc w:val="center"/>
    </w:pPr>
    <w:rPr>
      <w:b/>
      <w:bCs/>
    </w:rPr>
  </w:style>
  <w:style w:type="paragraph" w:customStyle="1" w:styleId="BVIfnrCarCarCarCarCharCharCharChar">
    <w:name w:val="BVI fnr Car Car Car Car Char Char Char Char"/>
    <w:basedOn w:val="Normal"/>
    <w:link w:val="FootnoteReference"/>
    <w:uiPriority w:val="99"/>
    <w:pPr>
      <w:spacing w:after="160" w:line="240" w:lineRule="exact"/>
    </w:pPr>
    <w:rPr>
      <w:sz w:val="20"/>
      <w:szCs w:val="20"/>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fr-FR"/>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qFormat="1"/>
    <w:lsdException w:name="header" w:uiPriority="99"/>
    <w:lsdException w:name="footer" w:uiPriority="99"/>
    <w:lsdException w:name="caption" w:semiHidden="1" w:unhideWhenUsed="1" w:qFormat="1"/>
    <w:lsdException w:name="footnote reference" w:uiPriority="99"/>
    <w:lsdException w:name="List Bullet 3" w:uiPriority="99"/>
    <w:lsdException w:name="Title" w:qFormat="1"/>
    <w:lsdException w:name="Default Paragraph Font" w:uiPriority="1"/>
    <w:lsdException w:name="Subtitle" w:qFormat="1"/>
    <w:lsdException w:name="Hyperlink" w:uiPriority="99"/>
    <w:lsdException w:name="Strong" w:qFormat="1"/>
    <w:lsdException w:name="Emphasis"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autoRedefine/>
    <w:qFormat/>
    <w:pPr>
      <w:keepNext/>
      <w:spacing w:before="240" w:after="120"/>
      <w:outlineLvl w:val="0"/>
    </w:pPr>
    <w:rPr>
      <w:rFonts w:ascii="Arial" w:hAnsi="Arial" w:cs="Arial"/>
      <w:b/>
      <w:bCs/>
      <w:kern w:val="32"/>
      <w:sz w:val="32"/>
      <w:szCs w:val="32"/>
    </w:rPr>
  </w:style>
  <w:style w:type="paragraph" w:styleId="Heading2">
    <w:name w:val="heading 2"/>
    <w:basedOn w:val="Normal"/>
    <w:next w:val="Normal"/>
    <w:autoRedefine/>
    <w:qFormat/>
    <w:pPr>
      <w:keepNext/>
      <w:spacing w:before="240" w:after="120"/>
      <w:ind w:left="720" w:hanging="720"/>
      <w:outlineLvl w:val="1"/>
    </w:pPr>
    <w:rPr>
      <w:rFonts w:ascii="Arial" w:hAnsi="Arial" w:cs="Arial"/>
      <w:b/>
      <w:bCs/>
      <w:i/>
      <w:iCs/>
      <w:sz w:val="28"/>
      <w:szCs w:val="28"/>
    </w:rPr>
  </w:style>
  <w:style w:type="paragraph" w:styleId="Heading3">
    <w:name w:val="heading 3"/>
    <w:basedOn w:val="Normal"/>
    <w:next w:val="Normal"/>
    <w:autoRedefine/>
    <w:qFormat/>
    <w:pPr>
      <w:keepNext/>
      <w:numPr>
        <w:ilvl w:val="2"/>
      </w:numPr>
      <w:tabs>
        <w:tab w:val="num" w:pos="850"/>
      </w:tabs>
      <w:spacing w:before="120" w:after="120"/>
      <w:ind w:left="850" w:hanging="850"/>
      <w:jc w:val="both"/>
      <w:outlineLvl w:val="2"/>
    </w:pPr>
    <w:rPr>
      <w:rFonts w:ascii="Arial" w:hAnsi="Arial" w:cs="Arial"/>
      <w:b/>
      <w:bCs/>
      <w:i/>
      <w:sz w:val="26"/>
      <w:szCs w:val="26"/>
    </w:rPr>
  </w:style>
  <w:style w:type="paragraph" w:styleId="Heading4">
    <w:name w:val="heading 4"/>
    <w:basedOn w:val="Normal"/>
    <w:next w:val="Normal"/>
    <w:qFormat/>
    <w:pPr>
      <w:keepNext/>
      <w:numPr>
        <w:ilvl w:val="3"/>
      </w:numPr>
      <w:tabs>
        <w:tab w:val="num" w:pos="1030"/>
      </w:tabs>
      <w:spacing w:before="120" w:after="120"/>
      <w:ind w:left="1030" w:hanging="850"/>
      <w:jc w:val="both"/>
      <w:outlineLvl w:val="3"/>
    </w:pPr>
    <w:rPr>
      <w:b/>
      <w:bCs/>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pPr>
      <w:tabs>
        <w:tab w:val="center" w:pos="4535"/>
        <w:tab w:val="right" w:pos="9071"/>
        <w:tab w:val="right" w:pos="9921"/>
      </w:tabs>
      <w:spacing w:before="360"/>
      <w:ind w:left="-850" w:right="-850"/>
    </w:pPr>
    <w:rPr>
      <w:rFonts w:eastAsiaTheme="minorHAnsi"/>
      <w:szCs w:val="22"/>
    </w:rPr>
  </w:style>
  <w:style w:type="paragraph" w:styleId="FootnoteText">
    <w:name w:val="footnote text"/>
    <w:basedOn w:val="Normal"/>
    <w:link w:val="FootnoteTextChar"/>
    <w:pPr>
      <w:ind w:left="720" w:hanging="720"/>
      <w:jc w:val="both"/>
    </w:pPr>
    <w:rPr>
      <w:sz w:val="20"/>
      <w:szCs w:val="20"/>
    </w:rPr>
  </w:style>
  <w:style w:type="paragraph" w:styleId="TOC1">
    <w:name w:val="toc 1"/>
    <w:basedOn w:val="Normal"/>
    <w:next w:val="Normal"/>
    <w:uiPriority w:val="39"/>
    <w:qFormat/>
    <w:pPr>
      <w:spacing w:before="120" w:after="120"/>
    </w:pPr>
    <w:rPr>
      <w:b/>
      <w:bCs/>
      <w:caps/>
      <w:sz w:val="20"/>
      <w:szCs w:val="20"/>
    </w:rPr>
  </w:style>
  <w:style w:type="character" w:styleId="FootnoteReference">
    <w:name w:val="footnote reference"/>
    <w:aliases w:val="stylish,Footnote Reference Superscript,BVI fnr,Footnote symbol,Footnote symboFußnotenzeichen,Footnote sign,Footnote Reference Number,E FNZ,-E Fußnotenzeichen,Footnote#,Footnote,Times 10 Point,Exposant 3 Point,Ref,de nota al pie,SUPER"/>
    <w:link w:val="BVIfnrCarCarCarCarCharCharCharChar"/>
    <w:uiPriority w:val="99"/>
    <w:rPr>
      <w:vertAlign w:val="superscript"/>
    </w:rPr>
  </w:style>
  <w:style w:type="paragraph" w:customStyle="1" w:styleId="Text1">
    <w:name w:val="Text 1"/>
    <w:basedOn w:val="Normal"/>
    <w:pPr>
      <w:spacing w:before="120" w:after="120"/>
      <w:ind w:left="850"/>
      <w:jc w:val="both"/>
    </w:pPr>
  </w:style>
  <w:style w:type="paragraph" w:customStyle="1" w:styleId="Tiret0">
    <w:name w:val="Tiret 0"/>
    <w:basedOn w:val="Normal"/>
    <w:pPr>
      <w:numPr>
        <w:numId w:val="1"/>
      </w:numPr>
      <w:spacing w:before="120" w:after="120"/>
      <w:jc w:val="both"/>
    </w:pPr>
  </w:style>
  <w:style w:type="paragraph" w:customStyle="1" w:styleId="ManualHeading1">
    <w:name w:val="Manual Heading 1"/>
    <w:basedOn w:val="Normal"/>
    <w:next w:val="Text1"/>
    <w:pPr>
      <w:keepNext/>
      <w:tabs>
        <w:tab w:val="left" w:pos="850"/>
      </w:tabs>
      <w:spacing w:before="240" w:after="120"/>
      <w:ind w:left="851" w:hanging="851"/>
      <w:jc w:val="both"/>
      <w:outlineLvl w:val="0"/>
    </w:pPr>
    <w:rPr>
      <w:b/>
      <w:smallCaps/>
      <w:noProof/>
    </w:rPr>
  </w:style>
  <w:style w:type="paragraph" w:customStyle="1" w:styleId="ManualHeading2">
    <w:name w:val="Manual Heading 2"/>
    <w:basedOn w:val="Normal"/>
    <w:next w:val="Normal"/>
    <w:pPr>
      <w:keepNext/>
      <w:tabs>
        <w:tab w:val="left" w:pos="850"/>
      </w:tabs>
      <w:spacing w:before="360" w:after="120"/>
      <w:ind w:left="850" w:hanging="850"/>
      <w:jc w:val="both"/>
      <w:outlineLvl w:val="1"/>
    </w:pPr>
    <w:rPr>
      <w:rFonts w:eastAsia="Calibri"/>
      <w:b/>
      <w:noProof/>
    </w:rPr>
  </w:style>
  <w:style w:type="paragraph" w:customStyle="1" w:styleId="ListDash">
    <w:name w:val="List Dash"/>
    <w:basedOn w:val="Normal"/>
    <w:link w:val="ListDashChar"/>
    <w:pPr>
      <w:spacing w:before="120" w:after="120"/>
      <w:jc w:val="both"/>
    </w:pPr>
  </w:style>
  <w:style w:type="paragraph" w:styleId="TOCHeading">
    <w:name w:val="TOC Heading"/>
    <w:basedOn w:val="Normal"/>
    <w:next w:val="Normal"/>
    <w:uiPriority w:val="39"/>
    <w:qFormat/>
    <w:pPr>
      <w:spacing w:before="120" w:after="240"/>
      <w:jc w:val="center"/>
    </w:pPr>
    <w:rPr>
      <w:b/>
      <w:sz w:val="28"/>
    </w:rPr>
  </w:style>
  <w:style w:type="paragraph" w:customStyle="1" w:styleId="Prliminairetitre">
    <w:name w:val="Préliminaire titre"/>
    <w:basedOn w:val="Normal"/>
    <w:next w:val="Normal"/>
    <w:pPr>
      <w:spacing w:before="360" w:after="360"/>
      <w:jc w:val="center"/>
    </w:pPr>
    <w:rPr>
      <w:b/>
    </w:rPr>
  </w:style>
  <w:style w:type="paragraph" w:customStyle="1" w:styleId="Prliminairetype">
    <w:name w:val="Préliminaire type"/>
    <w:basedOn w:val="Normal"/>
    <w:next w:val="Normal"/>
    <w:pPr>
      <w:spacing w:before="360"/>
      <w:jc w:val="center"/>
    </w:pPr>
    <w:rPr>
      <w:b/>
    </w:rPr>
  </w:style>
  <w:style w:type="character" w:styleId="Hyperlink">
    <w:name w:val="Hyperlink"/>
    <w:uiPriority w:val="99"/>
    <w:rPr>
      <w:color w:val="0000FF"/>
      <w:u w:val="single"/>
    </w:rPr>
  </w:style>
  <w:style w:type="character" w:customStyle="1" w:styleId="Marker">
    <w:name w:val="Marker"/>
    <w:rPr>
      <w:color w:val="0000FF"/>
      <w:shd w:val="clear" w:color="auto" w:fill="auto"/>
    </w:rPr>
  </w:style>
  <w:style w:type="paragraph" w:customStyle="1" w:styleId="Pagedecouverture">
    <w:name w:val="Page de couverture"/>
    <w:basedOn w:val="Normal"/>
    <w:next w:val="Normal"/>
    <w:pPr>
      <w:spacing w:before="120" w:after="120"/>
      <w:jc w:val="both"/>
    </w:pPr>
  </w:style>
  <w:style w:type="paragraph" w:styleId="Header">
    <w:name w:val="header"/>
    <w:basedOn w:val="Normal"/>
    <w:link w:val="HeaderChar"/>
    <w:uiPriority w:val="99"/>
    <w:unhideWhenUsed/>
    <w:pPr>
      <w:tabs>
        <w:tab w:val="center" w:pos="4535"/>
        <w:tab w:val="right" w:pos="9071"/>
      </w:tabs>
      <w:spacing w:after="120"/>
      <w:jc w:val="both"/>
    </w:pPr>
    <w:rPr>
      <w:rFonts w:eastAsiaTheme="minorHAnsi"/>
      <w:szCs w:val="22"/>
    </w:rPr>
  </w:style>
  <w:style w:type="paragraph" w:customStyle="1" w:styleId="FooterCoverPage">
    <w:name w:val="Footer Cover Page"/>
    <w:basedOn w:val="Normal"/>
    <w:pPr>
      <w:tabs>
        <w:tab w:val="center" w:pos="4535"/>
        <w:tab w:val="right" w:pos="9071"/>
        <w:tab w:val="right" w:pos="9921"/>
      </w:tabs>
      <w:spacing w:before="360"/>
      <w:ind w:left="-850" w:right="-850"/>
    </w:pPr>
  </w:style>
  <w:style w:type="paragraph" w:customStyle="1" w:styleId="HeaderCoverPage">
    <w:name w:val="Header Cover Page"/>
    <w:basedOn w:val="Normal"/>
    <w:pPr>
      <w:tabs>
        <w:tab w:val="center" w:pos="4535"/>
        <w:tab w:val="right" w:pos="9071"/>
      </w:tabs>
      <w:spacing w:after="120"/>
      <w:jc w:val="both"/>
    </w:pPr>
  </w:style>
  <w:style w:type="paragraph" w:styleId="TOC2">
    <w:name w:val="toc 2"/>
    <w:basedOn w:val="Normal"/>
    <w:next w:val="Normal"/>
    <w:autoRedefine/>
    <w:uiPriority w:val="39"/>
    <w:qFormat/>
    <w:pPr>
      <w:tabs>
        <w:tab w:val="left" w:pos="720"/>
        <w:tab w:val="right" w:leader="dot" w:pos="9061"/>
      </w:tabs>
      <w:ind w:left="709" w:hanging="469"/>
    </w:pPr>
    <w:rPr>
      <w:smallCaps/>
      <w:sz w:val="20"/>
      <w:szCs w:val="20"/>
    </w:rPr>
  </w:style>
  <w:style w:type="paragraph" w:styleId="TOC3">
    <w:name w:val="toc 3"/>
    <w:basedOn w:val="Normal"/>
    <w:next w:val="Normal"/>
    <w:autoRedefine/>
    <w:semiHidden/>
    <w:qFormat/>
    <w:pPr>
      <w:ind w:left="480"/>
    </w:pPr>
    <w:rPr>
      <w:i/>
      <w:iCs/>
      <w:sz w:val="20"/>
      <w:szCs w:val="20"/>
    </w:rPr>
  </w:style>
  <w:style w:type="paragraph" w:styleId="TOC4">
    <w:name w:val="toc 4"/>
    <w:basedOn w:val="Normal"/>
    <w:next w:val="Normal"/>
    <w:autoRedefine/>
    <w:semiHidden/>
    <w:pPr>
      <w:ind w:left="720"/>
    </w:pPr>
    <w:rPr>
      <w:sz w:val="18"/>
      <w:szCs w:val="18"/>
    </w:rPr>
  </w:style>
  <w:style w:type="paragraph" w:styleId="TOC5">
    <w:name w:val="toc 5"/>
    <w:basedOn w:val="Normal"/>
    <w:next w:val="Normal"/>
    <w:autoRedefine/>
    <w:semiHidden/>
    <w:pPr>
      <w:ind w:left="960"/>
    </w:pPr>
    <w:rPr>
      <w:sz w:val="18"/>
      <w:szCs w:val="18"/>
    </w:rPr>
  </w:style>
  <w:style w:type="paragraph" w:styleId="TOC6">
    <w:name w:val="toc 6"/>
    <w:basedOn w:val="Normal"/>
    <w:next w:val="Normal"/>
    <w:autoRedefine/>
    <w:semiHidden/>
    <w:pPr>
      <w:ind w:left="1200"/>
    </w:pPr>
    <w:rPr>
      <w:sz w:val="18"/>
      <w:szCs w:val="18"/>
    </w:rPr>
  </w:style>
  <w:style w:type="paragraph" w:styleId="TOC7">
    <w:name w:val="toc 7"/>
    <w:basedOn w:val="Normal"/>
    <w:next w:val="Normal"/>
    <w:autoRedefine/>
    <w:semiHidden/>
    <w:pPr>
      <w:ind w:left="1440"/>
    </w:pPr>
    <w:rPr>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styleId="ListBullet">
    <w:name w:val="List Bullet"/>
    <w:basedOn w:val="Normal"/>
    <w:pPr>
      <w:numPr>
        <w:numId w:val="3"/>
      </w:numPr>
      <w:spacing w:before="120" w:after="120"/>
      <w:jc w:val="both"/>
    </w:pPr>
  </w:style>
  <w:style w:type="paragraph" w:customStyle="1" w:styleId="ListDash2">
    <w:name w:val="List Dash 2"/>
    <w:basedOn w:val="Normal"/>
    <w:pPr>
      <w:tabs>
        <w:tab w:val="num" w:pos="1134"/>
      </w:tabs>
      <w:spacing w:before="120" w:after="120"/>
      <w:ind w:left="1134" w:hanging="283"/>
      <w:jc w:val="both"/>
    </w:pPr>
  </w:style>
  <w:style w:type="paragraph" w:customStyle="1" w:styleId="ListBullet1">
    <w:name w:val="List Bullet 1"/>
    <w:basedOn w:val="Text1"/>
    <w:pPr>
      <w:numPr>
        <w:numId w:val="4"/>
      </w:numPr>
      <w:spacing w:before="0" w:after="240"/>
    </w:pPr>
    <w:rPr>
      <w:szCs w:val="20"/>
    </w:rPr>
  </w:style>
  <w:style w:type="paragraph" w:styleId="ListBullet2">
    <w:name w:val="List Bullet 2"/>
    <w:basedOn w:val="Normal"/>
    <w:pPr>
      <w:numPr>
        <w:numId w:val="5"/>
      </w:numPr>
      <w:spacing w:after="240"/>
      <w:jc w:val="both"/>
    </w:pPr>
    <w:rPr>
      <w:szCs w:val="20"/>
    </w:rPr>
  </w:style>
  <w:style w:type="table" w:styleId="TableGrid">
    <w:name w:val="Table Grid"/>
    <w:basedOn w:val="TableNormal"/>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rPr>
      <w:color w:val="800080"/>
      <w:u w:val="single"/>
    </w:rPr>
  </w:style>
  <w:style w:type="paragraph" w:customStyle="1" w:styleId="Typedudocument">
    <w:name w:val="Type du document"/>
    <w:basedOn w:val="Normal"/>
    <w:next w:val="Titreobjet"/>
    <w:pPr>
      <w:spacing w:before="360"/>
      <w:jc w:val="center"/>
    </w:pPr>
    <w:rPr>
      <w:b/>
    </w:rPr>
  </w:style>
  <w:style w:type="paragraph" w:customStyle="1" w:styleId="Titreobjet">
    <w:name w:val="Titre objet"/>
    <w:basedOn w:val="Normal"/>
    <w:next w:val="Normal"/>
    <w:pPr>
      <w:spacing w:before="360" w:after="360"/>
      <w:jc w:val="center"/>
    </w:pPr>
    <w:rPr>
      <w:b/>
    </w:rPr>
  </w:style>
  <w:style w:type="character" w:styleId="Emphasis">
    <w:name w:val="Emphasis"/>
    <w:qFormat/>
    <w:rPr>
      <w:i/>
      <w:iCs/>
    </w:rPr>
  </w:style>
  <w:style w:type="paragraph" w:styleId="NormalWeb">
    <w:name w:val="Normal (Web)"/>
    <w:basedOn w:val="Normal"/>
    <w:uiPriority w:val="99"/>
    <w:pPr>
      <w:spacing w:before="100" w:beforeAutospacing="1" w:after="100" w:afterAutospacing="1"/>
    </w:pPr>
  </w:style>
  <w:style w:type="paragraph" w:customStyle="1" w:styleId="Text2">
    <w:name w:val="Text 2"/>
    <w:basedOn w:val="Normal"/>
    <w:pPr>
      <w:spacing w:before="120" w:after="120"/>
      <w:ind w:left="850"/>
      <w:jc w:val="both"/>
    </w:pPr>
  </w:style>
  <w:style w:type="paragraph" w:styleId="BalloonText">
    <w:name w:val="Balloon Text"/>
    <w:basedOn w:val="Normal"/>
    <w:semiHidden/>
    <w:rPr>
      <w:rFonts w:ascii="Tahoma" w:hAnsi="Tahoma" w:cs="Tahoma"/>
      <w:sz w:val="16"/>
      <w:szCs w:val="16"/>
    </w:rPr>
  </w:style>
  <w:style w:type="paragraph" w:styleId="ListNumber">
    <w:name w:val="List Number"/>
    <w:basedOn w:val="Normal"/>
    <w:pPr>
      <w:numPr>
        <w:numId w:val="28"/>
      </w:numPr>
      <w:spacing w:before="120" w:after="120"/>
      <w:jc w:val="both"/>
    </w:pPr>
  </w:style>
  <w:style w:type="paragraph" w:customStyle="1" w:styleId="ListNumberLevel2">
    <w:name w:val="List Number (Level 2)"/>
    <w:basedOn w:val="Normal"/>
    <w:pPr>
      <w:numPr>
        <w:ilvl w:val="1"/>
        <w:numId w:val="28"/>
      </w:numPr>
      <w:spacing w:before="120" w:after="120"/>
      <w:jc w:val="both"/>
    </w:pPr>
  </w:style>
  <w:style w:type="paragraph" w:customStyle="1" w:styleId="ListNumberLevel3">
    <w:name w:val="List Number (Level 3)"/>
    <w:basedOn w:val="Normal"/>
    <w:pPr>
      <w:numPr>
        <w:ilvl w:val="2"/>
        <w:numId w:val="28"/>
      </w:numPr>
      <w:spacing w:before="120" w:after="120"/>
      <w:jc w:val="both"/>
    </w:pPr>
  </w:style>
  <w:style w:type="paragraph" w:customStyle="1" w:styleId="ListNumberLevel4">
    <w:name w:val="List Number (Level 4)"/>
    <w:basedOn w:val="Normal"/>
    <w:pPr>
      <w:numPr>
        <w:ilvl w:val="3"/>
        <w:numId w:val="28"/>
      </w:numPr>
      <w:tabs>
        <w:tab w:val="clear" w:pos="2835"/>
        <w:tab w:val="num" w:pos="360"/>
      </w:tabs>
      <w:spacing w:before="120" w:after="120"/>
      <w:ind w:left="0" w:firstLine="0"/>
      <w:jc w:val="both"/>
    </w:pPr>
  </w:style>
  <w:style w:type="character" w:customStyle="1" w:styleId="ListDashChar">
    <w:name w:val="List Dash Char"/>
    <w:link w:val="ListDash"/>
    <w:rPr>
      <w:sz w:val="24"/>
      <w:szCs w:val="24"/>
      <w:lang w:eastAsia="fr-FR"/>
    </w:rPr>
  </w:style>
  <w:style w:type="paragraph" w:customStyle="1" w:styleId="StyleManualHeading2Italic">
    <w:name w:val="Style Manual Heading 2 + Italic"/>
    <w:basedOn w:val="ManualHeading2"/>
    <w:autoRedefine/>
    <w:pPr>
      <w:spacing w:before="160" w:after="160"/>
      <w:ind w:left="851" w:hanging="851"/>
    </w:pPr>
    <w:rPr>
      <w:bCs/>
      <w:i/>
      <w:iCs/>
    </w:rPr>
  </w:style>
  <w:style w:type="character" w:customStyle="1" w:styleId="FootnoteTextChar">
    <w:name w:val="Footnote Text Char"/>
    <w:link w:val="FootnoteText"/>
    <w:rPr>
      <w:lang w:eastAsia="fr-FR"/>
    </w:rPr>
  </w:style>
  <w:style w:type="paragraph" w:customStyle="1" w:styleId="NormalCentered">
    <w:name w:val="Normal Centered"/>
    <w:basedOn w:val="Normal"/>
    <w:uiPriority w:val="99"/>
    <w:pPr>
      <w:spacing w:before="120" w:after="120"/>
      <w:jc w:val="center"/>
    </w:pPr>
  </w:style>
  <w:style w:type="paragraph" w:customStyle="1" w:styleId="NormalRight">
    <w:name w:val="Normal Right"/>
    <w:basedOn w:val="Normal"/>
    <w:uiPriority w:val="99"/>
    <w:pPr>
      <w:spacing w:before="120" w:after="120"/>
      <w:jc w:val="right"/>
    </w:pPr>
  </w:style>
  <w:style w:type="paragraph" w:customStyle="1" w:styleId="NormalLeft">
    <w:name w:val="Normal Left"/>
    <w:basedOn w:val="Normal"/>
    <w:uiPriority w:val="99"/>
    <w:pPr>
      <w:spacing w:before="120" w:after="120"/>
    </w:pPr>
  </w:style>
  <w:style w:type="paragraph" w:styleId="Revision">
    <w:name w:val="Revision"/>
    <w:hidden/>
    <w:uiPriority w:val="99"/>
    <w:semiHidden/>
    <w:rPr>
      <w:sz w:val="24"/>
      <w:szCs w:val="24"/>
    </w:rPr>
  </w:style>
  <w:style w:type="paragraph" w:customStyle="1" w:styleId="Statut">
    <w:name w:val="Statut"/>
    <w:basedOn w:val="Normal"/>
    <w:next w:val="Typedudocument"/>
    <w:pPr>
      <w:spacing w:before="360"/>
      <w:jc w:val="center"/>
    </w:pPr>
    <w:rPr>
      <w:rFonts w:eastAsia="Calibri"/>
      <w:szCs w:val="22"/>
    </w:rPr>
  </w:style>
  <w:style w:type="paragraph" w:customStyle="1" w:styleId="Footnoter">
    <w:name w:val="Footnote r"/>
    <w:basedOn w:val="Normal"/>
    <w:pPr>
      <w:shd w:val="clear" w:color="auto" w:fill="F2F8FB"/>
      <w:spacing w:before="100" w:beforeAutospacing="1" w:after="100" w:afterAutospacing="1"/>
    </w:pPr>
    <w:rPr>
      <w:szCs w:val="22"/>
    </w:rPr>
  </w:style>
  <w:style w:type="character" w:customStyle="1" w:styleId="hps">
    <w:name w:val="hps"/>
  </w:style>
  <w:style w:type="paragraph" w:customStyle="1" w:styleId="Point0number">
    <w:name w:val="Point 0 (number)"/>
    <w:basedOn w:val="Normal"/>
    <w:pPr>
      <w:numPr>
        <w:numId w:val="7"/>
      </w:numPr>
      <w:spacing w:before="120" w:after="120"/>
      <w:jc w:val="both"/>
    </w:pPr>
    <w:rPr>
      <w:szCs w:val="22"/>
    </w:rPr>
  </w:style>
  <w:style w:type="paragraph" w:customStyle="1" w:styleId="Point1number">
    <w:name w:val="Point 1 (number)"/>
    <w:basedOn w:val="Normal"/>
    <w:pPr>
      <w:numPr>
        <w:ilvl w:val="2"/>
        <w:numId w:val="7"/>
      </w:numPr>
      <w:spacing w:before="120" w:after="120"/>
      <w:jc w:val="both"/>
    </w:pPr>
    <w:rPr>
      <w:szCs w:val="22"/>
    </w:rPr>
  </w:style>
  <w:style w:type="paragraph" w:customStyle="1" w:styleId="Point2number">
    <w:name w:val="Point 2 (number)"/>
    <w:basedOn w:val="Normal"/>
    <w:pPr>
      <w:numPr>
        <w:ilvl w:val="4"/>
        <w:numId w:val="7"/>
      </w:numPr>
      <w:spacing w:before="120" w:after="120"/>
      <w:jc w:val="both"/>
    </w:pPr>
    <w:rPr>
      <w:szCs w:val="22"/>
    </w:rPr>
  </w:style>
  <w:style w:type="paragraph" w:customStyle="1" w:styleId="Point3number">
    <w:name w:val="Point 3 (number)"/>
    <w:basedOn w:val="Normal"/>
    <w:pPr>
      <w:numPr>
        <w:ilvl w:val="6"/>
        <w:numId w:val="7"/>
      </w:numPr>
      <w:spacing w:before="120" w:after="120"/>
      <w:jc w:val="both"/>
    </w:pPr>
    <w:rPr>
      <w:szCs w:val="22"/>
    </w:rPr>
  </w:style>
  <w:style w:type="paragraph" w:customStyle="1" w:styleId="Point0letter">
    <w:name w:val="Point 0 (letter)"/>
    <w:basedOn w:val="Normal"/>
    <w:pPr>
      <w:numPr>
        <w:ilvl w:val="1"/>
        <w:numId w:val="7"/>
      </w:numPr>
      <w:spacing w:before="120" w:after="120"/>
      <w:jc w:val="both"/>
    </w:pPr>
    <w:rPr>
      <w:szCs w:val="22"/>
    </w:rPr>
  </w:style>
  <w:style w:type="paragraph" w:customStyle="1" w:styleId="Point1letter">
    <w:name w:val="Point 1 (letter)"/>
    <w:basedOn w:val="Normal"/>
    <w:pPr>
      <w:numPr>
        <w:ilvl w:val="3"/>
        <w:numId w:val="7"/>
      </w:numPr>
      <w:spacing w:before="120" w:after="120"/>
      <w:jc w:val="both"/>
    </w:pPr>
    <w:rPr>
      <w:szCs w:val="22"/>
    </w:rPr>
  </w:style>
  <w:style w:type="paragraph" w:customStyle="1" w:styleId="Point2letter">
    <w:name w:val="Point 2 (letter)"/>
    <w:basedOn w:val="Normal"/>
    <w:pPr>
      <w:numPr>
        <w:ilvl w:val="5"/>
        <w:numId w:val="7"/>
      </w:numPr>
      <w:spacing w:before="120" w:after="120"/>
      <w:jc w:val="both"/>
    </w:pPr>
    <w:rPr>
      <w:szCs w:val="22"/>
    </w:rPr>
  </w:style>
  <w:style w:type="paragraph" w:customStyle="1" w:styleId="Point3letter">
    <w:name w:val="Point 3 (letter)"/>
    <w:basedOn w:val="Normal"/>
    <w:pPr>
      <w:numPr>
        <w:ilvl w:val="7"/>
        <w:numId w:val="7"/>
      </w:numPr>
      <w:spacing w:before="120" w:after="120"/>
      <w:jc w:val="both"/>
    </w:pPr>
    <w:rPr>
      <w:szCs w:val="22"/>
    </w:rPr>
  </w:style>
  <w:style w:type="paragraph" w:customStyle="1" w:styleId="Point4letter">
    <w:name w:val="Point 4 (letter)"/>
    <w:basedOn w:val="Normal"/>
    <w:pPr>
      <w:numPr>
        <w:ilvl w:val="8"/>
        <w:numId w:val="7"/>
      </w:numPr>
      <w:spacing w:before="120" w:after="120"/>
      <w:jc w:val="both"/>
    </w:pPr>
    <w:rPr>
      <w:szCs w:val="22"/>
    </w:rPr>
  </w:style>
  <w:style w:type="paragraph" w:customStyle="1" w:styleId="Tiret2">
    <w:name w:val="Tiret 2"/>
    <w:basedOn w:val="Normal"/>
    <w:pPr>
      <w:numPr>
        <w:numId w:val="8"/>
      </w:numPr>
      <w:spacing w:before="120" w:after="120"/>
      <w:jc w:val="both"/>
    </w:pPr>
    <w:rPr>
      <w:szCs w:val="22"/>
    </w:rPr>
  </w:style>
  <w:style w:type="paragraph" w:styleId="ListParagraph">
    <w:name w:val="List Paragraph"/>
    <w:aliases w:val="Dot pt,F5 List Paragraph,List Paragraph1,No Spacing1,List Paragraph Char Char Char,Indicator Text,Colorful List - Accent 11,Numbered Para 1,Bullet 1,Bullet Points,MAIN CONTENT,List Paragraph11,List Paragraph12,List Paragraph2,OBC Bullet"/>
    <w:basedOn w:val="Normal"/>
    <w:link w:val="ListParagraphChar"/>
    <w:uiPriority w:val="34"/>
    <w:qFormat/>
    <w:pPr>
      <w:spacing w:after="200" w:line="276" w:lineRule="auto"/>
      <w:ind w:left="720"/>
      <w:contextualSpacing/>
    </w:pPr>
    <w:rPr>
      <w:rFonts w:ascii="Calibri" w:eastAsia="MS Mincho" w:hAnsi="Calibri"/>
      <w:sz w:val="22"/>
      <w:szCs w:val="22"/>
    </w:rPr>
  </w:style>
  <w:style w:type="character" w:customStyle="1" w:styleId="ListParagraphChar">
    <w:name w:val="List Paragraph Char"/>
    <w:aliases w:val="Dot pt Char,F5 List Paragraph Char,List Paragraph1 Char,No Spacing1 Char,List Paragraph Char Char Char Char,Indicator Text Char,Colorful List - Accent 11 Char,Numbered Para 1 Char,Bullet 1 Char,Bullet Points Char,MAIN CONTENT Char"/>
    <w:link w:val="ListParagraph"/>
    <w:uiPriority w:val="34"/>
    <w:qFormat/>
    <w:locked/>
    <w:rPr>
      <w:rFonts w:ascii="Calibri" w:eastAsia="MS Mincho" w:hAnsi="Calibri"/>
      <w:sz w:val="22"/>
      <w:szCs w:val="22"/>
    </w:rPr>
  </w:style>
  <w:style w:type="character" w:styleId="CommentReference">
    <w:name w:val="annotation reference"/>
    <w:rPr>
      <w:sz w:val="16"/>
      <w:szCs w:val="16"/>
    </w:rPr>
  </w:style>
  <w:style w:type="paragraph" w:styleId="CommentText">
    <w:name w:val="annotation text"/>
    <w:basedOn w:val="Normal"/>
    <w:link w:val="CommentTextChar"/>
    <w:rPr>
      <w:sz w:val="20"/>
      <w:szCs w:val="20"/>
    </w:rPr>
  </w:style>
  <w:style w:type="character" w:customStyle="1" w:styleId="CommentTextChar">
    <w:name w:val="Comment Text Char"/>
    <w:basedOn w:val="DefaultParagraphFont"/>
    <w:link w:val="CommentText"/>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Pr>
      <w:b/>
      <w:bCs/>
    </w:rPr>
  </w:style>
  <w:style w:type="paragraph" w:styleId="ListNumber5">
    <w:name w:val="List Number 5"/>
    <w:basedOn w:val="Normal"/>
    <w:pPr>
      <w:numPr>
        <w:numId w:val="9"/>
      </w:numPr>
      <w:contextualSpacing/>
    </w:pPr>
  </w:style>
  <w:style w:type="character" w:styleId="Strong">
    <w:name w:val="Strong"/>
    <w:basedOn w:val="DefaultParagraphFont"/>
    <w:qFormat/>
    <w:rPr>
      <w:b/>
      <w:bCs/>
    </w:rPr>
  </w:style>
  <w:style w:type="paragraph" w:styleId="ListBullet3">
    <w:name w:val="List Bullet 3"/>
    <w:basedOn w:val="Normal"/>
    <w:uiPriority w:val="99"/>
    <w:unhideWhenUsed/>
    <w:pPr>
      <w:numPr>
        <w:numId w:val="10"/>
      </w:numPr>
      <w:spacing w:before="120" w:after="120"/>
      <w:contextualSpacing/>
      <w:jc w:val="both"/>
    </w:pPr>
    <w:rPr>
      <w:rFonts w:eastAsia="Calibri"/>
      <w:szCs w:val="22"/>
    </w:rPr>
  </w:style>
  <w:style w:type="paragraph" w:customStyle="1" w:styleId="Default">
    <w:name w:val="Default"/>
    <w:pPr>
      <w:autoSpaceDE w:val="0"/>
      <w:autoSpaceDN w:val="0"/>
      <w:adjustRightInd w:val="0"/>
    </w:pPr>
    <w:rPr>
      <w:color w:val="000000"/>
      <w:sz w:val="24"/>
      <w:szCs w:val="24"/>
    </w:rPr>
  </w:style>
  <w:style w:type="paragraph" w:customStyle="1" w:styleId="CM4">
    <w:name w:val="CM4"/>
    <w:basedOn w:val="Normal"/>
    <w:next w:val="Normal"/>
    <w:uiPriority w:val="99"/>
    <w:pPr>
      <w:autoSpaceDE w:val="0"/>
      <w:autoSpaceDN w:val="0"/>
      <w:adjustRightInd w:val="0"/>
    </w:pPr>
    <w:rPr>
      <w:rFonts w:ascii="EUAlbertina" w:hAnsi="EUAlbertina"/>
    </w:rPr>
  </w:style>
  <w:style w:type="character" w:customStyle="1" w:styleId="FooterChar">
    <w:name w:val="Footer Char"/>
    <w:basedOn w:val="DefaultParagraphFont"/>
    <w:link w:val="Footer"/>
    <w:uiPriority w:val="99"/>
    <w:rPr>
      <w:rFonts w:eastAsiaTheme="minorHAnsi"/>
      <w:sz w:val="24"/>
      <w:szCs w:val="22"/>
      <w:lang w:eastAsia="fr-FR"/>
    </w:rPr>
  </w:style>
  <w:style w:type="paragraph" w:customStyle="1" w:styleId="Declassification">
    <w:name w:val="Declassification"/>
    <w:basedOn w:val="Normal"/>
    <w:next w:val="Normal"/>
    <w:pPr>
      <w:jc w:val="both"/>
    </w:pPr>
    <w:rPr>
      <w:rFonts w:eastAsiaTheme="minorHAnsi"/>
      <w:szCs w:val="22"/>
    </w:rPr>
  </w:style>
  <w:style w:type="character" w:customStyle="1" w:styleId="HeaderChar">
    <w:name w:val="Header Char"/>
    <w:basedOn w:val="DefaultParagraphFont"/>
    <w:link w:val="Header"/>
    <w:uiPriority w:val="99"/>
    <w:rPr>
      <w:rFonts w:eastAsiaTheme="minorHAnsi"/>
      <w:sz w:val="24"/>
      <w:szCs w:val="22"/>
      <w:lang w:eastAsia="fr-FR"/>
    </w:rPr>
  </w:style>
  <w:style w:type="paragraph" w:customStyle="1" w:styleId="HeaderLandscape">
    <w:name w:val="HeaderLandscape"/>
    <w:basedOn w:val="Normal"/>
    <w:pPr>
      <w:tabs>
        <w:tab w:val="center" w:pos="7285"/>
        <w:tab w:val="right" w:pos="14003"/>
      </w:tabs>
      <w:spacing w:after="120"/>
      <w:jc w:val="both"/>
    </w:pPr>
    <w:rPr>
      <w:rFonts w:eastAsiaTheme="minorHAnsi"/>
      <w:szCs w:val="22"/>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paragraph" w:customStyle="1" w:styleId="FooterLandscape">
    <w:name w:val="FooterLandscape"/>
    <w:basedOn w:val="Normal"/>
    <w:pPr>
      <w:tabs>
        <w:tab w:val="center" w:pos="7285"/>
        <w:tab w:val="center" w:pos="10913"/>
        <w:tab w:val="right" w:pos="15137"/>
      </w:tabs>
      <w:spacing w:before="360"/>
      <w:ind w:left="-567" w:right="-567"/>
    </w:pPr>
    <w:rPr>
      <w:rFonts w:eastAsiaTheme="minorHAnsi"/>
      <w:szCs w:val="2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ind w:left="113" w:right="113"/>
      <w:jc w:val="center"/>
    </w:pPr>
    <w:rPr>
      <w:b/>
      <w:sz w:val="32"/>
    </w:rPr>
  </w:style>
  <w:style w:type="paragraph" w:customStyle="1" w:styleId="doc-ti">
    <w:name w:val="doc-ti"/>
    <w:basedOn w:val="Normal"/>
    <w:pPr>
      <w:spacing w:before="240" w:after="120"/>
      <w:jc w:val="center"/>
    </w:pPr>
    <w:rPr>
      <w:b/>
      <w:bCs/>
    </w:rPr>
  </w:style>
  <w:style w:type="paragraph" w:customStyle="1" w:styleId="BVIfnrCarCarCarCarCharCharCharChar">
    <w:name w:val="BVI fnr Car Car Car Car Char Char Char Char"/>
    <w:basedOn w:val="Normal"/>
    <w:link w:val="FootnoteReference"/>
    <w:uiPriority w:val="99"/>
    <w:pPr>
      <w:spacing w:after="160" w:line="240" w:lineRule="exact"/>
    </w:pPr>
    <w:rPr>
      <w:sz w:val="20"/>
      <w:szCs w:val="2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575918">
      <w:bodyDiv w:val="1"/>
      <w:marLeft w:val="0"/>
      <w:marRight w:val="0"/>
      <w:marTop w:val="0"/>
      <w:marBottom w:val="0"/>
      <w:divBdr>
        <w:top w:val="none" w:sz="0" w:space="0" w:color="auto"/>
        <w:left w:val="none" w:sz="0" w:space="0" w:color="auto"/>
        <w:bottom w:val="none" w:sz="0" w:space="0" w:color="auto"/>
        <w:right w:val="none" w:sz="0" w:space="0" w:color="auto"/>
      </w:divBdr>
    </w:div>
    <w:div w:id="53091381">
      <w:bodyDiv w:val="1"/>
      <w:marLeft w:val="0"/>
      <w:marRight w:val="0"/>
      <w:marTop w:val="0"/>
      <w:marBottom w:val="0"/>
      <w:divBdr>
        <w:top w:val="none" w:sz="0" w:space="0" w:color="auto"/>
        <w:left w:val="none" w:sz="0" w:space="0" w:color="auto"/>
        <w:bottom w:val="none" w:sz="0" w:space="0" w:color="auto"/>
        <w:right w:val="none" w:sz="0" w:space="0" w:color="auto"/>
      </w:divBdr>
    </w:div>
    <w:div w:id="65807294">
      <w:bodyDiv w:val="1"/>
      <w:marLeft w:val="0"/>
      <w:marRight w:val="0"/>
      <w:marTop w:val="0"/>
      <w:marBottom w:val="0"/>
      <w:divBdr>
        <w:top w:val="none" w:sz="0" w:space="0" w:color="auto"/>
        <w:left w:val="none" w:sz="0" w:space="0" w:color="auto"/>
        <w:bottom w:val="none" w:sz="0" w:space="0" w:color="auto"/>
        <w:right w:val="none" w:sz="0" w:space="0" w:color="auto"/>
      </w:divBdr>
    </w:div>
    <w:div w:id="77798609">
      <w:bodyDiv w:val="1"/>
      <w:marLeft w:val="0"/>
      <w:marRight w:val="0"/>
      <w:marTop w:val="0"/>
      <w:marBottom w:val="0"/>
      <w:divBdr>
        <w:top w:val="none" w:sz="0" w:space="0" w:color="auto"/>
        <w:left w:val="none" w:sz="0" w:space="0" w:color="auto"/>
        <w:bottom w:val="none" w:sz="0" w:space="0" w:color="auto"/>
        <w:right w:val="none" w:sz="0" w:space="0" w:color="auto"/>
      </w:divBdr>
    </w:div>
    <w:div w:id="127286090">
      <w:bodyDiv w:val="1"/>
      <w:marLeft w:val="0"/>
      <w:marRight w:val="0"/>
      <w:marTop w:val="0"/>
      <w:marBottom w:val="0"/>
      <w:divBdr>
        <w:top w:val="none" w:sz="0" w:space="0" w:color="auto"/>
        <w:left w:val="none" w:sz="0" w:space="0" w:color="auto"/>
        <w:bottom w:val="none" w:sz="0" w:space="0" w:color="auto"/>
        <w:right w:val="none" w:sz="0" w:space="0" w:color="auto"/>
      </w:divBdr>
      <w:divsChild>
        <w:div w:id="1952855758">
          <w:marLeft w:val="0"/>
          <w:marRight w:val="0"/>
          <w:marTop w:val="0"/>
          <w:marBottom w:val="0"/>
          <w:divBdr>
            <w:top w:val="none" w:sz="0" w:space="0" w:color="auto"/>
            <w:left w:val="none" w:sz="0" w:space="0" w:color="auto"/>
            <w:bottom w:val="none" w:sz="0" w:space="0" w:color="auto"/>
            <w:right w:val="none" w:sz="0" w:space="0" w:color="auto"/>
          </w:divBdr>
          <w:divsChild>
            <w:div w:id="1936203364">
              <w:marLeft w:val="0"/>
              <w:marRight w:val="0"/>
              <w:marTop w:val="0"/>
              <w:marBottom w:val="0"/>
              <w:divBdr>
                <w:top w:val="none" w:sz="0" w:space="0" w:color="auto"/>
                <w:left w:val="none" w:sz="0" w:space="0" w:color="auto"/>
                <w:bottom w:val="none" w:sz="0" w:space="0" w:color="auto"/>
                <w:right w:val="none" w:sz="0" w:space="0" w:color="auto"/>
              </w:divBdr>
              <w:divsChild>
                <w:div w:id="1099984863">
                  <w:marLeft w:val="0"/>
                  <w:marRight w:val="0"/>
                  <w:marTop w:val="0"/>
                  <w:marBottom w:val="0"/>
                  <w:divBdr>
                    <w:top w:val="none" w:sz="0" w:space="0" w:color="auto"/>
                    <w:left w:val="none" w:sz="0" w:space="0" w:color="auto"/>
                    <w:bottom w:val="none" w:sz="0" w:space="0" w:color="auto"/>
                    <w:right w:val="none" w:sz="0" w:space="0" w:color="auto"/>
                  </w:divBdr>
                  <w:divsChild>
                    <w:div w:id="1203328141">
                      <w:marLeft w:val="1"/>
                      <w:marRight w:val="1"/>
                      <w:marTop w:val="0"/>
                      <w:marBottom w:val="0"/>
                      <w:divBdr>
                        <w:top w:val="none" w:sz="0" w:space="0" w:color="auto"/>
                        <w:left w:val="none" w:sz="0" w:space="0" w:color="auto"/>
                        <w:bottom w:val="none" w:sz="0" w:space="0" w:color="auto"/>
                        <w:right w:val="none" w:sz="0" w:space="0" w:color="auto"/>
                      </w:divBdr>
                      <w:divsChild>
                        <w:div w:id="1936546657">
                          <w:marLeft w:val="0"/>
                          <w:marRight w:val="0"/>
                          <w:marTop w:val="0"/>
                          <w:marBottom w:val="0"/>
                          <w:divBdr>
                            <w:top w:val="none" w:sz="0" w:space="0" w:color="auto"/>
                            <w:left w:val="none" w:sz="0" w:space="0" w:color="auto"/>
                            <w:bottom w:val="none" w:sz="0" w:space="0" w:color="auto"/>
                            <w:right w:val="none" w:sz="0" w:space="0" w:color="auto"/>
                          </w:divBdr>
                          <w:divsChild>
                            <w:div w:id="1022240160">
                              <w:marLeft w:val="0"/>
                              <w:marRight w:val="0"/>
                              <w:marTop w:val="0"/>
                              <w:marBottom w:val="360"/>
                              <w:divBdr>
                                <w:top w:val="none" w:sz="0" w:space="0" w:color="auto"/>
                                <w:left w:val="none" w:sz="0" w:space="0" w:color="auto"/>
                                <w:bottom w:val="none" w:sz="0" w:space="0" w:color="auto"/>
                                <w:right w:val="none" w:sz="0" w:space="0" w:color="auto"/>
                              </w:divBdr>
                              <w:divsChild>
                                <w:div w:id="1375350455">
                                  <w:marLeft w:val="0"/>
                                  <w:marRight w:val="0"/>
                                  <w:marTop w:val="0"/>
                                  <w:marBottom w:val="0"/>
                                  <w:divBdr>
                                    <w:top w:val="none" w:sz="0" w:space="0" w:color="auto"/>
                                    <w:left w:val="none" w:sz="0" w:space="0" w:color="auto"/>
                                    <w:bottom w:val="none" w:sz="0" w:space="0" w:color="auto"/>
                                    <w:right w:val="none" w:sz="0" w:space="0" w:color="auto"/>
                                  </w:divBdr>
                                  <w:divsChild>
                                    <w:div w:id="1547327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6333713">
      <w:bodyDiv w:val="1"/>
      <w:marLeft w:val="0"/>
      <w:marRight w:val="0"/>
      <w:marTop w:val="0"/>
      <w:marBottom w:val="0"/>
      <w:divBdr>
        <w:top w:val="none" w:sz="0" w:space="0" w:color="auto"/>
        <w:left w:val="none" w:sz="0" w:space="0" w:color="auto"/>
        <w:bottom w:val="none" w:sz="0" w:space="0" w:color="auto"/>
        <w:right w:val="none" w:sz="0" w:space="0" w:color="auto"/>
      </w:divBdr>
    </w:div>
    <w:div w:id="168838071">
      <w:bodyDiv w:val="1"/>
      <w:marLeft w:val="0"/>
      <w:marRight w:val="0"/>
      <w:marTop w:val="0"/>
      <w:marBottom w:val="0"/>
      <w:divBdr>
        <w:top w:val="none" w:sz="0" w:space="0" w:color="auto"/>
        <w:left w:val="none" w:sz="0" w:space="0" w:color="auto"/>
        <w:bottom w:val="none" w:sz="0" w:space="0" w:color="auto"/>
        <w:right w:val="none" w:sz="0" w:space="0" w:color="auto"/>
      </w:divBdr>
    </w:div>
    <w:div w:id="203250459">
      <w:bodyDiv w:val="1"/>
      <w:marLeft w:val="0"/>
      <w:marRight w:val="0"/>
      <w:marTop w:val="0"/>
      <w:marBottom w:val="0"/>
      <w:divBdr>
        <w:top w:val="none" w:sz="0" w:space="0" w:color="auto"/>
        <w:left w:val="none" w:sz="0" w:space="0" w:color="auto"/>
        <w:bottom w:val="none" w:sz="0" w:space="0" w:color="auto"/>
        <w:right w:val="none" w:sz="0" w:space="0" w:color="auto"/>
      </w:divBdr>
    </w:div>
    <w:div w:id="217861079">
      <w:bodyDiv w:val="1"/>
      <w:marLeft w:val="0"/>
      <w:marRight w:val="0"/>
      <w:marTop w:val="0"/>
      <w:marBottom w:val="0"/>
      <w:divBdr>
        <w:top w:val="none" w:sz="0" w:space="0" w:color="auto"/>
        <w:left w:val="none" w:sz="0" w:space="0" w:color="auto"/>
        <w:bottom w:val="none" w:sz="0" w:space="0" w:color="auto"/>
        <w:right w:val="none" w:sz="0" w:space="0" w:color="auto"/>
      </w:divBdr>
    </w:div>
    <w:div w:id="238367012">
      <w:bodyDiv w:val="1"/>
      <w:marLeft w:val="0"/>
      <w:marRight w:val="0"/>
      <w:marTop w:val="0"/>
      <w:marBottom w:val="0"/>
      <w:divBdr>
        <w:top w:val="none" w:sz="0" w:space="0" w:color="auto"/>
        <w:left w:val="none" w:sz="0" w:space="0" w:color="auto"/>
        <w:bottom w:val="none" w:sz="0" w:space="0" w:color="auto"/>
        <w:right w:val="none" w:sz="0" w:space="0" w:color="auto"/>
      </w:divBdr>
    </w:div>
    <w:div w:id="280889594">
      <w:bodyDiv w:val="1"/>
      <w:marLeft w:val="0"/>
      <w:marRight w:val="0"/>
      <w:marTop w:val="0"/>
      <w:marBottom w:val="0"/>
      <w:divBdr>
        <w:top w:val="none" w:sz="0" w:space="0" w:color="auto"/>
        <w:left w:val="none" w:sz="0" w:space="0" w:color="auto"/>
        <w:bottom w:val="none" w:sz="0" w:space="0" w:color="auto"/>
        <w:right w:val="none" w:sz="0" w:space="0" w:color="auto"/>
      </w:divBdr>
    </w:div>
    <w:div w:id="330136016">
      <w:bodyDiv w:val="1"/>
      <w:marLeft w:val="0"/>
      <w:marRight w:val="0"/>
      <w:marTop w:val="0"/>
      <w:marBottom w:val="0"/>
      <w:divBdr>
        <w:top w:val="none" w:sz="0" w:space="0" w:color="auto"/>
        <w:left w:val="none" w:sz="0" w:space="0" w:color="auto"/>
        <w:bottom w:val="none" w:sz="0" w:space="0" w:color="auto"/>
        <w:right w:val="none" w:sz="0" w:space="0" w:color="auto"/>
      </w:divBdr>
    </w:div>
    <w:div w:id="354623949">
      <w:bodyDiv w:val="1"/>
      <w:marLeft w:val="0"/>
      <w:marRight w:val="0"/>
      <w:marTop w:val="0"/>
      <w:marBottom w:val="0"/>
      <w:divBdr>
        <w:top w:val="none" w:sz="0" w:space="0" w:color="auto"/>
        <w:left w:val="none" w:sz="0" w:space="0" w:color="auto"/>
        <w:bottom w:val="none" w:sz="0" w:space="0" w:color="auto"/>
        <w:right w:val="none" w:sz="0" w:space="0" w:color="auto"/>
      </w:divBdr>
    </w:div>
    <w:div w:id="369914543">
      <w:bodyDiv w:val="1"/>
      <w:marLeft w:val="0"/>
      <w:marRight w:val="0"/>
      <w:marTop w:val="0"/>
      <w:marBottom w:val="0"/>
      <w:divBdr>
        <w:top w:val="none" w:sz="0" w:space="0" w:color="auto"/>
        <w:left w:val="none" w:sz="0" w:space="0" w:color="auto"/>
        <w:bottom w:val="none" w:sz="0" w:space="0" w:color="auto"/>
        <w:right w:val="none" w:sz="0" w:space="0" w:color="auto"/>
      </w:divBdr>
    </w:div>
    <w:div w:id="370612037">
      <w:bodyDiv w:val="1"/>
      <w:marLeft w:val="0"/>
      <w:marRight w:val="0"/>
      <w:marTop w:val="0"/>
      <w:marBottom w:val="0"/>
      <w:divBdr>
        <w:top w:val="none" w:sz="0" w:space="0" w:color="auto"/>
        <w:left w:val="none" w:sz="0" w:space="0" w:color="auto"/>
        <w:bottom w:val="none" w:sz="0" w:space="0" w:color="auto"/>
        <w:right w:val="none" w:sz="0" w:space="0" w:color="auto"/>
      </w:divBdr>
    </w:div>
    <w:div w:id="383987845">
      <w:bodyDiv w:val="1"/>
      <w:marLeft w:val="0"/>
      <w:marRight w:val="0"/>
      <w:marTop w:val="0"/>
      <w:marBottom w:val="0"/>
      <w:divBdr>
        <w:top w:val="none" w:sz="0" w:space="0" w:color="auto"/>
        <w:left w:val="none" w:sz="0" w:space="0" w:color="auto"/>
        <w:bottom w:val="none" w:sz="0" w:space="0" w:color="auto"/>
        <w:right w:val="none" w:sz="0" w:space="0" w:color="auto"/>
      </w:divBdr>
    </w:div>
    <w:div w:id="390540002">
      <w:bodyDiv w:val="1"/>
      <w:marLeft w:val="0"/>
      <w:marRight w:val="0"/>
      <w:marTop w:val="0"/>
      <w:marBottom w:val="0"/>
      <w:divBdr>
        <w:top w:val="none" w:sz="0" w:space="0" w:color="auto"/>
        <w:left w:val="none" w:sz="0" w:space="0" w:color="auto"/>
        <w:bottom w:val="none" w:sz="0" w:space="0" w:color="auto"/>
        <w:right w:val="none" w:sz="0" w:space="0" w:color="auto"/>
      </w:divBdr>
    </w:div>
    <w:div w:id="397410386">
      <w:bodyDiv w:val="1"/>
      <w:marLeft w:val="0"/>
      <w:marRight w:val="0"/>
      <w:marTop w:val="0"/>
      <w:marBottom w:val="0"/>
      <w:divBdr>
        <w:top w:val="none" w:sz="0" w:space="0" w:color="auto"/>
        <w:left w:val="none" w:sz="0" w:space="0" w:color="auto"/>
        <w:bottom w:val="none" w:sz="0" w:space="0" w:color="auto"/>
        <w:right w:val="none" w:sz="0" w:space="0" w:color="auto"/>
      </w:divBdr>
    </w:div>
    <w:div w:id="405998438">
      <w:bodyDiv w:val="1"/>
      <w:marLeft w:val="0"/>
      <w:marRight w:val="0"/>
      <w:marTop w:val="0"/>
      <w:marBottom w:val="0"/>
      <w:divBdr>
        <w:top w:val="none" w:sz="0" w:space="0" w:color="auto"/>
        <w:left w:val="none" w:sz="0" w:space="0" w:color="auto"/>
        <w:bottom w:val="none" w:sz="0" w:space="0" w:color="auto"/>
        <w:right w:val="none" w:sz="0" w:space="0" w:color="auto"/>
      </w:divBdr>
    </w:div>
    <w:div w:id="471752386">
      <w:bodyDiv w:val="1"/>
      <w:marLeft w:val="0"/>
      <w:marRight w:val="0"/>
      <w:marTop w:val="0"/>
      <w:marBottom w:val="0"/>
      <w:divBdr>
        <w:top w:val="none" w:sz="0" w:space="0" w:color="auto"/>
        <w:left w:val="none" w:sz="0" w:space="0" w:color="auto"/>
        <w:bottom w:val="none" w:sz="0" w:space="0" w:color="auto"/>
        <w:right w:val="none" w:sz="0" w:space="0" w:color="auto"/>
      </w:divBdr>
    </w:div>
    <w:div w:id="476648652">
      <w:bodyDiv w:val="1"/>
      <w:marLeft w:val="0"/>
      <w:marRight w:val="0"/>
      <w:marTop w:val="0"/>
      <w:marBottom w:val="0"/>
      <w:divBdr>
        <w:top w:val="none" w:sz="0" w:space="0" w:color="auto"/>
        <w:left w:val="none" w:sz="0" w:space="0" w:color="auto"/>
        <w:bottom w:val="none" w:sz="0" w:space="0" w:color="auto"/>
        <w:right w:val="none" w:sz="0" w:space="0" w:color="auto"/>
      </w:divBdr>
    </w:div>
    <w:div w:id="531504382">
      <w:bodyDiv w:val="1"/>
      <w:marLeft w:val="0"/>
      <w:marRight w:val="0"/>
      <w:marTop w:val="0"/>
      <w:marBottom w:val="0"/>
      <w:divBdr>
        <w:top w:val="none" w:sz="0" w:space="0" w:color="auto"/>
        <w:left w:val="none" w:sz="0" w:space="0" w:color="auto"/>
        <w:bottom w:val="none" w:sz="0" w:space="0" w:color="auto"/>
        <w:right w:val="none" w:sz="0" w:space="0" w:color="auto"/>
      </w:divBdr>
    </w:div>
    <w:div w:id="631600828">
      <w:bodyDiv w:val="1"/>
      <w:marLeft w:val="0"/>
      <w:marRight w:val="0"/>
      <w:marTop w:val="0"/>
      <w:marBottom w:val="0"/>
      <w:divBdr>
        <w:top w:val="none" w:sz="0" w:space="0" w:color="auto"/>
        <w:left w:val="none" w:sz="0" w:space="0" w:color="auto"/>
        <w:bottom w:val="none" w:sz="0" w:space="0" w:color="auto"/>
        <w:right w:val="none" w:sz="0" w:space="0" w:color="auto"/>
      </w:divBdr>
    </w:div>
    <w:div w:id="671955280">
      <w:bodyDiv w:val="1"/>
      <w:marLeft w:val="0"/>
      <w:marRight w:val="0"/>
      <w:marTop w:val="0"/>
      <w:marBottom w:val="0"/>
      <w:divBdr>
        <w:top w:val="none" w:sz="0" w:space="0" w:color="auto"/>
        <w:left w:val="none" w:sz="0" w:space="0" w:color="auto"/>
        <w:bottom w:val="none" w:sz="0" w:space="0" w:color="auto"/>
        <w:right w:val="none" w:sz="0" w:space="0" w:color="auto"/>
      </w:divBdr>
    </w:div>
    <w:div w:id="693187629">
      <w:bodyDiv w:val="1"/>
      <w:marLeft w:val="0"/>
      <w:marRight w:val="0"/>
      <w:marTop w:val="0"/>
      <w:marBottom w:val="0"/>
      <w:divBdr>
        <w:top w:val="none" w:sz="0" w:space="0" w:color="auto"/>
        <w:left w:val="none" w:sz="0" w:space="0" w:color="auto"/>
        <w:bottom w:val="none" w:sz="0" w:space="0" w:color="auto"/>
        <w:right w:val="none" w:sz="0" w:space="0" w:color="auto"/>
      </w:divBdr>
    </w:div>
    <w:div w:id="703360353">
      <w:bodyDiv w:val="1"/>
      <w:marLeft w:val="0"/>
      <w:marRight w:val="0"/>
      <w:marTop w:val="0"/>
      <w:marBottom w:val="0"/>
      <w:divBdr>
        <w:top w:val="none" w:sz="0" w:space="0" w:color="auto"/>
        <w:left w:val="none" w:sz="0" w:space="0" w:color="auto"/>
        <w:bottom w:val="none" w:sz="0" w:space="0" w:color="auto"/>
        <w:right w:val="none" w:sz="0" w:space="0" w:color="auto"/>
      </w:divBdr>
    </w:div>
    <w:div w:id="778990717">
      <w:bodyDiv w:val="1"/>
      <w:marLeft w:val="0"/>
      <w:marRight w:val="0"/>
      <w:marTop w:val="0"/>
      <w:marBottom w:val="0"/>
      <w:divBdr>
        <w:top w:val="none" w:sz="0" w:space="0" w:color="auto"/>
        <w:left w:val="none" w:sz="0" w:space="0" w:color="auto"/>
        <w:bottom w:val="none" w:sz="0" w:space="0" w:color="auto"/>
        <w:right w:val="none" w:sz="0" w:space="0" w:color="auto"/>
      </w:divBdr>
    </w:div>
    <w:div w:id="788663921">
      <w:bodyDiv w:val="1"/>
      <w:marLeft w:val="0"/>
      <w:marRight w:val="0"/>
      <w:marTop w:val="0"/>
      <w:marBottom w:val="0"/>
      <w:divBdr>
        <w:top w:val="none" w:sz="0" w:space="0" w:color="auto"/>
        <w:left w:val="none" w:sz="0" w:space="0" w:color="auto"/>
        <w:bottom w:val="none" w:sz="0" w:space="0" w:color="auto"/>
        <w:right w:val="none" w:sz="0" w:space="0" w:color="auto"/>
      </w:divBdr>
    </w:div>
    <w:div w:id="794904518">
      <w:bodyDiv w:val="1"/>
      <w:marLeft w:val="0"/>
      <w:marRight w:val="0"/>
      <w:marTop w:val="0"/>
      <w:marBottom w:val="0"/>
      <w:divBdr>
        <w:top w:val="none" w:sz="0" w:space="0" w:color="auto"/>
        <w:left w:val="none" w:sz="0" w:space="0" w:color="auto"/>
        <w:bottom w:val="none" w:sz="0" w:space="0" w:color="auto"/>
        <w:right w:val="none" w:sz="0" w:space="0" w:color="auto"/>
      </w:divBdr>
    </w:div>
    <w:div w:id="831144332">
      <w:bodyDiv w:val="1"/>
      <w:marLeft w:val="0"/>
      <w:marRight w:val="0"/>
      <w:marTop w:val="0"/>
      <w:marBottom w:val="0"/>
      <w:divBdr>
        <w:top w:val="none" w:sz="0" w:space="0" w:color="auto"/>
        <w:left w:val="none" w:sz="0" w:space="0" w:color="auto"/>
        <w:bottom w:val="none" w:sz="0" w:space="0" w:color="auto"/>
        <w:right w:val="none" w:sz="0" w:space="0" w:color="auto"/>
      </w:divBdr>
    </w:div>
    <w:div w:id="864634236">
      <w:bodyDiv w:val="1"/>
      <w:marLeft w:val="0"/>
      <w:marRight w:val="0"/>
      <w:marTop w:val="0"/>
      <w:marBottom w:val="0"/>
      <w:divBdr>
        <w:top w:val="none" w:sz="0" w:space="0" w:color="auto"/>
        <w:left w:val="none" w:sz="0" w:space="0" w:color="auto"/>
        <w:bottom w:val="none" w:sz="0" w:space="0" w:color="auto"/>
        <w:right w:val="none" w:sz="0" w:space="0" w:color="auto"/>
      </w:divBdr>
    </w:div>
    <w:div w:id="898131723">
      <w:bodyDiv w:val="1"/>
      <w:marLeft w:val="0"/>
      <w:marRight w:val="0"/>
      <w:marTop w:val="0"/>
      <w:marBottom w:val="0"/>
      <w:divBdr>
        <w:top w:val="none" w:sz="0" w:space="0" w:color="auto"/>
        <w:left w:val="none" w:sz="0" w:space="0" w:color="auto"/>
        <w:bottom w:val="none" w:sz="0" w:space="0" w:color="auto"/>
        <w:right w:val="none" w:sz="0" w:space="0" w:color="auto"/>
      </w:divBdr>
    </w:div>
    <w:div w:id="932513043">
      <w:bodyDiv w:val="1"/>
      <w:marLeft w:val="0"/>
      <w:marRight w:val="0"/>
      <w:marTop w:val="0"/>
      <w:marBottom w:val="0"/>
      <w:divBdr>
        <w:top w:val="none" w:sz="0" w:space="0" w:color="auto"/>
        <w:left w:val="none" w:sz="0" w:space="0" w:color="auto"/>
        <w:bottom w:val="none" w:sz="0" w:space="0" w:color="auto"/>
        <w:right w:val="none" w:sz="0" w:space="0" w:color="auto"/>
      </w:divBdr>
    </w:div>
    <w:div w:id="941377147">
      <w:bodyDiv w:val="1"/>
      <w:marLeft w:val="0"/>
      <w:marRight w:val="0"/>
      <w:marTop w:val="0"/>
      <w:marBottom w:val="0"/>
      <w:divBdr>
        <w:top w:val="none" w:sz="0" w:space="0" w:color="auto"/>
        <w:left w:val="none" w:sz="0" w:space="0" w:color="auto"/>
        <w:bottom w:val="none" w:sz="0" w:space="0" w:color="auto"/>
        <w:right w:val="none" w:sz="0" w:space="0" w:color="auto"/>
      </w:divBdr>
    </w:div>
    <w:div w:id="963854170">
      <w:bodyDiv w:val="1"/>
      <w:marLeft w:val="0"/>
      <w:marRight w:val="0"/>
      <w:marTop w:val="0"/>
      <w:marBottom w:val="0"/>
      <w:divBdr>
        <w:top w:val="none" w:sz="0" w:space="0" w:color="auto"/>
        <w:left w:val="none" w:sz="0" w:space="0" w:color="auto"/>
        <w:bottom w:val="none" w:sz="0" w:space="0" w:color="auto"/>
        <w:right w:val="none" w:sz="0" w:space="0" w:color="auto"/>
      </w:divBdr>
    </w:div>
    <w:div w:id="967663377">
      <w:bodyDiv w:val="1"/>
      <w:marLeft w:val="0"/>
      <w:marRight w:val="0"/>
      <w:marTop w:val="0"/>
      <w:marBottom w:val="0"/>
      <w:divBdr>
        <w:top w:val="none" w:sz="0" w:space="0" w:color="auto"/>
        <w:left w:val="none" w:sz="0" w:space="0" w:color="auto"/>
        <w:bottom w:val="none" w:sz="0" w:space="0" w:color="auto"/>
        <w:right w:val="none" w:sz="0" w:space="0" w:color="auto"/>
      </w:divBdr>
    </w:div>
    <w:div w:id="1012269513">
      <w:bodyDiv w:val="1"/>
      <w:marLeft w:val="0"/>
      <w:marRight w:val="0"/>
      <w:marTop w:val="0"/>
      <w:marBottom w:val="0"/>
      <w:divBdr>
        <w:top w:val="none" w:sz="0" w:space="0" w:color="auto"/>
        <w:left w:val="none" w:sz="0" w:space="0" w:color="auto"/>
        <w:bottom w:val="none" w:sz="0" w:space="0" w:color="auto"/>
        <w:right w:val="none" w:sz="0" w:space="0" w:color="auto"/>
      </w:divBdr>
    </w:div>
    <w:div w:id="1012801597">
      <w:bodyDiv w:val="1"/>
      <w:marLeft w:val="0"/>
      <w:marRight w:val="0"/>
      <w:marTop w:val="0"/>
      <w:marBottom w:val="0"/>
      <w:divBdr>
        <w:top w:val="none" w:sz="0" w:space="0" w:color="auto"/>
        <w:left w:val="none" w:sz="0" w:space="0" w:color="auto"/>
        <w:bottom w:val="none" w:sz="0" w:space="0" w:color="auto"/>
        <w:right w:val="none" w:sz="0" w:space="0" w:color="auto"/>
      </w:divBdr>
    </w:div>
    <w:div w:id="1019045255">
      <w:bodyDiv w:val="1"/>
      <w:marLeft w:val="0"/>
      <w:marRight w:val="0"/>
      <w:marTop w:val="0"/>
      <w:marBottom w:val="0"/>
      <w:divBdr>
        <w:top w:val="none" w:sz="0" w:space="0" w:color="auto"/>
        <w:left w:val="none" w:sz="0" w:space="0" w:color="auto"/>
        <w:bottom w:val="none" w:sz="0" w:space="0" w:color="auto"/>
        <w:right w:val="none" w:sz="0" w:space="0" w:color="auto"/>
      </w:divBdr>
    </w:div>
    <w:div w:id="1058623561">
      <w:bodyDiv w:val="1"/>
      <w:marLeft w:val="0"/>
      <w:marRight w:val="0"/>
      <w:marTop w:val="0"/>
      <w:marBottom w:val="0"/>
      <w:divBdr>
        <w:top w:val="none" w:sz="0" w:space="0" w:color="auto"/>
        <w:left w:val="none" w:sz="0" w:space="0" w:color="auto"/>
        <w:bottom w:val="none" w:sz="0" w:space="0" w:color="auto"/>
        <w:right w:val="none" w:sz="0" w:space="0" w:color="auto"/>
      </w:divBdr>
    </w:div>
    <w:div w:id="1073502690">
      <w:bodyDiv w:val="1"/>
      <w:marLeft w:val="0"/>
      <w:marRight w:val="0"/>
      <w:marTop w:val="0"/>
      <w:marBottom w:val="0"/>
      <w:divBdr>
        <w:top w:val="none" w:sz="0" w:space="0" w:color="auto"/>
        <w:left w:val="none" w:sz="0" w:space="0" w:color="auto"/>
        <w:bottom w:val="none" w:sz="0" w:space="0" w:color="auto"/>
        <w:right w:val="none" w:sz="0" w:space="0" w:color="auto"/>
      </w:divBdr>
    </w:div>
    <w:div w:id="1083726096">
      <w:bodyDiv w:val="1"/>
      <w:marLeft w:val="0"/>
      <w:marRight w:val="0"/>
      <w:marTop w:val="0"/>
      <w:marBottom w:val="0"/>
      <w:divBdr>
        <w:top w:val="none" w:sz="0" w:space="0" w:color="auto"/>
        <w:left w:val="none" w:sz="0" w:space="0" w:color="auto"/>
        <w:bottom w:val="none" w:sz="0" w:space="0" w:color="auto"/>
        <w:right w:val="none" w:sz="0" w:space="0" w:color="auto"/>
      </w:divBdr>
    </w:div>
    <w:div w:id="1092891715">
      <w:bodyDiv w:val="1"/>
      <w:marLeft w:val="0"/>
      <w:marRight w:val="0"/>
      <w:marTop w:val="0"/>
      <w:marBottom w:val="0"/>
      <w:divBdr>
        <w:top w:val="none" w:sz="0" w:space="0" w:color="auto"/>
        <w:left w:val="none" w:sz="0" w:space="0" w:color="auto"/>
        <w:bottom w:val="none" w:sz="0" w:space="0" w:color="auto"/>
        <w:right w:val="none" w:sz="0" w:space="0" w:color="auto"/>
      </w:divBdr>
    </w:div>
    <w:div w:id="1094671900">
      <w:bodyDiv w:val="1"/>
      <w:marLeft w:val="0"/>
      <w:marRight w:val="0"/>
      <w:marTop w:val="0"/>
      <w:marBottom w:val="0"/>
      <w:divBdr>
        <w:top w:val="none" w:sz="0" w:space="0" w:color="auto"/>
        <w:left w:val="none" w:sz="0" w:space="0" w:color="auto"/>
        <w:bottom w:val="none" w:sz="0" w:space="0" w:color="auto"/>
        <w:right w:val="none" w:sz="0" w:space="0" w:color="auto"/>
      </w:divBdr>
    </w:div>
    <w:div w:id="1098478650">
      <w:bodyDiv w:val="1"/>
      <w:marLeft w:val="0"/>
      <w:marRight w:val="0"/>
      <w:marTop w:val="0"/>
      <w:marBottom w:val="0"/>
      <w:divBdr>
        <w:top w:val="none" w:sz="0" w:space="0" w:color="auto"/>
        <w:left w:val="none" w:sz="0" w:space="0" w:color="auto"/>
        <w:bottom w:val="none" w:sz="0" w:space="0" w:color="auto"/>
        <w:right w:val="none" w:sz="0" w:space="0" w:color="auto"/>
      </w:divBdr>
    </w:div>
    <w:div w:id="1237476849">
      <w:bodyDiv w:val="1"/>
      <w:marLeft w:val="0"/>
      <w:marRight w:val="0"/>
      <w:marTop w:val="0"/>
      <w:marBottom w:val="0"/>
      <w:divBdr>
        <w:top w:val="none" w:sz="0" w:space="0" w:color="auto"/>
        <w:left w:val="none" w:sz="0" w:space="0" w:color="auto"/>
        <w:bottom w:val="none" w:sz="0" w:space="0" w:color="auto"/>
        <w:right w:val="none" w:sz="0" w:space="0" w:color="auto"/>
      </w:divBdr>
    </w:div>
    <w:div w:id="1288586908">
      <w:bodyDiv w:val="1"/>
      <w:marLeft w:val="0"/>
      <w:marRight w:val="0"/>
      <w:marTop w:val="0"/>
      <w:marBottom w:val="0"/>
      <w:divBdr>
        <w:top w:val="none" w:sz="0" w:space="0" w:color="auto"/>
        <w:left w:val="none" w:sz="0" w:space="0" w:color="auto"/>
        <w:bottom w:val="none" w:sz="0" w:space="0" w:color="auto"/>
        <w:right w:val="none" w:sz="0" w:space="0" w:color="auto"/>
      </w:divBdr>
    </w:div>
    <w:div w:id="1291863010">
      <w:bodyDiv w:val="1"/>
      <w:marLeft w:val="0"/>
      <w:marRight w:val="0"/>
      <w:marTop w:val="0"/>
      <w:marBottom w:val="0"/>
      <w:divBdr>
        <w:top w:val="none" w:sz="0" w:space="0" w:color="auto"/>
        <w:left w:val="none" w:sz="0" w:space="0" w:color="auto"/>
        <w:bottom w:val="none" w:sz="0" w:space="0" w:color="auto"/>
        <w:right w:val="none" w:sz="0" w:space="0" w:color="auto"/>
      </w:divBdr>
    </w:div>
    <w:div w:id="1314526834">
      <w:bodyDiv w:val="1"/>
      <w:marLeft w:val="0"/>
      <w:marRight w:val="0"/>
      <w:marTop w:val="0"/>
      <w:marBottom w:val="0"/>
      <w:divBdr>
        <w:top w:val="none" w:sz="0" w:space="0" w:color="auto"/>
        <w:left w:val="none" w:sz="0" w:space="0" w:color="auto"/>
        <w:bottom w:val="none" w:sz="0" w:space="0" w:color="auto"/>
        <w:right w:val="none" w:sz="0" w:space="0" w:color="auto"/>
      </w:divBdr>
    </w:div>
    <w:div w:id="1331906149">
      <w:bodyDiv w:val="1"/>
      <w:marLeft w:val="0"/>
      <w:marRight w:val="0"/>
      <w:marTop w:val="0"/>
      <w:marBottom w:val="0"/>
      <w:divBdr>
        <w:top w:val="none" w:sz="0" w:space="0" w:color="auto"/>
        <w:left w:val="none" w:sz="0" w:space="0" w:color="auto"/>
        <w:bottom w:val="none" w:sz="0" w:space="0" w:color="auto"/>
        <w:right w:val="none" w:sz="0" w:space="0" w:color="auto"/>
      </w:divBdr>
    </w:div>
    <w:div w:id="1358434127">
      <w:bodyDiv w:val="1"/>
      <w:marLeft w:val="0"/>
      <w:marRight w:val="0"/>
      <w:marTop w:val="0"/>
      <w:marBottom w:val="0"/>
      <w:divBdr>
        <w:top w:val="none" w:sz="0" w:space="0" w:color="auto"/>
        <w:left w:val="none" w:sz="0" w:space="0" w:color="auto"/>
        <w:bottom w:val="none" w:sz="0" w:space="0" w:color="auto"/>
        <w:right w:val="none" w:sz="0" w:space="0" w:color="auto"/>
      </w:divBdr>
    </w:div>
    <w:div w:id="1383212917">
      <w:bodyDiv w:val="1"/>
      <w:marLeft w:val="0"/>
      <w:marRight w:val="0"/>
      <w:marTop w:val="0"/>
      <w:marBottom w:val="0"/>
      <w:divBdr>
        <w:top w:val="none" w:sz="0" w:space="0" w:color="auto"/>
        <w:left w:val="none" w:sz="0" w:space="0" w:color="auto"/>
        <w:bottom w:val="none" w:sz="0" w:space="0" w:color="auto"/>
        <w:right w:val="none" w:sz="0" w:space="0" w:color="auto"/>
      </w:divBdr>
    </w:div>
    <w:div w:id="1420981910">
      <w:bodyDiv w:val="1"/>
      <w:marLeft w:val="0"/>
      <w:marRight w:val="0"/>
      <w:marTop w:val="0"/>
      <w:marBottom w:val="0"/>
      <w:divBdr>
        <w:top w:val="none" w:sz="0" w:space="0" w:color="auto"/>
        <w:left w:val="none" w:sz="0" w:space="0" w:color="auto"/>
        <w:bottom w:val="none" w:sz="0" w:space="0" w:color="auto"/>
        <w:right w:val="none" w:sz="0" w:space="0" w:color="auto"/>
      </w:divBdr>
    </w:div>
    <w:div w:id="1433477716">
      <w:bodyDiv w:val="1"/>
      <w:marLeft w:val="0"/>
      <w:marRight w:val="0"/>
      <w:marTop w:val="0"/>
      <w:marBottom w:val="0"/>
      <w:divBdr>
        <w:top w:val="none" w:sz="0" w:space="0" w:color="auto"/>
        <w:left w:val="none" w:sz="0" w:space="0" w:color="auto"/>
        <w:bottom w:val="none" w:sz="0" w:space="0" w:color="auto"/>
        <w:right w:val="none" w:sz="0" w:space="0" w:color="auto"/>
      </w:divBdr>
    </w:div>
    <w:div w:id="1481313754">
      <w:bodyDiv w:val="1"/>
      <w:marLeft w:val="0"/>
      <w:marRight w:val="0"/>
      <w:marTop w:val="0"/>
      <w:marBottom w:val="0"/>
      <w:divBdr>
        <w:top w:val="none" w:sz="0" w:space="0" w:color="auto"/>
        <w:left w:val="none" w:sz="0" w:space="0" w:color="auto"/>
        <w:bottom w:val="none" w:sz="0" w:space="0" w:color="auto"/>
        <w:right w:val="none" w:sz="0" w:space="0" w:color="auto"/>
      </w:divBdr>
    </w:div>
    <w:div w:id="1536893397">
      <w:bodyDiv w:val="1"/>
      <w:marLeft w:val="0"/>
      <w:marRight w:val="0"/>
      <w:marTop w:val="0"/>
      <w:marBottom w:val="0"/>
      <w:divBdr>
        <w:top w:val="none" w:sz="0" w:space="0" w:color="auto"/>
        <w:left w:val="none" w:sz="0" w:space="0" w:color="auto"/>
        <w:bottom w:val="none" w:sz="0" w:space="0" w:color="auto"/>
        <w:right w:val="none" w:sz="0" w:space="0" w:color="auto"/>
      </w:divBdr>
    </w:div>
    <w:div w:id="1550796095">
      <w:bodyDiv w:val="1"/>
      <w:marLeft w:val="0"/>
      <w:marRight w:val="0"/>
      <w:marTop w:val="0"/>
      <w:marBottom w:val="0"/>
      <w:divBdr>
        <w:top w:val="none" w:sz="0" w:space="0" w:color="auto"/>
        <w:left w:val="none" w:sz="0" w:space="0" w:color="auto"/>
        <w:bottom w:val="none" w:sz="0" w:space="0" w:color="auto"/>
        <w:right w:val="none" w:sz="0" w:space="0" w:color="auto"/>
      </w:divBdr>
    </w:div>
    <w:div w:id="1570267285">
      <w:bodyDiv w:val="1"/>
      <w:marLeft w:val="0"/>
      <w:marRight w:val="0"/>
      <w:marTop w:val="0"/>
      <w:marBottom w:val="0"/>
      <w:divBdr>
        <w:top w:val="none" w:sz="0" w:space="0" w:color="auto"/>
        <w:left w:val="none" w:sz="0" w:space="0" w:color="auto"/>
        <w:bottom w:val="none" w:sz="0" w:space="0" w:color="auto"/>
        <w:right w:val="none" w:sz="0" w:space="0" w:color="auto"/>
      </w:divBdr>
    </w:div>
    <w:div w:id="1576627459">
      <w:bodyDiv w:val="1"/>
      <w:marLeft w:val="0"/>
      <w:marRight w:val="0"/>
      <w:marTop w:val="0"/>
      <w:marBottom w:val="0"/>
      <w:divBdr>
        <w:top w:val="none" w:sz="0" w:space="0" w:color="auto"/>
        <w:left w:val="none" w:sz="0" w:space="0" w:color="auto"/>
        <w:bottom w:val="none" w:sz="0" w:space="0" w:color="auto"/>
        <w:right w:val="none" w:sz="0" w:space="0" w:color="auto"/>
      </w:divBdr>
    </w:div>
    <w:div w:id="1626277762">
      <w:bodyDiv w:val="1"/>
      <w:marLeft w:val="0"/>
      <w:marRight w:val="0"/>
      <w:marTop w:val="0"/>
      <w:marBottom w:val="0"/>
      <w:divBdr>
        <w:top w:val="none" w:sz="0" w:space="0" w:color="auto"/>
        <w:left w:val="none" w:sz="0" w:space="0" w:color="auto"/>
        <w:bottom w:val="none" w:sz="0" w:space="0" w:color="auto"/>
        <w:right w:val="none" w:sz="0" w:space="0" w:color="auto"/>
      </w:divBdr>
    </w:div>
    <w:div w:id="1713536956">
      <w:bodyDiv w:val="1"/>
      <w:marLeft w:val="0"/>
      <w:marRight w:val="0"/>
      <w:marTop w:val="0"/>
      <w:marBottom w:val="0"/>
      <w:divBdr>
        <w:top w:val="none" w:sz="0" w:space="0" w:color="auto"/>
        <w:left w:val="none" w:sz="0" w:space="0" w:color="auto"/>
        <w:bottom w:val="none" w:sz="0" w:space="0" w:color="auto"/>
        <w:right w:val="none" w:sz="0" w:space="0" w:color="auto"/>
      </w:divBdr>
    </w:div>
    <w:div w:id="1725518721">
      <w:bodyDiv w:val="1"/>
      <w:marLeft w:val="0"/>
      <w:marRight w:val="0"/>
      <w:marTop w:val="0"/>
      <w:marBottom w:val="0"/>
      <w:divBdr>
        <w:top w:val="none" w:sz="0" w:space="0" w:color="auto"/>
        <w:left w:val="none" w:sz="0" w:space="0" w:color="auto"/>
        <w:bottom w:val="none" w:sz="0" w:space="0" w:color="auto"/>
        <w:right w:val="none" w:sz="0" w:space="0" w:color="auto"/>
      </w:divBdr>
    </w:div>
    <w:div w:id="1777287212">
      <w:bodyDiv w:val="1"/>
      <w:marLeft w:val="0"/>
      <w:marRight w:val="0"/>
      <w:marTop w:val="0"/>
      <w:marBottom w:val="0"/>
      <w:divBdr>
        <w:top w:val="none" w:sz="0" w:space="0" w:color="auto"/>
        <w:left w:val="none" w:sz="0" w:space="0" w:color="auto"/>
        <w:bottom w:val="none" w:sz="0" w:space="0" w:color="auto"/>
        <w:right w:val="none" w:sz="0" w:space="0" w:color="auto"/>
      </w:divBdr>
    </w:div>
    <w:div w:id="1796096263">
      <w:bodyDiv w:val="1"/>
      <w:marLeft w:val="0"/>
      <w:marRight w:val="0"/>
      <w:marTop w:val="0"/>
      <w:marBottom w:val="0"/>
      <w:divBdr>
        <w:top w:val="none" w:sz="0" w:space="0" w:color="auto"/>
        <w:left w:val="none" w:sz="0" w:space="0" w:color="auto"/>
        <w:bottom w:val="none" w:sz="0" w:space="0" w:color="auto"/>
        <w:right w:val="none" w:sz="0" w:space="0" w:color="auto"/>
      </w:divBdr>
    </w:div>
    <w:div w:id="1801417984">
      <w:bodyDiv w:val="1"/>
      <w:marLeft w:val="0"/>
      <w:marRight w:val="0"/>
      <w:marTop w:val="0"/>
      <w:marBottom w:val="0"/>
      <w:divBdr>
        <w:top w:val="none" w:sz="0" w:space="0" w:color="auto"/>
        <w:left w:val="none" w:sz="0" w:space="0" w:color="auto"/>
        <w:bottom w:val="none" w:sz="0" w:space="0" w:color="auto"/>
        <w:right w:val="none" w:sz="0" w:space="0" w:color="auto"/>
      </w:divBdr>
    </w:div>
    <w:div w:id="1805272530">
      <w:bodyDiv w:val="1"/>
      <w:marLeft w:val="0"/>
      <w:marRight w:val="0"/>
      <w:marTop w:val="0"/>
      <w:marBottom w:val="0"/>
      <w:divBdr>
        <w:top w:val="none" w:sz="0" w:space="0" w:color="auto"/>
        <w:left w:val="none" w:sz="0" w:space="0" w:color="auto"/>
        <w:bottom w:val="none" w:sz="0" w:space="0" w:color="auto"/>
        <w:right w:val="none" w:sz="0" w:space="0" w:color="auto"/>
      </w:divBdr>
    </w:div>
    <w:div w:id="1809590868">
      <w:bodyDiv w:val="1"/>
      <w:marLeft w:val="0"/>
      <w:marRight w:val="0"/>
      <w:marTop w:val="0"/>
      <w:marBottom w:val="0"/>
      <w:divBdr>
        <w:top w:val="none" w:sz="0" w:space="0" w:color="auto"/>
        <w:left w:val="none" w:sz="0" w:space="0" w:color="auto"/>
        <w:bottom w:val="none" w:sz="0" w:space="0" w:color="auto"/>
        <w:right w:val="none" w:sz="0" w:space="0" w:color="auto"/>
      </w:divBdr>
    </w:div>
    <w:div w:id="1809738884">
      <w:bodyDiv w:val="1"/>
      <w:marLeft w:val="0"/>
      <w:marRight w:val="0"/>
      <w:marTop w:val="0"/>
      <w:marBottom w:val="0"/>
      <w:divBdr>
        <w:top w:val="none" w:sz="0" w:space="0" w:color="auto"/>
        <w:left w:val="none" w:sz="0" w:space="0" w:color="auto"/>
        <w:bottom w:val="none" w:sz="0" w:space="0" w:color="auto"/>
        <w:right w:val="none" w:sz="0" w:space="0" w:color="auto"/>
      </w:divBdr>
    </w:div>
    <w:div w:id="1899397083">
      <w:bodyDiv w:val="1"/>
      <w:marLeft w:val="0"/>
      <w:marRight w:val="0"/>
      <w:marTop w:val="0"/>
      <w:marBottom w:val="0"/>
      <w:divBdr>
        <w:top w:val="none" w:sz="0" w:space="0" w:color="auto"/>
        <w:left w:val="none" w:sz="0" w:space="0" w:color="auto"/>
        <w:bottom w:val="none" w:sz="0" w:space="0" w:color="auto"/>
        <w:right w:val="none" w:sz="0" w:space="0" w:color="auto"/>
      </w:divBdr>
    </w:div>
    <w:div w:id="1906259906">
      <w:bodyDiv w:val="1"/>
      <w:marLeft w:val="0"/>
      <w:marRight w:val="0"/>
      <w:marTop w:val="0"/>
      <w:marBottom w:val="0"/>
      <w:divBdr>
        <w:top w:val="none" w:sz="0" w:space="0" w:color="auto"/>
        <w:left w:val="none" w:sz="0" w:space="0" w:color="auto"/>
        <w:bottom w:val="none" w:sz="0" w:space="0" w:color="auto"/>
        <w:right w:val="none" w:sz="0" w:space="0" w:color="auto"/>
      </w:divBdr>
    </w:div>
    <w:div w:id="1914198131">
      <w:bodyDiv w:val="1"/>
      <w:marLeft w:val="0"/>
      <w:marRight w:val="0"/>
      <w:marTop w:val="0"/>
      <w:marBottom w:val="0"/>
      <w:divBdr>
        <w:top w:val="none" w:sz="0" w:space="0" w:color="auto"/>
        <w:left w:val="none" w:sz="0" w:space="0" w:color="auto"/>
        <w:bottom w:val="none" w:sz="0" w:space="0" w:color="auto"/>
        <w:right w:val="none" w:sz="0" w:space="0" w:color="auto"/>
      </w:divBdr>
    </w:div>
    <w:div w:id="1914466738">
      <w:bodyDiv w:val="1"/>
      <w:marLeft w:val="0"/>
      <w:marRight w:val="0"/>
      <w:marTop w:val="0"/>
      <w:marBottom w:val="0"/>
      <w:divBdr>
        <w:top w:val="none" w:sz="0" w:space="0" w:color="auto"/>
        <w:left w:val="none" w:sz="0" w:space="0" w:color="auto"/>
        <w:bottom w:val="none" w:sz="0" w:space="0" w:color="auto"/>
        <w:right w:val="none" w:sz="0" w:space="0" w:color="auto"/>
      </w:divBdr>
    </w:div>
    <w:div w:id="2005208242">
      <w:bodyDiv w:val="1"/>
      <w:marLeft w:val="0"/>
      <w:marRight w:val="0"/>
      <w:marTop w:val="0"/>
      <w:marBottom w:val="0"/>
      <w:divBdr>
        <w:top w:val="none" w:sz="0" w:space="0" w:color="auto"/>
        <w:left w:val="none" w:sz="0" w:space="0" w:color="auto"/>
        <w:bottom w:val="none" w:sz="0" w:space="0" w:color="auto"/>
        <w:right w:val="none" w:sz="0" w:space="0" w:color="auto"/>
      </w:divBdr>
    </w:div>
    <w:div w:id="2053576692">
      <w:bodyDiv w:val="1"/>
      <w:marLeft w:val="0"/>
      <w:marRight w:val="0"/>
      <w:marTop w:val="0"/>
      <w:marBottom w:val="0"/>
      <w:divBdr>
        <w:top w:val="none" w:sz="0" w:space="0" w:color="auto"/>
        <w:left w:val="none" w:sz="0" w:space="0" w:color="auto"/>
        <w:bottom w:val="none" w:sz="0" w:space="0" w:color="auto"/>
        <w:right w:val="none" w:sz="0" w:space="0" w:color="auto"/>
      </w:divBdr>
    </w:div>
    <w:div w:id="2054231704">
      <w:bodyDiv w:val="1"/>
      <w:marLeft w:val="0"/>
      <w:marRight w:val="0"/>
      <w:marTop w:val="0"/>
      <w:marBottom w:val="0"/>
      <w:divBdr>
        <w:top w:val="none" w:sz="0" w:space="0" w:color="auto"/>
        <w:left w:val="none" w:sz="0" w:space="0" w:color="auto"/>
        <w:bottom w:val="none" w:sz="0" w:space="0" w:color="auto"/>
        <w:right w:val="none" w:sz="0" w:space="0" w:color="auto"/>
      </w:divBdr>
    </w:div>
    <w:div w:id="2089960601">
      <w:bodyDiv w:val="1"/>
      <w:marLeft w:val="0"/>
      <w:marRight w:val="0"/>
      <w:marTop w:val="0"/>
      <w:marBottom w:val="0"/>
      <w:divBdr>
        <w:top w:val="none" w:sz="0" w:space="0" w:color="auto"/>
        <w:left w:val="none" w:sz="0" w:space="0" w:color="auto"/>
        <w:bottom w:val="none" w:sz="0" w:space="0" w:color="auto"/>
        <w:right w:val="none" w:sz="0" w:space="0" w:color="auto"/>
      </w:divBdr>
    </w:div>
    <w:div w:id="2120029748">
      <w:bodyDiv w:val="1"/>
      <w:marLeft w:val="0"/>
      <w:marRight w:val="0"/>
      <w:marTop w:val="0"/>
      <w:marBottom w:val="0"/>
      <w:divBdr>
        <w:top w:val="none" w:sz="0" w:space="0" w:color="auto"/>
        <w:left w:val="none" w:sz="0" w:space="0" w:color="auto"/>
        <w:bottom w:val="none" w:sz="0" w:space="0" w:color="auto"/>
        <w:right w:val="none" w:sz="0" w:space="0" w:color="auto"/>
      </w:divBdr>
    </w:div>
    <w:div w:id="2125686423">
      <w:bodyDiv w:val="1"/>
      <w:marLeft w:val="0"/>
      <w:marRight w:val="0"/>
      <w:marTop w:val="0"/>
      <w:marBottom w:val="0"/>
      <w:divBdr>
        <w:top w:val="none" w:sz="0" w:space="0" w:color="auto"/>
        <w:left w:val="none" w:sz="0" w:space="0" w:color="auto"/>
        <w:bottom w:val="none" w:sz="0" w:space="0" w:color="auto"/>
        <w:right w:val="none" w:sz="0" w:space="0" w:color="auto"/>
      </w:divBdr>
    </w:div>
    <w:div w:id="21347116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5.xm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header" Target="header6.xml"/><Relationship Id="rId34" Type="http://schemas.openxmlformats.org/officeDocument/2006/relationships/footer" Target="footer12.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4.xml"/><Relationship Id="rId25" Type="http://schemas.openxmlformats.org/officeDocument/2006/relationships/footer" Target="footer7.xml"/><Relationship Id="rId33" Type="http://schemas.openxmlformats.org/officeDocument/2006/relationships/header" Target="header12.xml"/><Relationship Id="rId2" Type="http://schemas.openxmlformats.org/officeDocument/2006/relationships/numbering" Target="numbering.xml"/><Relationship Id="rId16" Type="http://schemas.openxmlformats.org/officeDocument/2006/relationships/hyperlink" Target="http://eur-lex.europa.eu/budget/www/index-fr.htm" TargetMode="External"/><Relationship Id="rId20" Type="http://schemas.openxmlformats.org/officeDocument/2006/relationships/footer" Target="footer5.xml"/><Relationship Id="rId29"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8.xml"/><Relationship Id="rId32" Type="http://schemas.openxmlformats.org/officeDocument/2006/relationships/footer" Target="footer1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7.xml"/><Relationship Id="rId28" Type="http://schemas.openxmlformats.org/officeDocument/2006/relationships/footer" Target="footer9.xml"/><Relationship Id="rId36"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4.xml"/><Relationship Id="rId31" Type="http://schemas.openxmlformats.org/officeDocument/2006/relationships/footer" Target="footer10.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oter" Target="footer6.xml"/><Relationship Id="rId27" Type="http://schemas.openxmlformats.org/officeDocument/2006/relationships/header" Target="header9.xml"/><Relationship Id="rId30" Type="http://schemas.openxmlformats.org/officeDocument/2006/relationships/header" Target="header11.xm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5352B6-2CCA-4B0E-A1BE-71A5D131CE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1613</Words>
  <Characters>7230</Characters>
  <Application>Microsoft Office Word</Application>
  <DocSecurity>0</DocSecurity>
  <Lines>482</Lines>
  <Paragraphs>304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8539</CharactersWithSpaces>
  <SharedDoc>false</SharedDoc>
  <HLinks>
    <vt:vector size="72" baseType="variant">
      <vt:variant>
        <vt:i4>1245239</vt:i4>
      </vt:variant>
      <vt:variant>
        <vt:i4>59</vt:i4>
      </vt:variant>
      <vt:variant>
        <vt:i4>0</vt:i4>
      </vt:variant>
      <vt:variant>
        <vt:i4>5</vt:i4>
      </vt:variant>
      <vt:variant>
        <vt:lpwstr/>
      </vt:variant>
      <vt:variant>
        <vt:lpwstr>_Toc421700214</vt:lpwstr>
      </vt:variant>
      <vt:variant>
        <vt:i4>1245239</vt:i4>
      </vt:variant>
      <vt:variant>
        <vt:i4>53</vt:i4>
      </vt:variant>
      <vt:variant>
        <vt:i4>0</vt:i4>
      </vt:variant>
      <vt:variant>
        <vt:i4>5</vt:i4>
      </vt:variant>
      <vt:variant>
        <vt:lpwstr/>
      </vt:variant>
      <vt:variant>
        <vt:lpwstr>_Toc421700213</vt:lpwstr>
      </vt:variant>
      <vt:variant>
        <vt:i4>1245239</vt:i4>
      </vt:variant>
      <vt:variant>
        <vt:i4>47</vt:i4>
      </vt:variant>
      <vt:variant>
        <vt:i4>0</vt:i4>
      </vt:variant>
      <vt:variant>
        <vt:i4>5</vt:i4>
      </vt:variant>
      <vt:variant>
        <vt:lpwstr/>
      </vt:variant>
      <vt:variant>
        <vt:lpwstr>_Toc421700212</vt:lpwstr>
      </vt:variant>
      <vt:variant>
        <vt:i4>1245239</vt:i4>
      </vt:variant>
      <vt:variant>
        <vt:i4>41</vt:i4>
      </vt:variant>
      <vt:variant>
        <vt:i4>0</vt:i4>
      </vt:variant>
      <vt:variant>
        <vt:i4>5</vt:i4>
      </vt:variant>
      <vt:variant>
        <vt:lpwstr/>
      </vt:variant>
      <vt:variant>
        <vt:lpwstr>_Toc421700211</vt:lpwstr>
      </vt:variant>
      <vt:variant>
        <vt:i4>1245239</vt:i4>
      </vt:variant>
      <vt:variant>
        <vt:i4>35</vt:i4>
      </vt:variant>
      <vt:variant>
        <vt:i4>0</vt:i4>
      </vt:variant>
      <vt:variant>
        <vt:i4>5</vt:i4>
      </vt:variant>
      <vt:variant>
        <vt:lpwstr/>
      </vt:variant>
      <vt:variant>
        <vt:lpwstr>_Toc421700210</vt:lpwstr>
      </vt:variant>
      <vt:variant>
        <vt:i4>1179703</vt:i4>
      </vt:variant>
      <vt:variant>
        <vt:i4>29</vt:i4>
      </vt:variant>
      <vt:variant>
        <vt:i4>0</vt:i4>
      </vt:variant>
      <vt:variant>
        <vt:i4>5</vt:i4>
      </vt:variant>
      <vt:variant>
        <vt:lpwstr/>
      </vt:variant>
      <vt:variant>
        <vt:lpwstr>_Toc421700209</vt:lpwstr>
      </vt:variant>
      <vt:variant>
        <vt:i4>1179703</vt:i4>
      </vt:variant>
      <vt:variant>
        <vt:i4>23</vt:i4>
      </vt:variant>
      <vt:variant>
        <vt:i4>0</vt:i4>
      </vt:variant>
      <vt:variant>
        <vt:i4>5</vt:i4>
      </vt:variant>
      <vt:variant>
        <vt:lpwstr/>
      </vt:variant>
      <vt:variant>
        <vt:lpwstr>_Toc421700208</vt:lpwstr>
      </vt:variant>
      <vt:variant>
        <vt:i4>1179703</vt:i4>
      </vt:variant>
      <vt:variant>
        <vt:i4>17</vt:i4>
      </vt:variant>
      <vt:variant>
        <vt:i4>0</vt:i4>
      </vt:variant>
      <vt:variant>
        <vt:i4>5</vt:i4>
      </vt:variant>
      <vt:variant>
        <vt:lpwstr/>
      </vt:variant>
      <vt:variant>
        <vt:lpwstr>_Toc421700207</vt:lpwstr>
      </vt:variant>
      <vt:variant>
        <vt:i4>1179703</vt:i4>
      </vt:variant>
      <vt:variant>
        <vt:i4>11</vt:i4>
      </vt:variant>
      <vt:variant>
        <vt:i4>0</vt:i4>
      </vt:variant>
      <vt:variant>
        <vt:i4>5</vt:i4>
      </vt:variant>
      <vt:variant>
        <vt:lpwstr/>
      </vt:variant>
      <vt:variant>
        <vt:lpwstr>_Toc421700206</vt:lpwstr>
      </vt:variant>
      <vt:variant>
        <vt:i4>1179703</vt:i4>
      </vt:variant>
      <vt:variant>
        <vt:i4>5</vt:i4>
      </vt:variant>
      <vt:variant>
        <vt:i4>0</vt:i4>
      </vt:variant>
      <vt:variant>
        <vt:i4>5</vt:i4>
      </vt:variant>
      <vt:variant>
        <vt:lpwstr/>
      </vt:variant>
      <vt:variant>
        <vt:lpwstr>_Toc421700205</vt:lpwstr>
      </vt:variant>
      <vt:variant>
        <vt:i4>5046279</vt:i4>
      </vt:variant>
      <vt:variant>
        <vt:i4>0</vt:i4>
      </vt:variant>
      <vt:variant>
        <vt:i4>0</vt:i4>
      </vt:variant>
      <vt:variant>
        <vt:i4>5</vt:i4>
      </vt:variant>
      <vt:variant>
        <vt:lpwstr>http://eur-lex.europa.eu/budget/www/index-en.htm</vt:lpwstr>
      </vt:variant>
      <vt:variant>
        <vt:lpwstr/>
      </vt:variant>
      <vt:variant>
        <vt:i4>5111875</vt:i4>
      </vt:variant>
      <vt:variant>
        <vt:i4>0</vt:i4>
      </vt:variant>
      <vt:variant>
        <vt:i4>0</vt:i4>
      </vt:variant>
      <vt:variant>
        <vt:i4>5</vt:i4>
      </vt:variant>
      <vt:variant>
        <vt:lpwstr>http://ec.europa.eu/budget/library/biblio/documents/financing/calc_own_res_2007_en.pdf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2018-05-29T07:31:00Z</dcterms:created>
  <dcterms:modified xsi:type="dcterms:W3CDTF">2018-06-21T08:34:00Z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Level of sensitivity">
    <vt:lpwstr>Standard treatment</vt:lpwstr>
  </property>
</Properties>
</file>