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80BCB1F-714B-4F10-BCD4-6D6C95DE6AD8" style="width:450.6pt;height:337.6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84762486"/>
      <w:r>
        <w:rPr>
          <w:noProof/>
        </w:rPr>
        <w:t>1.</w:t>
      </w:r>
      <w:r>
        <w:rPr>
          <w:noProof/>
        </w:rPr>
        <w:tab/>
        <w:t>Контекст на предложението</w:t>
      </w:r>
      <w:bookmarkEnd w:id="1"/>
    </w:p>
    <w:p>
      <w:pPr>
        <w:rPr>
          <w:noProof/>
        </w:rPr>
      </w:pPr>
      <w:r>
        <w:rPr>
          <w:noProof/>
        </w:rPr>
        <w:t>Настоящото решение се отнася до мобилизирането на средства от фонд „Солидарност“ на Европейския съюз (ФСЕС) в съответствие с Регламент (ЕО) № 2012/2002 на Съвета от 11 ноември 2002 г.</w:t>
      </w:r>
      <w:r>
        <w:rPr>
          <w:rStyle w:val="FootnoteReference"/>
          <w:noProof/>
        </w:rPr>
        <w:footnoteReference w:id="1"/>
      </w:r>
      <w:r>
        <w:rPr>
          <w:noProof/>
        </w:rPr>
        <w:t xml:space="preserve"> (наричан по-долу „Регламентът“) в размер на 33 992 206 EUR за оказване на помощ на България, Гърция, Литва и Полша вследствие на бедствията, настъпили в тези страни през 2017 г. Това мобилизиране на средства е придружено от проект на коригиращ бюджет (ПКБ) № 4/2018</w:t>
      </w:r>
      <w:r>
        <w:rPr>
          <w:rStyle w:val="FootnoteReference"/>
          <w:noProof/>
        </w:rPr>
        <w:footnoteReference w:id="2"/>
      </w:r>
      <w:r>
        <w:rPr>
          <w:noProof/>
        </w:rPr>
        <w:t xml:space="preserve">, в който се предлага необходимите бюджетни кредити да се впишат в общия бюджет за 2018 г. </w:t>
      </w:r>
    </w:p>
    <w:p>
      <w:pPr>
        <w:pStyle w:val="ManualHeading1"/>
        <w:rPr>
          <w:noProof/>
        </w:rPr>
      </w:pPr>
      <w:bookmarkStart w:id="2" w:name="_Toc484762487"/>
      <w:r>
        <w:rPr>
          <w:noProof/>
        </w:rPr>
        <w:t>2.</w:t>
      </w:r>
      <w:r>
        <w:rPr>
          <w:noProof/>
        </w:rPr>
        <w:tab/>
        <w:t>Информация и условия</w:t>
      </w:r>
      <w:bookmarkEnd w:id="2"/>
    </w:p>
    <w:p>
      <w:pPr>
        <w:pStyle w:val="ManualHeading2"/>
        <w:spacing w:before="240"/>
        <w:ind w:left="851" w:hanging="851"/>
        <w:rPr>
          <w:noProof/>
        </w:rPr>
      </w:pPr>
      <w:r>
        <w:rPr>
          <w:noProof/>
        </w:rPr>
        <w:t>2.1</w:t>
      </w:r>
      <w:r>
        <w:rPr>
          <w:noProof/>
        </w:rPr>
        <w:tab/>
        <w:t>България — наводнения</w:t>
      </w:r>
    </w:p>
    <w:p>
      <w:pPr>
        <w:spacing w:before="0" w:after="240"/>
        <w:rPr>
          <w:noProof/>
        </w:rPr>
      </w:pPr>
      <w:r>
        <w:rPr>
          <w:noProof/>
        </w:rPr>
        <w:t>На 25 и 26 октомври 2017 г. в югоизточната част на България е имало необичайно интензивни валежи и силни бури, които са нанесли вреди на мостове, отводнителни канали и подпорни стени, както и на основната инфраструктура.</w:t>
      </w:r>
    </w:p>
    <w:p>
      <w:pPr>
        <w:pStyle w:val="Point0number"/>
        <w:numPr>
          <w:ilvl w:val="0"/>
          <w:numId w:val="1"/>
        </w:numPr>
        <w:spacing w:before="240" w:after="0"/>
        <w:ind w:left="851" w:hanging="851"/>
        <w:rPr>
          <w:noProof/>
        </w:rPr>
      </w:pPr>
      <w:r>
        <w:rPr>
          <w:noProof/>
        </w:rPr>
        <w:t>България подаде заявление за отпускане на средства от фонд „Солидарност“ на 11 януари 2018 г., в рамките на срока от 12 седмици след регистрирането на първите вреди на 25 октомври 2017 г. Заявлението беше подадено за категорията „регионално бедствие“ по член 2, параграф 3 от Регламента.</w:t>
      </w:r>
    </w:p>
    <w:p>
      <w:pPr>
        <w:pStyle w:val="Point0number"/>
        <w:spacing w:before="240" w:after="0"/>
        <w:ind w:left="851" w:hanging="851"/>
        <w:rPr>
          <w:noProof/>
        </w:rPr>
      </w:pPr>
      <w:r>
        <w:rPr>
          <w:noProof/>
        </w:rPr>
        <w:t>Бедствието е с природен характер, поради което попада в сферата на приложение на ФСЕС.</w:t>
      </w:r>
    </w:p>
    <w:p>
      <w:pPr>
        <w:pStyle w:val="Point0number"/>
        <w:spacing w:before="240" w:after="0"/>
        <w:ind w:left="851" w:hanging="851"/>
        <w:rPr>
          <w:noProof/>
        </w:rPr>
      </w:pPr>
      <w:r>
        <w:rPr>
          <w:noProof/>
        </w:rPr>
        <w:t>Българските органи оценяват общите преки вреди, причинени от бедствието, на 90,3 милиона евро. Заявлението беше представено въз основа на разпоредбите за „регионални бедствия“, посочени в член 2, параграф 3 от Регламента, в който „регионалното бедствие“ се определя като каквото и да е природно бедствие, предизвикващо преки вреди в даден регион на ниво 2 по NUTS в отговаряща на условията държава, които възлизат на над 1,5 % от БВП на този регион. Щетите, причинени от наводненията в Бургас, представляват 1,6 % от БВП на съответния Югоизточен регион на ниво 2 по NUTS</w:t>
      </w:r>
      <w:r>
        <w:rPr>
          <w:rStyle w:val="FootnoteReference"/>
          <w:noProof/>
        </w:rPr>
        <w:footnoteReference w:id="3"/>
      </w:r>
      <w:r>
        <w:rPr>
          <w:noProof/>
        </w:rPr>
        <w:t xml:space="preserve"> и следователно надвишават прага от 1,5 %, предвиден в Регламента. Поради това подаденото от България заявление отговаря на условията за отпускане на средства от ФСЕС.</w:t>
      </w:r>
    </w:p>
    <w:p>
      <w:pPr>
        <w:pStyle w:val="Point0number"/>
        <w:spacing w:before="240" w:after="0"/>
        <w:ind w:left="851" w:hanging="851"/>
        <w:rPr>
          <w:noProof/>
        </w:rPr>
      </w:pPr>
      <w:r>
        <w:rPr>
          <w:noProof/>
        </w:rPr>
        <w:t>В своето заявление българските власти поискаха авансово плащане. След предварителна оценка на заявлението Комисията счете, че поисканата сума за вредите, която надхвърля съвсем незначително прага на допустимост, изисква по-задълбочена оценка и че следователно авансовото плащане не е обосновано.</w:t>
      </w:r>
    </w:p>
    <w:p>
      <w:pPr>
        <w:pStyle w:val="Point0number"/>
        <w:rPr>
          <w:noProof/>
        </w:rPr>
      </w:pPr>
      <w:r>
        <w:rPr>
          <w:noProof/>
        </w:rPr>
        <w:t xml:space="preserve">Заявлението на България съдържа подробно описание на метеорологичната обстановка и последиците от бурята. Между 25 и 26 октомври 2017 г. интензивни и проливни дъждове, силни ветрове и бурни вълни от Черно море </w:t>
      </w:r>
      <w:r>
        <w:rPr>
          <w:noProof/>
        </w:rPr>
        <w:lastRenderedPageBreak/>
        <w:t>са ударили територията на област Бургас, предизвиквайки критична ситуация. Било е обявено извънредно положение и е бил задействан регионалният план за защита при бедствия. Наводнението е взело 5 жертви и е засегнало около 6 000 души, а 142 жилищни и над 1 200 нежилищни сгради са били наводнени. Високото равнище на речните води и приливните вълни са наводнили мостове и са разрушили пътна инфраструктура, отводнителни канали, канали и подпорни стени, включително националната пътна мрежа. Била е повредена или разрушена общинска инфраструктура, включително пътища, мостове, водопроводни тръби, подпорни стени, защитни отводнителни съоръжения, диги и речни корита, както и инфраструктура в сферата на здравеопазването и на грижите за деца. Регионалното депо за твърди отпадъци е било сериозно засегнато и временно изведено от експлоатация. Пречиствателната станция за отпадъчни води в Долно Езерово е била наводнена и временно нефункционираща.</w:t>
      </w:r>
    </w:p>
    <w:p>
      <w:pPr>
        <w:pStyle w:val="Point0number"/>
        <w:spacing w:before="240" w:after="0"/>
        <w:ind w:left="851" w:hanging="851"/>
        <w:rPr>
          <w:noProof/>
        </w:rPr>
      </w:pPr>
      <w:r>
        <w:rPr>
          <w:noProof/>
        </w:rPr>
        <w:t>България оцени разходите за спешни и възстановителни действия, отговарящи на условията по член 3, параграф 2 от Регламента, на 90,1 милиона евро и представи разбивка по вид действие. Несъмнено най-големият дял от допустимите разходи (почти 65 милиона евро) се отнася до транспортния сектор.</w:t>
      </w:r>
    </w:p>
    <w:p>
      <w:pPr>
        <w:pStyle w:val="Point0number"/>
        <w:spacing w:before="240" w:after="0"/>
        <w:rPr>
          <w:noProof/>
        </w:rPr>
      </w:pPr>
      <w:r>
        <w:rPr>
          <w:noProof/>
        </w:rPr>
        <w:t>Българските власти заявиха, че 0,33 % от допустимите разходи са покрити от застраховка. Следователно те може да не получат средства от ФСЕС.</w:t>
      </w:r>
    </w:p>
    <w:p>
      <w:pPr>
        <w:pStyle w:val="Point0number"/>
        <w:spacing w:before="240" w:after="0"/>
        <w:rPr>
          <w:noProof/>
        </w:rPr>
      </w:pPr>
      <w:r>
        <w:rPr>
          <w:noProof/>
        </w:rPr>
        <w:t>Пострадалите региони са „по-слабо развити региони“ по линия на европейските структурни и инвестиционни фондове (2014—2020 г.). Българските власти не са уведомили Комисията, че имат намерение да пренасочват средства от програмите по европейските структурни и инвестиционни фондове към мерки за възстановяване.</w:t>
      </w:r>
    </w:p>
    <w:p>
      <w:pPr>
        <w:pStyle w:val="Point0number"/>
        <w:spacing w:before="240" w:after="0"/>
        <w:rPr>
          <w:noProof/>
        </w:rPr>
      </w:pPr>
      <w:r>
        <w:rPr>
          <w:noProof/>
        </w:rPr>
        <w:t xml:space="preserve">България не е задействала Механизма за гражданска защита на Съюза. </w:t>
      </w:r>
    </w:p>
    <w:p>
      <w:pPr>
        <w:pStyle w:val="Point0number"/>
        <w:spacing w:before="240" w:after="0"/>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 </w:t>
      </w:r>
    </w:p>
    <w:p>
      <w:pPr>
        <w:pStyle w:val="Point0number"/>
        <w:rPr>
          <w:noProof/>
        </w:rPr>
      </w:pPr>
      <w:r>
        <w:rPr>
          <w:noProof/>
        </w:rPr>
        <w:t>В заявлението на България е представено кратко описание на прилагането на законодателството на Съюза относно предотвратяването и управлението на риска от бедствия според естеството на бедствието. Съответно Директива 2000/60/ЕО (Рамкова директива за водите) и Директива 2007/60/ЕО (Директива за наводненията) са транспонирани в българския Закон за водите. Директива 2008/114/ЕО на Съвета относно критичните инфраструктури е транспонирана в българския Закон за защита при бедствия.</w:t>
      </w:r>
    </w:p>
    <w:p>
      <w:pPr>
        <w:pStyle w:val="ManualHeading2"/>
        <w:spacing w:before="240"/>
        <w:ind w:left="851" w:hanging="851"/>
        <w:rPr>
          <w:noProof/>
        </w:rPr>
      </w:pPr>
      <w:r>
        <w:rPr>
          <w:noProof/>
        </w:rPr>
        <w:t>2.2</w:t>
      </w:r>
      <w:r>
        <w:rPr>
          <w:noProof/>
        </w:rPr>
        <w:tab/>
        <w:t>Гърция — земетресение на остров Кос през 2017 г.</w:t>
      </w:r>
    </w:p>
    <w:p>
      <w:pPr>
        <w:spacing w:before="0" w:after="240"/>
        <w:rPr>
          <w:noProof/>
        </w:rPr>
      </w:pPr>
      <w:r>
        <w:rPr>
          <w:noProof/>
        </w:rPr>
        <w:t>На 20 юли 2017 г. земетресение с магнитуд от 6,6 по скалата на Рихтер е засегнало Южноегейския регион между Бодрум (Турция) и остров Кос (Гърция) и е било последвано от редица вторични трусове. Произтичащите от това вреди са засегнали най-вече обществената инфраструктура и активи, както и важни обекти, които са част от културното наследство.</w:t>
      </w:r>
    </w:p>
    <w:p>
      <w:pPr>
        <w:pStyle w:val="Point0number"/>
        <w:numPr>
          <w:ilvl w:val="0"/>
          <w:numId w:val="10"/>
        </w:numPr>
        <w:spacing w:before="0" w:after="240"/>
        <w:rPr>
          <w:noProof/>
        </w:rPr>
      </w:pPr>
      <w:r>
        <w:rPr>
          <w:noProof/>
        </w:rPr>
        <w:lastRenderedPageBreak/>
        <w:t>Гърция подаде заявление за отпускане на средства от ФСЕС на 11 октомври 2017 г., в рамките на срока от 12 седмици след регистрирането на първите вреди на 21 юли 2017 г. Заявлението беше подадено за категорията „регионално бедствие“ по член 2, параграф 3 от Регламента. На 9 март 2018 г. след искане от страна на Комисията Гърция предостави допълнителната информация, необходима за приключването на оценката по този случай.</w:t>
      </w:r>
    </w:p>
    <w:p>
      <w:pPr>
        <w:pStyle w:val="Point0number"/>
        <w:spacing w:before="0" w:after="240"/>
        <w:ind w:left="851" w:hanging="851"/>
        <w:rPr>
          <w:noProof/>
        </w:rPr>
      </w:pPr>
      <w:r>
        <w:rPr>
          <w:noProof/>
        </w:rPr>
        <w:t>Бедствието е с природен характер, поради което попада в сферата на приложение на ФСЕС.</w:t>
      </w:r>
    </w:p>
    <w:p>
      <w:pPr>
        <w:pStyle w:val="Point0number"/>
        <w:spacing w:before="0" w:after="240"/>
        <w:ind w:left="851" w:hanging="851"/>
        <w:rPr>
          <w:noProof/>
        </w:rPr>
      </w:pPr>
      <w:r>
        <w:rPr>
          <w:noProof/>
        </w:rPr>
        <w:t>Гръцките власти оценяват общите преки вреди, причинени от бедствието, на 101,4 милиона евро. Заявлението беше представено въз основа на разпоредбите за „регионални бедствия“, посочени в член 2, параграф 3 от Регламента, в който „регионалното бедствие“ се определя като каквото и да е природно бедствие, предизвикващо преки вреди в даден регион на ниво 2 по NUTS в отговаряща на условията държава, които възлизат на над 1,5 % от БВП на този регион. Вредите, причинени от земетресението в Кос, представляват 1,8 % от БВП на съответния Южноегейски регион</w:t>
      </w:r>
      <w:r>
        <w:rPr>
          <w:rStyle w:val="FootnoteReference"/>
          <w:noProof/>
        </w:rPr>
        <w:footnoteReference w:id="4"/>
      </w:r>
      <w:r>
        <w:rPr>
          <w:noProof/>
        </w:rPr>
        <w:t xml:space="preserve"> на ниво 2 по NUTS и следователно надвишават прага от 1,5 %, предвиден в Регламента. Поради това подаденото от Гърция заявление отговаря на условията за отпускане на средства от ФСЕС.</w:t>
      </w:r>
    </w:p>
    <w:p>
      <w:pPr>
        <w:pStyle w:val="Point0number"/>
        <w:spacing w:before="0" w:after="240"/>
        <w:ind w:left="851" w:hanging="851"/>
        <w:rPr>
          <w:noProof/>
        </w:rPr>
      </w:pPr>
      <w:r>
        <w:rPr>
          <w:noProof/>
        </w:rPr>
        <w:t>В своето заявление гръцките власти поискаха авансово плащане. Комисията счете, че не е обосновано да се прави авансово плащане, тъй като от Гърция беше поискано да представи важна допълнителна информация, за да се направи предварителната оценка, предвидена в член 4а от Регламента.</w:t>
      </w:r>
    </w:p>
    <w:p>
      <w:pPr>
        <w:pStyle w:val="Point0number"/>
        <w:spacing w:before="0" w:after="240"/>
        <w:ind w:left="851" w:hanging="851"/>
        <w:rPr>
          <w:noProof/>
        </w:rPr>
      </w:pPr>
      <w:r>
        <w:rPr>
          <w:noProof/>
        </w:rPr>
        <w:t>Реакцията на земетресението се е състояла в разполагането на спасителни екипи, за да оценят ситуацията, да проведат спасителни действия, да възстановят жизненоважните функции на острова (летище, пристанище, болница) и да координират местните органи за управление на извънредни ситуации. Пожарникарската служба и Националната служба за спешна медицинска помощ са били мобилизирани за търсенето на затиснати и ранени хора. Специални екипи са възстановили прекъснатите електропроводи. Гърция е докладвала за 10 жертви и над 100 ранени. Наложило се е за няколко нощи жители и голям брой туристи да спят в училища, паркове и места на открито. Било е установено, че пристанището на Кос е претърпяло значителни вреди и не може да бъде използвано в продължение на няколко дни. 150 жилища трябва да бъдат ремонтирани, а 10 — да бъдат построени отново. 33 предприятия се нуждаят от ремонт, а 5 трябва да бъдат построени отново. 3 обществени сгради също са били засегнати. Много обекти, които са част от културното наследство, са претърпели вреди преди всичко в източната част на острова, която е била по-близо до епицентъра на земетресението, по-специално паметници и археологически обекти в град Кос.</w:t>
      </w:r>
    </w:p>
    <w:p>
      <w:pPr>
        <w:pStyle w:val="Point0number"/>
        <w:spacing w:before="0" w:after="240"/>
        <w:ind w:left="851" w:hanging="851"/>
        <w:rPr>
          <w:noProof/>
        </w:rPr>
      </w:pPr>
      <w:r>
        <w:rPr>
          <w:noProof/>
        </w:rPr>
        <w:t xml:space="preserve">Гърция оцени разходите за спешни и възстановителни действия, отговарящи на условията по член 3, параграф 2 от Регламента, на 93,9 милиона евро и представи разбивка по вид действие. Най-големият дял (над 47,8 милиона евро) от допустимите разходи се отнасят до мерките за опазване на културното </w:t>
      </w:r>
      <w:r>
        <w:rPr>
          <w:noProof/>
        </w:rPr>
        <w:lastRenderedPageBreak/>
        <w:t>наследство. Вторият по големина дял (около 41,1 милиона евро) се отнася до разходите за възстановяване на транспортната инфраструктура.</w:t>
      </w:r>
    </w:p>
    <w:p>
      <w:pPr>
        <w:pStyle w:val="Point0number"/>
        <w:spacing w:before="0" w:after="240"/>
        <w:ind w:left="851" w:hanging="851"/>
        <w:rPr>
          <w:noProof/>
        </w:rPr>
      </w:pPr>
      <w:r>
        <w:rPr>
          <w:noProof/>
        </w:rPr>
        <w:t>Гръцките власти потвърдиха, че допустимите разходи нямат застрахователно покритие.</w:t>
      </w:r>
    </w:p>
    <w:p>
      <w:pPr>
        <w:pStyle w:val="Point0number"/>
        <w:spacing w:before="0" w:after="240"/>
        <w:ind w:left="851" w:hanging="851"/>
        <w:rPr>
          <w:noProof/>
        </w:rPr>
      </w:pPr>
      <w:r>
        <w:rPr>
          <w:noProof/>
        </w:rPr>
        <w:t>Пострадалите региони са „по-силно развити региони“ по линия на европейските структурни и инвестиционни фондове (2014—2020 г.). Гръцките власти уведомиха Комисията, че имат намерение да пренасочват средства от програмите по европейските структурни и инвестиционни фондове към мерки за възстановяване.</w:t>
      </w:r>
    </w:p>
    <w:p>
      <w:pPr>
        <w:pStyle w:val="Point0number"/>
        <w:spacing w:before="0" w:after="240"/>
        <w:ind w:left="851" w:hanging="851"/>
        <w:rPr>
          <w:noProof/>
        </w:rPr>
      </w:pPr>
      <w:r>
        <w:rPr>
          <w:noProof/>
        </w:rPr>
        <w:t xml:space="preserve">Гърция не е задействала Механизма за гражданска защита на Съюза. </w:t>
      </w:r>
    </w:p>
    <w:p>
      <w:pPr>
        <w:pStyle w:val="Point0number"/>
        <w:spacing w:before="0" w:after="240"/>
        <w:ind w:left="851" w:hanging="851"/>
        <w:rPr>
          <w:noProof/>
        </w:rPr>
      </w:pPr>
      <w:r>
        <w:rPr>
          <w:noProof/>
        </w:rPr>
        <w:t>Като вторичен ефект от земетресението се е образувало местно цунами, което е засегнало брега на полуостров Бодрум и части от бреговата линия на остров Кос. След събитието е било проведено проучване от международен екип, съставен от учени от Турция, Гърция и Съвместния изследователски център на Комисията.</w:t>
      </w:r>
    </w:p>
    <w:p>
      <w:pPr>
        <w:pStyle w:val="Point0number"/>
        <w:spacing w:before="0" w:after="240"/>
        <w:ind w:left="851" w:hanging="851"/>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 </w:t>
      </w:r>
    </w:p>
    <w:p>
      <w:pPr>
        <w:pStyle w:val="Point0number"/>
        <w:spacing w:before="0" w:after="240"/>
        <w:ind w:left="851" w:hanging="851"/>
        <w:rPr>
          <w:noProof/>
        </w:rPr>
      </w:pPr>
      <w:r>
        <w:rPr>
          <w:noProof/>
        </w:rPr>
        <w:t>В заявлението на Гърция е представено описание на прилагането на законодателството на Съюза относно предотвратяването и управлението на риска от бедствия според естеството на бедствието. След силните земетресения, засегнали Гърция между 1978 и 1981 г., гръцкото правителство е създало политика за предотвратяване и управление на рисковете от природни бедствия с цел подобряване на устойчивостта на местните общности чрез рамка за прилагане на политики за намаляване на известните рискове, справяне с последиците от земетресения и процедури/действия за предотвратяване на нови рискове.</w:t>
      </w:r>
    </w:p>
    <w:p>
      <w:pPr>
        <w:pStyle w:val="ManualHeading2"/>
        <w:spacing w:before="240"/>
        <w:ind w:left="851" w:hanging="851"/>
        <w:rPr>
          <w:noProof/>
        </w:rPr>
      </w:pPr>
      <w:r>
        <w:rPr>
          <w:noProof/>
        </w:rPr>
        <w:t>2.3</w:t>
      </w:r>
      <w:r>
        <w:rPr>
          <w:noProof/>
        </w:rPr>
        <w:tab/>
        <w:t>Литва — наводнения</w:t>
      </w:r>
    </w:p>
    <w:p>
      <w:pPr>
        <w:spacing w:before="0" w:after="240"/>
        <w:rPr>
          <w:noProof/>
        </w:rPr>
      </w:pPr>
      <w:r>
        <w:rPr>
          <w:noProof/>
        </w:rPr>
        <w:t>През лятото и есента Литва е била засегната от постоянни валежи, вследствие на които почвите са се напоили изцяло и не са били в състояние да поемат излишната вода. Тази ситуация е довела до наводнения, които са причинили вреди най-вече на мрежовата инфраструктура и в селскостопанския сектор.</w:t>
      </w:r>
    </w:p>
    <w:p>
      <w:pPr>
        <w:pStyle w:val="Point0number"/>
        <w:numPr>
          <w:ilvl w:val="0"/>
          <w:numId w:val="11"/>
        </w:numPr>
        <w:spacing w:before="240" w:after="0"/>
        <w:rPr>
          <w:noProof/>
        </w:rPr>
      </w:pPr>
      <w:r>
        <w:rPr>
          <w:noProof/>
        </w:rPr>
        <w:t>Литва подаде заявление за отпускане на средства от фонд „Солидарност“ на 22 декември 2017 г., в рамките на срока от 12 седмици след регистрирането на първите вреди на 4 октомври 2017 г. Заявлението беше подадено за категорията „голямо бедствие“ по силата на член 2, параграф 2 от Регламента. На 6 февруари 2018 г. Литва подаде допълнителна информация.</w:t>
      </w:r>
    </w:p>
    <w:p>
      <w:pPr>
        <w:pStyle w:val="Point0number"/>
        <w:spacing w:before="240" w:after="0"/>
        <w:rPr>
          <w:noProof/>
        </w:rPr>
      </w:pPr>
      <w:r>
        <w:rPr>
          <w:noProof/>
        </w:rPr>
        <w:t>Бедствието е с природен характер, поради което попада в сферата на приложение на ФСЕС.</w:t>
      </w:r>
    </w:p>
    <w:p>
      <w:pPr>
        <w:pStyle w:val="Point0number"/>
        <w:spacing w:before="240"/>
        <w:ind w:left="851" w:hanging="851"/>
        <w:rPr>
          <w:noProof/>
        </w:rPr>
      </w:pPr>
      <w:r>
        <w:rPr>
          <w:noProof/>
        </w:rPr>
        <w:t xml:space="preserve">Литва оцени общия размер на преките вреди, нанесени от наводненията, на 407,4 милиона евро. Тази сума надхвърля приложимия за Литва праг за големи </w:t>
      </w:r>
      <w:r>
        <w:rPr>
          <w:noProof/>
        </w:rPr>
        <w:lastRenderedPageBreak/>
        <w:t>бедствия за мобилизиране на средства от ФСЕС, който за 2017 г. възлиза на 214,9 милиона евро (т.е. 0,6 % от брутния национален доход по данни от 2015 г.). Тъй като приблизителните общи преки вреди надвишават прага, бедствието се определя като голямо природно бедствие и поради това е допустимо за отпускане на средства от ФСЕС.</w:t>
      </w:r>
    </w:p>
    <w:p>
      <w:pPr>
        <w:pStyle w:val="Point0number"/>
        <w:spacing w:before="240" w:after="0"/>
        <w:rPr>
          <w:noProof/>
        </w:rPr>
      </w:pPr>
      <w:r>
        <w:rPr>
          <w:noProof/>
        </w:rPr>
        <w:t>Литва не е поискала авансово плащане.</w:t>
      </w:r>
    </w:p>
    <w:p>
      <w:pPr>
        <w:pStyle w:val="Point0number"/>
        <w:rPr>
          <w:noProof/>
        </w:rPr>
      </w:pPr>
      <w:r>
        <w:rPr>
          <w:noProof/>
        </w:rPr>
        <w:t>Заявлението на Литва съдържа подробно описание на метеорологичната обстановка и последиците от продължителните валежи. Периодът на обилни валежи в продължение на няколко месеца с валежи, достигащи 280 % от обичайното ниво, е довел до преовлажняване на почвата, прекомерно количество вътрешни води и критично претоварване на отводнителните системи. На 4 октомври 2017 г. Литва е обявила извънредна ситуация в цялата страна. Дълготрайният приток на излишна вода с внезапни промени на нивото на водата, почвата и наносите, както и високото водно налягане са повредили отводнителните системи и са довели до тяхното критично състояние. Системите за пресушаване и отводняване на национално равнище не са успели да абсорбират водата. Преливащите реки са наводнили площи с насаждения, земеделски стопанства и домове, електрически станции и засегнати гробищни паркове. Проливните дъждове са нанесли вреди и на над 100 km от областните пътища. Били са регистрирани около 50 прекъсвания на електрозахранването и са били повредени топлофикационният тръбопровод и топлинната изолация.</w:t>
      </w:r>
    </w:p>
    <w:p>
      <w:pPr>
        <w:pStyle w:val="Point0number"/>
        <w:spacing w:before="240" w:after="0"/>
        <w:rPr>
          <w:noProof/>
        </w:rPr>
      </w:pPr>
      <w:r>
        <w:rPr>
          <w:noProof/>
        </w:rPr>
        <w:t>Литва оцени разходите за спешни и възстановителни действия, отговарящи на условията по член 3, параграф 2 от Регламента, на 240,2 милиона евро и представи разбивка по вид действие. Почти всичките допустими разходи се отнасят до възстановяването на работния режим на инфраструктурата за управление на водите/отпадъчните води, включително язовири и отводнителни системи. Средствата от ФСЕС не могат обаче да се използват за ремонтни дейности, надхвърлящи състоянието на тези активи преди бедствието.</w:t>
      </w:r>
    </w:p>
    <w:p>
      <w:pPr>
        <w:pStyle w:val="Point0number"/>
        <w:spacing w:before="240" w:after="0"/>
        <w:rPr>
          <w:noProof/>
        </w:rPr>
      </w:pPr>
      <w:r>
        <w:rPr>
          <w:noProof/>
        </w:rPr>
        <w:t>Литовските власти потвърдиха, че допустимите разходи нямат застрахователно покритие.</w:t>
      </w:r>
    </w:p>
    <w:p>
      <w:pPr>
        <w:pStyle w:val="Point0number"/>
        <w:spacing w:before="240" w:after="0"/>
        <w:rPr>
          <w:noProof/>
        </w:rPr>
      </w:pPr>
      <w:r>
        <w:rPr>
          <w:noProof/>
        </w:rPr>
        <w:t>Пострадалите региони са „по-слабо развити региони“ по линия на европейските структурни и инвестиционни фондове (2014—2020 г.). Литовските власти не са уведомили Комисията, че имат намерение да пренасочват средства от програмите по европейските структурни и инвестиционни фондове към мерки за възстановяване. Въпреки това по искане на Литва за подпомагане на земеделските стопани, представено на Комисията през ноември 2017 г., Комисията прие Регламент (ЕС) 2018/108 за изпълнение на „спешна мярка под формата на помощ за земеделските стопани във връзка с наводненията и проливните дъждове в определени области на Литва, Латвия, Естония и Финландия“. Максималният размер на средствата, предоставени на Литва, е 9,1 милиона евро.</w:t>
      </w:r>
    </w:p>
    <w:p>
      <w:pPr>
        <w:pStyle w:val="Point0number"/>
        <w:spacing w:before="240" w:after="0"/>
        <w:ind w:left="851" w:hanging="851"/>
        <w:rPr>
          <w:noProof/>
        </w:rPr>
      </w:pPr>
      <w:r>
        <w:rPr>
          <w:noProof/>
        </w:rPr>
        <w:t xml:space="preserve">Литва не е задействала Механизма за гражданска защита на Съюза. </w:t>
      </w:r>
    </w:p>
    <w:p>
      <w:pPr>
        <w:pStyle w:val="Point0number"/>
        <w:spacing w:before="240" w:after="0"/>
        <w:ind w:left="851" w:hanging="851"/>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 </w:t>
      </w:r>
    </w:p>
    <w:p>
      <w:pPr>
        <w:pStyle w:val="Point0number"/>
        <w:spacing w:before="240" w:after="0"/>
        <w:rPr>
          <w:noProof/>
        </w:rPr>
      </w:pPr>
      <w:r>
        <w:rPr>
          <w:noProof/>
        </w:rPr>
        <w:lastRenderedPageBreak/>
        <w:t>В заявлението на Литва е представено описание на въведените национални превантивни процедури за извънредни ситуации, без обаче да е посочено по-конкретно прилагането на законодателството на Съюза относно предотвратяването и управлението на риска от бедствия според естеството на бедствието. Законът за гражданската защита на Република Литва урежда процедурите, които да се прилагат към държавните и общинските институции и учреждения, земеделските стопанства и другите органи с оглед на подготовката за извънредни ситуации и тяхното предотвратяване. Съгласно правните актове Министерството на земеделието, Министерството на околната среда и общинските администрации са одобрили 3-годишни планове за спешни превантивни мерки. В държавния план за управление на извънредни ситуации, одобрен през 2010 г., се определят мобилизирането и управлението на материалните и човешките ресурси в отговор на извънредна ситуация на държавно равнище. Съгласно Заповед № 1V-114  от 2007 г. Министерството на околната среда и подчинените му органи носят отговорност за информирането относно събития и извънредни ситуации, настъпили вследствие на хидрометеорологични и геоложки явления.</w:t>
      </w:r>
    </w:p>
    <w:p>
      <w:pPr>
        <w:pStyle w:val="ManualHeading2"/>
        <w:spacing w:before="240"/>
        <w:ind w:left="851" w:hanging="851"/>
        <w:rPr>
          <w:noProof/>
        </w:rPr>
      </w:pPr>
      <w:r>
        <w:rPr>
          <w:noProof/>
        </w:rPr>
        <w:t>2.4</w:t>
      </w:r>
      <w:r>
        <w:rPr>
          <w:noProof/>
        </w:rPr>
        <w:tab/>
        <w:t>Полша — буря</w:t>
      </w:r>
    </w:p>
    <w:p>
      <w:pPr>
        <w:spacing w:before="0" w:after="240"/>
        <w:rPr>
          <w:noProof/>
        </w:rPr>
      </w:pPr>
      <w:bookmarkStart w:id="3" w:name="_Toc484762488"/>
      <w:r>
        <w:rPr>
          <w:noProof/>
        </w:rPr>
        <w:t>Между 9 и 12 август 2017 г. части от Полша са били засегнати от изключително силни бури и проливни дъждове, които са причинили повсеместни вреди на частни и държавни гори, обществена инфраструктура и други активи.</w:t>
      </w:r>
    </w:p>
    <w:p>
      <w:pPr>
        <w:pStyle w:val="Point0number"/>
        <w:numPr>
          <w:ilvl w:val="0"/>
          <w:numId w:val="12"/>
        </w:numPr>
        <w:spacing w:before="0" w:after="240"/>
        <w:rPr>
          <w:noProof/>
        </w:rPr>
      </w:pPr>
      <w:r>
        <w:rPr>
          <w:noProof/>
        </w:rPr>
        <w:t>Полша подаде заявление за отпускане на средства от фонд „Солидарност“ на 25 октомври 2017 г., в рамките на срока от 12 седмици след регистрирането на първите вреди на 9 август 2017 г. Заявлението беше подадено за категорията „регионално бедствие“ по член 2, параграф 3 от Регламента. На 23 март 2018 г. след искане от страна на Комисията Полша предостави основната допълнителна информация, необходима за приключването на оценката по този случай.</w:t>
      </w:r>
    </w:p>
    <w:p>
      <w:pPr>
        <w:pStyle w:val="Point0number"/>
        <w:spacing w:before="0" w:after="240"/>
        <w:rPr>
          <w:noProof/>
        </w:rPr>
      </w:pPr>
      <w:r>
        <w:rPr>
          <w:noProof/>
        </w:rPr>
        <w:t>Бедствието е с природен характер, поради което попада в сферата на приложение на ФСЕС.</w:t>
      </w:r>
    </w:p>
    <w:p>
      <w:pPr>
        <w:pStyle w:val="Point0number"/>
        <w:spacing w:before="0" w:after="240"/>
        <w:rPr>
          <w:noProof/>
        </w:rPr>
      </w:pPr>
      <w:r>
        <w:rPr>
          <w:noProof/>
        </w:rPr>
        <w:t>Полските власти оценяват общите преки вреди, причинени от бедствието, на 491,2 милиона евро. Заявлението беше представено въз основа на разпоредбите за „регионални бедствия“, посочени в член 2, параграф 3 от Регламента, в който „регионалното бедствие“ се определя като каквото и да е природно бедствие, предизвикващо преки вреди в даден регион на ниво 2 по NUTS в отговаряща на условията държава, които възлизат на над 1,5 % от БВП на този регион. Вредите, причинени от бурята, представляват 2,0 % от среднопретегления регионален БВП</w:t>
      </w:r>
      <w:r>
        <w:rPr>
          <w:rStyle w:val="FootnoteReference"/>
          <w:noProof/>
        </w:rPr>
        <w:footnoteReference w:id="5"/>
      </w:r>
      <w:r>
        <w:rPr>
          <w:noProof/>
        </w:rPr>
        <w:t xml:space="preserve"> на засегнатите три региона, а именно Куявско-Поморското воеводство, Поморското воеводство и Великополското воеводство, и следователно надвишават прага от 1,5 %, предвиден в Регламента. Поради това подаденото от Полша заявление отговаря на условията за отпускане на средства от ФСЕС.</w:t>
      </w:r>
    </w:p>
    <w:p>
      <w:pPr>
        <w:pStyle w:val="Point0number"/>
        <w:spacing w:before="0" w:after="240"/>
        <w:rPr>
          <w:noProof/>
        </w:rPr>
      </w:pPr>
      <w:r>
        <w:rPr>
          <w:noProof/>
        </w:rPr>
        <w:t>Полша не е поискала авансово плащане.</w:t>
      </w:r>
    </w:p>
    <w:p>
      <w:pPr>
        <w:pStyle w:val="Point0number"/>
        <w:spacing w:before="0" w:after="240"/>
        <w:rPr>
          <w:noProof/>
        </w:rPr>
      </w:pPr>
      <w:r>
        <w:rPr>
          <w:noProof/>
        </w:rPr>
        <w:lastRenderedPageBreak/>
        <w:t>Заявлението на Полша съдържа подробно описание на метеорологичната обстановка в началото на август 2017 г. Бурята е била придружена от интензивни дъждове и локални градушки, в резултат на които е имало 6 жертви и 39 ранени. Окръзите Торун и Гданск са били най-тежко засегнати. Полша е предприела незабавни животоспасяващи действия, действия за обезопасяване на повредените сгради и за отстраняване на паднали дървета, блокирали множество пътища и железопътни линии и прекъснали електропроводи. Повечето вреди са настъпили в сектора на горското стопанство. Полша счита, че в трите засегнати региона са били унищожени общо 9,8 милиона m³ дървен материал. Бедствието е причинило значителни загуби на природни ресурси и е засегнало например 22 горски резервата, 15 вида птици и 134 местообитания („Натура 2000“), включително най-стария горски резерват „Чешевски гори“ в горски окръг Яроцин. Горската инфраструктура, като пътища, мостове, хижи и сгради на центровете за обучение в сферата на горското стопанство, туристически обекти и други съоръжения, са били сериозно повредени. Освен това са били засегнати над 13 600 земеделски стопанства и около 99 000 ha с насаждения. В енергийния сектор от поправка се нуждаят 5 000 електрически стълба, както и 758 трансформаторни постове и над 451 km електропроводи.</w:t>
      </w:r>
    </w:p>
    <w:p>
      <w:pPr>
        <w:pStyle w:val="Point0number"/>
        <w:spacing w:before="0" w:after="240"/>
        <w:rPr>
          <w:noProof/>
        </w:rPr>
      </w:pPr>
      <w:r>
        <w:rPr>
          <w:noProof/>
        </w:rPr>
        <w:t xml:space="preserve">Горите в Полша са от особено значение за околната среда и са защитени от редица наредби. Те обхващат около 30 % от територията на Полша, като 81 % от тях са обществени. 77 % от полските гори се управляват от Националното горско стопанство „Държавни гори“. Те включват национални паркове, природни резервати, защитени ландшафтни зони, зони по „Натура 2000“, райони от значение за околната среда, природни и ландшафтни комплекси и документални обекти. Зоните от мрежата „Натура 2000“ обхващат около 20 % от територията на Полша. </w:t>
      </w:r>
    </w:p>
    <w:p>
      <w:pPr>
        <w:pStyle w:val="Point0number"/>
        <w:spacing w:before="0" w:after="240"/>
        <w:rPr>
          <w:noProof/>
        </w:rPr>
      </w:pPr>
      <w:r>
        <w:rPr>
          <w:noProof/>
        </w:rPr>
        <w:t>Полша оцени разходите за спешни и възстановителни действия, отговарящи на условията по член 3, параграф 2 от Регламента, на 324,5 милиона евро и представи разбивка по вид действие. Най-големият дял (над 259,1 милиона евро) от допустимите разходи се отнасят до мерки във връзка с незабавното възстановяване на засегнатите зони с цел избягване на непосредствения ефект от ерозията на почвата. Вторият по големина дял (42,4 милиона евро) се отнася до разходите за възстановяване на транспортната инфраструктура.</w:t>
      </w:r>
    </w:p>
    <w:p>
      <w:pPr>
        <w:pStyle w:val="Point0number"/>
        <w:spacing w:before="0" w:after="240"/>
        <w:rPr>
          <w:noProof/>
        </w:rPr>
      </w:pPr>
      <w:r>
        <w:rPr>
          <w:noProof/>
        </w:rPr>
        <w:t xml:space="preserve">Комисията отбеляза, че преди е имало проблеми по отношение на съответствието на дейностите по стопанисване на горите със законодателството на ЕС в областта на околната среда. За да се предотврати несъответствието на предвидените действия, свързани със стопанисването на горите, със законодателството на ЕС в областта на околната среда, Комисията може да включи подходящи разпоредби в последващия акт за изпълнение. </w:t>
      </w:r>
    </w:p>
    <w:p>
      <w:pPr>
        <w:pStyle w:val="Point0number"/>
        <w:spacing w:before="0" w:after="240"/>
        <w:rPr>
          <w:noProof/>
        </w:rPr>
      </w:pPr>
      <w:r>
        <w:rPr>
          <w:noProof/>
        </w:rPr>
        <w:t>Полските власти потвърдиха, че допустимите разходи нямат застрахователно покритие.</w:t>
      </w:r>
    </w:p>
    <w:p>
      <w:pPr>
        <w:pStyle w:val="Point0number"/>
        <w:spacing w:before="0" w:after="240"/>
        <w:rPr>
          <w:noProof/>
        </w:rPr>
      </w:pPr>
      <w:r>
        <w:rPr>
          <w:noProof/>
        </w:rPr>
        <w:t>Пострадалите региони са „по-слабо развити региони“ по линия на европейските структурни и инвестиционни фондове (2014—2020 г.). Полските власти не са уведомили Комисията, че имат намерение да пренасочват средства от програмите по европейските структурни и инвестиционни фондове към мерки за възстановяване.</w:t>
      </w:r>
    </w:p>
    <w:p>
      <w:pPr>
        <w:pStyle w:val="Point0number"/>
        <w:spacing w:before="0" w:after="240"/>
        <w:rPr>
          <w:noProof/>
        </w:rPr>
      </w:pPr>
      <w:r>
        <w:rPr>
          <w:noProof/>
        </w:rPr>
        <w:lastRenderedPageBreak/>
        <w:t xml:space="preserve">Полша не е задействала Механизма за гражданска защита на Съюза. </w:t>
      </w:r>
    </w:p>
    <w:p>
      <w:pPr>
        <w:pStyle w:val="Point0number"/>
        <w:spacing w:before="0" w:after="240"/>
        <w:rPr>
          <w:noProof/>
        </w:rPr>
      </w:pPr>
      <w:r>
        <w:rPr>
          <w:noProof/>
        </w:rPr>
        <w:t xml:space="preserve">Що се отнася до прилагането на законодателството на Съюза относно предотвратяването и управлението на риска от бедствия, в момента няма текущо производство за установяване на нарушение. </w:t>
      </w:r>
    </w:p>
    <w:p>
      <w:pPr>
        <w:pStyle w:val="Point0number"/>
        <w:spacing w:before="0" w:after="240"/>
        <w:rPr>
          <w:noProof/>
        </w:rPr>
      </w:pPr>
      <w:r>
        <w:rPr>
          <w:noProof/>
        </w:rPr>
        <w:t xml:space="preserve">Заявлението на Полша съдържа описание на прилагането на законодателството на Съюза относно предотвратяването и управлението на риска от бедствия, като например Директивата за наводненията (Директива 2007/60/ЕО относно оценката и управлението на риска от наводнения), както и Директива 2008/114/ЕО относно установяването и означаването на европейски критични инфраструктури и оценката на необходимостта от подобряване на тяхната защита и Директива 2012/18/ЕС относно контрола на опасностите от големи аварии, които включват опасни вещества. Понастоящем не съществува законодателство на ЕС, което да е свързано конкретно с бурите. </w:t>
      </w:r>
    </w:p>
    <w:p>
      <w:pPr>
        <w:pStyle w:val="ManualHeading2"/>
        <w:spacing w:before="240"/>
        <w:ind w:left="851" w:hanging="851"/>
        <w:rPr>
          <w:noProof/>
        </w:rPr>
      </w:pPr>
      <w:r>
        <w:rPr>
          <w:noProof/>
        </w:rPr>
        <w:t>2.5</w:t>
      </w:r>
      <w:r>
        <w:rPr>
          <w:noProof/>
        </w:rPr>
        <w:tab/>
        <w:t>Заключение</w:t>
      </w:r>
    </w:p>
    <w:p>
      <w:pPr>
        <w:spacing w:before="360"/>
        <w:rPr>
          <w:noProof/>
        </w:rPr>
      </w:pPr>
      <w:r>
        <w:rPr>
          <w:noProof/>
        </w:rPr>
        <w:t>Поради причините, изложени по-горе, бедствията, посочени в заявленията, подадени от България, Гърция, Литва и Полша, отговарят на условията, предвидени в Регламента за мобилизиране на средства от ФСЕС.</w:t>
      </w:r>
    </w:p>
    <w:p>
      <w:pPr>
        <w:pStyle w:val="ManualHeading1"/>
        <w:rPr>
          <w:noProof/>
        </w:rPr>
      </w:pPr>
      <w:r>
        <w:rPr>
          <w:noProof/>
        </w:rPr>
        <w:t>3.</w:t>
      </w:r>
      <w:r>
        <w:rPr>
          <w:noProof/>
        </w:rPr>
        <w:tab/>
        <w:t>Финансиране със средствата от ФСЕС за 2018 г.</w:t>
      </w:r>
      <w:bookmarkEnd w:id="3"/>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6"/>
      </w:r>
      <w:r>
        <w:rPr>
          <w:noProof/>
        </w:rPr>
        <w:t xml:space="preserve"> (наричан по-долу „Регламентът за МФР“), и по-специално в член 10 от него, се предвижда възможност за мобилизиране на средства от ФСЕС в рамките на годишен таван от 500 000 000 EUR (по цени от 2011 г.).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7"/>
      </w:r>
      <w:r>
        <w:rPr>
          <w:noProof/>
        </w:rPr>
        <w:t xml:space="preserve"> са определени редът и условията за мобилизиране на средства от ФСЕС.</w:t>
      </w:r>
    </w:p>
    <w:p>
      <w:pPr>
        <w:rPr>
          <w:noProof/>
          <w:snapToGrid w:val="0"/>
        </w:rPr>
      </w:pPr>
      <w:r>
        <w:rPr>
          <w:noProof/>
        </w:rPr>
        <w:t>Тъй като солидарността бе главното основание за създаването на ФСЕС, Комисията счита, че помощта следва да бъде прогресивна. Това означава, че според досегашната практика частта от щетите, надвишаваща прага за големи природни бедствия за мобилизиране на средства от ФСЕС (т.е. 0,6 % от БНД или 3 милиарда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вреди под прага и 6 % от вредите над прага. Що се отнася до регионалните бедствия и бедствията, приети съгласно разпоредбата за съседна държава, ставката е 2,5 %.</w:t>
      </w:r>
    </w:p>
    <w:p>
      <w:pPr>
        <w:rPr>
          <w:noProof/>
          <w:snapToGrid w:val="0"/>
        </w:rPr>
      </w:pPr>
      <w:r>
        <w:rPr>
          <w:noProof/>
        </w:rPr>
        <w:t>Средствата не може да надвишават очакваните общи разходи за допустимите действия. Методиката за изчисляване на помощта бе изложена в годишния доклад относно ФСЕС за периода 2002—2003 г. и бе приета от Съвета и от Европейския парламент.</w:t>
      </w:r>
    </w:p>
    <w:p>
      <w:pPr>
        <w:rPr>
          <w:noProof/>
        </w:rPr>
      </w:pPr>
      <w:r>
        <w:rPr>
          <w:noProof/>
        </w:rPr>
        <w:lastRenderedPageBreak/>
        <w:t>Въз основа на заявленията, подадени от България, Гърция, Литва и Полша, изчислението на финансовия принос от ФСЕС, което се основава на оценката на общите причинени преки вреди, е както следва:</w:t>
      </w:r>
    </w:p>
    <w:tbl>
      <w:tblPr>
        <w:tblW w:w="10372"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65"/>
        <w:gridCol w:w="26"/>
      </w:tblGrid>
      <w:tr>
        <w:trPr>
          <w:gridAfter w:val="1"/>
          <w:wAfter w:w="26" w:type="dxa"/>
          <w:trHeight w:val="788"/>
          <w:jc w:val="center"/>
        </w:trPr>
        <w:tc>
          <w:tcPr>
            <w:tcW w:w="1248" w:type="dxa"/>
            <w:tcBorders>
              <w:bottom w:val="dotted" w:sz="4" w:space="0" w:color="auto"/>
            </w:tcBorders>
            <w:shd w:val="clear" w:color="auto" w:fill="EEECE1"/>
            <w:vAlign w:val="center"/>
            <w:hideMark/>
          </w:tcPr>
          <w:p>
            <w:pPr>
              <w:keepNext/>
              <w:keepLines/>
              <w:spacing w:after="0"/>
              <w:rPr>
                <w:b/>
                <w:noProof/>
                <w:snapToGrid w:val="0"/>
                <w:sz w:val="18"/>
                <w:szCs w:val="18"/>
              </w:rPr>
            </w:pPr>
            <w:r>
              <w:rPr>
                <w:b/>
                <w:noProof/>
                <w:snapToGrid w:val="0"/>
                <w:sz w:val="18"/>
              </w:rPr>
              <w:t>Държави членки</w:t>
            </w:r>
          </w:p>
        </w:tc>
        <w:tc>
          <w:tcPr>
            <w:tcW w:w="1329"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Вид бедствие</w:t>
            </w:r>
          </w:p>
        </w:tc>
        <w:tc>
          <w:tcPr>
            <w:tcW w:w="1320" w:type="dxa"/>
            <w:tcBorders>
              <w:bottom w:val="dotted" w:sz="4" w:space="0" w:color="auto"/>
            </w:tcBorders>
            <w:shd w:val="clear" w:color="auto" w:fill="EEECE1"/>
          </w:tcPr>
          <w:p>
            <w:pPr>
              <w:keepNext/>
              <w:keepLines/>
              <w:spacing w:after="0"/>
              <w:ind w:right="59"/>
              <w:jc w:val="center"/>
              <w:rPr>
                <w:i/>
                <w:noProof/>
                <w:snapToGrid w:val="0"/>
                <w:sz w:val="18"/>
                <w:szCs w:val="18"/>
              </w:rPr>
            </w:pPr>
            <w:r>
              <w:rPr>
                <w:i/>
                <w:noProof/>
                <w:snapToGrid w:val="0"/>
                <w:sz w:val="18"/>
              </w:rPr>
              <w:t>Общ размер на преките вреди</w:t>
            </w:r>
          </w:p>
          <w:p>
            <w:pPr>
              <w:keepNext/>
              <w:keepLines/>
              <w:spacing w:before="0" w:after="0"/>
              <w:ind w:right="59"/>
              <w:rPr>
                <w:i/>
                <w:noProof/>
                <w:snapToGrid w:val="0"/>
                <w:sz w:val="18"/>
                <w:szCs w:val="18"/>
              </w:rPr>
            </w:pPr>
          </w:p>
          <w:p>
            <w:pPr>
              <w:keepNext/>
              <w:keepLines/>
              <w:spacing w:after="0"/>
              <w:ind w:right="59"/>
              <w:rPr>
                <w:i/>
                <w:noProof/>
                <w:snapToGrid w:val="0"/>
                <w:sz w:val="18"/>
                <w:szCs w:val="18"/>
              </w:rPr>
            </w:pPr>
            <w:r>
              <w:rPr>
                <w:i/>
                <w:noProof/>
                <w:snapToGrid w:val="0"/>
                <w:sz w:val="18"/>
              </w:rPr>
              <w:t>(в млн. евро)</w:t>
            </w:r>
          </w:p>
        </w:tc>
        <w:tc>
          <w:tcPr>
            <w:tcW w:w="137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Праг за големи бедствия</w:t>
            </w:r>
          </w:p>
          <w:p>
            <w:pPr>
              <w:keepNext/>
              <w:keepLines/>
              <w:spacing w:before="0" w:after="0"/>
              <w:jc w:val="center"/>
              <w:rPr>
                <w:i/>
                <w:noProof/>
                <w:snapToGrid w:val="0"/>
                <w:sz w:val="18"/>
                <w:szCs w:val="18"/>
              </w:rPr>
            </w:pPr>
          </w:p>
          <w:p>
            <w:pPr>
              <w:keepNext/>
              <w:keepLines/>
              <w:spacing w:after="0"/>
              <w:jc w:val="center"/>
              <w:rPr>
                <w:i/>
                <w:noProof/>
                <w:snapToGrid w:val="0"/>
                <w:sz w:val="18"/>
                <w:szCs w:val="18"/>
              </w:rPr>
            </w:pPr>
            <w:r>
              <w:rPr>
                <w:i/>
                <w:noProof/>
                <w:snapToGrid w:val="0"/>
                <w:sz w:val="18"/>
              </w:rPr>
              <w:t>(в млн. евро)</w:t>
            </w:r>
          </w:p>
        </w:tc>
        <w:tc>
          <w:tcPr>
            <w:tcW w:w="1290"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 xml:space="preserve">2,5 % от преките вреди до прага </w:t>
            </w:r>
          </w:p>
          <w:p>
            <w:pPr>
              <w:keepNext/>
              <w:keepLines/>
              <w:spacing w:after="0"/>
              <w:jc w:val="center"/>
              <w:rPr>
                <w:i/>
                <w:noProof/>
                <w:snapToGrid w:val="0"/>
                <w:sz w:val="18"/>
                <w:szCs w:val="18"/>
              </w:rPr>
            </w:pPr>
            <w:r>
              <w:rPr>
                <w:i/>
                <w:noProof/>
                <w:snapToGrid w:val="0"/>
                <w:sz w:val="18"/>
              </w:rPr>
              <w:t>(EUR)</w:t>
            </w:r>
          </w:p>
        </w:tc>
        <w:tc>
          <w:tcPr>
            <w:tcW w:w="1239" w:type="dxa"/>
            <w:tcBorders>
              <w:bottom w:val="dotted" w:sz="4" w:space="0" w:color="auto"/>
            </w:tcBorders>
            <w:shd w:val="clear" w:color="auto" w:fill="EEECE1"/>
          </w:tcPr>
          <w:p>
            <w:pPr>
              <w:keepNext/>
              <w:keepLines/>
              <w:spacing w:after="0"/>
              <w:jc w:val="center"/>
              <w:rPr>
                <w:i/>
                <w:noProof/>
                <w:snapToGrid w:val="0"/>
                <w:sz w:val="18"/>
                <w:szCs w:val="18"/>
              </w:rPr>
            </w:pPr>
            <w:r>
              <w:rPr>
                <w:i/>
                <w:noProof/>
                <w:snapToGrid w:val="0"/>
                <w:sz w:val="18"/>
              </w:rPr>
              <w:t>6 % от преките вреди над прага</w:t>
            </w:r>
          </w:p>
          <w:p>
            <w:pPr>
              <w:keepNext/>
              <w:keepLines/>
              <w:spacing w:after="0"/>
              <w:jc w:val="center"/>
              <w:rPr>
                <w:b/>
                <w:i/>
                <w:noProof/>
                <w:snapToGrid w:val="0"/>
                <w:sz w:val="18"/>
                <w:szCs w:val="18"/>
              </w:rPr>
            </w:pPr>
            <w:r>
              <w:rPr>
                <w:i/>
                <w:noProof/>
                <w:snapToGrid w:val="0"/>
                <w:sz w:val="18"/>
              </w:rPr>
              <w:t>(EUR)</w:t>
            </w:r>
          </w:p>
        </w:tc>
        <w:tc>
          <w:tcPr>
            <w:tcW w:w="1385" w:type="dxa"/>
            <w:tcBorders>
              <w:bottom w:val="dotted" w:sz="4" w:space="0" w:color="auto"/>
            </w:tcBorders>
            <w:shd w:val="clear" w:color="auto" w:fill="EEECE1"/>
          </w:tcPr>
          <w:p>
            <w:pPr>
              <w:keepNext/>
              <w:keepLines/>
              <w:spacing w:after="0"/>
              <w:jc w:val="center"/>
              <w:rPr>
                <w:b/>
                <w:i/>
                <w:noProof/>
                <w:snapToGrid w:val="0"/>
                <w:spacing w:val="-6"/>
                <w:sz w:val="18"/>
                <w:szCs w:val="18"/>
              </w:rPr>
            </w:pPr>
            <w:r>
              <w:rPr>
                <w:b/>
                <w:i/>
                <w:noProof/>
                <w:snapToGrid w:val="0"/>
                <w:spacing w:val="-6"/>
                <w:sz w:val="18"/>
              </w:rPr>
              <w:t>Общ размер на предложената помощ</w:t>
            </w:r>
          </w:p>
          <w:p>
            <w:pPr>
              <w:keepNext/>
              <w:keepLines/>
              <w:spacing w:before="0" w:after="0"/>
              <w:jc w:val="center"/>
              <w:rPr>
                <w:b/>
                <w:i/>
                <w:noProof/>
                <w:snapToGrid w:val="0"/>
                <w:sz w:val="18"/>
                <w:szCs w:val="18"/>
              </w:rPr>
            </w:pPr>
          </w:p>
          <w:p>
            <w:pPr>
              <w:keepNext/>
              <w:keepLines/>
              <w:spacing w:after="0"/>
              <w:jc w:val="center"/>
              <w:rPr>
                <w:i/>
                <w:noProof/>
                <w:snapToGrid w:val="0"/>
                <w:sz w:val="18"/>
                <w:szCs w:val="18"/>
              </w:rPr>
            </w:pPr>
            <w:r>
              <w:rPr>
                <w:b/>
                <w:i/>
                <w:noProof/>
                <w:snapToGrid w:val="0"/>
                <w:sz w:val="18"/>
              </w:rPr>
              <w:t>(EUR)</w:t>
            </w:r>
          </w:p>
        </w:tc>
        <w:tc>
          <w:tcPr>
            <w:tcW w:w="1165" w:type="dxa"/>
            <w:tcBorders>
              <w:bottom w:val="dotted" w:sz="4" w:space="0" w:color="auto"/>
            </w:tcBorders>
            <w:shd w:val="clear" w:color="auto" w:fill="EEECE1"/>
          </w:tcPr>
          <w:p>
            <w:pPr>
              <w:keepNext/>
              <w:keepLines/>
              <w:spacing w:after="0"/>
              <w:jc w:val="center"/>
              <w:rPr>
                <w:b/>
                <w:i/>
                <w:noProof/>
                <w:snapToGrid w:val="0"/>
                <w:sz w:val="18"/>
                <w:szCs w:val="18"/>
              </w:rPr>
            </w:pPr>
            <w:r>
              <w:rPr>
                <w:b/>
                <w:i/>
                <w:noProof/>
                <w:snapToGrid w:val="0"/>
                <w:sz w:val="18"/>
              </w:rPr>
              <w:t>Авансови плащания</w:t>
            </w:r>
          </w:p>
          <w:p>
            <w:pPr>
              <w:keepNext/>
              <w:keepLines/>
              <w:spacing w:before="0" w:after="0"/>
              <w:jc w:val="center"/>
              <w:rPr>
                <w:b/>
                <w:i/>
                <w:noProof/>
                <w:snapToGrid w:val="0"/>
                <w:sz w:val="18"/>
                <w:szCs w:val="18"/>
              </w:rPr>
            </w:pPr>
          </w:p>
          <w:p>
            <w:pPr>
              <w:keepNext/>
              <w:keepLines/>
              <w:spacing w:after="0"/>
              <w:jc w:val="center"/>
              <w:rPr>
                <w:b/>
                <w:i/>
                <w:noProof/>
                <w:snapToGrid w:val="0"/>
                <w:sz w:val="18"/>
                <w:szCs w:val="18"/>
              </w:rPr>
            </w:pPr>
            <w:r>
              <w:rPr>
                <w:b/>
                <w:i/>
                <w:noProof/>
                <w:snapToGrid w:val="0"/>
                <w:sz w:val="18"/>
              </w:rPr>
              <w:t>(EUR)</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БЪЛГАРИЯ</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 xml:space="preserve">Регионално </w:t>
            </w:r>
          </w:p>
          <w:p>
            <w:pPr>
              <w:keepNext/>
              <w:keepLines/>
              <w:spacing w:before="0" w:after="0"/>
              <w:jc w:val="center"/>
              <w:rPr>
                <w:i/>
                <w:iCs/>
                <w:noProof/>
                <w:sz w:val="18"/>
                <w:szCs w:val="18"/>
              </w:rPr>
            </w:pPr>
            <w:r>
              <w:rPr>
                <w:i/>
                <w:noProof/>
                <w:sz w:val="18"/>
              </w:rPr>
              <w:t>(член 2, параграф 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90,329</w:t>
            </w:r>
          </w:p>
        </w:tc>
        <w:tc>
          <w:tcPr>
            <w:tcW w:w="1370" w:type="dxa"/>
            <w:tcBorders>
              <w:top w:val="dotted" w:sz="4" w:space="0" w:color="auto"/>
              <w:bottom w:val="dotted" w:sz="4" w:space="0" w:color="auto"/>
            </w:tcBorders>
            <w:vAlign w:val="center"/>
          </w:tcPr>
          <w:p>
            <w:pPr>
              <w:keepNext/>
              <w:keepLines/>
              <w:jc w:val="right"/>
              <w:rPr>
                <w:noProof/>
              </w:rPr>
            </w:pPr>
            <w:r>
              <w:rPr>
                <w:i/>
                <w:noProof/>
                <w:sz w:val="20"/>
              </w:rPr>
              <w:t>288,020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2 258 225</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2 258 225</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hideMark/>
          </w:tcPr>
          <w:p>
            <w:pPr>
              <w:keepNext/>
              <w:keepLines/>
              <w:spacing w:before="40" w:after="40"/>
              <w:jc w:val="left"/>
              <w:rPr>
                <w:noProof/>
                <w:snapToGrid w:val="0"/>
                <w:sz w:val="18"/>
                <w:szCs w:val="18"/>
              </w:rPr>
            </w:pPr>
            <w:r>
              <w:rPr>
                <w:noProof/>
                <w:snapToGrid w:val="0"/>
                <w:sz w:val="18"/>
              </w:rPr>
              <w:t>ГЪРЦИЯ</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 xml:space="preserve">Регионално </w:t>
            </w:r>
          </w:p>
          <w:p>
            <w:pPr>
              <w:keepNext/>
              <w:keepLines/>
              <w:spacing w:before="0" w:after="0"/>
              <w:jc w:val="center"/>
              <w:rPr>
                <w:i/>
                <w:iCs/>
                <w:noProof/>
                <w:sz w:val="18"/>
                <w:szCs w:val="18"/>
              </w:rPr>
            </w:pPr>
            <w:r>
              <w:rPr>
                <w:i/>
                <w:noProof/>
                <w:sz w:val="18"/>
              </w:rPr>
              <w:t>(член 2, параграф 3)</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101,432</w:t>
            </w:r>
          </w:p>
        </w:tc>
        <w:tc>
          <w:tcPr>
            <w:tcW w:w="1370" w:type="dxa"/>
            <w:tcBorders>
              <w:top w:val="dotted" w:sz="4" w:space="0" w:color="auto"/>
              <w:bottom w:val="dotted" w:sz="4" w:space="0" w:color="auto"/>
            </w:tcBorders>
            <w:vAlign w:val="center"/>
          </w:tcPr>
          <w:p>
            <w:pPr>
              <w:keepNext/>
              <w:keepLines/>
              <w:jc w:val="right"/>
              <w:rPr>
                <w:noProof/>
              </w:rPr>
            </w:pPr>
            <w:r>
              <w:rPr>
                <w:i/>
                <w:noProof/>
                <w:sz w:val="20"/>
              </w:rPr>
              <w:t>1 057,800</w:t>
            </w:r>
          </w:p>
        </w:tc>
        <w:tc>
          <w:tcPr>
            <w:tcW w:w="1290" w:type="dxa"/>
            <w:tcBorders>
              <w:top w:val="dotted" w:sz="4" w:space="0" w:color="auto"/>
              <w:bottom w:val="dotted" w:sz="4" w:space="0" w:color="auto"/>
            </w:tcBorders>
            <w:vAlign w:val="center"/>
          </w:tcPr>
          <w:p>
            <w:pPr>
              <w:keepNext/>
              <w:keepLines/>
              <w:jc w:val="right"/>
              <w:rPr>
                <w:noProof/>
              </w:rPr>
            </w:pPr>
            <w:r>
              <w:rPr>
                <w:i/>
                <w:noProof/>
                <w:sz w:val="20"/>
              </w:rPr>
              <w:t>2 535 796</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dotted" w:sz="4" w:space="0" w:color="auto"/>
            </w:tcBorders>
            <w:shd w:val="clear" w:color="auto" w:fill="auto"/>
            <w:vAlign w:val="center"/>
            <w:hideMark/>
          </w:tcPr>
          <w:p>
            <w:pPr>
              <w:keepNext/>
              <w:keepLines/>
              <w:jc w:val="right"/>
              <w:rPr>
                <w:b/>
                <w:bCs/>
                <w:i/>
                <w:iCs/>
                <w:noProof/>
                <w:sz w:val="18"/>
                <w:szCs w:val="18"/>
              </w:rPr>
            </w:pPr>
            <w:r>
              <w:rPr>
                <w:b/>
                <w:i/>
                <w:noProof/>
                <w:sz w:val="20"/>
              </w:rPr>
              <w:t>2 535 796</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dotted"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ЛИТВА</w:t>
            </w:r>
          </w:p>
        </w:tc>
        <w:tc>
          <w:tcPr>
            <w:tcW w:w="1329" w:type="dxa"/>
            <w:tcBorders>
              <w:top w:val="dotted" w:sz="4" w:space="0" w:color="auto"/>
              <w:bottom w:val="dotted" w:sz="4" w:space="0" w:color="auto"/>
            </w:tcBorders>
          </w:tcPr>
          <w:p>
            <w:pPr>
              <w:keepNext/>
              <w:keepLines/>
              <w:spacing w:before="0" w:after="0"/>
              <w:jc w:val="center"/>
              <w:rPr>
                <w:i/>
                <w:iCs/>
                <w:noProof/>
                <w:sz w:val="18"/>
                <w:szCs w:val="18"/>
              </w:rPr>
            </w:pPr>
            <w:r>
              <w:rPr>
                <w:i/>
                <w:noProof/>
                <w:sz w:val="18"/>
              </w:rPr>
              <w:t>Голямо</w:t>
            </w:r>
          </w:p>
          <w:p>
            <w:pPr>
              <w:keepNext/>
              <w:keepLines/>
              <w:spacing w:before="0" w:after="0"/>
              <w:jc w:val="center"/>
              <w:rPr>
                <w:i/>
                <w:iCs/>
                <w:noProof/>
                <w:sz w:val="18"/>
                <w:szCs w:val="18"/>
              </w:rPr>
            </w:pPr>
            <w:r>
              <w:rPr>
                <w:i/>
                <w:noProof/>
                <w:sz w:val="18"/>
              </w:rPr>
              <w:t>(член 2, параграф 2)</w:t>
            </w:r>
          </w:p>
        </w:tc>
        <w:tc>
          <w:tcPr>
            <w:tcW w:w="1320" w:type="dxa"/>
            <w:tcBorders>
              <w:top w:val="dotted" w:sz="4" w:space="0" w:color="auto"/>
              <w:bottom w:val="dotted" w:sz="4" w:space="0" w:color="auto"/>
            </w:tcBorders>
            <w:vAlign w:val="center"/>
          </w:tcPr>
          <w:p>
            <w:pPr>
              <w:keepNext/>
              <w:keepLines/>
              <w:jc w:val="right"/>
              <w:rPr>
                <w:i/>
                <w:iCs/>
                <w:noProof/>
                <w:sz w:val="18"/>
                <w:szCs w:val="18"/>
              </w:rPr>
            </w:pPr>
            <w:r>
              <w:rPr>
                <w:i/>
                <w:noProof/>
                <w:sz w:val="20"/>
              </w:rPr>
              <w:t>407,366</w:t>
            </w:r>
          </w:p>
        </w:tc>
        <w:tc>
          <w:tcPr>
            <w:tcW w:w="1370" w:type="dxa"/>
            <w:tcBorders>
              <w:top w:val="dotted" w:sz="4" w:space="0" w:color="auto"/>
              <w:bottom w:val="dotted" w:sz="4" w:space="0" w:color="auto"/>
            </w:tcBorders>
            <w:vAlign w:val="center"/>
          </w:tcPr>
          <w:p>
            <w:pPr>
              <w:keepNext/>
              <w:keepLines/>
              <w:jc w:val="right"/>
              <w:rPr>
                <w:noProof/>
              </w:rPr>
            </w:pPr>
            <w:r>
              <w:rPr>
                <w:i/>
                <w:noProof/>
                <w:sz w:val="20"/>
              </w:rPr>
              <w:t>214,944</w:t>
            </w:r>
          </w:p>
        </w:tc>
        <w:tc>
          <w:tcPr>
            <w:tcW w:w="1290" w:type="dxa"/>
            <w:tcBorders>
              <w:top w:val="dotted" w:sz="4" w:space="0" w:color="auto"/>
              <w:bottom w:val="dotted" w:sz="4" w:space="0" w:color="auto"/>
            </w:tcBorders>
            <w:vAlign w:val="center"/>
          </w:tcPr>
          <w:p>
            <w:pPr>
              <w:keepNext/>
              <w:keepLines/>
              <w:jc w:val="right"/>
              <w:rPr>
                <w:noProof/>
              </w:rPr>
            </w:pPr>
            <w:r>
              <w:rPr>
                <w:i/>
                <w:noProof/>
                <w:sz w:val="20"/>
              </w:rPr>
              <w:t>5 373 600</w:t>
            </w:r>
          </w:p>
        </w:tc>
        <w:tc>
          <w:tcPr>
            <w:tcW w:w="1239" w:type="dxa"/>
            <w:tcBorders>
              <w:top w:val="dotted" w:sz="4" w:space="0" w:color="auto"/>
              <w:bottom w:val="dotted" w:sz="4" w:space="0" w:color="auto"/>
            </w:tcBorders>
            <w:shd w:val="clear" w:color="auto" w:fill="auto"/>
          </w:tcPr>
          <w:p>
            <w:pPr>
              <w:keepNext/>
              <w:keepLines/>
              <w:jc w:val="right"/>
              <w:rPr>
                <w:noProof/>
              </w:rPr>
            </w:pPr>
            <w:r>
              <w:rPr>
                <w:i/>
                <w:noProof/>
                <w:sz w:val="20"/>
              </w:rPr>
              <w:t>11 545 341</w:t>
            </w:r>
          </w:p>
        </w:tc>
        <w:tc>
          <w:tcPr>
            <w:tcW w:w="1385" w:type="dxa"/>
            <w:tcBorders>
              <w:top w:val="dotted" w:sz="4" w:space="0" w:color="auto"/>
              <w:bottom w:val="dotted" w:sz="4" w:space="0" w:color="auto"/>
            </w:tcBorders>
            <w:shd w:val="clear" w:color="auto" w:fill="auto"/>
            <w:vAlign w:val="center"/>
          </w:tcPr>
          <w:p>
            <w:pPr>
              <w:keepNext/>
              <w:keepLines/>
              <w:jc w:val="right"/>
              <w:rPr>
                <w:b/>
                <w:bCs/>
                <w:i/>
                <w:iCs/>
                <w:noProof/>
                <w:sz w:val="18"/>
                <w:szCs w:val="18"/>
              </w:rPr>
            </w:pPr>
            <w:r>
              <w:rPr>
                <w:b/>
                <w:i/>
                <w:noProof/>
                <w:sz w:val="20"/>
              </w:rPr>
              <w:t>16 918 941</w:t>
            </w:r>
          </w:p>
        </w:tc>
        <w:tc>
          <w:tcPr>
            <w:tcW w:w="1165" w:type="dxa"/>
            <w:tcBorders>
              <w:top w:val="dotted" w:sz="4" w:space="0" w:color="auto"/>
              <w:bottom w:val="dotted" w:sz="4" w:space="0" w:color="auto"/>
            </w:tcBorders>
          </w:tcPr>
          <w:p>
            <w:pPr>
              <w:keepNext/>
              <w:keepLines/>
              <w:jc w:val="right"/>
              <w:rPr>
                <w:b/>
                <w:bCs/>
                <w:i/>
                <w:iCs/>
                <w:noProof/>
                <w:sz w:val="18"/>
                <w:szCs w:val="18"/>
              </w:rPr>
            </w:pPr>
            <w:r>
              <w:rPr>
                <w:b/>
                <w:i/>
                <w:noProof/>
                <w:sz w:val="18"/>
              </w:rPr>
              <w:t>0</w:t>
            </w:r>
          </w:p>
        </w:tc>
      </w:tr>
      <w:tr>
        <w:trPr>
          <w:gridAfter w:val="1"/>
          <w:wAfter w:w="26" w:type="dxa"/>
          <w:jc w:val="center"/>
        </w:trPr>
        <w:tc>
          <w:tcPr>
            <w:tcW w:w="1248" w:type="dxa"/>
            <w:tcBorders>
              <w:top w:val="dotted" w:sz="4" w:space="0" w:color="auto"/>
              <w:bottom w:val="single" w:sz="4" w:space="0" w:color="auto"/>
            </w:tcBorders>
            <w:shd w:val="clear" w:color="auto" w:fill="EEECE1"/>
            <w:vAlign w:val="center"/>
          </w:tcPr>
          <w:p>
            <w:pPr>
              <w:keepNext/>
              <w:keepLines/>
              <w:spacing w:before="40" w:after="40"/>
              <w:jc w:val="left"/>
              <w:rPr>
                <w:noProof/>
                <w:snapToGrid w:val="0"/>
                <w:sz w:val="18"/>
                <w:szCs w:val="18"/>
              </w:rPr>
            </w:pPr>
            <w:r>
              <w:rPr>
                <w:noProof/>
                <w:snapToGrid w:val="0"/>
                <w:sz w:val="18"/>
              </w:rPr>
              <w:t>ПОЛША</w:t>
            </w:r>
          </w:p>
        </w:tc>
        <w:tc>
          <w:tcPr>
            <w:tcW w:w="1329" w:type="dxa"/>
            <w:tcBorders>
              <w:top w:val="dotted" w:sz="4" w:space="0" w:color="auto"/>
              <w:bottom w:val="single" w:sz="4" w:space="0" w:color="auto"/>
            </w:tcBorders>
          </w:tcPr>
          <w:p>
            <w:pPr>
              <w:keepNext/>
              <w:keepLines/>
              <w:spacing w:before="0" w:after="0"/>
              <w:jc w:val="center"/>
              <w:rPr>
                <w:i/>
                <w:iCs/>
                <w:noProof/>
                <w:sz w:val="18"/>
                <w:szCs w:val="18"/>
              </w:rPr>
            </w:pPr>
            <w:r>
              <w:rPr>
                <w:i/>
                <w:noProof/>
                <w:sz w:val="18"/>
              </w:rPr>
              <w:t>Регионално</w:t>
            </w:r>
          </w:p>
          <w:p>
            <w:pPr>
              <w:keepNext/>
              <w:keepLines/>
              <w:spacing w:before="0" w:after="0"/>
              <w:jc w:val="center"/>
              <w:rPr>
                <w:i/>
                <w:iCs/>
                <w:noProof/>
                <w:sz w:val="18"/>
                <w:szCs w:val="18"/>
              </w:rPr>
            </w:pPr>
            <w:r>
              <w:rPr>
                <w:i/>
                <w:noProof/>
                <w:sz w:val="18"/>
              </w:rPr>
              <w:t>(член 2, параграф 4)</w:t>
            </w:r>
          </w:p>
        </w:tc>
        <w:tc>
          <w:tcPr>
            <w:tcW w:w="1320" w:type="dxa"/>
            <w:tcBorders>
              <w:top w:val="dotted" w:sz="4" w:space="0" w:color="auto"/>
              <w:bottom w:val="single" w:sz="4" w:space="0" w:color="auto"/>
            </w:tcBorders>
            <w:vAlign w:val="center"/>
          </w:tcPr>
          <w:p>
            <w:pPr>
              <w:keepNext/>
              <w:keepLines/>
              <w:jc w:val="right"/>
              <w:rPr>
                <w:i/>
                <w:iCs/>
                <w:noProof/>
                <w:sz w:val="18"/>
                <w:szCs w:val="18"/>
              </w:rPr>
            </w:pPr>
            <w:r>
              <w:rPr>
                <w:i/>
                <w:noProof/>
                <w:sz w:val="20"/>
              </w:rPr>
              <w:t>491,170</w:t>
            </w:r>
          </w:p>
        </w:tc>
        <w:tc>
          <w:tcPr>
            <w:tcW w:w="1370" w:type="dxa"/>
            <w:tcBorders>
              <w:top w:val="dotted" w:sz="4" w:space="0" w:color="auto"/>
              <w:bottom w:val="single" w:sz="4" w:space="0" w:color="auto"/>
            </w:tcBorders>
            <w:vAlign w:val="center"/>
          </w:tcPr>
          <w:p>
            <w:pPr>
              <w:keepNext/>
              <w:keepLines/>
              <w:jc w:val="right"/>
              <w:rPr>
                <w:noProof/>
              </w:rPr>
            </w:pPr>
            <w:r>
              <w:rPr>
                <w:i/>
                <w:noProof/>
                <w:sz w:val="20"/>
              </w:rPr>
              <w:t>2 501,280</w:t>
            </w:r>
          </w:p>
        </w:tc>
        <w:tc>
          <w:tcPr>
            <w:tcW w:w="1290" w:type="dxa"/>
            <w:tcBorders>
              <w:top w:val="dotted" w:sz="4" w:space="0" w:color="auto"/>
              <w:bottom w:val="single" w:sz="4" w:space="0" w:color="auto"/>
            </w:tcBorders>
            <w:vAlign w:val="center"/>
          </w:tcPr>
          <w:p>
            <w:pPr>
              <w:keepNext/>
              <w:keepLines/>
              <w:jc w:val="right"/>
              <w:rPr>
                <w:noProof/>
              </w:rPr>
            </w:pPr>
            <w:r>
              <w:rPr>
                <w:i/>
                <w:noProof/>
                <w:sz w:val="20"/>
              </w:rPr>
              <w:t>12 279 244</w:t>
            </w:r>
          </w:p>
        </w:tc>
        <w:tc>
          <w:tcPr>
            <w:tcW w:w="1239" w:type="dxa"/>
            <w:tcBorders>
              <w:top w:val="dotted" w:sz="4" w:space="0" w:color="auto"/>
              <w:bottom w:val="single" w:sz="4" w:space="0" w:color="auto"/>
            </w:tcBorders>
            <w:shd w:val="clear" w:color="auto" w:fill="auto"/>
          </w:tcPr>
          <w:p>
            <w:pPr>
              <w:keepNext/>
              <w:keepLines/>
              <w:jc w:val="right"/>
              <w:rPr>
                <w:noProof/>
              </w:rPr>
            </w:pPr>
            <w:r>
              <w:rPr>
                <w:i/>
                <w:noProof/>
                <w:sz w:val="18"/>
              </w:rPr>
              <w:t>-</w:t>
            </w:r>
          </w:p>
        </w:tc>
        <w:tc>
          <w:tcPr>
            <w:tcW w:w="1385" w:type="dxa"/>
            <w:tcBorders>
              <w:top w:val="dotted" w:sz="4" w:space="0" w:color="auto"/>
              <w:bottom w:val="single" w:sz="4" w:space="0" w:color="auto"/>
            </w:tcBorders>
            <w:shd w:val="clear" w:color="auto" w:fill="auto"/>
            <w:vAlign w:val="center"/>
          </w:tcPr>
          <w:p>
            <w:pPr>
              <w:keepNext/>
              <w:keepLines/>
              <w:jc w:val="right"/>
              <w:rPr>
                <w:b/>
                <w:bCs/>
                <w:i/>
                <w:iCs/>
                <w:noProof/>
                <w:sz w:val="18"/>
                <w:szCs w:val="18"/>
              </w:rPr>
            </w:pPr>
            <w:r>
              <w:rPr>
                <w:b/>
                <w:i/>
                <w:noProof/>
                <w:sz w:val="20"/>
              </w:rPr>
              <w:t>12 279 244</w:t>
            </w:r>
          </w:p>
        </w:tc>
        <w:tc>
          <w:tcPr>
            <w:tcW w:w="1165" w:type="dxa"/>
            <w:tcBorders>
              <w:top w:val="dotted" w:sz="4" w:space="0" w:color="auto"/>
              <w:bottom w:val="single" w:sz="4" w:space="0" w:color="auto"/>
            </w:tcBorders>
          </w:tcPr>
          <w:p>
            <w:pPr>
              <w:keepNext/>
              <w:keepLines/>
              <w:jc w:val="right"/>
              <w:rPr>
                <w:b/>
                <w:bCs/>
                <w:i/>
                <w:iCs/>
                <w:noProof/>
                <w:sz w:val="18"/>
                <w:szCs w:val="18"/>
              </w:rPr>
            </w:pPr>
            <w:r>
              <w:rPr>
                <w:b/>
                <w:i/>
                <w:noProof/>
                <w:sz w:val="18"/>
              </w:rPr>
              <w:t>0</w:t>
            </w:r>
          </w:p>
        </w:tc>
      </w:tr>
      <w:tr>
        <w:trPr>
          <w:jc w:val="center"/>
        </w:trPr>
        <w:tc>
          <w:tcPr>
            <w:tcW w:w="1248" w:type="dxa"/>
            <w:tcBorders>
              <w:top w:val="single" w:sz="4" w:space="0" w:color="auto"/>
              <w:bottom w:val="single" w:sz="4" w:space="0" w:color="auto"/>
            </w:tcBorders>
            <w:shd w:val="clear" w:color="auto" w:fill="EEECE1"/>
          </w:tcPr>
          <w:p>
            <w:pPr>
              <w:keepNext/>
              <w:keepLines/>
              <w:jc w:val="left"/>
              <w:rPr>
                <w:b/>
                <w:noProof/>
                <w:snapToGrid w:val="0"/>
                <w:sz w:val="18"/>
                <w:szCs w:val="18"/>
              </w:rPr>
            </w:pPr>
          </w:p>
        </w:tc>
        <w:tc>
          <w:tcPr>
            <w:tcW w:w="6548" w:type="dxa"/>
            <w:gridSpan w:val="5"/>
            <w:tcBorders>
              <w:top w:val="single" w:sz="4" w:space="0" w:color="auto"/>
              <w:bottom w:val="single" w:sz="4" w:space="0" w:color="auto"/>
            </w:tcBorders>
            <w:shd w:val="clear" w:color="auto" w:fill="EEECE1"/>
            <w:vAlign w:val="center"/>
          </w:tcPr>
          <w:p>
            <w:pPr>
              <w:keepNext/>
              <w:keepLines/>
              <w:jc w:val="left"/>
              <w:rPr>
                <w:i/>
                <w:iCs/>
                <w:noProof/>
                <w:sz w:val="18"/>
                <w:szCs w:val="18"/>
                <w:highlight w:val="yellow"/>
              </w:rPr>
            </w:pPr>
            <w:r>
              <w:rPr>
                <w:b/>
                <w:noProof/>
                <w:snapToGrid w:val="0"/>
                <w:sz w:val="18"/>
              </w:rPr>
              <w:t>ОБЩО</w:t>
            </w:r>
          </w:p>
        </w:tc>
        <w:tc>
          <w:tcPr>
            <w:tcW w:w="1385" w:type="dxa"/>
            <w:tcBorders>
              <w:top w:val="single" w:sz="4" w:space="0" w:color="auto"/>
              <w:bottom w:val="single" w:sz="4" w:space="0" w:color="auto"/>
            </w:tcBorders>
            <w:vAlign w:val="center"/>
          </w:tcPr>
          <w:p>
            <w:pPr>
              <w:keepNext/>
              <w:keepLines/>
              <w:jc w:val="right"/>
              <w:rPr>
                <w:b/>
                <w:bCs/>
                <w:i/>
                <w:iCs/>
                <w:noProof/>
                <w:sz w:val="18"/>
                <w:szCs w:val="18"/>
              </w:rPr>
            </w:pPr>
            <w:r>
              <w:rPr>
                <w:b/>
                <w:i/>
                <w:noProof/>
                <w:sz w:val="20"/>
              </w:rPr>
              <w:t>33 992 206</w:t>
            </w:r>
          </w:p>
        </w:tc>
        <w:tc>
          <w:tcPr>
            <w:tcW w:w="1191" w:type="dxa"/>
            <w:gridSpan w:val="2"/>
            <w:tcBorders>
              <w:top w:val="single" w:sz="4" w:space="0" w:color="auto"/>
              <w:bottom w:val="single" w:sz="4" w:space="0" w:color="auto"/>
            </w:tcBorders>
          </w:tcPr>
          <w:p>
            <w:pPr>
              <w:keepNext/>
              <w:keepLines/>
              <w:jc w:val="right"/>
              <w:rPr>
                <w:b/>
                <w:bCs/>
                <w:i/>
                <w:iCs/>
                <w:noProof/>
                <w:sz w:val="18"/>
                <w:szCs w:val="18"/>
              </w:rPr>
            </w:pPr>
            <w:r>
              <w:rPr>
                <w:b/>
                <w:i/>
                <w:noProof/>
                <w:sz w:val="18"/>
              </w:rPr>
              <w:t>0</w:t>
            </w:r>
          </w:p>
        </w:tc>
      </w:tr>
    </w:tbl>
    <w:p>
      <w:pPr>
        <w:rPr>
          <w:rFonts w:eastAsia="Times New Roman"/>
          <w:noProof/>
          <w:szCs w:val="24"/>
        </w:rPr>
      </w:pPr>
      <w:r>
        <w:rPr>
          <w:noProof/>
        </w:rPr>
        <w:t>В съответствие с член 10, параграф 1 от Регламента за МФР общата налична сума за мобилизиране на средства от ФСЕС в началото на 2018 г. бе 421 142 057 EUR. Тя представлява сборът от останалите средства за 2018 г. в размер на 280 371 754 EUR (т.е. 574 342 834 EUR минус 293 971 080 EUR, които вече бяха мобилизирани през 2017 г.</w:t>
      </w:r>
      <w:r>
        <w:rPr>
          <w:rStyle w:val="FootnoteReference"/>
          <w:noProof/>
        </w:rPr>
        <w:footnoteReference w:id="8"/>
      </w:r>
      <w:r>
        <w:rPr>
          <w:noProof/>
        </w:rPr>
        <w:t>) и останалите средства за 2017 г. в размер на 140 770 303 EUR, които останаха неизразходени и бяха пренесени за 2018 г.</w:t>
      </w:r>
    </w:p>
    <w:p>
      <w:pPr>
        <w:rPr>
          <w:rFonts w:eastAsia="Times New Roman"/>
          <w:noProof/>
          <w:szCs w:val="24"/>
        </w:rPr>
      </w:pPr>
      <w:r>
        <w:rPr>
          <w:noProof/>
        </w:rPr>
        <w:t>Сумата, която може да бъде мобилизирана на този етап за 2018 г., е 173 389 397 EUR. Тя съответства на общата сума, налична за мобилизиране на средства от ФСЕС в началото на 2018 г. (421 142 057 EUR), от която са извадени заделените средства в размер на 143 585 709 EUR за спазване на задължението за заделяне на 25 % от годишните отпуснати средства за 2018 г. до 1 октомври 2018 г., както е предвидено в член 10, параграф 1 от Регламента за МФР, както и 104 166 951 EUR, мобилизирани за Гърция, Испания, Франция и Португалия по-рано през тази година</w:t>
      </w:r>
      <w:r>
        <w:rPr>
          <w:rStyle w:val="FootnoteReference"/>
          <w:noProof/>
        </w:rPr>
        <w:footnoteReference w:id="9"/>
      </w:r>
      <w:r>
        <w:rPr>
          <w:noProof/>
        </w:rPr>
        <w:t>.</w:t>
      </w: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keepNext/>
              <w:jc w:val="center"/>
              <w:rPr>
                <w:b/>
                <w:noProof/>
                <w:sz w:val="16"/>
                <w:szCs w:val="16"/>
              </w:rPr>
            </w:pPr>
            <w:r>
              <w:rPr>
                <w:b/>
                <w:noProof/>
                <w:sz w:val="20"/>
              </w:rPr>
              <w:lastRenderedPageBreak/>
              <w:t>Обобщаваща таблица за финансирането от ФСЕС</w:t>
            </w:r>
          </w:p>
        </w:tc>
        <w:tc>
          <w:tcPr>
            <w:tcW w:w="1800" w:type="dxa"/>
            <w:shd w:val="clear" w:color="auto" w:fill="D9D9D9" w:themeFill="background1" w:themeFillShade="D9"/>
            <w:vAlign w:val="center"/>
          </w:tcPr>
          <w:p>
            <w:pPr>
              <w:keepNext/>
              <w:jc w:val="center"/>
              <w:rPr>
                <w:b/>
                <w:noProof/>
                <w:sz w:val="16"/>
                <w:szCs w:val="16"/>
              </w:rPr>
            </w:pPr>
            <w:r>
              <w:rPr>
                <w:b/>
                <w:noProof/>
                <w:sz w:val="16"/>
              </w:rPr>
              <w:t>Размер</w:t>
            </w:r>
          </w:p>
          <w:p>
            <w:pPr>
              <w:keepNext/>
              <w:jc w:val="center"/>
              <w:rPr>
                <w:noProof/>
                <w:sz w:val="16"/>
                <w:szCs w:val="16"/>
              </w:rPr>
            </w:pPr>
            <w:r>
              <w:rPr>
                <w:b/>
                <w:noProof/>
                <w:sz w:val="16"/>
              </w:rPr>
              <w:t>EUR</w:t>
            </w:r>
          </w:p>
        </w:tc>
      </w:tr>
      <w:tr>
        <w:trPr>
          <w:jc w:val="center"/>
        </w:trPr>
        <w:tc>
          <w:tcPr>
            <w:tcW w:w="6360" w:type="dxa"/>
          </w:tcPr>
          <w:p>
            <w:pPr>
              <w:keepNext/>
              <w:rPr>
                <w:noProof/>
                <w:sz w:val="16"/>
                <w:szCs w:val="16"/>
              </w:rPr>
            </w:pPr>
            <w:r>
              <w:rPr>
                <w:noProof/>
                <w:sz w:val="16"/>
              </w:rPr>
              <w:t>Средства за 2017 г., пренесени за 2018 г.</w:t>
            </w:r>
          </w:p>
        </w:tc>
        <w:tc>
          <w:tcPr>
            <w:tcW w:w="1800" w:type="dxa"/>
          </w:tcPr>
          <w:p>
            <w:pPr>
              <w:keepNext/>
              <w:jc w:val="right"/>
              <w:rPr>
                <w:noProof/>
                <w:sz w:val="16"/>
                <w:szCs w:val="16"/>
              </w:rPr>
            </w:pPr>
            <w:r>
              <w:rPr>
                <w:noProof/>
                <w:sz w:val="16"/>
              </w:rPr>
              <w:t>140 770 303</w:t>
            </w:r>
          </w:p>
        </w:tc>
      </w:tr>
      <w:tr>
        <w:trPr>
          <w:jc w:val="center"/>
        </w:trPr>
        <w:tc>
          <w:tcPr>
            <w:tcW w:w="6360" w:type="dxa"/>
          </w:tcPr>
          <w:p>
            <w:pPr>
              <w:keepNext/>
              <w:rPr>
                <w:noProof/>
                <w:sz w:val="16"/>
                <w:szCs w:val="16"/>
              </w:rPr>
            </w:pPr>
            <w:r>
              <w:rPr>
                <w:noProof/>
                <w:sz w:val="16"/>
              </w:rPr>
              <w:t>Средства за 2018 г.</w:t>
            </w:r>
          </w:p>
        </w:tc>
        <w:tc>
          <w:tcPr>
            <w:tcW w:w="1800" w:type="dxa"/>
          </w:tcPr>
          <w:p>
            <w:pPr>
              <w:keepNext/>
              <w:spacing w:after="0"/>
              <w:jc w:val="right"/>
              <w:rPr>
                <w:noProof/>
                <w:sz w:val="16"/>
                <w:szCs w:val="16"/>
              </w:rPr>
            </w:pPr>
            <w:r>
              <w:rPr>
                <w:noProof/>
                <w:sz w:val="16"/>
              </w:rPr>
              <w:t>574 342 834</w:t>
            </w:r>
          </w:p>
        </w:tc>
      </w:tr>
      <w:tr>
        <w:trPr>
          <w:jc w:val="center"/>
        </w:trPr>
        <w:tc>
          <w:tcPr>
            <w:tcW w:w="6360" w:type="dxa"/>
          </w:tcPr>
          <w:p>
            <w:pPr>
              <w:keepNext/>
              <w:rPr>
                <w:noProof/>
                <w:sz w:val="16"/>
                <w:szCs w:val="16"/>
              </w:rPr>
            </w:pPr>
            <w:r>
              <w:rPr>
                <w:noProof/>
                <w:sz w:val="16"/>
              </w:rPr>
              <w:t>Средства за 2018 г., отпуснати предварително през 2017 г. в съответствие с член 10, параграф 2 от Регламента за МФР</w:t>
            </w:r>
          </w:p>
        </w:tc>
        <w:tc>
          <w:tcPr>
            <w:tcW w:w="1800" w:type="dxa"/>
          </w:tcPr>
          <w:p>
            <w:pPr>
              <w:keepNext/>
              <w:spacing w:after="0"/>
              <w:jc w:val="right"/>
              <w:rPr>
                <w:noProof/>
                <w:sz w:val="16"/>
                <w:szCs w:val="16"/>
              </w:rPr>
            </w:pPr>
            <w:r>
              <w:rPr>
                <w:noProof/>
                <w:sz w:val="16"/>
              </w:rPr>
              <w:t>-293 971 080</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Общо налични средства в началото на 2018 г.</w:t>
            </w:r>
          </w:p>
        </w:tc>
        <w:tc>
          <w:tcPr>
            <w:tcW w:w="1800" w:type="dxa"/>
          </w:tcPr>
          <w:p>
            <w:pPr>
              <w:keepNext/>
              <w:jc w:val="right"/>
              <w:rPr>
                <w:b/>
                <w:noProof/>
                <w:sz w:val="16"/>
                <w:szCs w:val="16"/>
              </w:rPr>
            </w:pPr>
            <w:r>
              <w:rPr>
                <w:b/>
                <w:noProof/>
                <w:sz w:val="16"/>
              </w:rPr>
              <w:t>421 142 057</w:t>
            </w:r>
          </w:p>
        </w:tc>
      </w:tr>
      <w:tr>
        <w:trPr>
          <w:jc w:val="center"/>
        </w:trPr>
        <w:tc>
          <w:tcPr>
            <w:tcW w:w="6360" w:type="dxa"/>
          </w:tcPr>
          <w:p>
            <w:pPr>
              <w:keepNext/>
              <w:rPr>
                <w:noProof/>
                <w:sz w:val="16"/>
                <w:szCs w:val="16"/>
              </w:rPr>
            </w:pPr>
            <w:r>
              <w:rPr>
                <w:noProof/>
                <w:sz w:val="16"/>
              </w:rPr>
              <w:t>Минус вече мобилизирани през 2018 г. средства за Гърция, Испания, Франция и Португалия</w:t>
            </w:r>
          </w:p>
        </w:tc>
        <w:tc>
          <w:tcPr>
            <w:tcW w:w="1800" w:type="dxa"/>
          </w:tcPr>
          <w:p>
            <w:pPr>
              <w:keepNext/>
              <w:jc w:val="right"/>
              <w:rPr>
                <w:noProof/>
                <w:sz w:val="16"/>
                <w:szCs w:val="16"/>
              </w:rPr>
            </w:pPr>
            <w:r>
              <w:rPr>
                <w:noProof/>
                <w:sz w:val="16"/>
              </w:rPr>
              <w:t>-104 166 951</w:t>
            </w:r>
          </w:p>
        </w:tc>
      </w:tr>
      <w:tr>
        <w:trPr>
          <w:jc w:val="center"/>
        </w:trPr>
        <w:tc>
          <w:tcPr>
            <w:tcW w:w="6360" w:type="dxa"/>
          </w:tcPr>
          <w:p>
            <w:pPr>
              <w:keepNext/>
              <w:rPr>
                <w:noProof/>
                <w:sz w:val="16"/>
                <w:szCs w:val="16"/>
              </w:rPr>
            </w:pPr>
            <w:r>
              <w:rPr>
                <w:noProof/>
                <w:sz w:val="16"/>
              </w:rPr>
              <w:t>Минус 25 %, заделени от средствата за 2018 г.</w:t>
            </w:r>
          </w:p>
        </w:tc>
        <w:tc>
          <w:tcPr>
            <w:tcW w:w="1800" w:type="dxa"/>
          </w:tcPr>
          <w:p>
            <w:pPr>
              <w:keepNext/>
              <w:spacing w:after="0"/>
              <w:jc w:val="right"/>
              <w:rPr>
                <w:noProof/>
                <w:sz w:val="16"/>
                <w:szCs w:val="16"/>
              </w:rPr>
            </w:pPr>
            <w:r>
              <w:rPr>
                <w:noProof/>
                <w:sz w:val="16"/>
              </w:rPr>
              <w:t>-143 585 709</w:t>
            </w:r>
          </w:p>
          <w:p>
            <w:pPr>
              <w:keepNext/>
              <w:spacing w:before="0" w:after="0"/>
              <w:jc w:val="right"/>
              <w:rPr>
                <w:noProof/>
                <w:sz w:val="16"/>
                <w:szCs w:val="16"/>
              </w:rPr>
            </w:pPr>
            <w:r>
              <w:rPr>
                <w:noProof/>
                <w:sz w:val="16"/>
              </w:rPr>
              <w:t>----------------</w:t>
            </w:r>
          </w:p>
        </w:tc>
      </w:tr>
      <w:tr>
        <w:trPr>
          <w:jc w:val="center"/>
        </w:trPr>
        <w:tc>
          <w:tcPr>
            <w:tcW w:w="6360" w:type="dxa"/>
          </w:tcPr>
          <w:p>
            <w:pPr>
              <w:keepNext/>
              <w:rPr>
                <w:b/>
                <w:noProof/>
                <w:sz w:val="16"/>
                <w:szCs w:val="16"/>
              </w:rPr>
            </w:pPr>
            <w:r>
              <w:rPr>
                <w:b/>
                <w:noProof/>
                <w:sz w:val="16"/>
              </w:rPr>
              <w:t>Максимален размер на наличните към момента средства (2017+2018 г.)</w:t>
            </w:r>
          </w:p>
        </w:tc>
        <w:tc>
          <w:tcPr>
            <w:tcW w:w="1800" w:type="dxa"/>
          </w:tcPr>
          <w:p>
            <w:pPr>
              <w:keepNext/>
              <w:jc w:val="right"/>
              <w:rPr>
                <w:b/>
                <w:noProof/>
                <w:sz w:val="16"/>
                <w:szCs w:val="16"/>
              </w:rPr>
            </w:pPr>
            <w:r>
              <w:rPr>
                <w:b/>
                <w:noProof/>
                <w:sz w:val="16"/>
              </w:rPr>
              <w:t>173 389 397</w:t>
            </w:r>
          </w:p>
        </w:tc>
      </w:tr>
      <w:tr>
        <w:trPr>
          <w:jc w:val="center"/>
        </w:trPr>
        <w:tc>
          <w:tcPr>
            <w:tcW w:w="6360" w:type="dxa"/>
          </w:tcPr>
          <w:p>
            <w:pPr>
              <w:keepNext/>
              <w:rPr>
                <w:bCs/>
                <w:noProof/>
                <w:sz w:val="16"/>
                <w:szCs w:val="16"/>
              </w:rPr>
            </w:pPr>
            <w:r>
              <w:rPr>
                <w:noProof/>
                <w:sz w:val="16"/>
              </w:rPr>
              <w:t>Общ размер на предложената помощ за мобилизиране на средства за България, Гърция, Литва и Полша</w:t>
            </w:r>
          </w:p>
        </w:tc>
        <w:tc>
          <w:tcPr>
            <w:tcW w:w="1800" w:type="dxa"/>
          </w:tcPr>
          <w:p>
            <w:pPr>
              <w:keepNext/>
              <w:jc w:val="right"/>
              <w:rPr>
                <w:bCs/>
                <w:noProof/>
                <w:sz w:val="16"/>
                <w:szCs w:val="16"/>
                <w:u w:val="single"/>
              </w:rPr>
            </w:pPr>
            <w:r>
              <w:rPr>
                <w:noProof/>
                <w:sz w:val="16"/>
                <w:u w:val="single"/>
              </w:rPr>
              <w:t>- 33 992 206</w:t>
            </w:r>
          </w:p>
        </w:tc>
      </w:tr>
      <w:tr>
        <w:trPr>
          <w:jc w:val="center"/>
        </w:trPr>
        <w:tc>
          <w:tcPr>
            <w:tcW w:w="6360" w:type="dxa"/>
          </w:tcPr>
          <w:p>
            <w:pPr>
              <w:keepNext/>
              <w:rPr>
                <w:b/>
                <w:noProof/>
                <w:sz w:val="16"/>
                <w:szCs w:val="16"/>
              </w:rPr>
            </w:pPr>
            <w:r>
              <w:rPr>
                <w:b/>
                <w:noProof/>
                <w:sz w:val="16"/>
              </w:rPr>
              <w:t>Оставащи налични средства до 1 октомври 2018 г.</w:t>
            </w:r>
          </w:p>
        </w:tc>
        <w:tc>
          <w:tcPr>
            <w:tcW w:w="1800" w:type="dxa"/>
          </w:tcPr>
          <w:p>
            <w:pPr>
              <w:keepNext/>
              <w:jc w:val="right"/>
              <w:rPr>
                <w:b/>
                <w:noProof/>
                <w:sz w:val="16"/>
                <w:szCs w:val="16"/>
              </w:rPr>
            </w:pPr>
            <w:r>
              <w:rPr>
                <w:b/>
                <w:noProof/>
                <w:sz w:val="16"/>
              </w:rPr>
              <w:t>139 397 191</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фонд „Солидарност“ на Европейския съюз за оказване на помощ на България, Гърция, Литва и Полша</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10"/>
      </w:r>
      <w:r>
        <w:rPr>
          <w:noProof/>
        </w:rPr>
        <w:t>,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1"/>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ManualConsidrant"/>
        <w:rPr>
          <w:noProof/>
        </w:rPr>
      </w:pPr>
      <w:r>
        <w:rPr>
          <w:noProof/>
        </w:rPr>
        <w:t>(1)</w:t>
      </w:r>
      <w:r>
        <w:rPr>
          <w:noProof/>
        </w:rPr>
        <w:tab/>
        <w:t>Фонд „Солидарност“ на Европейския съюз (наричан по-долу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w:t>
      </w:r>
    </w:p>
    <w:p>
      <w:pPr>
        <w:pStyle w:val="ManualConsidrant"/>
        <w:rPr>
          <w:noProof/>
        </w:rPr>
      </w:pPr>
      <w:r>
        <w:rPr>
          <w:noProof/>
        </w:rPr>
        <w:t>(2)</w:t>
      </w:r>
      <w:r>
        <w:rPr>
          <w:noProof/>
        </w:rPr>
        <w:tab/>
        <w:t>Съгласно член 10 от Регламент (ЕС, Евратом) № 1311/2013 на Съвета</w:t>
      </w:r>
      <w:r>
        <w:rPr>
          <w:rStyle w:val="FootnoteReference"/>
          <w:noProof/>
        </w:rPr>
        <w:footnoteReference w:id="12"/>
      </w:r>
      <w:r>
        <w:rPr>
          <w:noProof/>
        </w:rPr>
        <w:t xml:space="preserve"> максималната годишна сума, която Фондът не трябва да надхвърля, е 500 000 000 EUR (по цени от 2011 г.).</w:t>
      </w:r>
    </w:p>
    <w:p>
      <w:pPr>
        <w:pStyle w:val="ManualConsidrant"/>
        <w:rPr>
          <w:noProof/>
        </w:rPr>
      </w:pPr>
      <w:r>
        <w:rPr>
          <w:noProof/>
        </w:rPr>
        <w:t>(3)</w:t>
      </w:r>
      <w:r>
        <w:rPr>
          <w:noProof/>
        </w:rPr>
        <w:tab/>
        <w:t>На 11 януари 2018 г. България подаде заявление за мобилизиране на средства от Фонда след наводнения, причинени от интензивните валежи и силните бури на 25 и 26 октомври 2017 г.</w:t>
      </w:r>
    </w:p>
    <w:p>
      <w:pPr>
        <w:pStyle w:val="ManualConsidrant"/>
        <w:rPr>
          <w:noProof/>
        </w:rPr>
      </w:pPr>
      <w:r>
        <w:rPr>
          <w:noProof/>
        </w:rPr>
        <w:t>(4)</w:t>
      </w:r>
      <w:r>
        <w:rPr>
          <w:noProof/>
        </w:rPr>
        <w:tab/>
        <w:t>На 11 октомври 2017 г. Гърция подаде заявление за мобилизиране на средства от Фонда след земетресение, засегнало Южноегейския регион и остров Кос на 20 юли 2017 г.</w:t>
      </w:r>
    </w:p>
    <w:p>
      <w:pPr>
        <w:pStyle w:val="ManualConsidrant"/>
        <w:rPr>
          <w:noProof/>
        </w:rPr>
      </w:pPr>
      <w:r>
        <w:rPr>
          <w:noProof/>
        </w:rPr>
        <w:t>(5)</w:t>
      </w:r>
      <w:r>
        <w:rPr>
          <w:noProof/>
        </w:rPr>
        <w:tab/>
        <w:t>На 22 декември 2017 г. Литва подаде заявление за мобилизиране на средства от Фонда след наводнения, причинени от постоянни валежи през лятото и есента на 2017 г.</w:t>
      </w:r>
    </w:p>
    <w:p>
      <w:pPr>
        <w:pStyle w:val="ManualConsidrant"/>
        <w:rPr>
          <w:noProof/>
          <w:sz w:val="22"/>
        </w:rPr>
      </w:pPr>
      <w:r>
        <w:rPr>
          <w:noProof/>
        </w:rPr>
        <w:t>(6)</w:t>
      </w:r>
      <w:r>
        <w:rPr>
          <w:noProof/>
        </w:rPr>
        <w:tab/>
        <w:t>На 25 октомври 2017 г. Полша подаде своето заявление за отпускане на средства от Фонда след изключително силните бури и проливни дъждове между 9 и 12 август 2017 г.</w:t>
      </w:r>
    </w:p>
    <w:p>
      <w:pPr>
        <w:pStyle w:val="ManualConsidrant"/>
        <w:rPr>
          <w:noProof/>
          <w:sz w:val="22"/>
        </w:rPr>
      </w:pPr>
      <w:r>
        <w:rPr>
          <w:noProof/>
        </w:rPr>
        <w:lastRenderedPageBreak/>
        <w:t>(7)</w:t>
      </w:r>
      <w:r>
        <w:rPr>
          <w:noProof/>
        </w:rPr>
        <w:tab/>
        <w:t>Заявленията, подадени от България, Гърция, Литва и Полша, отговарят на условията за предоставяне на финансови средства от Фонда, определени в член 4 от Регламент (ЕО) № 2012/2002.</w:t>
      </w:r>
    </w:p>
    <w:p>
      <w:pPr>
        <w:pStyle w:val="ManualConsidrant"/>
        <w:rPr>
          <w:noProof/>
        </w:rPr>
      </w:pPr>
      <w:r>
        <w:rPr>
          <w:noProof/>
        </w:rPr>
        <w:t>(8)</w:t>
      </w:r>
      <w:r>
        <w:rPr>
          <w:noProof/>
        </w:rPr>
        <w:tab/>
        <w:t>Поради това следва да бъдат мобилизирани средства от Фонда, за да се предостави финансова помощ на България, Гърция, Литва и Полша.</w:t>
      </w:r>
    </w:p>
    <w:p>
      <w:pPr>
        <w:pStyle w:val="ManualConsidrant"/>
        <w:rPr>
          <w:noProof/>
          <w:sz w:val="22"/>
        </w:rPr>
      </w:pPr>
      <w:r>
        <w:rPr>
          <w:noProof/>
        </w:rPr>
        <w:t>(9)</w:t>
      </w:r>
      <w:r>
        <w:rPr>
          <w:noProof/>
        </w:rPr>
        <w:tab/>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spacing w:before="0" w:after="0"/>
        <w:rPr>
          <w:noProof/>
        </w:rPr>
      </w:pPr>
      <w:r>
        <w:rPr>
          <w:noProof/>
        </w:rPr>
        <w:t>В рамките на общия бюджет на Съюза за 2018 финансова година от фонд „Солидарност“ на Европейския съюз се мобилизират средства в размер на 2 258 225 EUR за предоставяне на България, 2 535 796 EUR за предоставяне на Гърция, 16 918 941 EUR за предоставяне на Литва и 12 279 244 EUR за предоставяне на Полша под формата на бюджетни кредити за поети задължения и бюджетни кредити за плащания.</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i/>
          <w:noProof/>
        </w:rPr>
      </w:pPr>
      <w:r>
        <w:rPr>
          <w:noProof/>
        </w:rPr>
        <w:t>То се прилага от [</w:t>
      </w:r>
      <w:r>
        <w:rPr>
          <w:i/>
          <w:noProof/>
        </w:rPr>
        <w:t>датата на приемането му</w:t>
      </w:r>
      <w:r>
        <w:rPr>
          <w:noProof/>
        </w:rPr>
        <w:t>]</w:t>
      </w:r>
      <w:r>
        <w:rPr>
          <w:noProof/>
        </w:rPr>
        <w:sym w:font="Symbol" w:char="F02A"/>
      </w:r>
      <w:r>
        <w:rPr>
          <w:noProof/>
        </w:rPr>
        <w:sym w:font="Symbol" w:char="F02A"/>
      </w:r>
      <w:r>
        <w:rPr>
          <w:i/>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311, 14.11.2002 г., стр. 3.</w:t>
      </w:r>
    </w:p>
  </w:footnote>
  <w:footnote w:id="2">
    <w:p>
      <w:pPr>
        <w:pStyle w:val="FootnoteText"/>
      </w:pPr>
      <w:r>
        <w:rPr>
          <w:rStyle w:val="FootnoteReference"/>
        </w:rPr>
        <w:footnoteRef/>
      </w:r>
      <w:r>
        <w:tab/>
        <w:t>COM(2018) 361, 31.5.2018 г.</w:t>
      </w:r>
    </w:p>
  </w:footnote>
  <w:footnote w:id="3">
    <w:p>
      <w:pPr>
        <w:pStyle w:val="FootnoteText"/>
      </w:pPr>
      <w:r>
        <w:rPr>
          <w:rStyle w:val="FootnoteReference"/>
        </w:rPr>
        <w:footnoteRef/>
      </w:r>
      <w:r>
        <w:tab/>
        <w:t>BG34 = Регионален БВП за Югоизточния регион в размер на 5 327 милиона евро по данни от 2015 г.</w:t>
      </w:r>
    </w:p>
  </w:footnote>
  <w:footnote w:id="4">
    <w:p>
      <w:pPr>
        <w:pStyle w:val="FootnoteText"/>
      </w:pPr>
      <w:r>
        <w:rPr>
          <w:rStyle w:val="FootnoteReference"/>
        </w:rPr>
        <w:footnoteRef/>
      </w:r>
      <w:r>
        <w:tab/>
        <w:t>EL42 = Регионален БВП за Notio Aigaio/Южноегейски регион в размер на 6 045 милиона евро по данни от 2014 г.</w:t>
      </w:r>
    </w:p>
  </w:footnote>
  <w:footnote w:id="5">
    <w:p>
      <w:pPr>
        <w:pStyle w:val="FootnoteText"/>
      </w:pPr>
      <w:r>
        <w:rPr>
          <w:rStyle w:val="FootnoteReference"/>
        </w:rPr>
        <w:footnoteRef/>
      </w:r>
      <w:r>
        <w:tab/>
        <w:t>Среднопретегленият регионален БВП е в размер на 24,1 милиона евро по данни от 2014 г.</w:t>
      </w:r>
    </w:p>
  </w:footnote>
  <w:footnote w:id="6">
    <w:p>
      <w:pPr>
        <w:pStyle w:val="FootnoteText"/>
      </w:pPr>
      <w:r>
        <w:rPr>
          <w:rStyle w:val="FootnoteReference"/>
        </w:rPr>
        <w:footnoteRef/>
      </w:r>
      <w:r>
        <w:tab/>
        <w:t>ОВ L 347, 20.12.2013 г., стр. 884.</w:t>
      </w:r>
    </w:p>
  </w:footnote>
  <w:footnote w:id="7">
    <w:p>
      <w:pPr>
        <w:pStyle w:val="FootnoteText"/>
      </w:pPr>
      <w:r>
        <w:rPr>
          <w:rStyle w:val="FootnoteReference"/>
        </w:rPr>
        <w:footnoteRef/>
      </w:r>
      <w:r>
        <w:tab/>
        <w:t>ОВ С 373, 20.12.2013 г., стр. 1.</w:t>
      </w:r>
    </w:p>
  </w:footnote>
  <w:footnote w:id="8">
    <w:p>
      <w:pPr>
        <w:pStyle w:val="doc-ti"/>
        <w:spacing w:before="0" w:after="0"/>
        <w:ind w:left="709" w:hanging="709"/>
        <w:jc w:val="both"/>
      </w:pPr>
      <w:r>
        <w:rPr>
          <w:rStyle w:val="FootnoteReference"/>
          <w:rFonts w:eastAsiaTheme="minorHAnsi"/>
        </w:rPr>
        <w:footnoteRef/>
      </w:r>
      <w:r>
        <w:tab/>
      </w:r>
      <w:r>
        <w:rPr>
          <w:rFonts w:eastAsiaTheme="minorHAnsi"/>
          <w:b w:val="0"/>
          <w:sz w:val="20"/>
        </w:rPr>
        <w:t>Решение (ЕС) 2017/1599 на Европейския парламент и на Съвета от 13 септември 2017 г. относно мобилизирането на средства от фонд „Солидарност“ на Европейския съюз за оказване на помощ на Италия (ОВ L 245, 23.9.2017 г.) и придружаващ коригиращ бюджет № 4/2017 (ОВ L 330, 13.12.2017 г.).</w:t>
      </w:r>
    </w:p>
  </w:footnote>
  <w:footnote w:id="9">
    <w:p>
      <w:pPr>
        <w:pStyle w:val="Statut"/>
        <w:spacing w:before="0"/>
        <w:ind w:left="709" w:hanging="709"/>
        <w:jc w:val="both"/>
      </w:pPr>
      <w:r>
        <w:rPr>
          <w:rStyle w:val="FootnoteReference"/>
        </w:rPr>
        <w:footnoteRef/>
      </w:r>
      <w:r>
        <w:tab/>
      </w:r>
      <w:r>
        <w:rPr>
          <w:sz w:val="20"/>
        </w:rPr>
        <w:t>Предложение за Решение на Европейския парламент и на Съвета относно мобилизирането на средства от фонд „Солидарност“ на Европейския съюз за оказване на помощ на Гърция, Испания, Франция и Португалия (COM(2018) 150, 22.2.2018 г.) и придружаващ коригиращ бюджет № 1/2018 (COM(2018) 150, 22.2.2018 г.).</w:t>
      </w:r>
    </w:p>
  </w:footnote>
  <w:footnote w:id="10">
    <w:p>
      <w:pPr>
        <w:pStyle w:val="FootnoteText"/>
      </w:pPr>
      <w:r>
        <w:rPr>
          <w:rStyle w:val="FootnoteReference"/>
        </w:rPr>
        <w:footnoteRef/>
      </w:r>
      <w:r>
        <w:tab/>
        <w:t>ОВ L 311, 14.11.2002 г., стр. 3.</w:t>
      </w:r>
    </w:p>
  </w:footnote>
  <w:footnote w:id="11">
    <w:p>
      <w:pPr>
        <w:pStyle w:val="FootnoteText"/>
      </w:pPr>
      <w:r>
        <w:rPr>
          <w:rStyle w:val="FootnoteReference"/>
        </w:rPr>
        <w:footnoteRef/>
      </w:r>
      <w:r>
        <w:tab/>
        <w:t>ОВ С 373, 20.12.2013 г., стр. 1.</w:t>
      </w:r>
    </w:p>
  </w:footnote>
  <w:footnote w:id="12">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removePersonalInformation/>
  <w:removeDateAndTime/>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1 10:33:15"/>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780BCB1F-714B-4F10-BCD4-6D6C95DE6AD8"/>
    <w:docVar w:name="LW_COVERPAGE_TYPE" w:val="1"/>
    <w:docVar w:name="LW_CROSSREFERENCE" w:val="&lt;UNUSED&gt;"/>
    <w:docVar w:name="LW_DocType" w:val="COM"/>
    <w:docVar w:name="LW_EMISSION" w:val="31.5.2018"/>
    <w:docVar w:name="LW_EMISSION_ISODATE" w:val="2018-05-31"/>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92?\u1086?\u1085?\u1076? \u8222?\u1057?\u1086?\u1083?\u1080?\u1076?\u1072?\u1088?\u1085?\u1086?\u1089?\u1090?\u8220? \u1085?\u1072? \u1045?\u1074?\u1088?\u1086?\u1087?\u1077?\u1081?\u1089?\u1082?\u1080?\u1103? \u1089?\u1098?\u1102?\u1079? \u1079?\u1072? \u1086?\u1082?\u1072?\u1079?\u1074?\u1072?\u1085?\u1077? \u1085?\u1072? \u1087?\u1086?\u1084?\u1086?\u1097? \u1085?\u1072? \u1041?\u1098?\u1083?\u1075?\u1072?\u1088?\u1080?\u1103?, \u1043?\u1098?\u1088?\u1094?\u1080?\u1103?, \u1051?\u1080?\u1090?\u1074?\u1072? \u1080? \u1055?\u1086?\u1083?\u1096?\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BEE2-901A-4A1C-B282-2E17F36F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4321</Words>
  <Characters>23900</Characters>
  <Application>Microsoft Office Word</Application>
  <DocSecurity>0</DocSecurity>
  <Lines>519</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2018-06-20T13:39:00Z</dcterms:created>
  <dcterms:modified xsi:type="dcterms:W3CDTF">2018-06-21T08:33:00Z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