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alt="DD381EA3-5407-4175-A489-95AAA610F605" style="width:450.75pt;height:406.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spacing w:before="0" w:after="240"/>
        <w:jc w:val="center"/>
        <w:rPr>
          <w:rFonts w:eastAsia="Times New Roman"/>
          <w:b/>
          <w:bCs/>
          <w:smallCaps/>
          <w:noProof/>
          <w:color w:val="000000" w:themeColor="text1"/>
          <w:szCs w:val="24"/>
        </w:rPr>
      </w:pPr>
      <w:bookmarkStart w:id="1" w:name="_GoBack"/>
      <w:bookmarkEnd w:id="1"/>
      <w:r>
        <w:rPr>
          <w:b/>
          <w:smallCaps/>
          <w:noProof/>
          <w:color w:val="000000" w:themeColor="text1"/>
        </w:rPr>
        <w:lastRenderedPageBreak/>
        <w:t>ДОПЪЛНИТЕЛНИ МЕРКИ ЗА ПОВИШАВАНЕ НА СИГУРНОСТТА НА ПЪТНИЧЕСКИЯ ЖЕЛЕЗОПЪТЕН ТРАНСПОРТ</w:t>
      </w:r>
    </w:p>
    <w:p>
      <w:pPr>
        <w:widowControl w:val="0"/>
        <w:numPr>
          <w:ilvl w:val="0"/>
          <w:numId w:val="1"/>
        </w:numPr>
        <w:spacing w:before="0" w:after="240"/>
        <w:jc w:val="left"/>
        <w:rPr>
          <w:i/>
          <w:noProof/>
          <w:szCs w:val="24"/>
        </w:rPr>
      </w:pPr>
      <w:r>
        <w:rPr>
          <w:i/>
          <w:noProof/>
        </w:rPr>
        <w:t>Действия от страна на Европейската комисия</w:t>
      </w:r>
    </w:p>
    <w:p>
      <w:pPr>
        <w:spacing w:before="0" w:after="240"/>
        <w:rPr>
          <w:rFonts w:eastAsia="Times New Roman"/>
          <w:noProof/>
          <w:color w:val="000000" w:themeColor="text1"/>
          <w:szCs w:val="20"/>
        </w:rPr>
      </w:pPr>
      <w:r>
        <w:rPr>
          <w:noProof/>
          <w:color w:val="000000" w:themeColor="text1"/>
        </w:rPr>
        <w:t>1. До края на 2018 г. Комисията ще създаде</w:t>
      </w:r>
      <w:r>
        <w:rPr>
          <w:b/>
          <w:noProof/>
          <w:color w:val="000000" w:themeColor="text1"/>
        </w:rPr>
        <w:t xml:space="preserve"> платформа за сигурност на пътническия железопътен транспорт в ЕС</w:t>
      </w:r>
      <w:r>
        <w:rPr>
          <w:noProof/>
          <w:color w:val="000000" w:themeColor="text1"/>
        </w:rPr>
        <w:t>. Чрез тази платформа ще се събира информация от практическо значение за сигурността в железопътния транспорт и ще се предоставят на държавите членки насоки за добри практики. Тя ще прави оценка на нововъзникващите заплахи за сигурността и свързани със сигурността инциденти и ще предлага подходящи ответни действия. Платформата ще се състои от експерти от държавите членки и ще подпомага обмена на информация и експертни знания на европейско и национално равнище.</w:t>
      </w:r>
    </w:p>
    <w:p>
      <w:pPr>
        <w:spacing w:before="0" w:after="240"/>
        <w:rPr>
          <w:rFonts w:eastAsia="Times New Roman"/>
          <w:noProof/>
          <w:color w:val="000000" w:themeColor="text1"/>
          <w:szCs w:val="20"/>
        </w:rPr>
      </w:pPr>
      <w:r>
        <w:rPr>
          <w:noProof/>
          <w:color w:val="000000" w:themeColor="text1"/>
        </w:rPr>
        <w:t>2. До края на 2018 г. Комисията ще приеме</w:t>
      </w:r>
      <w:r>
        <w:rPr>
          <w:b/>
          <w:noProof/>
          <w:color w:val="000000" w:themeColor="text1"/>
        </w:rPr>
        <w:t xml:space="preserve"> обща методика за оценка на рисковете за сигурността на железопътните превози </w:t>
      </w:r>
      <w:r>
        <w:rPr>
          <w:noProof/>
          <w:color w:val="000000" w:themeColor="text1"/>
        </w:rPr>
        <w:t>на равнище ЕС и ще я актуализира редовно.</w:t>
      </w:r>
      <w:r>
        <w:rPr>
          <w:b/>
          <w:noProof/>
          <w:color w:val="000000" w:themeColor="text1"/>
        </w:rPr>
        <w:t xml:space="preserve"> </w:t>
      </w:r>
      <w:r>
        <w:rPr>
          <w:noProof/>
          <w:color w:val="000000" w:themeColor="text1"/>
        </w:rPr>
        <w:t xml:space="preserve">Доразвивайки първоначалната оценка на рисковете за сигурността в железопътния сектор, направена от експертна група на Комисията през 2017 г., Комисията ще разработи механизъм за редовно оценяване и обмен на информация относно международните железопътни превози. </w:t>
      </w:r>
    </w:p>
    <w:p>
      <w:pPr>
        <w:spacing w:before="0" w:after="240"/>
        <w:rPr>
          <w:rFonts w:eastAsia="Times New Roman"/>
          <w:noProof/>
          <w:color w:val="000000" w:themeColor="text1"/>
          <w:szCs w:val="20"/>
        </w:rPr>
      </w:pPr>
      <w:r>
        <w:rPr>
          <w:noProof/>
          <w:color w:val="000000" w:themeColor="text1"/>
        </w:rPr>
        <w:t>3. До края на 2019 г. Комисията ще приеме</w:t>
      </w:r>
      <w:r>
        <w:rPr>
          <w:b/>
          <w:noProof/>
          <w:color w:val="000000" w:themeColor="text1"/>
        </w:rPr>
        <w:t xml:space="preserve"> технически указания въз основа на работата на платформата за сигурност на пътническия железопътен транспорт в ЕС</w:t>
      </w:r>
      <w:r>
        <w:rPr>
          <w:noProof/>
          <w:color w:val="000000" w:themeColor="text1"/>
        </w:rPr>
        <w:t>. Когато е уместно, Комисията ще подпомага техническата работа на платформата с технически ръководства. Целевите области за действие са: а) информация, която да бъде предоставена на пътниците в случай на инцидент, свързан със сигурността; б) технологични и проектни решения за сигурност, адаптирани към спецификата на железопътния сектор, и в) процедури за проверка на персонала и подходящо обучение за сигурност.</w:t>
      </w:r>
    </w:p>
    <w:p>
      <w:pPr>
        <w:widowControl w:val="0"/>
        <w:numPr>
          <w:ilvl w:val="0"/>
          <w:numId w:val="1"/>
        </w:numPr>
        <w:spacing w:before="0" w:after="240"/>
        <w:jc w:val="left"/>
        <w:rPr>
          <w:i/>
          <w:noProof/>
          <w:szCs w:val="24"/>
        </w:rPr>
      </w:pPr>
      <w:r>
        <w:rPr>
          <w:i/>
          <w:noProof/>
        </w:rPr>
        <w:t>Действия на държавите членки</w:t>
      </w:r>
    </w:p>
    <w:p>
      <w:pPr>
        <w:spacing w:before="0" w:after="240"/>
        <w:rPr>
          <w:rFonts w:eastAsia="Times New Roman"/>
          <w:noProof/>
          <w:color w:val="000000" w:themeColor="text1"/>
          <w:szCs w:val="20"/>
        </w:rPr>
      </w:pPr>
      <w:r>
        <w:rPr>
          <w:noProof/>
          <w:color w:val="000000" w:themeColor="text1"/>
        </w:rPr>
        <w:t>4. Държавите членки се приканват да определят най-късно до края на 2018 г.</w:t>
      </w:r>
      <w:r>
        <w:rPr>
          <w:b/>
          <w:noProof/>
          <w:color w:val="000000" w:themeColor="text1"/>
        </w:rPr>
        <w:t xml:space="preserve"> национално звено за контакт по въпросите на сигурността на железопътните превози</w:t>
      </w:r>
      <w:r>
        <w:rPr>
          <w:noProof/>
          <w:color w:val="000000" w:themeColor="text1"/>
        </w:rPr>
        <w:t xml:space="preserve"> за всички компании, опериращи на територията на съответната държава членка. Националните звена за контакт, които ще играят официална свързваща роля по отношение на сътрудничеството между правоприлагащите органи и железопътните предприятия, управителите на гари и управителите на инфраструктура, ще помогнат да се гарантира, че мерките за сигурност ще вземат под внимание спецификата на железопътния сектор. </w:t>
      </w:r>
    </w:p>
    <w:p>
      <w:pPr>
        <w:spacing w:before="0" w:after="240"/>
        <w:rPr>
          <w:rFonts w:eastAsia="Times New Roman"/>
          <w:noProof/>
          <w:color w:val="000000" w:themeColor="text1"/>
          <w:szCs w:val="20"/>
        </w:rPr>
      </w:pPr>
      <w:r>
        <w:rPr>
          <w:noProof/>
          <w:color w:val="000000" w:themeColor="text1"/>
        </w:rPr>
        <w:t>5. Държавите членки се приканват до края на 2018 г. да приведат в действие</w:t>
      </w:r>
      <w:r>
        <w:rPr>
          <w:b/>
          <w:noProof/>
          <w:color w:val="000000" w:themeColor="text1"/>
        </w:rPr>
        <w:t xml:space="preserve"> механизъм на национално равнище за обмен на информация от практическо значение за сигурността на железопътните превози в рамките на страната и с други държави членки</w:t>
      </w:r>
      <w:r>
        <w:rPr>
          <w:noProof/>
          <w:color w:val="000000" w:themeColor="text1"/>
        </w:rPr>
        <w:t xml:space="preserve"> чрез платформата за сигурност на пътническия железопътен транспорт в ЕС. За тази цел Комисията призовава държавите членки да предприемат нужните действия за незабавен обмен на информация, свързана със сигурността на железопътните превози, между различните национални органи, със заинтересованите страни от железопътния сектор и с други държави членки. </w:t>
      </w:r>
    </w:p>
    <w:p>
      <w:pPr>
        <w:spacing w:before="0" w:after="240"/>
        <w:rPr>
          <w:rFonts w:eastAsia="Times New Roman"/>
          <w:noProof/>
          <w:color w:val="000000" w:themeColor="text1"/>
          <w:szCs w:val="20"/>
        </w:rPr>
      </w:pPr>
      <w:r>
        <w:rPr>
          <w:noProof/>
          <w:color w:val="000000" w:themeColor="text1"/>
        </w:rPr>
        <w:t>6. Приканват се държавите членки до първата половина на 2019 г. да приемат</w:t>
      </w:r>
      <w:r>
        <w:rPr>
          <w:b/>
          <w:noProof/>
          <w:color w:val="000000" w:themeColor="text1"/>
        </w:rPr>
        <w:t xml:space="preserve"> програма за управление на сигурността в железниците на национално равнище</w:t>
      </w:r>
      <w:r>
        <w:rPr>
          <w:noProof/>
          <w:color w:val="000000" w:themeColor="text1"/>
        </w:rPr>
        <w:t>,</w:t>
      </w:r>
      <w:r>
        <w:rPr>
          <w:b/>
          <w:noProof/>
          <w:color w:val="000000" w:themeColor="text1"/>
        </w:rPr>
        <w:t xml:space="preserve"> </w:t>
      </w:r>
      <w:r>
        <w:rPr>
          <w:noProof/>
          <w:color w:val="000000" w:themeColor="text1"/>
        </w:rPr>
        <w:t xml:space="preserve">в </w:t>
      </w:r>
      <w:r>
        <w:rPr>
          <w:noProof/>
          <w:color w:val="000000" w:themeColor="text1"/>
        </w:rPr>
        <w:lastRenderedPageBreak/>
        <w:t xml:space="preserve">която са определени отговорности и са включени мерки за защита и намаляване на риска въз основа на анализ и оценка на риска. Мерките за сигурност следва да дават възможност за допълнително разширяване в съответствие с промените в определените национални равнища на заплаха. </w:t>
      </w:r>
    </w:p>
    <w:p>
      <w:pPr>
        <w:spacing w:before="0" w:after="240"/>
        <w:rPr>
          <w:noProof/>
        </w:rPr>
      </w:pPr>
      <w:r>
        <w:rPr>
          <w:noProof/>
          <w:color w:val="000000" w:themeColor="text1"/>
        </w:rPr>
        <w:t xml:space="preserve">7. Държавите членки се приканват до края на 2019 г. да </w:t>
      </w:r>
      <w:r>
        <w:rPr>
          <w:b/>
          <w:noProof/>
          <w:color w:val="000000" w:themeColor="text1"/>
        </w:rPr>
        <w:t>изискат от железопътните предприятия, управителите на гари и управителите на инфраструктурата да приемат планове за управление на сигурността</w:t>
      </w:r>
      <w:r>
        <w:rPr>
          <w:noProof/>
          <w:color w:val="000000" w:themeColor="text1"/>
        </w:rPr>
        <w:t xml:space="preserve"> на фирмено равнище, основани на анализ и оценка на риска и пропорционални на националните равнища на заплаха.</w:t>
      </w:r>
    </w:p>
    <w:sectPr>
      <w:headerReference w:type="even" r:id="rId16"/>
      <w:headerReference w:type="default" r:id="rId17"/>
      <w:footerReference w:type="even" r:id="rId18"/>
      <w:footerReference w:type="default" r:id="rId19"/>
      <w:headerReference w:type="first" r:id="rId20"/>
      <w:footerReference w:type="first" r:id="rId21"/>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b/>
        <w:sz w:val="48"/>
      </w:rPr>
      <w:t>BG</w:t>
    </w:r>
    <w:r>
      <w:tab/>
    </w:r>
    <w:r>
      <w:fldChar w:fldCharType="begin"/>
    </w:r>
    <w:r>
      <w:instrText xml:space="preserve"> PAGE  \* MERGEFORMAT </w:instrText>
    </w:r>
    <w:r>
      <w:fldChar w:fldCharType="separate"/>
    </w:r>
    <w:r>
      <w:rPr>
        <w:noProof/>
      </w:rPr>
      <w:t>1</w:t>
    </w:r>
    <w:r>
      <w:fldChar w:fldCharType="end"/>
    </w:r>
    <w:r>
      <w:tab/>
    </w:r>
    <w:r>
      <w:tab/>
    </w:r>
    <w:r>
      <w:rPr>
        <w:rFonts w:ascii="Arial" w:hAnsi="Arial"/>
        <w:b/>
        <w:sz w:val="48"/>
      </w:rPr>
      <w:t>BG</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E31336"/>
    <w:multiLevelType w:val="hybridMultilevel"/>
    <w:tmpl w:val="CFF6CB9A"/>
    <w:lvl w:ilvl="0" w:tplc="08090013">
      <w:start w:val="1"/>
      <w:numFmt w:val="upperRoman"/>
      <w:lvlText w:val="%1."/>
      <w:lvlJc w:val="righ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u1082?\u1098?\u1084?"/>
    <w:docVar w:name="LW_ANNEX_NBR_FIRST" w:val="1"/>
    <w:docVar w:name="LW_ANNEX_NBR_LAST" w:val="1"/>
    <w:docVar w:name="LW_ANNEX_UNIQUE" w:val="1"/>
    <w:docVar w:name="LW_CORRIGENDUM" w:val="&lt;UNUSED&gt;"/>
    <w:docVar w:name="LW_COVERPAGE_EXISTS" w:val="True"/>
    <w:docVar w:name="LW_COVERPAGE_GUID" w:val="DD381EA3-5407-4175-A489-95AAA610F605"/>
    <w:docVar w:name="LW_COVERPAGE_TYPE" w:val="1"/>
    <w:docVar w:name="LW_CROSSREFERENCE" w:val="&lt;UNUSED&gt;"/>
    <w:docVar w:name="LW_DocType" w:val="NORMAL"/>
    <w:docVar w:name="LW_EMISSION" w:val="13.6.2018"/>
    <w:docVar w:name="LW_EMISSION_ISODATE" w:val="2018-06-13"/>
    <w:docVar w:name="LW_EMISSION_LOCATION" w:val="BRX"/>
    <w:docVar w:name="LW_EMISSION_PREFIX" w:val="Брюксел, "/>
    <w:docVar w:name="LW_EMISSION_SUFFIX" w:val="\u1075?."/>
    <w:docVar w:name="LW_ID_DOCTYPE_NONLW" w:val="CP-039"/>
    <w:docVar w:name="LW_LANGUE" w:val="BG"/>
    <w:docVar w:name="LW_LEVEL_OF_SENSITIVITY" w:val="Standard treatment"/>
    <w:docVar w:name="LW_NOM.INST" w:val="\u1045?\u1042?\u1056?\u1054?\u1055?\u1045?\u1049?\u1057?\u1050?\u1040? \u1050?\u1054?\u1052?\u1048?\u1057?\u1048?\u1071?"/>
    <w:docVar w:name="LW_NOM.INST_JOINTDOC" w:val="&lt;EMPTY&gt;"/>
    <w:docVar w:name="LW_OBJETACTEPRINCIPAL.CP" w:val="&lt;FMT:Bold&gt;\u1055?\u1077?\u1090?\u1085?\u1072?\u1076?\u1077?\u1089?\u1077?\u1090?\u1080? \u1076?\u1086?\u1082?\u1083?\u1072?\u1076? \u1079?\u1072? \u1085?\u1072?\u1087?\u1088?\u1077?\u1076?\u1098?\u1082?\u1072? \u1074? \u1089?\u1098?\u1079?\u1076?\u1072?\u1074?\u1072?\u1085?\u1077?\u1090?\u1086? \u1085?\u1072? \u1077?\u1092?\u1077?\u1082?\u1090?\u1080?\u1074?\u1077?\u1085? \u1080? \u1080?\u1089?\u1090?\u1080?\u1085?\u1089?\u1082?\u1080?&lt;/FMT&gt;&lt;FMT:Bold&gt;\u1057?\u1098?\u1102?\u1079? \u1085?\u1072? \u1089?\u1080?\u1075?\u1091?\u1088?\u1085?\u1086?\u1089?\u1090?&lt;/FMT&gt;"/>
    <w:docVar w:name="LW_PART_NBR" w:val="1"/>
    <w:docVar w:name="LW_PART_NBR_TOTAL" w:val="1"/>
    <w:docVar w:name="LW_REF.INST.NEW" w:val="COM"/>
    <w:docVar w:name="LW_REF.INST.NEW_ADOPTED" w:val="final"/>
    <w:docVar w:name="LW_REF.INST.NEW_TEXT" w:val="(2018) 47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CP" w:val="\u1055?\u1056?\u1048?\u1051?\u1054?\u1046?\u1045?\u1053?\u1048?\u1045?_x000b_"/>
    <w:docVar w:name="LW_TYPEACTEPRINCIPAL.CP" w:val="\u1057?\u1066?\u1054?\u1041?\u1065?\u1045?\u1053?\u1048?\u1045? \u1053?\u1040? \u1050?\u1054?\u1052?\u1048?\u1057?\u1048?\u1071?\u1058?\u1040? \u1044?\u1054? \u1045?\u1042?\u1056?\u1054?\u1055?\u1045?\u1049?\u1057?\u1050?\u1048?\u1071? \u1055?\u1040?\u1056?\u1051?\u1040?\u1052?\u1045?\u1053?\u1058?,_x000b_\u1045?\u1042?\u1056?\u1054?\u1055?\u1045?\u1049?\u1057?\u1050?\u1048?\u1071? \u1057?\u1066?\u1042?\u1045?\u1058? \u1048? \u1057?\u1066?\u1042?\u1045?\u1058?\u1040?_x000b_"/>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rPr>
  </w:style>
  <w:style w:type="character" w:styleId="FootnoteReference">
    <w:name w:val="footnote reference"/>
    <w:aliases w:val="Footnote Reference Superscript,BVI fnr,Footnote symbol,SUPERS,(Footnote Reference),Footnote,Voetnootverwijzing,Times 10 Point,Exposant 3 Point,Footnote reference number,note TESI,Odwołanie przypisu, BVI fnr,Footnote Reference/,FR"/>
    <w:basedOn w:val="DefaultParagraphFont"/>
    <w:link w:val="ftrefCharCharCharCharCharCharCharCharChar"/>
    <w:uiPriority w:val="99"/>
    <w:unhideWhenUsed/>
    <w:qFormat/>
    <w:rPr>
      <w:vertAlign w:val="superscript"/>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uiPriority w:val="99"/>
    <w:pPr>
      <w:spacing w:before="0" w:after="160" w:line="240" w:lineRule="exact"/>
      <w:jc w:val="left"/>
    </w:pPr>
    <w:rPr>
      <w:rFonts w:asciiTheme="minorHAnsi" w:hAnsiTheme="minorHAnsi" w:cstheme="minorBidi"/>
      <w:sz w:val="22"/>
      <w:vertAlign w:val="superscript"/>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before="0" w:after="0"/>
    </w:pPr>
  </w:style>
  <w:style w:type="paragraph" w:styleId="Header">
    <w:name w:val="header"/>
    <w:basedOn w:val="Normal"/>
    <w:link w:val="HeaderChar"/>
    <w:uiPriority w:val="99"/>
    <w:unhideWhenUsed/>
    <w:pPr>
      <w:tabs>
        <w:tab w:val="center" w:pos="4536"/>
        <w:tab w:val="right" w:pos="9072"/>
      </w:tabs>
      <w:spacing w:before="0" w:after="0"/>
    </w:pPr>
  </w:style>
  <w:style w:type="character" w:customStyle="1" w:styleId="HeaderChar">
    <w:name w:val="Header Char"/>
    <w:basedOn w:val="DefaultParagraphFont"/>
    <w:link w:val="Head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4F81BD" w:themeColor="accent1"/>
      <w:sz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rPr>
  </w:style>
  <w:style w:type="character" w:styleId="FootnoteReference">
    <w:name w:val="footnote reference"/>
    <w:aliases w:val="Footnote Reference Superscript,BVI fnr,Footnote symbol,SUPERS,(Footnote Reference),Footnote,Voetnootverwijzing,Times 10 Point,Exposant 3 Point,Footnote reference number,note TESI,Odwołanie przypisu, BVI fnr,Footnote Reference/,FR"/>
    <w:basedOn w:val="DefaultParagraphFont"/>
    <w:link w:val="ftrefCharCharCharCharCharCharCharCharChar"/>
    <w:uiPriority w:val="99"/>
    <w:unhideWhenUsed/>
    <w:qFormat/>
    <w:rPr>
      <w:vertAlign w:val="superscript"/>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uiPriority w:val="99"/>
    <w:pPr>
      <w:spacing w:before="0" w:after="160" w:line="240" w:lineRule="exact"/>
      <w:jc w:val="left"/>
    </w:pPr>
    <w:rPr>
      <w:rFonts w:asciiTheme="minorHAnsi" w:hAnsiTheme="minorHAnsi" w:cstheme="minorBidi"/>
      <w:sz w:val="22"/>
      <w:vertAlign w:val="superscript"/>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before="0" w:after="0"/>
    </w:pPr>
  </w:style>
  <w:style w:type="paragraph" w:styleId="Header">
    <w:name w:val="header"/>
    <w:basedOn w:val="Normal"/>
    <w:link w:val="HeaderChar"/>
    <w:uiPriority w:val="99"/>
    <w:unhideWhenUsed/>
    <w:pPr>
      <w:tabs>
        <w:tab w:val="center" w:pos="4536"/>
        <w:tab w:val="right" w:pos="9072"/>
      </w:tabs>
      <w:spacing w:before="0" w:after="0"/>
    </w:pPr>
  </w:style>
  <w:style w:type="character" w:customStyle="1" w:styleId="HeaderChar">
    <w:name w:val="Header Char"/>
    <w:basedOn w:val="DefaultParagraphFont"/>
    <w:link w:val="Head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4F81BD" w:themeColor="accent1"/>
      <w:sz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C3FD87-A4D5-4D34-999B-6992801DF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530</Words>
  <Characters>3086</Characters>
  <Application>Microsoft Office Word</Application>
  <DocSecurity>0</DocSecurity>
  <Lines>54</Lines>
  <Paragraphs>11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12</cp:revision>
  <dcterms:created xsi:type="dcterms:W3CDTF">2018-06-11T13:45:00Z</dcterms:created>
  <dcterms:modified xsi:type="dcterms:W3CDTF">2018-06-22T06:37:00Z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First annex">
    <vt:lpwstr>1</vt:lpwstr>
  </property>
  <property fmtid="{D5CDD505-2E9C-101B-9397-08002B2CF9AE}" pid="4" name="Last annex">
    <vt:lpwstr>1</vt:lpwstr>
  </property>
  <property fmtid="{D5CDD505-2E9C-101B-9397-08002B2CF9AE}" pid="5" name="Unique annex">
    <vt:lpwstr>1</vt:lpwstr>
  </property>
  <property fmtid="{D5CDD505-2E9C-101B-9397-08002B2CF9AE}" pid="6" name="Part">
    <vt:lpwstr>1</vt:lpwstr>
  </property>
  <property fmtid="{D5CDD505-2E9C-101B-9397-08002B2CF9AE}" pid="7" name="Total parts">
    <vt:lpwstr>1</vt:lpwstr>
  </property>
  <property fmtid="{D5CDD505-2E9C-101B-9397-08002B2CF9AE}" pid="8" name="DocStatus">
    <vt:lpwstr>Green</vt:lpwstr>
  </property>
</Properties>
</file>