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593E47-C7E9-46D5-8D1F-77BF1F7E687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 ВЪВЕДЕНИЕ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Настоящият документ е петнадесетият доклад за напредъка по създаването на ефективен и истински Съюз на сигурност и обхваща развитието в две основни насоки: борбата с тероризма, организираната престъпност и средствата, които ги подкрепят, и укрепването на нашите защитни механизми и изграждането на устойчивост по отношение на тези заплахи.</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След нападението с нервнопаралитично вещество в Солсбъри Европейският съвет</w:t>
      </w:r>
      <w:r>
        <w:rPr>
          <w:rStyle w:val="FootnoteReference"/>
          <w:rFonts w:ascii="Times New Roman" w:hAnsi="Times New Roman"/>
          <w:noProof/>
          <w:sz w:val="24"/>
        </w:rPr>
        <w:footnoteReference w:id="1"/>
      </w:r>
      <w:r>
        <w:rPr>
          <w:rFonts w:ascii="Times New Roman" w:hAnsi="Times New Roman"/>
          <w:noProof/>
          <w:sz w:val="24"/>
        </w:rPr>
        <w:t xml:space="preserve"> заяви през март 2018 г., че „ЕС трябва да укрепи своята </w:t>
      </w:r>
      <w:r>
        <w:rPr>
          <w:rFonts w:ascii="Times New Roman" w:hAnsi="Times New Roman"/>
          <w:b/>
          <w:noProof/>
          <w:sz w:val="24"/>
        </w:rPr>
        <w:t>устойчивост на химически, биологични, радиологични и ядрени рискове</w:t>
      </w:r>
      <w:r>
        <w:rPr>
          <w:rFonts w:ascii="Times New Roman" w:hAnsi="Times New Roman"/>
          <w:noProof/>
          <w:sz w:val="24"/>
        </w:rPr>
        <w:t xml:space="preserve"> (ХБРЯ рискове), включително чрез по-тясно сътрудничество между Европейския съюз и неговите държави членки, както и с НАТО“. Той призова Комисията и върховния представител да работят по този въпрос и до Европейския съвет през юни 2018 г. да докладват за постигнатото. Настоящият доклад за напредъка е част от отговора на този призив, заедно със съвместното съобщение</w:t>
      </w:r>
      <w:r>
        <w:rPr>
          <w:rStyle w:val="FootnoteReference"/>
          <w:rFonts w:ascii="Times New Roman" w:hAnsi="Times New Roman"/>
          <w:noProof/>
          <w:sz w:val="24"/>
        </w:rPr>
        <w:footnoteReference w:id="2"/>
      </w:r>
      <w:r>
        <w:rPr>
          <w:rFonts w:ascii="Times New Roman" w:hAnsi="Times New Roman"/>
          <w:noProof/>
          <w:sz w:val="24"/>
        </w:rPr>
        <w:t xml:space="preserve"> „Увеличаване на устойчивостта и способността за борба с хибридните заплахи“ и съвместен доклад</w:t>
      </w:r>
      <w:r>
        <w:rPr>
          <w:rStyle w:val="FootnoteReference"/>
          <w:rFonts w:ascii="Times New Roman" w:hAnsi="Times New Roman"/>
          <w:noProof/>
          <w:sz w:val="24"/>
        </w:rPr>
        <w:footnoteReference w:id="3"/>
      </w:r>
      <w:r>
        <w:rPr>
          <w:rFonts w:ascii="Times New Roman" w:hAnsi="Times New Roman"/>
          <w:noProof/>
          <w:sz w:val="24"/>
        </w:rPr>
        <w:t xml:space="preserve"> относно прилагането на съвместната рамка за борба с хибридните заплахи от юли 2018 г. до юни 2018 г. В доклада се прави преглед на изпълнението на плана за действие от октомври 2017 г.</w:t>
      </w:r>
      <w:r>
        <w:rPr>
          <w:rStyle w:val="FootnoteReference"/>
          <w:rFonts w:ascii="Times New Roman" w:hAnsi="Times New Roman"/>
          <w:noProof/>
          <w:sz w:val="24"/>
        </w:rPr>
        <w:footnoteReference w:id="4"/>
      </w:r>
      <w:r>
        <w:rPr>
          <w:rFonts w:ascii="Times New Roman" w:hAnsi="Times New Roman"/>
          <w:noProof/>
          <w:sz w:val="24"/>
        </w:rPr>
        <w:t xml:space="preserve"> за подобряване на готовността за действие срещу химически, биологични, радиологични и ядрени рискове за сигурността. Като част от мерките в Съюза на сигурност за подобряване на защитата и устойчивостта срещу тероризма, планът за действие следва превантивен подход, основан на тезата, че заплахите, свързани с химически, биологични, радиологични и ядрени вещества, представляват риск с ниска вероятност, но със силно и трайно въздействие в случай на нападение. Междувременно нападението в Солсбъри, както и нарастващото безпокойство във връзка с интереса и възможността на терористични групи да използват такива вещества както в рамките на ЕС, така и извън него</w:t>
      </w:r>
      <w:r>
        <w:rPr>
          <w:rStyle w:val="FootnoteReference"/>
          <w:rFonts w:ascii="Times New Roman" w:hAnsi="Times New Roman"/>
          <w:noProof/>
          <w:sz w:val="24"/>
        </w:rPr>
        <w:footnoteReference w:id="5"/>
      </w:r>
      <w:r>
        <w:rPr>
          <w:rFonts w:ascii="Times New Roman" w:hAnsi="Times New Roman"/>
          <w:noProof/>
          <w:sz w:val="24"/>
        </w:rPr>
        <w:t>, показват, че заплахата, свързана с химическите, биологичните, радиологичните и ядрените вещества, е реална. Това още повече засилва спешната необходимост да се реализира изцяло този план за действие с акцент върху химическите заплахи.</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настоящия доклад освен това са представени напредъкът по отношение на премахването на </w:t>
      </w:r>
      <w:r>
        <w:rPr>
          <w:rFonts w:ascii="Times New Roman" w:hAnsi="Times New Roman"/>
          <w:b/>
          <w:noProof/>
          <w:sz w:val="24"/>
        </w:rPr>
        <w:t>терористично съдържание онлайн</w:t>
      </w:r>
      <w:r>
        <w:rPr>
          <w:rFonts w:ascii="Times New Roman" w:hAnsi="Times New Roman"/>
          <w:noProof/>
          <w:sz w:val="24"/>
        </w:rPr>
        <w:t xml:space="preserve"> след препоръката на Комисията от март 2018 г.</w:t>
      </w:r>
      <w:r>
        <w:rPr>
          <w:rStyle w:val="FootnoteReference"/>
          <w:rFonts w:ascii="Times New Roman" w:hAnsi="Times New Roman"/>
          <w:noProof/>
          <w:sz w:val="24"/>
        </w:rPr>
        <w:footnoteReference w:id="6"/>
      </w:r>
      <w:r>
        <w:rPr>
          <w:rFonts w:ascii="Times New Roman" w:hAnsi="Times New Roman"/>
          <w:noProof/>
          <w:sz w:val="24"/>
        </w:rPr>
        <w:t xml:space="preserve"> и бъдещите действия на Комисията за </w:t>
      </w:r>
      <w:r>
        <w:rPr>
          <w:rFonts w:ascii="Times New Roman" w:hAnsi="Times New Roman"/>
          <w:b/>
          <w:noProof/>
          <w:sz w:val="24"/>
        </w:rPr>
        <w:t>предотвратяване на радикализацията</w:t>
      </w:r>
      <w:r>
        <w:rPr>
          <w:rFonts w:ascii="Times New Roman" w:hAnsi="Times New Roman"/>
          <w:noProof/>
          <w:sz w:val="24"/>
        </w:rPr>
        <w:t xml:space="preserve"> след заключителния доклад на експертната група на високо равнище по въпросите на радикализацията. Нападението в Лиеж на 29 май 2018 г. още веднъж подчертава важността на борбата против радикализацията, тъй като според белгийските власти извършителят е контактувал с радикализирани лица. В този доклад се определят и действия за повишаване на </w:t>
      </w:r>
      <w:r>
        <w:rPr>
          <w:rFonts w:ascii="Times New Roman" w:hAnsi="Times New Roman"/>
          <w:b/>
          <w:noProof/>
          <w:sz w:val="24"/>
        </w:rPr>
        <w:t>сигурността на пътническия железопътен транспорт</w:t>
      </w:r>
      <w:r>
        <w:rPr>
          <w:rFonts w:ascii="Times New Roman" w:hAnsi="Times New Roman"/>
          <w:noProof/>
          <w:sz w:val="24"/>
        </w:rPr>
        <w:t xml:space="preserve">. И накрая, в доклада се прави преглед на изпълнението на други приоритетни досиета, по-конкретно </w:t>
      </w:r>
      <w:r>
        <w:rPr>
          <w:rFonts w:ascii="Times New Roman" w:hAnsi="Times New Roman"/>
          <w:b/>
          <w:noProof/>
          <w:sz w:val="24"/>
        </w:rPr>
        <w:t>оперативната съвместимост на информационните системи</w:t>
      </w:r>
      <w:r>
        <w:rPr>
          <w:rFonts w:ascii="Times New Roman" w:hAnsi="Times New Roman"/>
          <w:noProof/>
          <w:sz w:val="24"/>
        </w:rPr>
        <w:t xml:space="preserve">, където </w:t>
      </w:r>
      <w:r>
        <w:rPr>
          <w:rFonts w:ascii="Times New Roman" w:hAnsi="Times New Roman"/>
          <w:noProof/>
          <w:sz w:val="24"/>
        </w:rPr>
        <w:lastRenderedPageBreak/>
        <w:t xml:space="preserve">две предложения за изменения, приети от Комисията заедно с настоящия доклад, ще дадат възможност на съзаконодателите да постигнат съгласие преди края на годината. В настоящия доклад се прави преглед и на изпълнението на </w:t>
      </w:r>
      <w:r>
        <w:rPr>
          <w:rFonts w:ascii="Times New Roman" w:hAnsi="Times New Roman"/>
          <w:b/>
          <w:noProof/>
          <w:sz w:val="24"/>
        </w:rPr>
        <w:t>Директивата относно резервационните данни на пътниците</w:t>
      </w:r>
      <w:r>
        <w:rPr>
          <w:rFonts w:ascii="Times New Roman" w:hAnsi="Times New Roman"/>
          <w:noProof/>
          <w:sz w:val="24"/>
        </w:rPr>
        <w:t xml:space="preserve"> след 25 май 2018 г. — крайния срок за нейното прилагане, на действията за подобряване на киберсигурността и за противодействие на финансирането на тероризма, както и на най-новите развития, свързани с външното измерение на сигурността.</w:t>
      </w:r>
    </w:p>
    <w:p>
      <w:pPr>
        <w:widowControl w:val="0"/>
        <w:spacing w:after="240" w:line="240" w:lineRule="auto"/>
        <w:jc w:val="both"/>
        <w:rPr>
          <w:rFonts w:ascii="Times New Roman" w:hAnsi="Times New Roman" w:cs="Times New Roman"/>
          <w:noProof/>
          <w:sz w:val="24"/>
          <w:szCs w:val="24"/>
        </w:rPr>
      </w:pPr>
      <w:r>
        <w:rPr>
          <w:rFonts w:ascii="Times New Roman" w:hAnsi="Times New Roman"/>
          <w:b/>
          <w:noProof/>
          <w:sz w:val="24"/>
        </w:rPr>
        <w:t>Предложенията на Комисията за многогодишната финансова рамка</w:t>
      </w:r>
      <w:r>
        <w:rPr>
          <w:rFonts w:ascii="Times New Roman" w:hAnsi="Times New Roman"/>
          <w:noProof/>
          <w:sz w:val="24"/>
        </w:rPr>
        <w:t xml:space="preserve"> </w:t>
      </w:r>
      <w:r>
        <w:rPr>
          <w:rFonts w:ascii="Times New Roman" w:hAnsi="Times New Roman"/>
          <w:b/>
          <w:noProof/>
          <w:sz w:val="24"/>
        </w:rPr>
        <w:t>за периода 2021—2027 г.</w:t>
      </w:r>
      <w:r>
        <w:rPr>
          <w:rFonts w:ascii="Times New Roman" w:hAnsi="Times New Roman"/>
          <w:noProof/>
          <w:sz w:val="24"/>
        </w:rPr>
        <w:t xml:space="preserve"> „Модерен бюджет за Съюз, който закриля, предоставя възможности и защитава“</w:t>
      </w:r>
      <w:r>
        <w:rPr>
          <w:rStyle w:val="FootnoteReference"/>
          <w:rFonts w:ascii="Times New Roman" w:hAnsi="Times New Roman"/>
          <w:noProof/>
          <w:sz w:val="24"/>
        </w:rPr>
        <w:footnoteReference w:id="7"/>
      </w:r>
      <w:r>
        <w:rPr>
          <w:rFonts w:ascii="Times New Roman" w:hAnsi="Times New Roman"/>
          <w:noProof/>
          <w:sz w:val="24"/>
        </w:rPr>
        <w:t xml:space="preserve"> също отразяват факта, че новите заплахи за сигурността изискват нови ответни мерки и изтъкват, че сигурността има трансгранично измерение и засяга много сектори, затова е необходимо ЕС да предприеме решителни и координирани действия. Комисията предлага финансирането за вътрешната сигурност да се увеличи 1,8 пъти в сравнение с текущия период 2014—2020 г. Елементите в отговор на новите предизвикателства в областта на сигурността се посочват в различни секторни законодателни предложения, представени като част от многогодишната финансова рамка.</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II. ПОДОБРЯВАНЕ НА ГОТОВНОСТТА ЗА ДЕЙСТВИЕ СРЕЩУ ХИМИЧЕСКИ, БИОЛОГИЧНИ, РАДИОЛОГИЧНИ И ЯДРЕНИ РИСКОВЕ ЗА СИГУРНОСТТА </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Напредък по отношение на изпълнението на плана за действие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Както показа нападението с нервнопаралитично вещество в Солсбъри, химическите, биологичните, радиологичните и ядрените (ХБРЯ) заплахи за сигурността са комплексни и могат бързо да се променят. Терористичните организации не са използвали ХБРЯ вещества в Европа, но съществуват основания да се счита, че може да имат намерение да се сдобият с такива материали или оръжия и придобиват необходимите знания и капацитет за тяхното използване. Планът за действие за подобряване на готовността за предприемане на мерки срещу химически, биологични, радиологични и ядрени рискове за сигурността бе представен през октомври 2017 г. в отговор на тези заплахи. В него се поставя акцент върху обединяването на експертните знания и възможностите на равнище ЕС за подобряване на оперативната готовност в целия Съюз. Беше постигнат </w:t>
      </w:r>
      <w:r>
        <w:rPr>
          <w:rFonts w:ascii="Times New Roman" w:hAnsi="Times New Roman"/>
          <w:b/>
          <w:noProof/>
          <w:sz w:val="24"/>
        </w:rPr>
        <w:t>реален напредък</w:t>
      </w:r>
      <w:r>
        <w:rPr>
          <w:rFonts w:ascii="Times New Roman" w:hAnsi="Times New Roman"/>
          <w:noProof/>
          <w:sz w:val="24"/>
        </w:rPr>
        <w:t xml:space="preserve"> в изпълнението на плана за действие, като в няколко области бяха предприети мерки за реализиране на четирите цели на този план: намаляване на достъпността на химическите, биологичните, радиологичните и ядрените материали; осигуряване на по-надеждна готовност за действие и реагиране в случай на химически, биологични, радиологични и ядрени инциденти, свързани със сигурността; изграждане на по-здрави вътрешни и външни връзки в областта на химическата, биологичната, радиологичната и ядрената сигурност с ключови регионални и международни партньори на ЕС; и подобряване на знанията в областта на химическите, биологичните, радиологичните и ядрените рискове.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 първо място, като част от усилията за ограничаване на достъпността на химическите, биологичните, радиологичните и ядрените материали, Съюзът засилва</w:t>
      </w:r>
      <w:r>
        <w:rPr>
          <w:rFonts w:ascii="Times New Roman" w:hAnsi="Times New Roman"/>
          <w:b/>
          <w:noProof/>
          <w:sz w:val="24"/>
        </w:rPr>
        <w:t xml:space="preserve"> мерките на митническите органи за предотвратяване на незаконното внасяне на химически, биологични, радиологични и ядрени материали</w:t>
      </w:r>
      <w:r>
        <w:rPr>
          <w:rFonts w:ascii="Times New Roman" w:hAnsi="Times New Roman"/>
          <w:noProof/>
          <w:sz w:val="24"/>
        </w:rPr>
        <w:t xml:space="preserve">. Системите за </w:t>
      </w:r>
      <w:r>
        <w:rPr>
          <w:rFonts w:ascii="Times New Roman" w:hAnsi="Times New Roman"/>
          <w:noProof/>
          <w:sz w:val="24"/>
        </w:rPr>
        <w:lastRenderedPageBreak/>
        <w:t>информация за товарите са от съществено значение за засилването на наблюдението и за основани на риска проверки на международните вериги на доставки. Затова Комисията значително усъвършенства системата за предварителна информация за товарите и митническата система за управление на риска, като преобразува съществуващите слабо свързани национални системи в една интегрирана и мащабна информационна система. Новата система ще бъде съсредоточена върху общия регистър на данни за търговията, който ще може да получава информация с по-добро качество за товари в реално време. Тя ще свързва системите на националните митнически органи за оценка на риска. Новата система ще бъде свързана към хиляди допълнителни участници в международната логистика, като например спедитори, доставчици на логистични услуги и пощенски оператори при всички видове транспорт, и по този начин в системата ще постъпват ценни данни относно товарите, с каквито днес не разполагаме. Целта на тази система е да обхване целия кръг митнически рискове, включително рисковете, свързани с химически, биологични, радиологични и ядрени материали.</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На второ място, по отношение на повишаването на готовността и устойчивостта си, държавите членки укрепват своя</w:t>
      </w:r>
      <w:r>
        <w:rPr>
          <w:rFonts w:ascii="Times New Roman" w:hAnsi="Times New Roman"/>
          <w:b/>
          <w:noProof/>
          <w:sz w:val="24"/>
        </w:rPr>
        <w:t xml:space="preserve"> капацитет за откриване на химически, биологични, радиологични и ядрени материали</w:t>
      </w:r>
      <w:r>
        <w:rPr>
          <w:rFonts w:ascii="Times New Roman" w:hAnsi="Times New Roman"/>
          <w:noProof/>
          <w:sz w:val="24"/>
        </w:rPr>
        <w:t xml:space="preserve"> в помощ на предотвратяването на нападенията с такива вещества. По инициатива на Комисията консорциум от национални експерти направи </w:t>
      </w:r>
      <w:r>
        <w:rPr>
          <w:rFonts w:ascii="Times New Roman" w:hAnsi="Times New Roman"/>
          <w:b/>
          <w:noProof/>
          <w:sz w:val="24"/>
        </w:rPr>
        <w:t>анализ на пропуските при апаратурата за откриване</w:t>
      </w:r>
      <w:r>
        <w:rPr>
          <w:rFonts w:ascii="Times New Roman" w:hAnsi="Times New Roman"/>
          <w:noProof/>
          <w:sz w:val="24"/>
        </w:rPr>
        <w:t xml:space="preserve"> за около 70 различни вида сценарии, свързани с тези вещества. Докладът от анализа на пропуските беше предоставен на държавите членки и обсъден с тях, за да им помогне при определянето на нуждите от бъдещи изследвания и да им даде възможност да вземат информирани решения относно стратегиите за откриване на тези вещества и да предприемат оперативни мерки за отстраняване на констатираните пропуски. Освен това анализът показва определена нужда от приложими в целия ЕС технически стандарти за оборудването за откриване на вещества. Въз основа на резултатите от анализа и като използва рамката на Консултативната група по химическите, биологичните, радиологичните и ядрените материали</w:t>
      </w:r>
      <w:r>
        <w:rPr>
          <w:rStyle w:val="FootnoteReference"/>
          <w:rFonts w:ascii="Times New Roman" w:hAnsi="Times New Roman"/>
          <w:noProof/>
          <w:sz w:val="24"/>
        </w:rPr>
        <w:footnoteReference w:id="8"/>
      </w:r>
      <w:r>
        <w:rPr>
          <w:rFonts w:ascii="Times New Roman" w:hAnsi="Times New Roman"/>
          <w:noProof/>
          <w:sz w:val="24"/>
        </w:rPr>
        <w:t>, създадена съгласно плана за действие, Комисията ще работи за стандартизиране в рамките на ЕС на оборудването за откриване на ХБРЯ вещества. Освен това държавите членки трябва да направят инвентаризация на запасите от основни медицински мерки за противодействие, лаборатории, лечение и друг капацитет. Комисията ще работи със страните членки за редовното картографиране на тези запаси в ЕС, за да се увеличи достъпът до тях и да могат да бъдат използвани бързо в случай на химически, биологични, радиологични и ядрени нападения. Подготовката за химическо, биологично, радиологично и ядрено нападение и справянето с последиците от него изискват засилено сътрудничество и координиране между държавите членки, включително органите за гражданска защита. Механизмът за гражданска защита на Съюза може да играе ключова роля в този процес, като целта е да се укрепи колективният капацитет на Европа за подготовка и реагиране.</w:t>
      </w:r>
    </w:p>
    <w:p>
      <w:pPr>
        <w:autoSpaceDE w:val="0"/>
        <w:autoSpaceDN w:val="0"/>
        <w:adjustRightInd w:val="0"/>
        <w:spacing w:after="240" w:line="240" w:lineRule="auto"/>
        <w:jc w:val="both"/>
        <w:rPr>
          <w:rFonts w:ascii="Times New Roman" w:eastAsia="Arial Unicode MS" w:hAnsi="Times New Roman" w:cs="Times New Roman"/>
          <w:noProof/>
          <w:sz w:val="24"/>
          <w:szCs w:val="24"/>
        </w:rPr>
      </w:pPr>
      <w:r>
        <w:rPr>
          <w:rFonts w:ascii="Times New Roman" w:hAnsi="Times New Roman"/>
          <w:noProof/>
          <w:sz w:val="24"/>
        </w:rPr>
        <w:lastRenderedPageBreak/>
        <w:t xml:space="preserve">На трето място, планът за действие по отношение на химически, биологични, радиологични и ядрени рискове за сигурността подчертава необходимостта от тясно </w:t>
      </w:r>
      <w:r>
        <w:rPr>
          <w:rFonts w:ascii="Times New Roman" w:hAnsi="Times New Roman"/>
          <w:b/>
          <w:noProof/>
          <w:sz w:val="24"/>
        </w:rPr>
        <w:t>сътрудничество с ключовите международни партньори и организации</w:t>
      </w:r>
      <w:r>
        <w:rPr>
          <w:rFonts w:ascii="Times New Roman" w:hAnsi="Times New Roman"/>
          <w:noProof/>
          <w:sz w:val="24"/>
        </w:rPr>
        <w:t xml:space="preserve">. В сътрудничество с Министерството на енергетиката на САЩ Комисията ще организира семинар на ЕС и САЩ на 28—29 юни 2018 г. по въпросите на сигурността на радиоактивните източници. Комисията укрепва и институционалния и общностния капацитет в съседни на Съюза държави партньори във връзка с химическите, биологичните, радиологичните и ядрените вещества. Освен това Съюзът предприема конкретни стъпки за развитие на по-тясно </w:t>
      </w:r>
      <w:r>
        <w:rPr>
          <w:rFonts w:ascii="Times New Roman" w:hAnsi="Times New Roman"/>
          <w:b/>
          <w:noProof/>
          <w:sz w:val="24"/>
        </w:rPr>
        <w:t>сътрудничество с НАТО</w:t>
      </w:r>
      <w:r>
        <w:rPr>
          <w:rFonts w:ascii="Times New Roman" w:hAnsi="Times New Roman"/>
          <w:noProof/>
          <w:sz w:val="24"/>
        </w:rPr>
        <w:t xml:space="preserve"> в областта на химическите, биологичните, радиологичните и ядрените вещества, включително във връзка с подготвеността на цивилното население. Представители на ЕС участваха като наблюдатели в организиран от НАТО семинар по въпросите на сътрудничеството между гражданския и военния сектор при мащабно терористично нападение с използване на химически, биологични, радиологични или ядрени вещества. Също така ЕС и НАТО обмислят създаването на съвместен модул за обучение с цел повишаване на осведомеността на лица, отговорни за вземането на решения във връзка с химическите, биологичните, радиологичните и ядрените вещества. Освен това ЕС следва да проучи мерки за подкрепа на спазването на международните стандарти и правила против употребата на химически оръжия, включително чрез евентуален режим на конкретни санкции на ЕС по отношение на химическите оръжия.</w:t>
      </w:r>
      <w:r>
        <w:rPr>
          <w:rFonts w:ascii="Times New Roman" w:hAnsi="Times New Roman"/>
          <w:b/>
          <w:noProof/>
          <w:sz w:val="24"/>
        </w:rPr>
        <w:t xml:space="preserve"> </w:t>
      </w:r>
      <w:r>
        <w:rPr>
          <w:rFonts w:ascii="Times New Roman" w:hAnsi="Times New Roman"/>
          <w:noProof/>
          <w:sz w:val="24"/>
        </w:rPr>
        <w:t xml:space="preserve">По отношение на </w:t>
      </w:r>
      <w:r>
        <w:rPr>
          <w:rFonts w:ascii="Times New Roman" w:hAnsi="Times New Roman"/>
          <w:b/>
          <w:noProof/>
          <w:sz w:val="24"/>
        </w:rPr>
        <w:t>транспорта</w:t>
      </w:r>
      <w:r>
        <w:rPr>
          <w:rFonts w:ascii="Times New Roman" w:hAnsi="Times New Roman"/>
          <w:noProof/>
          <w:sz w:val="24"/>
        </w:rPr>
        <w:t xml:space="preserve"> Комисията и държавите членки работят с международни партньори за повишаване на готовността на системата на ЕС за сигурност на полетите да се справя с химически, биологични, радиологични и ядрени заплахи. В резултат беше изготвен списък на действия в отговор на химически, биологични, радиологични и ядрени заплахи срещу въздухоплаването.</w:t>
      </w:r>
    </w:p>
    <w:p>
      <w:pPr>
        <w:autoSpaceDE w:val="0"/>
        <w:autoSpaceDN w:val="0"/>
        <w:adjustRightInd w:val="0"/>
        <w:spacing w:after="240" w:line="240" w:lineRule="auto"/>
        <w:jc w:val="both"/>
        <w:rPr>
          <w:rFonts w:ascii="Times New Roman" w:eastAsia="Arial Unicode MS" w:hAnsi="Times New Roman" w:cs="Times New Roman"/>
          <w:noProof/>
          <w:sz w:val="24"/>
          <w:szCs w:val="24"/>
        </w:rPr>
      </w:pPr>
      <w:r>
        <w:rPr>
          <w:rFonts w:ascii="Times New Roman" w:hAnsi="Times New Roman"/>
          <w:noProof/>
          <w:sz w:val="24"/>
        </w:rPr>
        <w:t xml:space="preserve">На четвърто място, за ефективно реагиране на химически, биологични, радиологични и ядрени рискове са необходими експертни познания на всички равнища, което прави крайно необходимо засилването на </w:t>
      </w:r>
      <w:r>
        <w:rPr>
          <w:rFonts w:ascii="Times New Roman" w:hAnsi="Times New Roman"/>
          <w:b/>
          <w:noProof/>
          <w:sz w:val="24"/>
        </w:rPr>
        <w:t>обединяването и обмена на експертни знания</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Пример за добра практика е централноевропейският център за обучение във връзка с ХБРЯ-Е</w:t>
      </w:r>
      <w:r>
        <w:rPr>
          <w:rStyle w:val="FootnoteReference"/>
          <w:rFonts w:ascii="Times New Roman" w:hAnsi="Times New Roman"/>
          <w:noProof/>
          <w:sz w:val="24"/>
        </w:rPr>
        <w:footnoteReference w:id="9"/>
      </w:r>
      <w:r>
        <w:rPr>
          <w:rFonts w:ascii="Times New Roman" w:hAnsi="Times New Roman"/>
          <w:noProof/>
          <w:sz w:val="24"/>
        </w:rPr>
        <w:t xml:space="preserve"> (химически, биологични, радиологични и ядрени вещества и експлозиви), създаден през 2016 г. в Будапеща от осем държави членки.</w:t>
      </w:r>
      <w:r>
        <w:rPr>
          <w:rFonts w:ascii="Times New Roman" w:hAnsi="Times New Roman"/>
          <w:noProof/>
          <w:sz w:val="24"/>
          <w:vertAlign w:val="superscript"/>
        </w:rPr>
        <w:footnoteReference w:id="10"/>
      </w:r>
      <w:r>
        <w:rPr>
          <w:rFonts w:ascii="Times New Roman" w:hAnsi="Times New Roman"/>
          <w:noProof/>
          <w:sz w:val="24"/>
        </w:rPr>
        <w:t xml:space="preserve"> Целта на този център е обмен, обогатяване и задълбочаване на знанията, опита и уменията на екипите за първоначално реагиране във връзка с ХБРЯ-Е чрез обучение и провеждане на учения. Освен това Комисията даде положителна оценка на предложение за проект за укрепване на това сътрудничество чрез създаването на мобилен екип за първоначално реагиране в случай на използване на ХБРЯ-Е или мръсна бомба, който при поискване да може да се разгърне при възникване на ХБРЯ-Е инцидент. </w:t>
      </w:r>
      <w:r>
        <w:rPr>
          <w:rFonts w:ascii="Times New Roman" w:hAnsi="Times New Roman"/>
          <w:b/>
          <w:noProof/>
          <w:sz w:val="24"/>
        </w:rPr>
        <w:t>Областта на криминалистиката</w:t>
      </w:r>
      <w:r>
        <w:rPr>
          <w:rFonts w:ascii="Times New Roman" w:hAnsi="Times New Roman"/>
          <w:noProof/>
          <w:sz w:val="24"/>
        </w:rPr>
        <w:t xml:space="preserve"> е подходящ пример за необходимостта от създаване на колективни възможности. Събирането на доказателства в заразен район и тяхната обработка представлява сериозно предизвикателство и изисква специализирани средства</w:t>
      </w:r>
      <w:r>
        <w:rPr>
          <w:rFonts w:ascii="Times New Roman" w:hAnsi="Times New Roman"/>
          <w:b/>
          <w:noProof/>
          <w:sz w:val="24"/>
        </w:rPr>
        <w:t xml:space="preserve">. </w:t>
      </w:r>
      <w:r>
        <w:rPr>
          <w:rFonts w:ascii="Times New Roman" w:hAnsi="Times New Roman"/>
          <w:noProof/>
          <w:sz w:val="24"/>
        </w:rPr>
        <w:t xml:space="preserve">Съвместният изследователски център на Комисията работи по инициативи в тази област с капацитет по ядрена криминалистика с цел споделяне на специализирани познания за съответните възможности. Въз основа на резултатите от посочения по-горе анализ на пропуските, Комисията работи също и с Консултативната група по химическите, биологичните, радиологичните и ядрените материали за определяне на областите за обединяване на възможностите за откриване. </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На пето място, </w:t>
      </w:r>
      <w:r>
        <w:rPr>
          <w:rFonts w:ascii="Times New Roman" w:hAnsi="Times New Roman"/>
          <w:b/>
          <w:noProof/>
          <w:sz w:val="24"/>
        </w:rPr>
        <w:t>обучението и ученията</w:t>
      </w:r>
      <w:r>
        <w:rPr>
          <w:rFonts w:ascii="Times New Roman" w:hAnsi="Times New Roman"/>
          <w:noProof/>
          <w:sz w:val="24"/>
        </w:rPr>
        <w:t xml:space="preserve"> са начини за ефективна обмяна на експертни знания във връзка с химическите, биологичните, радиологичните и ядрените рискове. В контекста на финансирания от ЕС проект eNotice беше предоставена на разположение база данни</w:t>
      </w:r>
      <w:r>
        <w:rPr>
          <w:rFonts w:ascii="Times New Roman" w:hAnsi="Times New Roman"/>
          <w:noProof/>
          <w:sz w:val="24"/>
          <w:vertAlign w:val="superscript"/>
        </w:rPr>
        <w:footnoteReference w:id="11"/>
      </w:r>
      <w:r>
        <w:rPr>
          <w:rFonts w:ascii="Times New Roman" w:hAnsi="Times New Roman"/>
          <w:noProof/>
          <w:sz w:val="24"/>
        </w:rPr>
        <w:t xml:space="preserve"> за над 200 подходящи инициативи, осигуряваща преглед на възможностите за обучение в целия Съюз. Държавите членки се насърчават да се възползват максимално ефективно от предоставените възможности за обучение в областта на химическите, биологичните, радиологичните и ядрените вещества. Освен това, използвайки в пълна степен Европейския център за обучение по ядрена сигурност, Комисията стартира мащабна кампания за обучение на митнически експерти от ЕС, работещи със сложна апаратура за откриване на радиация и ядрени материали по външните граници, пристанища и летища. Освен това Комисията даде положителна оценка на предложение за проект за разработване на хармонизирана програма за обучение в областта на ХБРЯ за екипи за първоначално реагиране и медицински персонал. Що се отнася до практически учения, в началото на 2018 г. организираното от Комисията </w:t>
      </w:r>
      <w:r>
        <w:rPr>
          <w:rFonts w:ascii="Times New Roman" w:hAnsi="Times New Roman"/>
          <w:b/>
          <w:noProof/>
          <w:sz w:val="24"/>
        </w:rPr>
        <w:t>симулационно учение</w:t>
      </w:r>
      <w:r>
        <w:rPr>
          <w:rFonts w:ascii="Times New Roman" w:hAnsi="Times New Roman"/>
          <w:noProof/>
          <w:sz w:val="24"/>
        </w:rPr>
        <w:t xml:space="preserve"> </w:t>
      </w:r>
      <w:r>
        <w:rPr>
          <w:rFonts w:ascii="Times New Roman" w:hAnsi="Times New Roman"/>
          <w:b/>
          <w:noProof/>
          <w:sz w:val="24"/>
        </w:rPr>
        <w:t>„Химера“</w:t>
      </w:r>
      <w:r>
        <w:rPr>
          <w:rFonts w:ascii="Times New Roman" w:hAnsi="Times New Roman"/>
          <w:noProof/>
          <w:sz w:val="24"/>
        </w:rPr>
        <w:t xml:space="preserve"> събра секторите здравеопазване, гражданска защита и сигурност от целия ЕС за проверка на трансграничната готовност и планиране за реагиране въз основа на въображаем сценарий за преднамерено разпространение на заразна болест. Това учение, проведено в рамките на ЕС, допринесе за изграждането на междусекторен капацитет и подобряване на оперативната съвместимост и координацията между секторите здравеопазване, гражданска защита и сигурност на равнище ЕС и държави членки. При това обменът на експертни знания обхваща и </w:t>
      </w:r>
      <w:r>
        <w:rPr>
          <w:rFonts w:ascii="Times New Roman" w:hAnsi="Times New Roman"/>
          <w:b/>
          <w:noProof/>
          <w:sz w:val="24"/>
        </w:rPr>
        <w:t>частния сектор</w:t>
      </w:r>
      <w:r>
        <w:rPr>
          <w:rFonts w:ascii="Times New Roman" w:hAnsi="Times New Roman"/>
          <w:noProof/>
          <w:sz w:val="24"/>
        </w:rPr>
        <w:t>, понеже едно химическо, биологично, радиологично или ядрено нападение може да има сериозни последици за операторите в частния сектор. В резултат от ръководен от промишлеността проект</w:t>
      </w:r>
      <w:r>
        <w:rPr>
          <w:rStyle w:val="FootnoteReference"/>
          <w:rFonts w:ascii="Times New Roman" w:hAnsi="Times New Roman"/>
          <w:noProof/>
          <w:sz w:val="24"/>
        </w:rPr>
        <w:footnoteReference w:id="12"/>
      </w:r>
      <w:r>
        <w:rPr>
          <w:rFonts w:ascii="Times New Roman" w:hAnsi="Times New Roman"/>
          <w:noProof/>
          <w:sz w:val="24"/>
        </w:rPr>
        <w:t xml:space="preserve">, насочен към повишаване на осведомеността на персонала по сигурността главно в сектора на въздухоплаването, бе създаден инструмент за електронно обучение, който предоставя най-съществена информация на лицата, влизащи в контакт с химически, биологични, радиологични и ядрени материали и вещества. </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Засилени действия против химически заплахи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Потенциалната употреба на химикали при терористични нападения все повече се изтъква в терористичната пропаганда. Това засилва безпокойството, възникнало във връзка с терористичния заговор, разкрит в Австралия през юли 2017 г., и с неотдавнашната вътрешнооперативна употреба на химикали. По тази причина Комисията </w:t>
      </w:r>
      <w:r>
        <w:rPr>
          <w:rFonts w:ascii="Times New Roman" w:hAnsi="Times New Roman"/>
          <w:b/>
          <w:noProof/>
          <w:sz w:val="24"/>
        </w:rPr>
        <w:t>ускорява по-нататъшните действия във връзка с химическите заплахи</w:t>
      </w:r>
      <w:r>
        <w:rPr>
          <w:rFonts w:ascii="Times New Roman" w:hAnsi="Times New Roman"/>
          <w:noProof/>
          <w:sz w:val="24"/>
        </w:rPr>
        <w:t xml:space="preserve"> в общата рамка на плана за действие във връзка с химически, биологични, радиологични и ядрени рискове за сигурността, като се основава на постигнатия напредък по отношение на анализа на пропуските на капацитета за откриване и в обмена на добри практики в Консултативна група по химическата, биологичната, радиологичната и ядрената сигурност.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среща с поверителен характер, проведена през март 2018 г. с експерти от държавите членки, бяха определени няколко спешни приоритета за по-нататъшно сътрудничество </w:t>
      </w:r>
      <w:r>
        <w:rPr>
          <w:rFonts w:ascii="Times New Roman" w:hAnsi="Times New Roman"/>
          <w:noProof/>
          <w:sz w:val="24"/>
        </w:rPr>
        <w:lastRenderedPageBreak/>
        <w:t xml:space="preserve">против химическите заплахи. В допълнение към това Комисията ще работи с държавите членки за </w:t>
      </w:r>
      <w:r>
        <w:rPr>
          <w:rFonts w:ascii="Times New Roman" w:hAnsi="Times New Roman"/>
          <w:b/>
          <w:noProof/>
          <w:sz w:val="24"/>
        </w:rPr>
        <w:t>изпълнение на следните стъпки</w:t>
      </w:r>
      <w:r>
        <w:rPr>
          <w:rFonts w:ascii="Times New Roman" w:hAnsi="Times New Roman"/>
          <w:noProof/>
          <w:sz w:val="24"/>
        </w:rPr>
        <w:t xml:space="preserve"> до края на 2018 г.:</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noProof/>
          <w:sz w:val="24"/>
        </w:rPr>
        <w:t>Изготвяне на общ списък на химически вещества, представляващи особена заплаха, като основа за по-нататъшни оперативни действия за ограничаване на тяхната достъпност и увеличаване на възможностите за тяхното откриване. Тази задача ще бъде изпълнена в специална експертна група за откриване на химически заплахи, създадена през май 2018 г., която ще използва текущите изследвания в държавите членки и в Съвместния изследователски център на Комисията.</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noProof/>
          <w:sz w:val="24"/>
        </w:rPr>
        <w:t>Установяване на диалог с участници във веригата на доставките от частния сектор, за да се работи съвместно за въвеждане на мерки за справяне с възникващите и променящите се заплахи във връзка с химически вещества, които могат да бъдат използвани като прекурсори. Тази дейност следва примера</w:t>
      </w:r>
      <w:r>
        <w:rPr>
          <w:rStyle w:val="FootnoteReference"/>
          <w:rFonts w:ascii="Times New Roman" w:hAnsi="Times New Roman"/>
          <w:noProof/>
          <w:sz w:val="24"/>
        </w:rPr>
        <w:footnoteReference w:id="13"/>
      </w:r>
      <w:r>
        <w:rPr>
          <w:rFonts w:ascii="Times New Roman" w:hAnsi="Times New Roman"/>
          <w:noProof/>
          <w:sz w:val="24"/>
        </w:rPr>
        <w:t xml:space="preserve"> на предприетите на равнище ЕС стъпки за ограничаване на достъпа до прекурсори на експлозиви, а в рамките на Постоянния комитет по прекурсорите вече се състоя първи обмен на становища.</w:t>
      </w:r>
    </w:p>
    <w:p>
      <w:pPr>
        <w:numPr>
          <w:ilvl w:val="0"/>
          <w:numId w:val="21"/>
        </w:numPr>
        <w:spacing w:after="240" w:line="240" w:lineRule="auto"/>
        <w:ind w:left="714" w:hanging="714"/>
        <w:contextualSpacing/>
        <w:jc w:val="both"/>
        <w:rPr>
          <w:rFonts w:ascii="Times New Roman" w:hAnsi="Times New Roman" w:cs="Times New Roman"/>
          <w:noProof/>
          <w:sz w:val="24"/>
          <w:szCs w:val="24"/>
        </w:rPr>
      </w:pPr>
      <w:r>
        <w:rPr>
          <w:rFonts w:ascii="Times New Roman" w:hAnsi="Times New Roman"/>
          <w:noProof/>
          <w:sz w:val="24"/>
        </w:rPr>
        <w:t>Ускоряване на прегледа на сценариите за заплаха и анализ на съществуващите методи за откриване, за да се подобри разкриването на химически заплахи с цел разработване на оперативни насоки за държавите членки за увеличаване на техните способности за откриване. За това беше създадена посочената по-горе специална експертна група за справяне с нововъзникващите химически заплахи. В по-дългосрочен план работата на тази група може да проправи пътя към стандартизиране на апаратурата за откриване.</w:t>
      </w:r>
    </w:p>
    <w:p>
      <w:pPr>
        <w:numPr>
          <w:ilvl w:val="0"/>
          <w:numId w:val="21"/>
        </w:numPr>
        <w:spacing w:before="240" w:after="240" w:line="240" w:lineRule="auto"/>
        <w:ind w:left="714" w:hanging="714"/>
        <w:jc w:val="both"/>
        <w:rPr>
          <w:rFonts w:ascii="Times New Roman" w:hAnsi="Times New Roman" w:cs="Times New Roman"/>
          <w:noProof/>
          <w:sz w:val="24"/>
          <w:szCs w:val="24"/>
        </w:rPr>
      </w:pPr>
      <w:r>
        <w:rPr>
          <w:rFonts w:ascii="Times New Roman" w:hAnsi="Times New Roman"/>
          <w:noProof/>
          <w:sz w:val="24"/>
        </w:rPr>
        <w:t>Повишаване на осведомеността на екипите за първоначално реагиране, по-конкретно правоприлагащия персонал и персонала на гражданска защита, за да могат те да разпознават ранните признаци на химическо нападение и да реагират по подходящ начин.</w:t>
      </w: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ПРОТИВОДЕЙСТВИЕ НА РАДИКАЛИЗАЦИЯТА</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Борба с терористичното съдържание онлайн</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Вземането на мерки във връзка с терористичното съдържание онлайн продължава да е ключово предизвикателство за предотвратяването на радикализацията. След приемането на препоръката на Комисията от 1 март 2018 г.</w:t>
      </w:r>
      <w:r>
        <w:rPr>
          <w:rFonts w:ascii="Times New Roman" w:hAnsi="Times New Roman"/>
          <w:noProof/>
          <w:sz w:val="24"/>
          <w:vertAlign w:val="superscript"/>
        </w:rPr>
        <w:footnoteReference w:id="14"/>
      </w:r>
      <w:r>
        <w:rPr>
          <w:rFonts w:ascii="Times New Roman" w:hAnsi="Times New Roman"/>
          <w:noProof/>
          <w:sz w:val="24"/>
        </w:rPr>
        <w:t xml:space="preserve"> относно </w:t>
      </w:r>
      <w:r>
        <w:rPr>
          <w:rFonts w:ascii="Times New Roman" w:hAnsi="Times New Roman"/>
          <w:b/>
          <w:noProof/>
          <w:sz w:val="24"/>
        </w:rPr>
        <w:t>борбата с незаконното съдържание онлайн</w:t>
      </w:r>
      <w:r>
        <w:rPr>
          <w:rFonts w:ascii="Times New Roman" w:hAnsi="Times New Roman"/>
          <w:noProof/>
          <w:sz w:val="24"/>
        </w:rPr>
        <w:t xml:space="preserve"> бе дадено начало на процес на докладване, за който се призовава в препоръката, за да се наблюдават усилията както на промишлеността и </w:t>
      </w:r>
      <w:r>
        <w:rPr>
          <w:rFonts w:ascii="Times New Roman" w:hAnsi="Times New Roman"/>
          <w:noProof/>
          <w:sz w:val="24"/>
        </w:rPr>
        <w:lastRenderedPageBreak/>
        <w:t xml:space="preserve">държавите членки, така и на ключови партньори като Европол, за намаляване на достъпа до терористично съдържание онлайн.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Първоначалните заключения от този първи процес на докладване въз основа на съгласувани показатели, определени в рамките на интернет форума на ЕС — той обхваща общо 13 компании, като включва компаниите на основните социални медии</w:t>
      </w:r>
      <w:r>
        <w:rPr>
          <w:rStyle w:val="FootnoteReference"/>
          <w:rFonts w:ascii="Times New Roman" w:hAnsi="Times New Roman"/>
          <w:noProof/>
          <w:sz w:val="24"/>
        </w:rPr>
        <w:footnoteReference w:id="15"/>
      </w:r>
      <w:r>
        <w:rPr>
          <w:rFonts w:ascii="Times New Roman" w:hAnsi="Times New Roman"/>
          <w:noProof/>
          <w:sz w:val="24"/>
        </w:rPr>
        <w:t xml:space="preserve">, 20 държави от ЕС и Европол — показват определен напредък по отношение на прозрачността, тъй като бе получена повече информация от повече компании, включително такива, които преди не бяха участвали в интернет форума на ЕС.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допълнение, повече компании предприемат проактивни мерки за идентифициране на терористично съдържание и по-голям обем такова съдържание се премахва. Компаниите, които са разработили автоматични инструменти за идентифициране на терористично съдържание (включително такова, което е премахнато преди), успяха да ускорят премахването на терористично съдържание на своите платформи, откривайки и премахвайки значителен обем архивирани материали. Базата данни с кодове за сегментиране (хеш-база данни) — инструмент, създаден от консорциум от компании за улесняване на сътрудничеството за предотвратяване на разпространението на терористично съдържание в платформите — продължава да се разширява, както по отношение на елементите, така и по отношение на обема терористично съдържание, заловено в базата данни. Понастоящем към тази база данни са свързани 13 компании, а тя включва 80 000 хеш кода на изображения и 8000 хеш кода на видео материали. За пръв път някои компании предоставиха коментари относно ефекта на хеш-базата данни във връзка с отстранено съдържание, но е необходимо тези коментари да се разширят и да бъдат по-подробни и систематични за всички платформи.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Подаването на сигнали от държавите членки също остава важен компонент от реагирането. Броят държави членки, подаващи сигнали за терористично съдържание към интернет компаниите, продължава да нараства, а звеното на Европол за сигнализиране за незаконно съдържание в интернет не спира да търси начини за подобряване на сигнализирането в ЕС, по-специално чрез координиране и опростяване на процеса. През последното тримесечие на 2017 г. звеното на ЕС за сигнализиране за незаконно съдържание в интернет е стартирало 8103 решения за сигнализиране, а 89 % от обектите на сигнализиране са отстранени. През първото тримесечие на 2018 г. са стартирани 5708 решения за сигнализиране към повече на брой по-малки и по-малко известни компании, като равнището на успеваемост е било 61 %. За онези компании, които имат дългосрочен ангажимент със звената за сигнализиране на незаконно съдържание в интернет, успеваемостта в отстраняването на такова съдържание остава стабилна — в повечето случаи между 90 % и 100 %. Скоростта на реагиране на сигналите от страна на компаниите е различна за различните платформи и варира от по-малко от час до няколко дни.</w:t>
      </w:r>
      <w:r>
        <w:rPr>
          <w:noProof/>
        </w:rPr>
        <w:t xml:space="preserve"> </w:t>
      </w:r>
      <w:r>
        <w:rPr>
          <w:rFonts w:ascii="Times New Roman" w:hAnsi="Times New Roman"/>
          <w:noProof/>
          <w:sz w:val="24"/>
        </w:rPr>
        <w:t>Необходимо е големите и малките компании да увеличат още повече бързината си на реагиране, за да отговорят адекватно на препоръката за отстраняване на терористично съдържание в рамките на един час след сигнализирането.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Още не са въведени механизми за пълна и систематична обратна връзка по отношение на подаването на сигнали, въпреки че държавите членки съобщават, че получават потвърждения за получаване и някои потвърждения за действия от страна на няколко компании. Само една компания дава пълна информация относно получаването, точното </w:t>
      </w:r>
      <w:r>
        <w:rPr>
          <w:rFonts w:ascii="Times New Roman" w:hAnsi="Times New Roman"/>
          <w:noProof/>
          <w:sz w:val="24"/>
        </w:rPr>
        <w:lastRenderedPageBreak/>
        <w:t xml:space="preserve">време и действията. За да се подобрят сътрудничеството и координацията между правоприлагащите органи и компаниите, звеното на ЕС за сигнализиране за незаконно съдържание в интернет създаде през 2016 г. приложение за управление на сигнализирането в интернет. Досега към тази платформа са се присъединили три държави членки, а други са изразили интерес.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започна оценка на въздействието, за да определи дали сегашният подход е достатъчен или са необходими допълнителни мерки, за да се гарантира бързото и активно разкриване и отстраняване на незаконно съдържание онлайн, включително възможни законодателни мерки за допълване на съществуващата нормативна уредба. Докладването съгласно препоръката ще се използва при тази оценка.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Звеното на Европол за сигнализиране за незаконно съдържание в интернет в ЕС бе начело на координирани многонационални действия против пропагандната машина на Даеш с участието на шест държави членки, а също и на САЩ и Канада. Тези съвместни усилия — кулминация на над двегодишна работа с участието на 29 държави — не само силно нарушиха пропагандната дейност и инфраструктура на Даеш, но и доведоха до конфискуване на значителен обем дигитални доказателства.</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i/>
          <w:noProof/>
          <w:sz w:val="24"/>
        </w:rPr>
        <w:t xml:space="preserve"> Действия в отговор на препоръките на Експертната група на високо равнище по въпросите на радикализацията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Успоредно с усилията за борба с терористичното съдържание онлайн работата на равнище ЕС продължава да подпомага предотвратяването на радикализация в държавите членки и в техните местни общности. Експертната група на високо равнище, създадена</w:t>
      </w:r>
      <w:r>
        <w:rPr>
          <w:rFonts w:ascii="Times New Roman" w:hAnsi="Times New Roman"/>
          <w:noProof/>
          <w:sz w:val="24"/>
          <w:vertAlign w:val="superscript"/>
        </w:rPr>
        <w:footnoteReference w:id="16"/>
      </w:r>
      <w:r>
        <w:rPr>
          <w:rFonts w:ascii="Times New Roman" w:hAnsi="Times New Roman"/>
          <w:noProof/>
          <w:sz w:val="24"/>
        </w:rPr>
        <w:t xml:space="preserve"> през юли 2017 г. с цел да предоставя препоръки относно начина за подобряване на координацията и сътрудничеството между всички заинтересовани страни, представи своя </w:t>
      </w:r>
      <w:r>
        <w:rPr>
          <w:rFonts w:ascii="Times New Roman" w:hAnsi="Times New Roman"/>
          <w:b/>
          <w:noProof/>
          <w:sz w:val="24"/>
        </w:rPr>
        <w:t>заключителен доклад</w:t>
      </w:r>
      <w:r>
        <w:rPr>
          <w:rStyle w:val="FootnoteReference"/>
          <w:rFonts w:ascii="Times New Roman" w:hAnsi="Times New Roman"/>
          <w:noProof/>
          <w:sz w:val="24"/>
        </w:rPr>
        <w:footnoteReference w:id="17"/>
      </w:r>
      <w:r>
        <w:rPr>
          <w:rFonts w:ascii="Times New Roman" w:hAnsi="Times New Roman"/>
          <w:b/>
          <w:noProof/>
          <w:sz w:val="24"/>
        </w:rPr>
        <w:t xml:space="preserve"> на 18 май 2018 г</w:t>
      </w:r>
      <w:r>
        <w:rPr>
          <w:rFonts w:ascii="Times New Roman" w:hAnsi="Times New Roman"/>
          <w:noProof/>
          <w:sz w:val="24"/>
        </w:rPr>
        <w:t>. Той включва широк кръг препоръки за конкретни действия за справяне с предизвикателствата в такива приоритетни области като радикализацията в затворите (включително последващи действия след освобождаване от затвора и управление на присъдите), комуникациите и онлайн пропагандата, сътрудничеството между заинтересовани страни на местно равнище, образование и социално приобщаване, подпомагане на групи, които имат нужда от особено внимание (включително по-специално по отношение на радикализацията сред младежта и върнатите в своята държава на произход деца), както и външното измерение. Признавайки добавената стойност и постиженията на такива инициативи на ЕС като Мрежата за осведоменост по въпросите на радикализацията (RAN), Европейската мрежа за статистически комуникации (ESCN) и интернет форума на ЕС, докладът призовава за засилване на тези инициативи и за координация между тях, като същевременно се създават по-близки връзки между всички участващи заинтересовани лица, включително практикуващи специалисти на първа линия, лица, вземащи политически решения, и изследователи. В доклада се подчертава, че е важно действията на равнище ЕС да отговарят в по-голяма степен на нуждите на държавите членки.</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Комисията приветства заключителния доклад, тъй като в него се определят области, изискващи незабавно действие в рамките на държавите членки и на равнище ЕС. По-конкретно Комисията ще предприеме действия в отговор на препоръката за създаване на механизъм на ЕС за сътрудничество, за да се осигури по-активно участие на държавите членки в работата против радикализацията. Този механизъм на ЕС за сътрудничество ще се състои от нов управителен съвет, съставен от държавите членки, и структура за координация и подпомагане във връзка с радикализацията, която ще бъде създадена в Комисията.</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предприеме </w:t>
      </w:r>
      <w:r>
        <w:rPr>
          <w:rFonts w:ascii="Times New Roman" w:hAnsi="Times New Roman"/>
          <w:b/>
          <w:noProof/>
          <w:sz w:val="24"/>
        </w:rPr>
        <w:t>незабавни стъпки</w:t>
      </w:r>
      <w:r>
        <w:rPr>
          <w:rFonts w:ascii="Times New Roman" w:hAnsi="Times New Roman"/>
          <w:noProof/>
          <w:sz w:val="24"/>
        </w:rPr>
        <w:t xml:space="preserve"> за изпълнение на препоръките на експертната група:</w:t>
      </w:r>
    </w:p>
    <w:p>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noProof/>
          <w:sz w:val="24"/>
        </w:rPr>
        <w:t>На първо място, като приеме решение за създаване на управителен съвет, съставен от държавите членки (в който като наблюдатели ще участват координаторът на ЕС за борбата с тероризма и Европейската служба за външна дейност), за да се гарантира по-голямо съответствие на действията на ЕС в тази област с нуждите и политическите приоритети в държавите членки, и да се предостави на държавите членки възможността да участват по-активно в определянето на стратегическите насоки. Предвижда се първото заседание на управителния съвет да се проведе най-късно през ноември 2018 г.</w:t>
      </w:r>
    </w:p>
    <w:p>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второ място, като се създаде структура за засилена координация и подкрепа в Комисията в съответствие с наличните в момента ограничени ресурси. Приносът на държавите членки за набиране на необходимата експертна информация би бил особено важен за постигане на целите, определени в заключителния доклад. За целта Комисията приканва държавите членки да представят предложения за временни безплатни назначения на специалисти от други организации в структурата за координация и подкрепа. Заедно с управителния съвет тази структура ще осигури механизма на ЕС за сътрудничество за противодействие на радикализацията. </w:t>
      </w:r>
    </w:p>
    <w:p>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noProof/>
          <w:sz w:val="24"/>
        </w:rPr>
        <w:t>На трето място, като свика преди октомври 2018 г. среща на мрежата на създателите на политики за превенция на национално равнище, за да се улесни по-нататъшният обмен между държавите членки и да се обсъдят последващи действия.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взема под внимание препоръката на експертната група за оценка в рамките на 2019 г. на механизма на ЕС за сътрудничество за противодействие на радикализацията и ще се стреми да представи резултатите от тази оценка най-късно до декември 2019 г., като отчита, че е възможно към този момент предложените мерки все още да не са изцяло изпълнени.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областта на образованието, Съветът по образование, младеж, култура и спорт прие на 22 май 2018 г. препоръка</w:t>
      </w:r>
      <w:r>
        <w:rPr>
          <w:rStyle w:val="FootnoteReference"/>
          <w:rFonts w:ascii="Times New Roman" w:hAnsi="Times New Roman"/>
          <w:noProof/>
          <w:sz w:val="24"/>
        </w:rPr>
        <w:footnoteReference w:id="18"/>
      </w:r>
      <w:r>
        <w:rPr>
          <w:rFonts w:ascii="Times New Roman" w:hAnsi="Times New Roman"/>
          <w:noProof/>
          <w:sz w:val="24"/>
        </w:rPr>
        <w:t xml:space="preserve"> относно насърчаването на общи ценности в училищата, за да се създаде по-силно чувство на принадлежност на местно и национално равнище, както бе предложила Комисията</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В тази препоръка се призовават страните членки да </w:t>
      </w:r>
      <w:r>
        <w:rPr>
          <w:rFonts w:ascii="Times New Roman" w:hAnsi="Times New Roman"/>
          <w:noProof/>
          <w:sz w:val="24"/>
        </w:rPr>
        <w:lastRenderedPageBreak/>
        <w:t xml:space="preserve">предприемат по-нататъшни мерки за </w:t>
      </w:r>
      <w:r>
        <w:rPr>
          <w:rFonts w:ascii="Times New Roman" w:hAnsi="Times New Roman"/>
          <w:b/>
          <w:noProof/>
          <w:sz w:val="24"/>
        </w:rPr>
        <w:t>укрепване на критичното мислене и медийната грамотност в училищата</w:t>
      </w:r>
      <w:r>
        <w:rPr>
          <w:rFonts w:ascii="Times New Roman" w:hAnsi="Times New Roman"/>
          <w:noProof/>
          <w:sz w:val="24"/>
        </w:rPr>
        <w:t>.</w:t>
      </w:r>
    </w:p>
    <w:p>
      <w:pPr>
        <w:rPr>
          <w:rFonts w:ascii="Times New Roman" w:hAnsi="Times New Roman"/>
          <w:b/>
          <w:noProof/>
          <w:sz w:val="24"/>
        </w:rPr>
      </w:pPr>
      <w:r>
        <w:rPr>
          <w:rFonts w:ascii="Times New Roman" w:hAnsi="Times New Roman"/>
          <w:b/>
          <w:noProof/>
          <w:sz w:val="24"/>
        </w:rPr>
        <w:br w:type="page"/>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lastRenderedPageBreak/>
        <w:t xml:space="preserve">IV. КОНКРЕТНИ КРАТКОСРОЧНИ МЕРКИ ЗА ПОВИШАВАНЕ НА СИГУРНОСТТА НА ПЪТНИЧЕСКИЯ ЖЕЛЕЗОПЪТЕН ТРАНСПОРТ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Транспортните възли, както и железопътните линии и влаковете, са мишени с високо ниво на риска, тъй като тяхната инфраструктура е проектирана да бъде отворена</w:t>
      </w:r>
      <w:r>
        <w:rPr>
          <w:rFonts w:ascii="Times New Roman" w:hAnsi="Times New Roman"/>
          <w:noProof/>
          <w:sz w:val="24"/>
          <w:vertAlign w:val="superscript"/>
        </w:rPr>
        <w:footnoteReference w:id="20"/>
      </w:r>
      <w:r>
        <w:rPr>
          <w:rFonts w:ascii="Times New Roman" w:hAnsi="Times New Roman"/>
          <w:noProof/>
          <w:sz w:val="24"/>
        </w:rPr>
        <w:t>. Понастоящем 26 милиона пътници се качват на влак в Европа всеки ден, като се очаква до 2050 г. пътуванията с влак да нараснат с около 80 %. Защитата на пътниците, работниците и инфраструктурата от постоянно променящите се заплахи за сигурността е важно и постоянно предизвикателство. Европейският железопътен транспорт трябва да остане безопасен и сигурен.</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Европа се нуждае от </w:t>
      </w:r>
      <w:r>
        <w:rPr>
          <w:rFonts w:ascii="Times New Roman" w:hAnsi="Times New Roman"/>
          <w:b/>
          <w:noProof/>
          <w:sz w:val="24"/>
        </w:rPr>
        <w:t>модерна система за сигурност на железопътния транспорт</w:t>
      </w:r>
      <w:r>
        <w:rPr>
          <w:rFonts w:ascii="Times New Roman" w:hAnsi="Times New Roman"/>
          <w:noProof/>
          <w:sz w:val="24"/>
        </w:rPr>
        <w:t xml:space="preserve">, основана на оценка на риска и позволяваща бърз и пропорционален отговор на новите заплахи, като същевременно железопътните превози остават достъпни. За да гарантират повишено равнище на сигурност, като запазят европейските железници достъпни и отворени за пътници и избягват излишните пречки за вътрешния пазар, държавите членки следва да подобрят обмена на информация и да повишат равнището на осведомеността, готовността и капацитета си за реагиране на терористични инциденти. Мерките, въведени от отделни държави членки без координация с останалите, може да създадат пречки и да генерират разходи поради удължено време за пътуване, отмяна на влакове, прекомерен брой пътници и по тази причина — затруднен достъп до железопътните възли.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Необходими са</w:t>
      </w:r>
      <w:r>
        <w:rPr>
          <w:rFonts w:ascii="Times New Roman" w:hAnsi="Times New Roman"/>
          <w:b/>
          <w:noProof/>
          <w:sz w:val="24"/>
        </w:rPr>
        <w:t xml:space="preserve"> равностойни равнища на сигурност за пътниците, използващи железопътен транспорт в ЕС, в различните държави и при различните превозвачи</w:t>
      </w:r>
      <w:r>
        <w:rPr>
          <w:rFonts w:ascii="Times New Roman" w:hAnsi="Times New Roman"/>
          <w:noProof/>
          <w:sz w:val="24"/>
        </w:rPr>
        <w:t xml:space="preserve">. Действията на равнище ЕС за осигуряване на трансгранична координация на всички участници може да допринесат за последователна защита на сигурността навсякъде в ЕС.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 тази причина Комисията предлага да бъдат предприети някои </w:t>
      </w:r>
      <w:r>
        <w:rPr>
          <w:rFonts w:ascii="Times New Roman" w:hAnsi="Times New Roman"/>
          <w:b/>
          <w:noProof/>
          <w:sz w:val="24"/>
        </w:rPr>
        <w:t>конкретни</w:t>
      </w:r>
      <w:r>
        <w:rPr>
          <w:rFonts w:ascii="Times New Roman" w:hAnsi="Times New Roman"/>
          <w:noProof/>
          <w:sz w:val="24"/>
        </w:rPr>
        <w:t xml:space="preserve"> </w:t>
      </w:r>
      <w:r>
        <w:rPr>
          <w:rFonts w:ascii="Times New Roman" w:hAnsi="Times New Roman"/>
          <w:b/>
          <w:noProof/>
          <w:sz w:val="24"/>
        </w:rPr>
        <w:t xml:space="preserve">краткосрочни действия за повишаване на сигурността на пътуващите с железопътен транспорт в ЕС </w:t>
      </w:r>
      <w:r>
        <w:rPr>
          <w:rFonts w:ascii="Times New Roman" w:hAnsi="Times New Roman"/>
          <w:noProof/>
          <w:sz w:val="24"/>
        </w:rPr>
        <w:t>(виж приложение I)</w:t>
      </w:r>
      <w:r>
        <w:rPr>
          <w:rFonts w:ascii="Times New Roman" w:hAnsi="Times New Roman"/>
          <w:b/>
          <w:noProof/>
          <w:sz w:val="24"/>
        </w:rPr>
        <w:t xml:space="preserve">. </w:t>
      </w:r>
      <w:r>
        <w:rPr>
          <w:rFonts w:ascii="Times New Roman" w:hAnsi="Times New Roman"/>
          <w:noProof/>
          <w:sz w:val="24"/>
        </w:rPr>
        <w:t>Приетият на 18 октомври 2017 г. антитерористичен пакет на ЕС включва мерки за повишаване на защитата на обществените пространства</w:t>
      </w:r>
      <w:r>
        <w:rPr>
          <w:rFonts w:ascii="Times New Roman" w:hAnsi="Times New Roman"/>
          <w:noProof/>
          <w:sz w:val="24"/>
          <w:vertAlign w:val="superscript"/>
        </w:rPr>
        <w:footnoteReference w:id="21"/>
      </w:r>
      <w:r>
        <w:rPr>
          <w:rFonts w:ascii="Times New Roman" w:hAnsi="Times New Roman"/>
          <w:noProof/>
          <w:sz w:val="24"/>
        </w:rPr>
        <w:t xml:space="preserve">, а въпросните действия се основават на тези мерки и на </w:t>
      </w:r>
      <w:r>
        <w:rPr>
          <w:rFonts w:ascii="Times New Roman" w:hAnsi="Times New Roman"/>
          <w:noProof/>
          <w:color w:val="000000" w:themeColor="text1"/>
          <w:sz w:val="24"/>
        </w:rPr>
        <w:t>специални проучвания, които сочат, че би трябвало да се предприемат стъпки за повишаване на сигурността и устойчивостта на железниците в ЕС, и по-специално на международните превози</w:t>
      </w:r>
      <w:r>
        <w:rPr>
          <w:rFonts w:ascii="Times New Roman" w:hAnsi="Times New Roman"/>
          <w:noProof/>
          <w:sz w:val="24"/>
        </w:rPr>
        <w:t>.</w:t>
      </w:r>
      <w:r>
        <w:rPr>
          <w:rFonts w:ascii="Times New Roman" w:hAnsi="Times New Roman"/>
          <w:noProof/>
          <w:color w:val="000000" w:themeColor="text1"/>
          <w:sz w:val="24"/>
          <w:vertAlign w:val="superscript"/>
        </w:rPr>
        <w:footnoteReference w:id="22"/>
      </w:r>
      <w:r>
        <w:rPr>
          <w:rFonts w:ascii="Times New Roman" w:hAnsi="Times New Roman"/>
          <w:noProof/>
          <w:color w:val="000000" w:themeColor="text1"/>
          <w:sz w:val="24"/>
        </w:rPr>
        <w:t xml:space="preserve"> Тези действия отразяват също така резултатите от оценката на риска, направена от Комисията, държавите членки и Центъра на ЕС за анализ на информация (INTCEN).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Определените действия се изпълняват</w:t>
      </w:r>
      <w:r>
        <w:rPr>
          <w:rFonts w:ascii="Times New Roman" w:hAnsi="Times New Roman"/>
          <w:b/>
          <w:noProof/>
          <w:color w:val="000000" w:themeColor="text1"/>
          <w:sz w:val="24"/>
        </w:rPr>
        <w:t xml:space="preserve"> както на равнище ЕС, така и на национално равнище, и целят повишаване на сигурността на железопътните превози.</w:t>
      </w:r>
      <w:r>
        <w:rPr>
          <w:rFonts w:ascii="Times New Roman" w:hAnsi="Times New Roman"/>
          <w:noProof/>
          <w:color w:val="000000" w:themeColor="text1"/>
          <w:sz w:val="24"/>
        </w:rPr>
        <w:t xml:space="preserve"> На равнище ЕС Комисията предлага да бъдат създадени платформа за сигурност на </w:t>
      </w:r>
      <w:r>
        <w:rPr>
          <w:rFonts w:ascii="Times New Roman" w:hAnsi="Times New Roman"/>
          <w:noProof/>
          <w:color w:val="000000" w:themeColor="text1"/>
          <w:sz w:val="24"/>
        </w:rPr>
        <w:lastRenderedPageBreak/>
        <w:t xml:space="preserve">пътническия железопътен транспорт в ЕС и условия за ефективно сътрудничество и да се предложат препоръки за подпомагане на държавите членки ефективно да координират действията за сигурност на железопътните превози. Платформата ще подпомага събирането и обмена на жизненоважна информация за сигурността в железопътния транспорт, за оптимизирането на сигурността на трансграничните железопътни превози и определянето на механизъм за координация, за да се избегнат едностранни решения на национално равнище. Тя също така ще помага на държавите членки и на заинтересованите страни в сектора на железопътния транспорт съвместно да оценяват новите заплахи и свързаните със сигурността инциденти и да предприемат подходящи и координирани ответни действия. В допълнение Комисията ще разработи — в тясно сътрудничество с държавите членки, с Европейската служба за външна дейност и със съответните агенции — обща методика за оценка на риска за сигурността на железопътните превози на равнище ЕС.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Предложените действия ще бъдат изпробвани на практика.</w:t>
      </w:r>
      <w:r>
        <w:rPr>
          <w:rFonts w:ascii="Times New Roman" w:hAnsi="Times New Roman"/>
          <w:b/>
          <w:noProof/>
          <w:sz w:val="24"/>
        </w:rPr>
        <w:t xml:space="preserve"> </w:t>
      </w:r>
      <w:r>
        <w:rPr>
          <w:rFonts w:ascii="Times New Roman" w:hAnsi="Times New Roman"/>
          <w:noProof/>
          <w:sz w:val="24"/>
        </w:rPr>
        <w:t xml:space="preserve">Комисията ще организира ежегодни дейности за изпробване на ефективността на този механизъм при различни сценарии. </w:t>
      </w:r>
      <w:r>
        <w:rPr>
          <w:rFonts w:ascii="Times New Roman" w:hAnsi="Times New Roman"/>
          <w:noProof/>
          <w:color w:val="000000" w:themeColor="text1"/>
          <w:sz w:val="24"/>
        </w:rPr>
        <w:t>Изпробването може да се свърже със съществуващите подпомагани от ЕС учения на полицейските сили на железниците. Комисията ще докладва за изпълнението на тези действия и може да обмисли всякакви подходящи мерки, съответстващи на принципите на по-доброто регулиране, за да се подобрят тези действия или да се коригират установени недостатъци.</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V. ИЗПЪЛНЕНИЕ НА ДРУГИ ПРИОРИТЕТНИ ДОСИЕТА ВЪВ ВРЪЗКА СЪС СИГУРНОСТТА</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Към оперативна съвместимост на информационните системи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Работейки за изграждането на по-ефективни и интелигентни информационни системи за управление на сигурността, границите и миграцията, ЕС взема мерки за отстраняване на недостатъците в управлението и за обмен на информация в ЕС като спешен и първостепенно важен въпрос. Най-важни в това отношение са предложенията на Комисията от декември 2017 г.</w:t>
      </w:r>
      <w:r>
        <w:rPr>
          <w:rStyle w:val="FootnoteReference"/>
          <w:rFonts w:ascii="Times New Roman" w:hAnsi="Times New Roman"/>
          <w:noProof/>
          <w:sz w:val="24"/>
        </w:rPr>
        <w:footnoteReference w:id="23"/>
      </w:r>
      <w:r>
        <w:rPr>
          <w:rFonts w:ascii="Times New Roman" w:hAnsi="Times New Roman"/>
          <w:noProof/>
          <w:sz w:val="24"/>
        </w:rPr>
        <w:t xml:space="preserve"> относно оперативната съвместимост на информационните системи, които Европейският парламент и Съветът все още разглеждат. В Съвместната декларация относно законодателните приоритети на ЕС трите институции изразяват единодушието си по отношение на общата цел да се постигне съгласие по тези предложения преди края на 2018 г. По тази причина, както бе оповестено по-рано</w:t>
      </w:r>
      <w:r>
        <w:rPr>
          <w:rStyle w:val="FootnoteReference"/>
          <w:rFonts w:ascii="Times New Roman" w:hAnsi="Times New Roman"/>
          <w:noProof/>
          <w:sz w:val="24"/>
        </w:rPr>
        <w:footnoteReference w:id="24"/>
      </w:r>
      <w:r>
        <w:rPr>
          <w:rFonts w:ascii="Times New Roman" w:hAnsi="Times New Roman"/>
          <w:noProof/>
          <w:sz w:val="24"/>
        </w:rPr>
        <w:t xml:space="preserve">, </w:t>
      </w:r>
      <w:r>
        <w:rPr>
          <w:rFonts w:ascii="Times New Roman" w:hAnsi="Times New Roman"/>
          <w:b/>
          <w:noProof/>
          <w:sz w:val="24"/>
        </w:rPr>
        <w:t>заедно с настоящия доклад Комисията представи за обсъждане две изменени предложения относно оперативната съвместимост</w:t>
      </w:r>
      <w:r>
        <w:rPr>
          <w:rFonts w:ascii="Times New Roman" w:hAnsi="Times New Roman"/>
          <w:noProof/>
          <w:sz w:val="24"/>
        </w:rPr>
        <w:t xml:space="preserve">, които включват необходимите изменения в предложенията от декември 2017 г. за оперативната съвместимост. Измененията са свързани с правните инструменти, по </w:t>
      </w:r>
      <w:r>
        <w:rPr>
          <w:rFonts w:ascii="Times New Roman" w:hAnsi="Times New Roman"/>
          <w:noProof/>
          <w:sz w:val="24"/>
        </w:rPr>
        <w:lastRenderedPageBreak/>
        <w:t>които тогава все още се преговаряше. Комисията приканва съзаконодателите да включат изменените предложения в продължаващото разглеждане на предложенията във връзка с оперативната съвместимост, за да се пристъпи към тристранни преговори без ненужно забавяне.</w:t>
      </w:r>
    </w:p>
    <w:p>
      <w:pPr>
        <w:spacing w:after="240" w:line="240" w:lineRule="auto"/>
        <w:jc w:val="both"/>
        <w:rPr>
          <w:rFonts w:ascii="Times New Roman" w:hAnsi="Times New Roman" w:cs="Times New Roman"/>
          <w:noProof/>
          <w:sz w:val="24"/>
          <w:szCs w:val="24"/>
          <w:u w:val="single"/>
        </w:rPr>
      </w:pPr>
      <w:r>
        <w:rPr>
          <w:rFonts w:ascii="Times New Roman" w:hAnsi="Times New Roman"/>
          <w:noProof/>
          <w:sz w:val="24"/>
        </w:rPr>
        <w:t xml:space="preserve">Изменените предложения отразяват напредъка, постигнат напоследък от Европейския парламент и Съвета, по законодателните предложения за информационни системи на ЕС за управление на сигурността, границите и миграцията. На 25 април 2018 г. съзаконодателите постигнаха окончателно политическо съгласие за създаването на </w:t>
      </w:r>
      <w:r>
        <w:rPr>
          <w:rFonts w:ascii="Times New Roman" w:hAnsi="Times New Roman"/>
          <w:b/>
          <w:noProof/>
          <w:sz w:val="24"/>
        </w:rPr>
        <w:t>система на ЕС за информация за пътуванията и разрешаването им (ETIAS)</w:t>
      </w:r>
      <w:r>
        <w:rPr>
          <w:rStyle w:val="FootnoteReference"/>
          <w:rFonts w:ascii="Times New Roman" w:hAnsi="Times New Roman"/>
          <w:noProof/>
          <w:sz w:val="24"/>
        </w:rPr>
        <w:footnoteReference w:id="25"/>
      </w:r>
      <w:r>
        <w:rPr>
          <w:rFonts w:ascii="Times New Roman" w:hAnsi="Times New Roman"/>
          <w:noProof/>
          <w:sz w:val="24"/>
        </w:rPr>
        <w:t>, която ще позволява извършване на предварителни проверки на лица, пътуващи безвизово в ЕС, във връзка с незаконната миграция и сигурността. На 12 юни 2018 г. съзаконодателите постигнаха политическо съгласие и по трите законодателни предложения</w:t>
      </w:r>
      <w:r>
        <w:rPr>
          <w:rStyle w:val="FootnoteReference"/>
          <w:rFonts w:ascii="Times New Roman" w:hAnsi="Times New Roman"/>
          <w:noProof/>
          <w:sz w:val="24"/>
        </w:rPr>
        <w:footnoteReference w:id="26"/>
      </w:r>
      <w:r>
        <w:rPr>
          <w:rFonts w:ascii="Times New Roman" w:hAnsi="Times New Roman"/>
          <w:noProof/>
          <w:sz w:val="24"/>
        </w:rPr>
        <w:t xml:space="preserve"> за укрепване на </w:t>
      </w:r>
      <w:r>
        <w:rPr>
          <w:rFonts w:ascii="Times New Roman" w:hAnsi="Times New Roman"/>
          <w:b/>
          <w:noProof/>
          <w:sz w:val="24"/>
        </w:rPr>
        <w:t>Шенгенската информационна система</w:t>
      </w:r>
      <w:r>
        <w:rPr>
          <w:rFonts w:ascii="Times New Roman" w:hAnsi="Times New Roman"/>
          <w:noProof/>
          <w:sz w:val="24"/>
        </w:rPr>
        <w:t xml:space="preserve"> — най-масово използваната система за обмен на информация за управление на сигурността и границите в Европа. Това ще допринесе за подобряване на сигурността на европейските граждани — като се повиши способността на системата за борба с тероризма и трансграничната престъпност, подобри се управлението на границите и миграцията и се осигури ефективен обмен на информация между държавите членки. Освен това на 24 май 2018 г. съзаконодателите постигнаха политическо съгласие за законодателно предложение</w:t>
      </w:r>
      <w:r>
        <w:rPr>
          <w:rStyle w:val="FootnoteReference"/>
          <w:rFonts w:ascii="Times New Roman" w:hAnsi="Times New Roman"/>
          <w:noProof/>
          <w:sz w:val="24"/>
        </w:rPr>
        <w:footnoteReference w:id="27"/>
      </w:r>
      <w:r>
        <w:rPr>
          <w:rFonts w:ascii="Times New Roman" w:hAnsi="Times New Roman"/>
          <w:noProof/>
          <w:sz w:val="24"/>
        </w:rPr>
        <w:t xml:space="preserve"> за укрепване на </w:t>
      </w:r>
      <w:r>
        <w:rPr>
          <w:rFonts w:ascii="Times New Roman" w:hAnsi="Times New Roman"/>
          <w:b/>
          <w:noProof/>
          <w:sz w:val="24"/>
        </w:rPr>
        <w:t>eu-LISA — Европейската агенция за оперативното управление на широкомащабни информационни системи</w:t>
      </w:r>
      <w:r>
        <w:rPr>
          <w:rFonts w:ascii="Times New Roman" w:hAnsi="Times New Roman"/>
          <w:noProof/>
          <w:sz w:val="24"/>
        </w:rPr>
        <w:t xml:space="preserve"> в пространството на свобода, сигурност и правосъдие. Засиленият мандат ще даде възможност на агенцията да разработи и пусне в действие техническите решения, които ще направят съответните информационни системи оперативно съвместими. Постигнатото съгласие по тези три инициативи и осъщественият напредък в обсъжданията на законодателното предложение</w:t>
      </w:r>
      <w:r>
        <w:rPr>
          <w:rStyle w:val="FootnoteReference"/>
          <w:rFonts w:ascii="Times New Roman" w:hAnsi="Times New Roman"/>
          <w:noProof/>
          <w:sz w:val="24"/>
        </w:rPr>
        <w:footnoteReference w:id="28"/>
      </w:r>
      <w:r>
        <w:rPr>
          <w:rFonts w:ascii="Times New Roman" w:hAnsi="Times New Roman"/>
          <w:noProof/>
          <w:sz w:val="24"/>
        </w:rPr>
        <w:t xml:space="preserve"> за разширяване на </w:t>
      </w:r>
      <w:r>
        <w:rPr>
          <w:rFonts w:ascii="Times New Roman" w:hAnsi="Times New Roman"/>
          <w:b/>
          <w:noProof/>
          <w:sz w:val="24"/>
        </w:rPr>
        <w:t>Европейската информационна система за регистрите за съдимост</w:t>
      </w:r>
      <w:r>
        <w:rPr>
          <w:rFonts w:ascii="Times New Roman" w:hAnsi="Times New Roman"/>
          <w:noProof/>
          <w:sz w:val="24"/>
        </w:rPr>
        <w:t>, така че тя да обхваща и граждани на трети страни, позволиха на Комисията да представи посочените по-горе изменени предложения относно оперативната съвместимост, като включи необходимите изменения, свързани с тези правни инструменти, в предложенията от декември 2017 г. относно оперативната съвместимост.</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Изменените предложения относно оперативната съвместимост не включват измененията, свързани с </w:t>
      </w:r>
      <w:r>
        <w:rPr>
          <w:rFonts w:ascii="Times New Roman" w:hAnsi="Times New Roman"/>
          <w:b/>
          <w:noProof/>
          <w:sz w:val="24"/>
        </w:rPr>
        <w:t>Евродак</w:t>
      </w:r>
      <w:r>
        <w:rPr>
          <w:rFonts w:ascii="Times New Roman" w:hAnsi="Times New Roman"/>
          <w:noProof/>
          <w:sz w:val="24"/>
        </w:rPr>
        <w:t>, европейската база данни в областта на убежището и незаконната миграция, тъй като още не бяха приключили обсъжданията на законодателното предложение</w:t>
      </w:r>
      <w:r>
        <w:rPr>
          <w:rStyle w:val="FootnoteReference"/>
          <w:rFonts w:ascii="Times New Roman" w:hAnsi="Times New Roman"/>
          <w:noProof/>
          <w:sz w:val="24"/>
        </w:rPr>
        <w:footnoteReference w:id="29"/>
      </w:r>
      <w:r>
        <w:rPr>
          <w:rFonts w:ascii="Times New Roman" w:hAnsi="Times New Roman"/>
          <w:noProof/>
          <w:sz w:val="24"/>
        </w:rPr>
        <w:t xml:space="preserve"> от май 2016 г. за укрепване на Евродак. Сегашната архитектура на съществуващата система Евродак е технически неподходяща да стане част от оперативната съвместимост на информационните системи, тъй като тя съхранява само биометрични данни и референтен номер, но не и други лични данни (например име/имена, възраст, дата на раждане), което би дало възможност за откриване на много на брой самоличности, свързани с едни и същи биометрични данни. Законодателното предложение от май 2016 г. е насочено към разширяване на целта на Евродак, така че системата да позволява установяване на самоличността на незаконно пребиваващи граждани на трети държави и на такива, които са влезли в ЕС незаконно. </w:t>
      </w:r>
      <w:r>
        <w:rPr>
          <w:rFonts w:ascii="Times New Roman" w:hAnsi="Times New Roman"/>
          <w:noProof/>
          <w:sz w:val="24"/>
        </w:rPr>
        <w:lastRenderedPageBreak/>
        <w:t xml:space="preserve">По-специално то предвижда съхраняването на лични данни като име/имена, възраст, дата на раждане, националност и документи за самоличност. Тези данни за самоличност са от съществено значение, за да се гарантира, че Евродак ще може да допринесе за целите на оперативната съвместимост и да функционира със своята техническа рамка. Това неизбежно подчертава необходимостта съзаконодателите да постигнат съгласие по законодателното предложение в кратки срокове. Докато няма съгласие относно законодателното предложение за усъвършенстване на Евродак, данните за незаконно пребиваващи граждани на трети страни и за такива, които са влезли в ЕС незаконно, не могат да бъдат част от оперативната съвместимост на информационните системи на ЕС. След като съзаконодателите постигнат съгласие по законодателното предложение за усъвършенстване на Евродак или ако отбележат значителен напредък в това отношение, в рамките на две седмици Комисията ще представи съответните изменения в предложенията относно оперативната съвместимост.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 16 май 2018 г. Комисията представи законодателно предложение</w:t>
      </w:r>
      <w:r>
        <w:rPr>
          <w:rStyle w:val="FootnoteReference"/>
          <w:rFonts w:ascii="Times New Roman" w:hAnsi="Times New Roman"/>
          <w:noProof/>
          <w:sz w:val="24"/>
        </w:rPr>
        <w:footnoteReference w:id="30"/>
      </w:r>
      <w:r>
        <w:rPr>
          <w:rFonts w:ascii="Times New Roman" w:hAnsi="Times New Roman"/>
          <w:noProof/>
          <w:sz w:val="24"/>
        </w:rPr>
        <w:t xml:space="preserve"> за укрепване на </w:t>
      </w:r>
      <w:r>
        <w:rPr>
          <w:rFonts w:ascii="Times New Roman" w:hAnsi="Times New Roman"/>
          <w:b/>
          <w:noProof/>
          <w:sz w:val="24"/>
        </w:rPr>
        <w:t>Визовата информационна система (ВИС)</w:t>
      </w:r>
      <w:r>
        <w:rPr>
          <w:rFonts w:ascii="Times New Roman" w:hAnsi="Times New Roman"/>
          <w:noProof/>
          <w:sz w:val="24"/>
        </w:rPr>
        <w:t>, за да се реагира по-успешно на променящите се предизвикателства във връзка със сигурността и миграцията и да се подобри управлението на външните граници на ЕС. Макар че съществуващата визова информационна система вече е обхваната от предложенията от декември 2017 г. във връзка с оперативната съвместимост, законодателното предложение от май 2018 г. за укрепване на тази система би дало възможност тя да се възползва напълно от предложените решения във връзка с оперативната съвместимост. Предложението предвижда засилени проверки във всички бази данни, за да се избегнат рискове при миграция и рискове за сигурността при издаването на визи и да се засили капацитетът за предотвратяване на престъпления, като по този начин се допринесе за повишаване на сигурността и се елиминират информационните пропуски.</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Изпълнение на Директивата относно резервационните данни на пътниците</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Директивата относно резервационните данни на пътниците (PNR)</w:t>
      </w:r>
      <w:r>
        <w:rPr>
          <w:rStyle w:val="FootnoteReference"/>
          <w:rFonts w:ascii="Times New Roman" w:hAnsi="Times New Roman"/>
          <w:noProof/>
          <w:sz w:val="24"/>
        </w:rPr>
        <w:footnoteReference w:id="31"/>
      </w:r>
      <w:r>
        <w:rPr>
          <w:rFonts w:ascii="Times New Roman" w:hAnsi="Times New Roman"/>
          <w:noProof/>
          <w:sz w:val="24"/>
        </w:rPr>
        <w:t xml:space="preserve"> е от съществено значение за общата реакция на Съюза на заплахата от тероризъм и организирана престъпност. Срокът за прилагането на директивата от държавите членки изтече на 25 май 2018 г. Към 7 юни 2018 г. четиринадесет държави членки са уведомили Комисията за мерките, предприети от тях за транспониране на директивата.</w:t>
      </w:r>
      <w:r>
        <w:rPr>
          <w:rFonts w:ascii="Times New Roman" w:hAnsi="Times New Roman"/>
          <w:noProof/>
          <w:sz w:val="24"/>
          <w:vertAlign w:val="superscript"/>
        </w:rPr>
        <w:footnoteReference w:id="32"/>
      </w:r>
      <w:r>
        <w:rPr>
          <w:rFonts w:ascii="Times New Roman" w:hAnsi="Times New Roman"/>
          <w:noProof/>
          <w:sz w:val="24"/>
        </w:rPr>
        <w:t xml:space="preserve"> Оставащите тринадесет държави членки все още не са съобщили за своите национални мерки за транспониране</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В девет държави членки необходимото законодателство е внесено в парламента за приемане, а в една държава членка вече е прието първичното законодателство за прилагане на директивата, но приемането на вторичното законодателство за постигане на пълно транспониране все още предстои. Сред държавите членки, които все още не са уведомили Комисията за мерките си за </w:t>
      </w:r>
      <w:r>
        <w:rPr>
          <w:rFonts w:ascii="Times New Roman" w:hAnsi="Times New Roman"/>
          <w:noProof/>
          <w:sz w:val="24"/>
        </w:rPr>
        <w:lastRenderedPageBreak/>
        <w:t>транспониране, в пет са в сила закони, които им позволяват да събират резервационни данни на пътниците съгласно националното законодателство. Необходимо е обаче тяхната законодателна рамка да бъде изменена, за да е в пълно съответствие с директивата.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Освен съобщаването за националните мерки за транспониране съгласно член 18, Директивата относно резервационните данни на пътниците предвижда специфични уведомления относно нейното прилагане по отношение на вътрешни за ЕС полети (член 2); създаването на звена за данни за пътниците (ЗДП) (член 4) и списък на компетентните органи, упълномощени да изискват или получават от ЗДП резервационни данни на пътниците (член 7). Всички 27 държави членки</w:t>
      </w:r>
      <w:r>
        <w:rPr>
          <w:rStyle w:val="FootnoteReference"/>
          <w:rFonts w:ascii="Times New Roman" w:hAnsi="Times New Roman"/>
          <w:noProof/>
          <w:sz w:val="24"/>
        </w:rPr>
        <w:footnoteReference w:id="34"/>
      </w:r>
      <w:r>
        <w:rPr>
          <w:rFonts w:ascii="Times New Roman" w:hAnsi="Times New Roman"/>
          <w:noProof/>
          <w:sz w:val="24"/>
        </w:rPr>
        <w:t xml:space="preserve"> са изпратили на Комисията списъка на своите компетентни органи, упълномощени да изискват или получават резервационни данни на пътниците или резултатите от обработката на тези данни, както е предвидено м член 7, параграф 3 от Директивата относно резервационните данни на пътниците. Деветнадесет държави членки са уведомили Комисията, че възнамеряват да прилагат директивата към вътрешни за ЕС полети съгласно член 2, параграф 1, а двадесет и една са съобщили за създаването на свое звено за данни за пътниците (ЗДП) съгласно член 4, параграф 5.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предприемането на стъпки за транспониране на директивата в националното законодателство и за създаване на необходимата институционална уредба държавите членки са постигнали напредък в създаването на необходимите технически решения за съхранение, обработка и анализ на резервационни данни на пътниците (PNR данни). В двадесет и четири държави членки е въведено техническо решение, а оставащите три се намират на различни етапи от изграждането на необходимата инфраструктура. Процесът на създаване на връзка с въздушните превозвачи, за да стане възможно предаването на резервационни данни на пътниците към ЗДП, е доста напреднал в дванадесет държави членки, а в други единадесет поне един въздушен превозвач вече предава резервационни данни на пътниците към ЗДП в реално време.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 тези причини като цяло Комисията отбелязва, че през последните две години е постигнат значителен напредък в изпълнението на Директивата относно резервационните данни на пътниците. Обаче поради изключителната важност на този инструмент за общите действия на ЕС в отговор на тежката престъпност и тероризма Комисията ще използва всички мерки, с които разполага, за прилагането на правото на Съюза, включително производство за нарушение, когато това е уместно. Липсата на транспониране пречи на ефективността на PNR механизма като цяло и намалява правната сигурност за въздушните превозвачи, като забавя въвеждането на единен режим за предоставяне на резервационните данни на пътниците в рамките на ЕС и затруднява ефективната защита на личните данни навсякъде в Съюза. Комисията ще продължи да подпомага всички държави членки в усилията им да завършат разработването на своите системи за резервационни данни на пътниците, включително като съдейства за обмена на информация и добри практики след крайния срок за прилагането. Във връзка с това на 7 юни 2018 г. се състоя първа среща с държавите членки за обсъждане на въпроси, свързани с прилагането на Директивата относно резервационните данни на пътниците.</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Киберсигурност и кибернетични заплахи</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Комисията — в сътрудничество с Европейската служба за външна дейност — продължава да изпълнява действията, посочени в съвместното съобщение от септември 2017 г.</w:t>
      </w:r>
      <w:r>
        <w:rPr>
          <w:rFonts w:ascii="Times New Roman" w:hAnsi="Times New Roman"/>
          <w:noProof/>
          <w:sz w:val="24"/>
          <w:vertAlign w:val="superscript"/>
        </w:rPr>
        <w:footnoteReference w:id="35"/>
      </w:r>
      <w:r>
        <w:rPr>
          <w:rFonts w:ascii="Times New Roman" w:hAnsi="Times New Roman"/>
          <w:noProof/>
          <w:sz w:val="24"/>
        </w:rPr>
        <w:t xml:space="preserve"> „Устойчивост, възпиране и отбрана: изграждане на силна киберсигурност за ЕС“.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9 май 2018 г. беше крайният срок всички държави — членки на ЕС да транспонират </w:t>
      </w:r>
      <w:r>
        <w:rPr>
          <w:rFonts w:ascii="Times New Roman" w:hAnsi="Times New Roman"/>
          <w:b/>
          <w:noProof/>
          <w:sz w:val="24"/>
        </w:rPr>
        <w:t>Директивата за мрежова и информационна сигурност</w:t>
      </w:r>
      <w:r>
        <w:rPr>
          <w:rFonts w:ascii="Times New Roman" w:hAnsi="Times New Roman"/>
          <w:noProof/>
          <w:sz w:val="24"/>
        </w:rPr>
        <w:t xml:space="preserve"> в своето националното законодателство. Тя е първият правно задължителен за целия ЕС набор от правила, който създава високо общо равнище на сигурност на мрежите и информационните системи в ЕС.</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На 6 и 7 юни 2018 г. се състоя 5</w:t>
      </w:r>
      <w:r>
        <w:rPr>
          <w:rFonts w:ascii="Times New Roman" w:hAnsi="Times New Roman"/>
          <w:noProof/>
          <w:sz w:val="24"/>
          <w:vertAlign w:val="superscript"/>
        </w:rPr>
        <w:t>то</w:t>
      </w:r>
      <w:r>
        <w:rPr>
          <w:rFonts w:ascii="Times New Roman" w:hAnsi="Times New Roman"/>
          <w:noProof/>
          <w:sz w:val="24"/>
        </w:rPr>
        <w:t xml:space="preserve"> </w:t>
      </w:r>
      <w:r>
        <w:rPr>
          <w:rFonts w:ascii="Times New Roman" w:hAnsi="Times New Roman"/>
          <w:b/>
          <w:noProof/>
          <w:sz w:val="24"/>
        </w:rPr>
        <w:t>общоевропейско учение за действия при киберкризи Cyber Europe 2018</w:t>
      </w:r>
      <w:r>
        <w:rPr>
          <w:rFonts w:ascii="Times New Roman" w:hAnsi="Times New Roman"/>
          <w:noProof/>
          <w:sz w:val="24"/>
        </w:rPr>
        <w:t>, координирано от Агенцията на ЕС за мрежова и информационна сигурност (ENISA).</w:t>
      </w:r>
      <w:r>
        <w:rPr>
          <w:rFonts w:ascii="Times New Roman" w:hAnsi="Times New Roman"/>
          <w:noProof/>
          <w:sz w:val="24"/>
          <w:vertAlign w:val="superscript"/>
        </w:rPr>
        <w:footnoteReference w:id="36"/>
      </w:r>
      <w:r>
        <w:rPr>
          <w:rFonts w:ascii="Times New Roman" w:hAnsi="Times New Roman"/>
          <w:noProof/>
          <w:sz w:val="24"/>
        </w:rPr>
        <w:t xml:space="preserve"> Учението беше организирано за екипи за ИТ сигурност, непрекъснатост на стопанската дейност и управление на кризи от държави членки на ЕС и на ЕАСТ и в него участваха над 1000 специалисти. Сценарият беше съсредоточен върху въздухоплаването, с потенциалното участие на органи на гражданската авиация, доставчици на аеронавигационно обслужване, летища и въздушни превозвачи, като се отчиташе евентуалното въздействие в други сектори.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Мащабната дезинформация на гражданите, в т.ч. чрез заблуждаваща или откровено невярна информация, е друг вид сериозна заплаха в киберпостранството и огромно предизвикателство за Европа. В своето съобщение от 26 април 2018 г. „</w:t>
      </w:r>
      <w:r>
        <w:rPr>
          <w:rFonts w:ascii="Times New Roman" w:hAnsi="Times New Roman"/>
          <w:b/>
          <w:noProof/>
          <w:sz w:val="24"/>
        </w:rPr>
        <w:t>Европейски подход за борба с дезинформацията, разпространявана онлайн</w:t>
      </w:r>
      <w:r>
        <w:rPr>
          <w:rFonts w:ascii="Times New Roman" w:hAnsi="Times New Roman"/>
          <w:noProof/>
          <w:sz w:val="24"/>
        </w:rPr>
        <w:t>“</w:t>
      </w:r>
      <w:r>
        <w:rPr>
          <w:rFonts w:ascii="Times New Roman" w:hAnsi="Times New Roman"/>
          <w:noProof/>
          <w:color w:val="404040"/>
          <w:sz w:val="24"/>
          <w:vertAlign w:val="superscript"/>
        </w:rPr>
        <w:footnoteReference w:id="37"/>
      </w:r>
      <w:r>
        <w:rPr>
          <w:rFonts w:ascii="Times New Roman" w:hAnsi="Times New Roman"/>
          <w:noProof/>
          <w:color w:val="404040"/>
          <w:sz w:val="24"/>
        </w:rPr>
        <w:t>,</w:t>
      </w:r>
      <w:r>
        <w:rPr>
          <w:rFonts w:ascii="Times New Roman" w:hAnsi="Times New Roman"/>
          <w:noProof/>
          <w:sz w:val="24"/>
        </w:rPr>
        <w:t xml:space="preserve"> Комисията предложи за обсъждане план за действие и инструменти за саморегулиране за борба с разпространението и влиянието на дезинформацията, разпространявана онлайн в Европа, и за осигуряване на защитата на европейските ценности и демократични системи. Представените конкретни мерки включват общ за ЕС Кодекс за поведение за онлайн платформи и рекламодатели във връзка с дезинформацията, подкрепа за независима мрежа от проверители на достоверността, и редица действия за насърчаване на качествената журналистика и медийната грамотност. Първата среща на многостранния форум по въпросите на дезинформацията беше проведена на 29 май 2018 г. и се ангажира с амбициозна пътна карта за осигуряване на приемането на кодекса на 17 юли 2018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Интернет корпорацията за присвоени имена и адреси (ICANN) играе важна роля за подкрепата на целите на системата за имена на домейни в областта на обществения ред. Комисията припомня</w:t>
      </w:r>
      <w:r>
        <w:rPr>
          <w:rStyle w:val="FootnoteReference"/>
          <w:rFonts w:ascii="Times New Roman" w:hAnsi="Times New Roman"/>
          <w:noProof/>
          <w:sz w:val="24"/>
        </w:rPr>
        <w:footnoteReference w:id="38"/>
      </w:r>
      <w:r>
        <w:rPr>
          <w:rFonts w:ascii="Times New Roman" w:hAnsi="Times New Roman"/>
          <w:noProof/>
          <w:sz w:val="24"/>
        </w:rPr>
        <w:t xml:space="preserve">, че ICANN следва да полага повече усилия, за да гарантира пълното спазване от своя страна на Общия регламент относно защитата на данните (GDPR) в резултат от провежданата в момента реформа на </w:t>
      </w:r>
      <w:r>
        <w:rPr>
          <w:rFonts w:ascii="Times New Roman" w:hAnsi="Times New Roman"/>
          <w:b/>
          <w:noProof/>
          <w:sz w:val="24"/>
        </w:rPr>
        <w:t>услугата WHOIS</w:t>
      </w:r>
      <w:r>
        <w:rPr>
          <w:rFonts w:ascii="Times New Roman" w:hAnsi="Times New Roman"/>
          <w:noProof/>
          <w:sz w:val="24"/>
        </w:rPr>
        <w:t xml:space="preserve">, като същевременно осигури такъв модел на WHOIS, при който са запазени съществени функции от обществен интерес, вариращи от правоприлагане до киберсигурност и закрила на правата върху интелектуалната собственост. Като има предвид тази цел, Комисията ще продължи да съдейства за улесняване на обсъжданията между ICANN и </w:t>
      </w:r>
      <w:r>
        <w:rPr>
          <w:rFonts w:ascii="Times New Roman" w:hAnsi="Times New Roman"/>
          <w:noProof/>
          <w:sz w:val="24"/>
        </w:rPr>
        <w:lastRenderedPageBreak/>
        <w:t>Европейския комитет по защита на данните</w:t>
      </w:r>
      <w:r>
        <w:rPr>
          <w:rStyle w:val="FootnoteReference"/>
          <w:rFonts w:ascii="Times New Roman" w:hAnsi="Times New Roman"/>
          <w:noProof/>
          <w:sz w:val="24"/>
        </w:rPr>
        <w:footnoteReference w:id="39"/>
      </w:r>
      <w:r>
        <w:rPr>
          <w:rFonts w:ascii="Times New Roman" w:hAnsi="Times New Roman"/>
          <w:noProof/>
          <w:sz w:val="24"/>
        </w:rPr>
        <w:t xml:space="preserve"> (EDPB), за да бъде създаден нов модел, който изпълнява и двете цели. Във връзка с това Комисията призовава ICANN да поеме отговорност за разрешаване на оставащите нерешени въпроси. На 17 май 2018 г. Съветът на ICANN прие Временна спецификация за регистрационни данни на gTLD (т.нар. общи домейни от първо ниво), която се прилага от 25 май 2015 г. с цел да се осигури спазване на GDPR. Въпреки че временната спецификация оставя открити редица въпроси, включително за достъпа до данни от WHOIS за законни цели, като например разследвания във връзка с правоприлагане, Съветът на ICANN се ангажира да работи заедно с общността за разработване и прилагане на всеобхватно и трайно решение</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На 27 май 2018 г. Европейският комитет по защита на данните одобри изявление, в което се оценяват усилията на ICANN за осигуряване на съответствие на услугата WHOIS с изискванията на GDPR, макар че ще продължи наблюдението на по-нататъшния напредък на ICANN по отношение на осигуряването на подходящи мерки в отговор на законовите изисквания</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Тъй като липсата на всеобхватен модел за услугата WHOIS може сериозно да попречи на възможността правоприлагащите органи да разследват престъпления, включително киберпрестъпления, Комисията ще следи внимателно своевременното осигуряване от страна на ICANN на подходящ модел, осигуряващ достъп до данните от WHOIS за законни цели.</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Противодействие на изпирането на пари и финансирането на тероризма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Тъй като престъпници и терористи действат едновременно в различни държави членки и могат да прехвърлят средства между различни банкови сметки в рамките на часове, за да подготвят своите деяния или за да придвижват и изпират приходи от престъпна дейност, противодействието на изпирането на пари и финансирането на тероризма е важен аспект от работата за ефективен Съюз на сигурност. На 14 май 2018 г. Съветът прие Директива относно борбата с изпирането на пари и финансирането на тероризма. С така наречената </w:t>
      </w:r>
      <w:r>
        <w:rPr>
          <w:rFonts w:ascii="Times New Roman" w:hAnsi="Times New Roman"/>
          <w:b/>
          <w:noProof/>
          <w:sz w:val="24"/>
        </w:rPr>
        <w:t>Пета директива относно борбата с изпирането на пари</w:t>
      </w:r>
      <w:r>
        <w:rPr>
          <w:rFonts w:ascii="Times New Roman" w:hAnsi="Times New Roman"/>
          <w:noProof/>
          <w:sz w:val="24"/>
        </w:rPr>
        <w:t xml:space="preserve"> ще се увеличи прозрачността относно собствеността на компании и тръстове, за да се предотвратят посредством прозрачни структури изпирането на пари и финансирането на тероризма. Директивата ще допринесе за подобряване на работата на звената за финансово разузнаване, осигурявайки по-добър достъп до информация чрез централизирани регистри на банкови сметки. Освен това тя ще противодейства на рисковете от финансиране на тероризма, свързани с анонимното използване на виртуални валути и предплатени инструменти. И накрая, директивата ще осигури общо високо равнище на предпазни механизми за финансовите потоци от високорискови трети държави.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 30 май 2018 г. Европейският парламент и Съветът постигнаха политическо съгласие по законодателно предложение</w:t>
      </w:r>
      <w:r>
        <w:rPr>
          <w:rStyle w:val="FootnoteReference"/>
          <w:rFonts w:ascii="Times New Roman" w:hAnsi="Times New Roman"/>
          <w:noProof/>
          <w:sz w:val="24"/>
        </w:rPr>
        <w:footnoteReference w:id="42"/>
      </w:r>
      <w:r>
        <w:rPr>
          <w:rFonts w:ascii="Times New Roman" w:hAnsi="Times New Roman"/>
          <w:noProof/>
          <w:sz w:val="24"/>
        </w:rPr>
        <w:t xml:space="preserve"> за Директива за </w:t>
      </w:r>
      <w:r>
        <w:rPr>
          <w:rFonts w:ascii="Times New Roman" w:hAnsi="Times New Roman"/>
          <w:b/>
          <w:noProof/>
          <w:sz w:val="24"/>
        </w:rPr>
        <w:t>противодействие на изпирането на пари чрез наказателното право</w:t>
      </w:r>
      <w:r>
        <w:rPr>
          <w:rFonts w:ascii="Times New Roman" w:hAnsi="Times New Roman"/>
          <w:noProof/>
          <w:sz w:val="24"/>
        </w:rPr>
        <w:t>, която ще хармонизира третирането на престъпленията, свързани с изпиране на пари.</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В контекста на плана за действие</w:t>
      </w:r>
      <w:r>
        <w:rPr>
          <w:rStyle w:val="FootnoteReference"/>
          <w:rFonts w:ascii="Times New Roman" w:hAnsi="Times New Roman"/>
          <w:noProof/>
          <w:sz w:val="24"/>
        </w:rPr>
        <w:footnoteReference w:id="43"/>
      </w:r>
      <w:r>
        <w:rPr>
          <w:rFonts w:ascii="Times New Roman" w:hAnsi="Times New Roman"/>
          <w:noProof/>
          <w:sz w:val="24"/>
        </w:rPr>
        <w:t xml:space="preserve"> с цел засилване на борбата с финансирането на тероризма, през февруари 2016 г. Съветът призова Комисията „да проучи необходимостта от подходящи ограничения върху паричните плащания над определен праг“. След това Комисията проведе неофициални консултации с държавите членки, поръча проучване на външен изпълнител и проведе обществена консултация в периода между март и май 2017 г. Комисията публикува </w:t>
      </w:r>
      <w:r>
        <w:rPr>
          <w:rFonts w:ascii="Times New Roman" w:hAnsi="Times New Roman"/>
          <w:b/>
          <w:noProof/>
          <w:sz w:val="24"/>
        </w:rPr>
        <w:t>доклад относно ограниченията върху плащанията в брой</w:t>
      </w:r>
      <w:r>
        <w:rPr>
          <w:rFonts w:ascii="Times New Roman" w:hAnsi="Times New Roman"/>
          <w:noProof/>
          <w:sz w:val="24"/>
        </w:rPr>
        <w:t xml:space="preserve"> заедно с настоящия доклад за напредъка в създаването на Съюз на сигурност. Резултатите доведоха до заключението, че ограниченията върху плащанията в брой няма да възпрепятстват в значителна степен финансирането на тероризма, но могат да бъдат от полза в борбата срещу изпирането на пари. На този етап Комисията няма да предприема по-нататъшни законодателни действия по този въпрос.</w:t>
      </w:r>
    </w:p>
    <w:p>
      <w:pPr>
        <w:widowControl w:val="0"/>
        <w:numPr>
          <w:ilvl w:val="0"/>
          <w:numId w:val="15"/>
        </w:numPr>
        <w:spacing w:after="240" w:line="240" w:lineRule="auto"/>
        <w:rPr>
          <w:rFonts w:ascii="Times New Roman" w:hAnsi="Times New Roman" w:cs="Times New Roman"/>
          <w:i/>
          <w:noProof/>
          <w:sz w:val="24"/>
          <w:szCs w:val="24"/>
        </w:rPr>
      </w:pPr>
      <w:r>
        <w:rPr>
          <w:rFonts w:ascii="Times New Roman" w:hAnsi="Times New Roman"/>
          <w:i/>
          <w:noProof/>
          <w:sz w:val="24"/>
        </w:rPr>
        <w:t>Външно измерение</w:t>
      </w:r>
    </w:p>
    <w:p>
      <w:pPr>
        <w:spacing w:after="240" w:line="240" w:lineRule="auto"/>
        <w:jc w:val="both"/>
        <w:rPr>
          <w:rFonts w:ascii="Times New Roman" w:hAnsi="Times New Roman" w:cs="Times New Roman"/>
          <w:noProof/>
          <w:sz w:val="24"/>
        </w:rPr>
      </w:pPr>
      <w:r>
        <w:rPr>
          <w:rFonts w:ascii="Times New Roman" w:hAnsi="Times New Roman"/>
          <w:b/>
          <w:noProof/>
          <w:sz w:val="24"/>
        </w:rPr>
        <w:t xml:space="preserve">Малките оръжия и леките въоръжения (МОЛВ) </w:t>
      </w:r>
      <w:r>
        <w:rPr>
          <w:rFonts w:ascii="Times New Roman" w:hAnsi="Times New Roman"/>
          <w:noProof/>
          <w:sz w:val="24"/>
        </w:rPr>
        <w:t>и незаконното огнестрелно оръжие продължават да способстват за нестабилност и насилие както в Европейския съюз, така и в съседните на него държави и отвъд тях. Затова Комисията и върховният представител предлагат на Съвета преразглеждане на Стратегията за малки оръжия и леки въоръжения от 2005 г., като се вземат под внимание новият контекст в областта на сигурността, инициативите на ЕС и развитието по отношение на контрола върху конвенционалните оръжия от 2005 г. досега, а именно: влизането в сила на Договора за търговията с оръжие, сключването на Протокола на ООН за огнестрелните оръжия, преразглеждането на законодателството на ЕС относно огнестрелните оръжия, дейността със съседните държави въз основа на Плана за действие от 2015 г. на Комисията</w:t>
      </w:r>
      <w:r>
        <w:rPr>
          <w:rStyle w:val="FootnoteReference"/>
          <w:rFonts w:ascii="Times New Roman" w:hAnsi="Times New Roman"/>
          <w:noProof/>
          <w:sz w:val="24"/>
        </w:rPr>
        <w:footnoteReference w:id="44"/>
      </w:r>
      <w:r>
        <w:rPr>
          <w:rFonts w:ascii="Times New Roman" w:hAnsi="Times New Roman"/>
          <w:noProof/>
          <w:sz w:val="24"/>
        </w:rPr>
        <w:t xml:space="preserve"> и извършената работа в контекста на цикъла на политиката на ЕС. Тази актуализирана стратегия има за цел да ръководи колективни и координирани действия в Европа за предотвратяване и ограничаване на незаконното придобиване на огнестрелно оръжие, малки оръжия и леки въоръжения и боеприпаси за тях от терористи, престъпници и други неупълномощени лица. Стратегията подкрепя по-строгите международни норми и норми на равнище ЕС, по-добрия контрол и проследимост на огнестрелното оръжие, малките оръжия и леки въоръжения и боеприпасите през техния жизнен цикъл.</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На 23 и 24 април 2018 г. </w:t>
      </w:r>
      <w:r>
        <w:rPr>
          <w:rFonts w:ascii="Times New Roman" w:hAnsi="Times New Roman"/>
          <w:b/>
          <w:noProof/>
          <w:sz w:val="24"/>
        </w:rPr>
        <w:t xml:space="preserve">отговарящите за сигурността министри на страните от Г-7 </w:t>
      </w:r>
      <w:r>
        <w:rPr>
          <w:rFonts w:ascii="Times New Roman" w:hAnsi="Times New Roman"/>
          <w:noProof/>
          <w:sz w:val="24"/>
        </w:rPr>
        <w:t>се срещнаха в</w:t>
      </w:r>
      <w:r>
        <w:rPr>
          <w:rFonts w:ascii="Times New Roman" w:hAnsi="Times New Roman"/>
          <w:b/>
          <w:noProof/>
          <w:sz w:val="24"/>
        </w:rPr>
        <w:t xml:space="preserve"> Торонто</w:t>
      </w:r>
      <w:r>
        <w:rPr>
          <w:rFonts w:ascii="Times New Roman" w:hAnsi="Times New Roman"/>
          <w:noProof/>
          <w:sz w:val="24"/>
        </w:rPr>
        <w:t>, за да обсъдят сътрудничеството в областта на сигурността в рамките на Г-7, включително общите действия против променящите се терористични заплахи. Ангажиментите, поети в Торонто от министрите, отговарящи за сигурността</w:t>
      </w:r>
      <w:r>
        <w:rPr>
          <w:rStyle w:val="FootnoteReference"/>
          <w:rFonts w:ascii="Times New Roman" w:hAnsi="Times New Roman"/>
          <w:noProof/>
          <w:sz w:val="24"/>
        </w:rPr>
        <w:footnoteReference w:id="45"/>
      </w:r>
      <w:r>
        <w:rPr>
          <w:rFonts w:ascii="Times New Roman" w:hAnsi="Times New Roman"/>
          <w:noProof/>
          <w:sz w:val="24"/>
        </w:rPr>
        <w:t xml:space="preserve">, поставят акцент върху защитата на обществените места, готовността за действие във връзка с химически, биологични, радиологични и ядрени рискове, усилията за противодействие на терористичното съдържание онлайн, засилването на киберсигурността и борбата с трафика на хора. Съвместно заседание на министрите, отговарящи за сигурността, и министрите на външните работи доведе до поемането на съвместни ангажименти за управление по отношение на чуждестранни бойци </w:t>
      </w:r>
      <w:r>
        <w:rPr>
          <w:rFonts w:ascii="Times New Roman" w:hAnsi="Times New Roman"/>
          <w:noProof/>
          <w:sz w:val="24"/>
        </w:rPr>
        <w:lastRenderedPageBreak/>
        <w:t>терористи и пътуващи с тях лица</w:t>
      </w:r>
      <w:r>
        <w:rPr>
          <w:rStyle w:val="FootnoteReference"/>
          <w:rFonts w:ascii="Times New Roman" w:hAnsi="Times New Roman"/>
          <w:noProof/>
          <w:sz w:val="24"/>
        </w:rPr>
        <w:footnoteReference w:id="46"/>
      </w:r>
      <w:r>
        <w:rPr>
          <w:rFonts w:ascii="Times New Roman" w:hAnsi="Times New Roman"/>
          <w:noProof/>
          <w:sz w:val="24"/>
        </w:rPr>
        <w:t xml:space="preserve"> и за защита на демокрацията и справяне с външни заплахи</w:t>
      </w:r>
      <w:r>
        <w:rPr>
          <w:rStyle w:val="FootnoteReference"/>
          <w:rFonts w:ascii="Times New Roman" w:hAnsi="Times New Roman"/>
          <w:noProof/>
          <w:sz w:val="24"/>
        </w:rPr>
        <w:footnoteReference w:id="47"/>
      </w:r>
      <w:r>
        <w:rPr>
          <w:rFonts w:ascii="Times New Roman" w:hAnsi="Times New Roman"/>
          <w:noProof/>
          <w:sz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На 14 май 2018 г. Съветът прие решение, позволяващо EUNAVFOR MED операция SOPHIA да бъде домакин на пилотния проект „</w:t>
      </w:r>
      <w:r>
        <w:rPr>
          <w:rFonts w:ascii="Times New Roman" w:hAnsi="Times New Roman"/>
          <w:b/>
          <w:noProof/>
          <w:sz w:val="24"/>
        </w:rPr>
        <w:t>Информационно звено за престъпността</w:t>
      </w:r>
      <w:r>
        <w:rPr>
          <w:rFonts w:ascii="Times New Roman" w:hAnsi="Times New Roman"/>
          <w:noProof/>
          <w:sz w:val="24"/>
        </w:rPr>
        <w:t>“ (CIC). Информационното звено ще бъде разположено на парахода, на който се намира щабът на въоръжените сили на операция Sophia, като център на операцията, където всички съответни участници могат да работят заедно за подпомагане на получаването, събирането и своевременния и двупосочен обмен на информация за аналитична и по-нататъшна оперативна употреба, между EUNAVFOR MED операция Sophia, съответните агенции по правосъдие и вътрешни работи и правоприлагащите органи на държавите членки по въпроси, свързани с мандата на операцията, а именно незаконното превеждане през границата на мигранти, трафика на хора, незаконния износ на петрол, и за защита на силите на операцията.</w:t>
      </w:r>
    </w:p>
    <w:p>
      <w:pPr>
        <w:spacing w:after="240" w:line="240" w:lineRule="auto"/>
        <w:jc w:val="both"/>
        <w:rPr>
          <w:noProof/>
        </w:rPr>
      </w:pPr>
      <w:r>
        <w:rPr>
          <w:rFonts w:ascii="Times New Roman" w:hAnsi="Times New Roman"/>
          <w:noProof/>
          <w:sz w:val="24"/>
        </w:rPr>
        <w:t xml:space="preserve">Срещата на върха с </w:t>
      </w:r>
      <w:r>
        <w:rPr>
          <w:rFonts w:ascii="Times New Roman" w:hAnsi="Times New Roman"/>
          <w:b/>
          <w:noProof/>
          <w:sz w:val="24"/>
        </w:rPr>
        <w:t>лидерите на държавите от Западните Балкани</w:t>
      </w:r>
      <w:r>
        <w:rPr>
          <w:rFonts w:ascii="Times New Roman" w:hAnsi="Times New Roman"/>
          <w:noProof/>
          <w:sz w:val="24"/>
        </w:rPr>
        <w:t xml:space="preserve"> в София се състоя на 17 май 2018 г. На нея бе потвърдена европейската перспектива на региона и бяха набелязани редица конкретни действия за засилване на сътрудничеството, включително — и най-важно — в областта на сигурността и върховенството на закона, в съответствие с водещата инициатива за сигурност и миграция на Стратегията за Западните Балкани</w:t>
      </w:r>
      <w:r>
        <w:rPr>
          <w:rStyle w:val="FootnoteReference"/>
          <w:rFonts w:ascii="Times New Roman" w:hAnsi="Times New Roman"/>
          <w:noProof/>
          <w:sz w:val="24"/>
        </w:rPr>
        <w:footnoteReference w:id="48"/>
      </w:r>
      <w:r>
        <w:rPr>
          <w:noProof/>
        </w:rPr>
        <w:t>.</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На 22 и 23 май 2018 г. българското председателство на Съвета беше домакин на </w:t>
      </w:r>
      <w:r>
        <w:rPr>
          <w:rFonts w:ascii="Times New Roman" w:hAnsi="Times New Roman"/>
          <w:b/>
          <w:noProof/>
          <w:sz w:val="24"/>
        </w:rPr>
        <w:t>министерската среща ЕС-САЩ в областта на правосъдието и вътрешните работи</w:t>
      </w:r>
      <w:r>
        <w:rPr>
          <w:rFonts w:ascii="Times New Roman" w:hAnsi="Times New Roman"/>
          <w:noProof/>
          <w:sz w:val="24"/>
        </w:rPr>
        <w:t xml:space="preserve"> в София. ЕС и САЩ обсъдиха усилията за борба с тероризма, като обърнаха специално внимание на ефективния обмен на информация, предотвратяването на радикализацията, използването на интернет за целите на тероризма, както и на бдителността по отношение на химическите, биологичните, радиологичните и ядрените заплахи, особено във връзка с променящите се химически заплахи във въздушния транспорт и на обществени места.</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На 25 май 2018 г. в Брюксел се проведе първият </w:t>
      </w:r>
      <w:r>
        <w:rPr>
          <w:rFonts w:ascii="Times New Roman" w:hAnsi="Times New Roman"/>
          <w:b/>
          <w:noProof/>
          <w:sz w:val="24"/>
        </w:rPr>
        <w:t>диалог на високо равнище между ЕС и ООН по въпросите на борбата с тероризма</w:t>
      </w:r>
      <w:r>
        <w:rPr>
          <w:rFonts w:ascii="Times New Roman" w:hAnsi="Times New Roman"/>
          <w:noProof/>
          <w:sz w:val="24"/>
        </w:rPr>
        <w:t>. ЕС и ООН обсъдиха усилията за сътрудничество в предотвратяването и борбата с тероризма във връзка с определен брой тематични и географски приоритети, като обърнаха по-специално внимание на чуждестранните бойци терористи и жертвите на тероризъм.</w:t>
      </w:r>
    </w:p>
    <w:p>
      <w:pPr>
        <w:spacing w:after="240" w:line="240" w:lineRule="auto"/>
        <w:jc w:val="both"/>
        <w:rPr>
          <w:rFonts w:ascii="Times New Roman" w:hAnsi="Times New Roman" w:cs="Times New Roman"/>
          <w:noProof/>
          <w:sz w:val="24"/>
        </w:rPr>
      </w:pPr>
      <w:r>
        <w:rPr>
          <w:rFonts w:ascii="Times New Roman" w:hAnsi="Times New Roman"/>
          <w:noProof/>
          <w:sz w:val="24"/>
        </w:rPr>
        <w:t xml:space="preserve">На 29 май 2018 г. представители на </w:t>
      </w:r>
      <w:r>
        <w:rPr>
          <w:rFonts w:ascii="Times New Roman" w:hAnsi="Times New Roman"/>
          <w:b/>
          <w:noProof/>
          <w:sz w:val="24"/>
        </w:rPr>
        <w:t xml:space="preserve">ЕС </w:t>
      </w:r>
      <w:r>
        <w:rPr>
          <w:rFonts w:ascii="Times New Roman" w:hAnsi="Times New Roman"/>
          <w:noProof/>
          <w:sz w:val="24"/>
        </w:rPr>
        <w:t xml:space="preserve">и </w:t>
      </w:r>
      <w:r>
        <w:rPr>
          <w:rFonts w:ascii="Times New Roman" w:hAnsi="Times New Roman"/>
          <w:b/>
          <w:noProof/>
          <w:sz w:val="24"/>
        </w:rPr>
        <w:t>НАТО</w:t>
      </w:r>
      <w:r>
        <w:rPr>
          <w:rFonts w:ascii="Times New Roman" w:hAnsi="Times New Roman"/>
          <w:noProof/>
          <w:sz w:val="24"/>
        </w:rPr>
        <w:t xml:space="preserve"> проведоха първи </w:t>
      </w:r>
      <w:r>
        <w:rPr>
          <w:rFonts w:ascii="Times New Roman" w:hAnsi="Times New Roman"/>
          <w:b/>
          <w:noProof/>
          <w:sz w:val="24"/>
        </w:rPr>
        <w:t>диалог</w:t>
      </w:r>
      <w:r>
        <w:rPr>
          <w:rFonts w:ascii="Times New Roman" w:hAnsi="Times New Roman"/>
          <w:noProof/>
          <w:sz w:val="24"/>
        </w:rPr>
        <w:t xml:space="preserve"> </w:t>
      </w:r>
      <w:r>
        <w:rPr>
          <w:rFonts w:ascii="Times New Roman" w:hAnsi="Times New Roman"/>
          <w:b/>
          <w:noProof/>
          <w:sz w:val="24"/>
        </w:rPr>
        <w:t>по въпросите на борбата с тероризма</w:t>
      </w:r>
      <w:r>
        <w:rPr>
          <w:rFonts w:ascii="Times New Roman" w:hAnsi="Times New Roman"/>
          <w:noProof/>
          <w:sz w:val="24"/>
        </w:rPr>
        <w:t xml:space="preserve"> в Брюксел в рамките на текущото изпълнение на тяхната съвместна декларация от 2016 г. Те обсъдиха предизвикателствата, свързани с връщането или преместването на чуждестранни бойци терористи, и усилията за </w:t>
      </w:r>
      <w:r>
        <w:rPr>
          <w:rFonts w:ascii="Times New Roman" w:hAnsi="Times New Roman"/>
          <w:noProof/>
          <w:sz w:val="24"/>
        </w:rPr>
        <w:lastRenderedPageBreak/>
        <w:t>изграждане на капацитет за борба с тероризма в Ирак, Афганистан, Босна и Херцеговина и Тунис.</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4 юни 2018 г. Съветът по правосъдие и вътрешни работи прие осем решения, упълномощаващи Комисията да започне преговори по споразумения между ЕС и </w:t>
      </w:r>
      <w:r>
        <w:rPr>
          <w:rFonts w:ascii="Times New Roman" w:hAnsi="Times New Roman"/>
          <w:b/>
          <w:noProof/>
          <w:sz w:val="24"/>
        </w:rPr>
        <w:t>Алжир, Египет, Израел, Йордания, Ливан, Мароко, Тунис и Турция във връзка с обмена на лични данни между Европол и компетентните органи на тези държави</w:t>
      </w:r>
      <w:r>
        <w:rPr>
          <w:rFonts w:ascii="Times New Roman" w:hAnsi="Times New Roman"/>
          <w:noProof/>
          <w:sz w:val="24"/>
        </w:rPr>
        <w:t xml:space="preserve"> за борба с тежката престъпност и тероризма.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След приемането неотдавна — в края на май 2018 г. — от страна на Канада на мандат за преговори за </w:t>
      </w:r>
      <w:r>
        <w:rPr>
          <w:rFonts w:ascii="Times New Roman" w:hAnsi="Times New Roman"/>
          <w:b/>
          <w:noProof/>
          <w:sz w:val="24"/>
        </w:rPr>
        <w:t>преразглеждане на Споразумението между ЕС и Канада за резервационните данни на пътниците</w:t>
      </w:r>
      <w:r>
        <w:rPr>
          <w:rFonts w:ascii="Times New Roman" w:hAnsi="Times New Roman"/>
          <w:noProof/>
          <w:sz w:val="24"/>
        </w:rPr>
        <w:t>, Комисията и Канада незабавно предприеха стъпки за започване на официални преговори за тази цел</w:t>
      </w:r>
      <w:r>
        <w:rPr>
          <w:noProof/>
        </w:rPr>
        <w:t xml:space="preserve">, </w:t>
      </w:r>
      <w:r>
        <w:rPr>
          <w:rFonts w:ascii="Times New Roman" w:hAnsi="Times New Roman"/>
          <w:noProof/>
          <w:sz w:val="24"/>
        </w:rPr>
        <w:t>като е планирано тези преговори да започнат на 20 юни 2018 г.</w:t>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VI. ЗАКЛЮЧЕНИЕ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Настоящият доклад илюстрира продължаващия напредък за създаване на ефективен и истински Съюз на сигурност, като се подпомагат държавите членки в борбата с тероризма, тежката престъпност и кибернетичните заплахи, и по този начин се допринася за високо равнище на сигурност за гражданите. Комисията призовава съзаконодателите да постигнат в кратки срокове съгласие по всички онези законодателни предложения, които понастоящем се обсъждат и които целят допълнително засилване на сигурността на гражданите, в съответствие със Съвместната декларация относно законодателните приоритети на ЕС за периода 2018—2019 г.</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приоритетно да работи за това, също и с оглед на неформалната среща по вътрешна сигурност на държавните или правителствените ръководители в Залцбург на 20 септември 2018 г. като част от програмата на лидерите.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493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http://www.consilium.europa.eu/media/33457/22-euco-final-conclusions-en.pdf</w:t>
        </w:r>
      </w:hyperlink>
      <w:r>
        <w:rPr>
          <w:rFonts w:ascii="Times New Roman" w:hAnsi="Times New Roman"/>
        </w:rPr>
        <w:t>.</w:t>
      </w:r>
    </w:p>
  </w:footnote>
  <w:footnote w:id="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 16 final (12.6.2018).</w:t>
      </w:r>
    </w:p>
  </w:footnote>
  <w:footnote w:id="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 14 final (12.6.2018).</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610 final (18.10.2017).</w:t>
      </w:r>
    </w:p>
  </w:footnote>
  <w:footnote w:id="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Доклад на Европол относно обстановката и тенденциите, свързани с тероризма (TE-SAT) за 2017 г., стр. 16, който може да бъде намерен на адрес: </w:t>
      </w:r>
      <w:hyperlink r:id="rId2">
        <w:r>
          <w:rPr>
            <w:rStyle w:val="Hyperlink"/>
            <w:rFonts w:ascii="Times New Roman" w:hAnsi="Times New Roman"/>
          </w:rPr>
          <w:t>www.europol.europa.eu/sites/default/files/documents/tesat2017.pdf</w:t>
        </w:r>
      </w:hyperlink>
      <w:r>
        <w:rPr>
          <w:rFonts w:ascii="Times New Roman" w:hAnsi="Times New Roman"/>
        </w:rPr>
        <w:t xml:space="preserve">. Вж. също изявленията на генералния директор на Организацията за забрана на химическото оръжие: </w:t>
      </w:r>
      <w:hyperlink r:id="rId3">
        <w:r>
          <w:rPr>
            <w:rStyle w:val="Hyperlink"/>
            <w:rFonts w:ascii="Times New Roman" w:hAnsi="Times New Roman"/>
          </w:rPr>
          <w:t>www.globaltimes.cn/content/1044644.shtml</w:t>
        </w:r>
      </w:hyperlink>
      <w:r>
        <w:rPr>
          <w:rFonts w:ascii="Times New Roman" w:hAnsi="Times New Roman"/>
        </w:rPr>
        <w:t>.</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C(2018) 1177 final (1.3.2018 г.).</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321 final (2.5.2018 г.).</w:t>
      </w:r>
    </w:p>
  </w:footnote>
  <w:footnote w:id="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 да улесни сътрудничеството между държавите членки, Комисията създаде нова </w:t>
      </w:r>
      <w:r>
        <w:rPr>
          <w:rFonts w:ascii="Times New Roman" w:hAnsi="Times New Roman"/>
          <w:b/>
        </w:rPr>
        <w:t>Консултативна група по химическата, биологичната, радиологичната и ядрената сигурност</w:t>
      </w:r>
      <w:r>
        <w:rPr>
          <w:rFonts w:ascii="Times New Roman" w:hAnsi="Times New Roman"/>
        </w:rPr>
        <w:t>, съставена от национални координатори в тази сфера. Координаторите изпълняват ролята на звена за контакт за Комисията по въпросите на химическата, биологичната, радиологичната и ядрената сигурност във всяка държава членка. Групата, която заседава за пръв път през януари 2018 г., ще се събере отново през юли 2018 г., за да обсъди развитието в областта на политиката във връзка с химическата, биологичната, радиологичната и ядрената сигурност на равнище ЕС и да координира предприетите от държавите членки действия.</w:t>
      </w:r>
    </w:p>
  </w:footnote>
  <w:footnote w:id="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ХБРЯ-Е означава химически, биологични, радиологични и ядрени вещества и експлозиви.</w:t>
      </w:r>
    </w:p>
  </w:footnote>
  <w:footnote w:id="10">
    <w:p>
      <w:pPr>
        <w:pStyle w:val="Default"/>
        <w:ind w:left="567" w:hanging="567"/>
        <w:jc w:val="both"/>
        <w:rPr>
          <w:sz w:val="20"/>
          <w:szCs w:val="20"/>
        </w:rPr>
      </w:pPr>
      <w:r>
        <w:rPr>
          <w:rStyle w:val="FootnoteReference"/>
          <w:sz w:val="20"/>
        </w:rPr>
        <w:footnoteRef/>
      </w:r>
      <w:r>
        <w:rPr>
          <w:sz w:val="20"/>
        </w:rPr>
        <w:t xml:space="preserve"> </w:t>
      </w:r>
      <w:r>
        <w:tab/>
      </w:r>
      <w:r>
        <w:rPr>
          <w:sz w:val="20"/>
        </w:rPr>
        <w:t>Австрия, Германия, Полша, Словакия, Словения, Унгария, Хърватия и Чешка република.</w:t>
      </w:r>
    </w:p>
  </w:footnote>
  <w:footnote w:id="1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https://www.h2020-enotice.eu/static/roster.html</w:t>
        </w:r>
      </w:hyperlink>
      <w:r>
        <w:rPr>
          <w:rFonts w:ascii="Times New Roman" w:hAnsi="Times New Roman"/>
        </w:rPr>
        <w:t>.</w:t>
      </w:r>
    </w:p>
  </w:footnote>
  <w:footnote w:id="1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Проектът беше наречен „Електронно обучение против тероризма с химически, биологични, радиологични и ядрени вещества: разработване на онлайн обучение във връзка с химическите, биологичните, радиологичните и ядрените вещества“ (реф. № HOME/2013/ISEC/AG/CBRN/4000005269) и беше реализиран с финансова подкрепа по програмата „Предотвратяване и борба с престъпността“.</w:t>
      </w:r>
    </w:p>
  </w:footnote>
  <w:footnote w:id="1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Като част от работата в Съюза на сигурност за ограничаване на пространството за действие на терористи и други престъпници Комисията предприе решителни действия за намаляване на достъпа до прекурсори на експлозиви, с които би могло да се злоупотреби за изготвяне на експлозиви в домашни условия. През октомври 2017 г. Комисията представи Препоръка за незабавни мерки за предотвратяване на злоупотребата с прекурсори на взривни вещества, която се основава на съществуващите правила (Препоръка C(2017) 6950 final от 18.10.2017 г.). В допълнение към това през април 2018 г. Комисията прие предложение за преразглеждане и засилване на съществуващите ограничения по Регламент 98/2013 относно предлагането на пазара и използването на прекурсори на взривни вещества (COM(2018) 209 final от 17.4.2018 г.). За повече подробности вж. четиринадесетия доклад за напредъка по отношение на създаването на ефективен и истински Съюз на сигурност (COM(2018) 211 final от 17.4.2018 г.).</w:t>
      </w:r>
    </w:p>
  </w:footnote>
  <w:footnote w:id="1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Както се съобщава в четиринадесетия доклад за напредъка по отношение на създаването на Съюз на сигурност (COM(2018) 211 final от 17.4.2018 г.). </w:t>
      </w:r>
    </w:p>
  </w:footnote>
  <w:footnote w:id="1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От общо 33 компании, към които Комисията се обърна. </w:t>
      </w:r>
    </w:p>
  </w:footnote>
  <w:footnote w:id="16">
    <w:p>
      <w:pPr>
        <w:pStyle w:val="FootnoteText"/>
        <w:keepNext/>
        <w:widowControl w:val="0"/>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http://ec.europa.eu/transparency/regexpert/index.cfm?do=groupDetail.groupDetail&amp;groupID=3552&amp;NewSearch=1&amp;NewSearch=1</w:t>
        </w:r>
      </w:hyperlink>
      <w:r>
        <w:rPr>
          <w:rFonts w:ascii="Times New Roman" w:hAnsi="Times New Roman"/>
        </w:rPr>
        <w:t>.</w:t>
      </w:r>
    </w:p>
  </w:footnote>
  <w:footnote w:id="1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http://ec.europa.eu/transparency/regexpert/index.cfm?do=groupDetail.groupDetail&amp;groupID=3552</w:t>
        </w:r>
      </w:hyperlink>
      <w:r>
        <w:rPr>
          <w:rFonts w:ascii="Times New Roman" w:hAnsi="Times New Roman"/>
        </w:rPr>
        <w:t>.</w:t>
      </w:r>
    </w:p>
  </w:footnote>
  <w:footnote w:id="1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Препоръка на Съвета относно насърчаването на общите ценности, приобщаващото образование и европейското измерение на преподаването: </w:t>
      </w:r>
      <w:hyperlink r:id="rId7">
        <w:r>
          <w:rPr>
            <w:rStyle w:val="Hyperlink"/>
            <w:rFonts w:ascii="Times New Roman" w:hAnsi="Times New Roman"/>
          </w:rPr>
          <w:t>http://data.consilium.europa.eu/doc/document/ST-8015-2018-INIT/en/pdf</w:t>
        </w:r>
      </w:hyperlink>
      <w:r>
        <w:rPr>
          <w:rFonts w:ascii="Times New Roman" w:hAnsi="Times New Roman"/>
        </w:rPr>
        <w:t>.</w:t>
      </w:r>
    </w:p>
  </w:footnote>
  <w:footnote w:id="1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Тринадесети доклад за напредъка по отношение на създаването на ефективен и истински Съюз на сигурност (COM(2018) 46 final от 24.1.2018 г.).</w:t>
      </w:r>
    </w:p>
  </w:footnote>
  <w:footnote w:id="2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Единадесети доклад за напредъка по създаването на ефективен и истински Съюз на сигурност (COM(2017) 608 final от 18.10.2017 г.).</w:t>
      </w:r>
    </w:p>
  </w:footnote>
  <w:footnote w:id="2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612 final (18.10.2017 г.). </w:t>
      </w:r>
    </w:p>
  </w:footnote>
  <w:footnote w:id="2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Steer Davies and Gleave, Study on options for the security of European high-speed and international rail services conducted at the request of the services of the EC (Стиър Дейвис и Глийв, Проучване на вариантите за сигурността на европейските високоскоростни и международни железопътни превози, направено по искане на службите на ЕК), декември 2016 г.: </w:t>
      </w:r>
      <w:hyperlink r:id="rId8">
        <w:r>
          <w:rPr>
            <w:rStyle w:val="Hyperlink"/>
            <w:rFonts w:ascii="Times New Roman" w:hAnsi="Times New Roman"/>
          </w:rPr>
          <w:t>http://europa.eu/!mM86yp</w:t>
        </w:r>
      </w:hyperlink>
      <w:r>
        <w:rPr>
          <w:rFonts w:ascii="Times New Roman" w:hAnsi="Times New Roman"/>
        </w:rPr>
        <w:t>.</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793 final и COM(2017) 794 final (12.12.2017 г.).</w:t>
      </w:r>
    </w:p>
  </w:footnote>
  <w:footnote w:id="2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четиринадесетия доклад за напредъка в създаването на ефективен и истински Съюз на сигурност (COM(2018) 211 final от 17.4.2017 г.). Законодателните предложения от декември 2017 г. относно оперативната съвместимост на информационните системи вече включват необходимите изменения в правните инструменти на Кодекса на Съюза за режима на движение на лица през границите, бъдещата система за влизане и излизане и визовата информационна система. Те не включват необходимите изменения в други инструменти (регламенти за система на ЕС за информация за пътуванията и разрешаването им, Евродак, Шенгенската информационна система, Европейската информационна система за регистрите за съдимост за граждани на трети страни и Европейска агенция за оперативното управление на широкомащабни информационни системи), които все още се обсъждаха в Европейския парламент и в Съвета по времето, когато бяха представени предложенията относно оперативната съвместимост.</w:t>
      </w:r>
    </w:p>
  </w:footnote>
  <w:footnote w:id="2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731 final (16.11.2016 г.).</w:t>
      </w:r>
    </w:p>
  </w:footnote>
  <w:footnote w:id="2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881 final, 882 final и 883 final (21.12.2016 г.).</w:t>
      </w:r>
    </w:p>
  </w:footnote>
  <w:footnote w:id="2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352 final (29.6.2017 г.).</w:t>
      </w:r>
    </w:p>
  </w:footnote>
  <w:footnote w:id="2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344 final (29.6.2017 г.).</w:t>
      </w:r>
    </w:p>
  </w:footnote>
  <w:footnote w:id="2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272 final (4.5.2016 г.).</w:t>
      </w:r>
    </w:p>
  </w:footnote>
  <w:footnote w:id="30">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302 final (2.5.2018 г.).</w:t>
      </w:r>
    </w:p>
  </w:footnote>
  <w:footnote w:id="3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Директива (ЕС) 2016/681 на Европейския парламент и на Съвета от 27 април 2016 година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стp. 132—149. </w:t>
      </w:r>
    </w:p>
  </w:footnote>
  <w:footnote w:id="32">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Белгия, Хърватия, Естония, Германия, Унгария, Ирландия, Италия, Латвия, Литва, Люксембург, Малта, Полша, Словакия и Обединеното кралство. Информация относно националните мерки за транспониране, съобщени от държавите членки, е публично достъпна чрез Eur-Lex: </w:t>
      </w:r>
      <w:hyperlink r:id="rId9">
        <w:r>
          <w:rPr>
            <w:rStyle w:val="Hyperlink"/>
            <w:rFonts w:ascii="Times New Roman" w:hAnsi="Times New Roman"/>
          </w:rPr>
          <w:t>https://eur-lex.europa.eu/legal-content/BG/NIM/?uri=CELEX%3A32016L0681</w:t>
        </w:r>
      </w:hyperlink>
      <w:r>
        <w:rPr>
          <w:rFonts w:ascii="Times New Roman" w:hAnsi="Times New Roman"/>
        </w:rPr>
        <w:t>.</w:t>
      </w:r>
    </w:p>
  </w:footnote>
  <w:footnote w:id="33">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Дания не участва в Директивата относно резервационните данни на пътниците. </w:t>
      </w:r>
    </w:p>
  </w:footnote>
  <w:footnote w:id="34">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Дания не участва в Директивата относно резервационните данни на пътниците.</w:t>
      </w:r>
    </w:p>
  </w:footnote>
  <w:footnote w:id="35">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JOIN(2017) 450 final (13.9.2017 г.).  </w:t>
      </w:r>
    </w:p>
  </w:footnote>
  <w:footnote w:id="36">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 повече подробности виж: </w:t>
      </w:r>
      <w:hyperlink r:id="rId10">
        <w:r>
          <w:rPr>
            <w:rStyle w:val="Hyperlink"/>
            <w:rFonts w:ascii="Times New Roman" w:hAnsi="Times New Roman"/>
          </w:rPr>
          <w:t>http://www.cyber-europe.eu/</w:t>
        </w:r>
      </w:hyperlink>
      <w:r>
        <w:rPr>
          <w:rFonts w:ascii="Times New Roman" w:hAnsi="Times New Roman"/>
        </w:rPr>
        <w:t xml:space="preserve">. </w:t>
      </w:r>
    </w:p>
  </w:footnote>
  <w:footnote w:id="37">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236 final (26.4.2018 г.).</w:t>
      </w:r>
    </w:p>
  </w:footnote>
  <w:footnote w:id="3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четиринадесетия доклад за напредъка в създаването на Съюз на сигурност (COM(2018) 211 final от 17.4.2018 г.) Комисията докладва за текущото развитие относно услугата WHOIS, по-специално с оглед на прилагането на Общия регламент за защита на данните от 25 май 2018 г.</w:t>
      </w:r>
    </w:p>
  </w:footnote>
  <w:footnote w:id="39">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Заменящ Работната група по член 29.</w:t>
      </w:r>
    </w:p>
  </w:footnote>
  <w:footnote w:id="40">
    <w:p>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rPr>
        <w:t>На 23 май 2018 г. Съветът на ICANN потвърди този подход в писмо до Комисията:</w:t>
      </w:r>
      <w:r>
        <w:rPr>
          <w:rFonts w:ascii="Times New Roman" w:hAnsi="Times New Roman"/>
          <w:b/>
          <w:sz w:val="24"/>
        </w:rPr>
        <w:t xml:space="preserve"> </w:t>
      </w:r>
      <w:hyperlink r:id="rId11">
        <w:r>
          <w:rPr>
            <w:rStyle w:val="Hyperlink"/>
            <w:rFonts w:ascii="Times New Roman" w:hAnsi="Times New Roman"/>
          </w:rPr>
          <w:t>https://www.icann.org/resources/pages/correspondence</w:t>
        </w:r>
      </w:hyperlink>
      <w:r>
        <w:rPr>
          <w:rFonts w:ascii="Times New Roman" w:hAnsi="Times New Roman"/>
        </w:rPr>
        <w:t xml:space="preserve">. </w:t>
      </w:r>
    </w:p>
  </w:footnote>
  <w:footnote w:id="41">
    <w:p>
      <w:pPr>
        <w:pStyle w:val="FootnoteText"/>
        <w:ind w:left="567" w:hanging="567"/>
      </w:pPr>
      <w:r>
        <w:rPr>
          <w:rStyle w:val="FootnoteReference"/>
        </w:rPr>
        <w:footnoteRef/>
      </w:r>
      <w:r>
        <w:t xml:space="preserve"> </w:t>
      </w:r>
      <w:r>
        <w:tab/>
      </w:r>
      <w:hyperlink r:id="rId12">
        <w:r>
          <w:rPr>
            <w:rStyle w:val="Hyperlink"/>
            <w:rFonts w:ascii="Times New Roman" w:hAnsi="Times New Roman"/>
          </w:rPr>
          <w:t>https://edpb.europa.eu/news/news/2018/european-data-protection-board-endorsed-statement-wp29-icannwhois_sv</w:t>
        </w:r>
      </w:hyperlink>
      <w:r>
        <w:rPr>
          <w:rFonts w:ascii="Times New Roman" w:hAnsi="Times New Roman"/>
        </w:rPr>
        <w:t>.</w:t>
      </w:r>
    </w:p>
  </w:footnote>
  <w:footnote w:id="4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826 final (21.12.2016 г.).</w:t>
      </w:r>
    </w:p>
  </w:footnote>
  <w:footnote w:id="4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(2016) 50 (2.2.2016 г.).</w:t>
      </w:r>
    </w:p>
  </w:footnote>
  <w:footnote w:id="44">
    <w:p>
      <w:pPr>
        <w:pStyle w:val="NormalWeb"/>
        <w:spacing w:before="0" w:beforeAutospacing="0" w:after="0" w:afterAutospacing="0"/>
        <w:ind w:left="567" w:hanging="567"/>
        <w:jc w:val="both"/>
        <w:rPr>
          <w:sz w:val="20"/>
          <w:szCs w:val="20"/>
          <w:lang w:val="pt-PT"/>
        </w:rPr>
      </w:pPr>
      <w:r>
        <w:rPr>
          <w:rStyle w:val="FootnoteReference"/>
          <w:sz w:val="20"/>
        </w:rPr>
        <w:footnoteRef/>
      </w:r>
      <w:r>
        <w:rPr>
          <w:sz w:val="20"/>
        </w:rPr>
        <w:t xml:space="preserve"> </w:t>
      </w:r>
      <w:r>
        <w:tab/>
      </w:r>
      <w:r>
        <w:rPr>
          <w:sz w:val="20"/>
        </w:rPr>
        <w:t xml:space="preserve">COM(2015) 624 final (2.12.2015 г.). </w:t>
      </w:r>
    </w:p>
  </w:footnote>
  <w:footnote w:id="4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https://g7.gc.ca/en/g7-presidency/themes/building-peaceful-secure-world/g7-ministerial-meeting/chairs-statement-security-ministers-meeting/g7-security-ministers-commitments-paper/</w:t>
        </w:r>
      </w:hyperlink>
      <w:r>
        <w:rPr>
          <w:rStyle w:val="Hyperlink"/>
          <w:rFonts w:ascii="Times New Roman" w:hAnsi="Times New Roman"/>
        </w:rPr>
        <w:t>.</w:t>
      </w:r>
    </w:p>
  </w:footnote>
  <w:footnote w:id="4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14">
        <w:r>
          <w:rPr>
            <w:rStyle w:val="Hyperlink"/>
            <w:rFonts w:ascii="Times New Roman" w:hAnsi="Times New Roman"/>
          </w:rPr>
          <w:t>https://g7.gc.ca/en/g7-presidency/themes/building-peaceful-secure-world/g7-ministerial-meeting/managing-foreign-terrorist-fighters-associated-travellers/</w:t>
        </w:r>
      </w:hyperlink>
      <w:r>
        <w:rPr>
          <w:rFonts w:ascii="Times New Roman" w:hAnsi="Times New Roman"/>
        </w:rPr>
        <w:t xml:space="preserve">. </w:t>
      </w:r>
    </w:p>
  </w:footnote>
  <w:footnote w:id="4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https://g7.gc.ca/en/g7-presidency/themes/building-peaceful-secure-world/g7-ministerial-meeting/defending-democracy-addressing-foreign-threats/</w:t>
        </w:r>
      </w:hyperlink>
      <w:r>
        <w:rPr>
          <w:rFonts w:ascii="Times New Roman" w:hAnsi="Times New Roman"/>
        </w:rPr>
        <w:t>.</w:t>
      </w:r>
    </w:p>
  </w:footnote>
  <w:footnote w:id="48">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65 final (6.2.2018 г.). Това включва: засилване на съвместната работа за противодействие на тероризма и предотвратяване на радикализацията, задълбочаване на сътрудничеството в борбата против организираната престъпност в приоритетни области като огнестрелни оръжия, наркотици, незаконно превеждане през границата на мигранти и трафик на хора, и подготовка на обновен план за действие за сътрудничество против незаконния трафик на огнестрелни оръжия.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F50"/>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2874DE"/>
    <w:multiLevelType w:val="hybridMultilevel"/>
    <w:tmpl w:val="9238E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4D2AF5"/>
    <w:multiLevelType w:val="multilevel"/>
    <w:tmpl w:val="58367D9E"/>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3">
    <w:nsid w:val="08B77901"/>
    <w:multiLevelType w:val="hybridMultilevel"/>
    <w:tmpl w:val="D772CF3E"/>
    <w:lvl w:ilvl="0" w:tplc="08090001">
      <w:start w:val="1"/>
      <w:numFmt w:val="bullet"/>
      <w:lvlText w:val=""/>
      <w:lvlJc w:val="left"/>
      <w:pPr>
        <w:ind w:left="720" w:hanging="360"/>
      </w:pPr>
      <w:rPr>
        <w:rFonts w:ascii="Symbol" w:hAnsi="Symbol" w:hint="default"/>
      </w:rPr>
    </w:lvl>
    <w:lvl w:ilvl="1" w:tplc="15AA5BD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E12D64"/>
    <w:multiLevelType w:val="hybridMultilevel"/>
    <w:tmpl w:val="1E64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505B6"/>
    <w:multiLevelType w:val="hybridMultilevel"/>
    <w:tmpl w:val="71E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EC651E"/>
    <w:multiLevelType w:val="hybridMultilevel"/>
    <w:tmpl w:val="68643484"/>
    <w:lvl w:ilvl="0" w:tplc="073CF13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1C895763"/>
    <w:multiLevelType w:val="hybridMultilevel"/>
    <w:tmpl w:val="777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375FF"/>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3F80EB4"/>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98A2034"/>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9704C5"/>
    <w:multiLevelType w:val="hybridMultilevel"/>
    <w:tmpl w:val="4B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B47722"/>
    <w:multiLevelType w:val="hybridMultilevel"/>
    <w:tmpl w:val="4C0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C77563"/>
    <w:multiLevelType w:val="hybridMultilevel"/>
    <w:tmpl w:val="4BA0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587FB6"/>
    <w:multiLevelType w:val="hybridMultilevel"/>
    <w:tmpl w:val="1804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6B5246"/>
    <w:multiLevelType w:val="hybridMultilevel"/>
    <w:tmpl w:val="189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E1618A"/>
    <w:multiLevelType w:val="hybridMultilevel"/>
    <w:tmpl w:val="73F2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53E37D2A"/>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754FE2"/>
    <w:multiLevelType w:val="hybridMultilevel"/>
    <w:tmpl w:val="C3B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DD44CDC"/>
    <w:multiLevelType w:val="hybridMultilevel"/>
    <w:tmpl w:val="9670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611F95"/>
    <w:multiLevelType w:val="hybridMultilevel"/>
    <w:tmpl w:val="3E2690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CA84AEC"/>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0802451"/>
    <w:multiLevelType w:val="hybridMultilevel"/>
    <w:tmpl w:val="BEC6282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5">
    <w:nsid w:val="77C22D75"/>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14"/>
  </w:num>
  <w:num w:numId="5">
    <w:abstractNumId w:val="4"/>
  </w:num>
  <w:num w:numId="6">
    <w:abstractNumId w:val="15"/>
  </w:num>
  <w:num w:numId="7">
    <w:abstractNumId w:val="7"/>
  </w:num>
  <w:num w:numId="8">
    <w:abstractNumId w:val="6"/>
  </w:num>
  <w:num w:numId="9">
    <w:abstractNumId w:val="20"/>
  </w:num>
  <w:num w:numId="10">
    <w:abstractNumId w:val="10"/>
  </w:num>
  <w:num w:numId="11">
    <w:abstractNumId w:val="17"/>
  </w:num>
  <w:num w:numId="12">
    <w:abstractNumId w:val="23"/>
  </w:num>
  <w:num w:numId="13">
    <w:abstractNumId w:val="9"/>
  </w:num>
  <w:num w:numId="14">
    <w:abstractNumId w:val="25"/>
  </w:num>
  <w:num w:numId="15">
    <w:abstractNumId w:val="22"/>
  </w:num>
  <w:num w:numId="16">
    <w:abstractNumId w:val="0"/>
  </w:num>
  <w:num w:numId="17">
    <w:abstractNumId w:val="11"/>
  </w:num>
  <w:num w:numId="18">
    <w:abstractNumId w:val="21"/>
  </w:num>
  <w:num w:numId="19">
    <w:abstractNumId w:val="1"/>
  </w:num>
  <w:num w:numId="20">
    <w:abstractNumId w:val="2"/>
  </w:num>
  <w:num w:numId="21">
    <w:abstractNumId w:val="24"/>
  </w:num>
  <w:num w:numId="22">
    <w:abstractNumId w:val="12"/>
  </w:num>
  <w:num w:numId="23">
    <w:abstractNumId w:val="19"/>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593E47-C7E9-46D5-8D1F-77BF1F7E687F"/>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77?\u1090?\u1085?\u1072?\u1076?\u1077?\u1089?\u1077?\u1090?\u1080? \u1076?\u1086?\u1082?\u1083?\u1072?\u1076? \u1079?\u1072? \u1085?\u1072?\u1087?\u1088?\u1077?\u1076?\u1098?\u1082?\u1072? \u1074? \u1089?\u1098?\u1079?\u1076?\u1072?\u1074?\u1072?\u1085?\u1077?\u1090?\u1086? \u1085?\u1072? \u1077?\u1092?\u1077?\u1082?\u1090?\u1080?\u1074?\u1077?\u1085? \u1080? \u1080?\u1089?\u1090?\u1080?\u1085?\u1089?\u1082?\u1080?&lt;/FMT&gt;_x000b_&lt;FMT:Bold&gt;\u1057?\u1098?\u1102?\u1079? \u1085?\u1072? \u1089?\u1080?\u1075?\u1091?\u1088?\u1085?\u1086?\u1089?\u1090?&lt;/FMT&gt;"/>
    <w:docVar w:name="LW_TYPE.DOC.CP" w:val="\u1057?\u1066?\u1054?\u1041?\u1065?\u1045?\u1053?\u1048?\u1045? \u1053?\u1040? \u1050?\u1054?\u1052?\u1048?\u1057?\u1048?\u1071?\u1058?\u1040? \u1044?\u1054? \u1045?\u1042?\u1056?\u1054?\u1055?\u1045?\u1049?\u1057?\u1050?\u1048?\u1071? \u1055?\u1040?\u1056?\u1051?\u1040?\u1052?\u1045?\u1053?\u1058?,_x000b_\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dwo0142anieprzypisu">
    <w:name w:val="Odwo&lt;0142&gt;anie przypisu"/>
    <w:aliases w:val="BVI fnr Char1 Char,SUPER,fr"/>
    <w:basedOn w:val="Normal"/>
    <w:uiPriority w:val="99"/>
    <w:pPr>
      <w:spacing w:before="120"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dwo0142anieprzypisu">
    <w:name w:val="Odwo&lt;0142&gt;anie przypisu"/>
    <w:aliases w:val="BVI fnr Char1 Char,SUPER,fr"/>
    <w:basedOn w:val="Normal"/>
    <w:uiPriority w:val="99"/>
    <w:pPr>
      <w:spacing w:before="120"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8278">
      <w:bodyDiv w:val="1"/>
      <w:marLeft w:val="0"/>
      <w:marRight w:val="0"/>
      <w:marTop w:val="0"/>
      <w:marBottom w:val="0"/>
      <w:divBdr>
        <w:top w:val="none" w:sz="0" w:space="0" w:color="auto"/>
        <w:left w:val="none" w:sz="0" w:space="0" w:color="auto"/>
        <w:bottom w:val="none" w:sz="0" w:space="0" w:color="auto"/>
        <w:right w:val="none" w:sz="0" w:space="0" w:color="auto"/>
      </w:divBdr>
    </w:div>
    <w:div w:id="250091979">
      <w:bodyDiv w:val="1"/>
      <w:marLeft w:val="0"/>
      <w:marRight w:val="0"/>
      <w:marTop w:val="0"/>
      <w:marBottom w:val="0"/>
      <w:divBdr>
        <w:top w:val="none" w:sz="0" w:space="0" w:color="auto"/>
        <w:left w:val="none" w:sz="0" w:space="0" w:color="auto"/>
        <w:bottom w:val="none" w:sz="0" w:space="0" w:color="auto"/>
        <w:right w:val="none" w:sz="0" w:space="0" w:color="auto"/>
      </w:divBdr>
      <w:divsChild>
        <w:div w:id="81488764">
          <w:marLeft w:val="0"/>
          <w:marRight w:val="0"/>
          <w:marTop w:val="0"/>
          <w:marBottom w:val="0"/>
          <w:divBdr>
            <w:top w:val="none" w:sz="0" w:space="0" w:color="auto"/>
            <w:left w:val="none" w:sz="0" w:space="0" w:color="auto"/>
            <w:bottom w:val="none" w:sz="0" w:space="0" w:color="auto"/>
            <w:right w:val="none" w:sz="0" w:space="0" w:color="auto"/>
          </w:divBdr>
          <w:divsChild>
            <w:div w:id="305823056">
              <w:marLeft w:val="0"/>
              <w:marRight w:val="0"/>
              <w:marTop w:val="0"/>
              <w:marBottom w:val="0"/>
              <w:divBdr>
                <w:top w:val="none" w:sz="0" w:space="0" w:color="auto"/>
                <w:left w:val="none" w:sz="0" w:space="0" w:color="auto"/>
                <w:bottom w:val="none" w:sz="0" w:space="0" w:color="auto"/>
                <w:right w:val="none" w:sz="0" w:space="0" w:color="auto"/>
              </w:divBdr>
              <w:divsChild>
                <w:div w:id="1394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840">
      <w:bodyDiv w:val="1"/>
      <w:marLeft w:val="0"/>
      <w:marRight w:val="0"/>
      <w:marTop w:val="0"/>
      <w:marBottom w:val="0"/>
      <w:divBdr>
        <w:top w:val="none" w:sz="0" w:space="0" w:color="auto"/>
        <w:left w:val="none" w:sz="0" w:space="0" w:color="auto"/>
        <w:bottom w:val="none" w:sz="0" w:space="0" w:color="auto"/>
        <w:right w:val="none" w:sz="0" w:space="0" w:color="auto"/>
      </w:divBdr>
    </w:div>
    <w:div w:id="567422647">
      <w:bodyDiv w:val="1"/>
      <w:marLeft w:val="0"/>
      <w:marRight w:val="0"/>
      <w:marTop w:val="0"/>
      <w:marBottom w:val="0"/>
      <w:divBdr>
        <w:top w:val="none" w:sz="0" w:space="0" w:color="auto"/>
        <w:left w:val="none" w:sz="0" w:space="0" w:color="auto"/>
        <w:bottom w:val="none" w:sz="0" w:space="0" w:color="auto"/>
        <w:right w:val="none" w:sz="0" w:space="0" w:color="auto"/>
      </w:divBdr>
    </w:div>
    <w:div w:id="1064910064">
      <w:bodyDiv w:val="1"/>
      <w:marLeft w:val="0"/>
      <w:marRight w:val="0"/>
      <w:marTop w:val="0"/>
      <w:marBottom w:val="0"/>
      <w:divBdr>
        <w:top w:val="none" w:sz="0" w:space="0" w:color="auto"/>
        <w:left w:val="none" w:sz="0" w:space="0" w:color="auto"/>
        <w:bottom w:val="none" w:sz="0" w:space="0" w:color="auto"/>
        <w:right w:val="none" w:sz="0" w:space="0" w:color="auto"/>
      </w:divBdr>
    </w:div>
    <w:div w:id="1108306354">
      <w:bodyDiv w:val="1"/>
      <w:marLeft w:val="0"/>
      <w:marRight w:val="0"/>
      <w:marTop w:val="0"/>
      <w:marBottom w:val="0"/>
      <w:divBdr>
        <w:top w:val="none" w:sz="0" w:space="0" w:color="auto"/>
        <w:left w:val="none" w:sz="0" w:space="0" w:color="auto"/>
        <w:bottom w:val="none" w:sz="0" w:space="0" w:color="auto"/>
        <w:right w:val="none" w:sz="0" w:space="0" w:color="auto"/>
      </w:divBdr>
    </w:div>
    <w:div w:id="1509099221">
      <w:bodyDiv w:val="1"/>
      <w:marLeft w:val="0"/>
      <w:marRight w:val="0"/>
      <w:marTop w:val="0"/>
      <w:marBottom w:val="0"/>
      <w:divBdr>
        <w:top w:val="none" w:sz="0" w:space="0" w:color="auto"/>
        <w:left w:val="none" w:sz="0" w:space="0" w:color="auto"/>
        <w:bottom w:val="none" w:sz="0" w:space="0" w:color="auto"/>
        <w:right w:val="none" w:sz="0" w:space="0" w:color="auto"/>
      </w:divBdr>
    </w:div>
    <w:div w:id="1556963168">
      <w:bodyDiv w:val="1"/>
      <w:marLeft w:val="0"/>
      <w:marRight w:val="0"/>
      <w:marTop w:val="0"/>
      <w:marBottom w:val="0"/>
      <w:divBdr>
        <w:top w:val="none" w:sz="0" w:space="0" w:color="auto"/>
        <w:left w:val="none" w:sz="0" w:space="0" w:color="auto"/>
        <w:bottom w:val="none" w:sz="0" w:space="0" w:color="auto"/>
        <w:right w:val="none" w:sz="0" w:space="0" w:color="auto"/>
      </w:divBdr>
      <w:divsChild>
        <w:div w:id="1040009617">
          <w:marLeft w:val="0"/>
          <w:marRight w:val="0"/>
          <w:marTop w:val="0"/>
          <w:marBottom w:val="0"/>
          <w:divBdr>
            <w:top w:val="none" w:sz="0" w:space="0" w:color="auto"/>
            <w:left w:val="none" w:sz="0" w:space="0" w:color="auto"/>
            <w:bottom w:val="none" w:sz="0" w:space="0" w:color="auto"/>
            <w:right w:val="none" w:sz="0" w:space="0" w:color="auto"/>
          </w:divBdr>
          <w:divsChild>
            <w:div w:id="796262508">
              <w:marLeft w:val="0"/>
              <w:marRight w:val="0"/>
              <w:marTop w:val="0"/>
              <w:marBottom w:val="0"/>
              <w:divBdr>
                <w:top w:val="none" w:sz="0" w:space="0" w:color="auto"/>
                <w:left w:val="none" w:sz="0" w:space="0" w:color="auto"/>
                <w:bottom w:val="none" w:sz="0" w:space="0" w:color="auto"/>
                <w:right w:val="none" w:sz="0" w:space="0" w:color="auto"/>
              </w:divBdr>
              <w:divsChild>
                <w:div w:id="1719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1364">
      <w:bodyDiv w:val="1"/>
      <w:marLeft w:val="0"/>
      <w:marRight w:val="0"/>
      <w:marTop w:val="0"/>
      <w:marBottom w:val="0"/>
      <w:divBdr>
        <w:top w:val="none" w:sz="0" w:space="0" w:color="auto"/>
        <w:left w:val="none" w:sz="0" w:space="0" w:color="auto"/>
        <w:bottom w:val="none" w:sz="0" w:space="0" w:color="auto"/>
        <w:right w:val="none" w:sz="0" w:space="0" w:color="auto"/>
      </w:divBdr>
    </w:div>
    <w:div w:id="1641494378">
      <w:bodyDiv w:val="1"/>
      <w:marLeft w:val="0"/>
      <w:marRight w:val="0"/>
      <w:marTop w:val="0"/>
      <w:marBottom w:val="0"/>
      <w:divBdr>
        <w:top w:val="none" w:sz="0" w:space="0" w:color="auto"/>
        <w:left w:val="none" w:sz="0" w:space="0" w:color="auto"/>
        <w:bottom w:val="none" w:sz="0" w:space="0" w:color="auto"/>
        <w:right w:val="none" w:sz="0" w:space="0" w:color="auto"/>
      </w:divBdr>
    </w:div>
    <w:div w:id="1721325745">
      <w:bodyDiv w:val="1"/>
      <w:marLeft w:val="0"/>
      <w:marRight w:val="0"/>
      <w:marTop w:val="0"/>
      <w:marBottom w:val="0"/>
      <w:divBdr>
        <w:top w:val="none" w:sz="0" w:space="0" w:color="auto"/>
        <w:left w:val="none" w:sz="0" w:space="0" w:color="auto"/>
        <w:bottom w:val="none" w:sz="0" w:space="0" w:color="auto"/>
        <w:right w:val="none" w:sz="0" w:space="0" w:color="auto"/>
      </w:divBdr>
    </w:div>
    <w:div w:id="2000109812">
      <w:bodyDiv w:val="1"/>
      <w:marLeft w:val="0"/>
      <w:marRight w:val="0"/>
      <w:marTop w:val="0"/>
      <w:marBottom w:val="0"/>
      <w:divBdr>
        <w:top w:val="none" w:sz="0" w:space="0" w:color="auto"/>
        <w:left w:val="none" w:sz="0" w:space="0" w:color="auto"/>
        <w:bottom w:val="none" w:sz="0" w:space="0" w:color="auto"/>
        <w:right w:val="none" w:sz="0" w:space="0" w:color="auto"/>
      </w:divBdr>
      <w:divsChild>
        <w:div w:id="427847230">
          <w:marLeft w:val="0"/>
          <w:marRight w:val="0"/>
          <w:marTop w:val="0"/>
          <w:marBottom w:val="0"/>
          <w:divBdr>
            <w:top w:val="none" w:sz="0" w:space="0" w:color="auto"/>
            <w:left w:val="none" w:sz="0" w:space="0" w:color="auto"/>
            <w:bottom w:val="none" w:sz="0" w:space="0" w:color="auto"/>
            <w:right w:val="none" w:sz="0" w:space="0" w:color="auto"/>
          </w:divBdr>
          <w:divsChild>
            <w:div w:id="2133091259">
              <w:marLeft w:val="0"/>
              <w:marRight w:val="0"/>
              <w:marTop w:val="0"/>
              <w:marBottom w:val="0"/>
              <w:divBdr>
                <w:top w:val="none" w:sz="0" w:space="0" w:color="auto"/>
                <w:left w:val="none" w:sz="0" w:space="0" w:color="auto"/>
                <w:bottom w:val="none" w:sz="0" w:space="0" w:color="auto"/>
                <w:right w:val="none" w:sz="0" w:space="0" w:color="auto"/>
              </w:divBdr>
              <w:divsChild>
                <w:div w:id="1754470105">
                  <w:marLeft w:val="0"/>
                  <w:marRight w:val="0"/>
                  <w:marTop w:val="0"/>
                  <w:marBottom w:val="0"/>
                  <w:divBdr>
                    <w:top w:val="none" w:sz="0" w:space="0" w:color="auto"/>
                    <w:left w:val="none" w:sz="0" w:space="0" w:color="auto"/>
                    <w:bottom w:val="none" w:sz="0" w:space="0" w:color="auto"/>
                    <w:right w:val="none" w:sz="0" w:space="0" w:color="auto"/>
                  </w:divBdr>
                  <w:divsChild>
                    <w:div w:id="792600317">
                      <w:marLeft w:val="0"/>
                      <w:marRight w:val="0"/>
                      <w:marTop w:val="45"/>
                      <w:marBottom w:val="0"/>
                      <w:divBdr>
                        <w:top w:val="none" w:sz="0" w:space="0" w:color="auto"/>
                        <w:left w:val="none" w:sz="0" w:space="0" w:color="auto"/>
                        <w:bottom w:val="none" w:sz="0" w:space="0" w:color="auto"/>
                        <w:right w:val="none" w:sz="0" w:space="0" w:color="auto"/>
                      </w:divBdr>
                      <w:divsChild>
                        <w:div w:id="1832985927">
                          <w:marLeft w:val="0"/>
                          <w:marRight w:val="0"/>
                          <w:marTop w:val="0"/>
                          <w:marBottom w:val="0"/>
                          <w:divBdr>
                            <w:top w:val="none" w:sz="0" w:space="0" w:color="auto"/>
                            <w:left w:val="none" w:sz="0" w:space="0" w:color="auto"/>
                            <w:bottom w:val="none" w:sz="0" w:space="0" w:color="auto"/>
                            <w:right w:val="none" w:sz="0" w:space="0" w:color="auto"/>
                          </w:divBdr>
                          <w:divsChild>
                            <w:div w:id="18286869">
                              <w:marLeft w:val="12300"/>
                              <w:marRight w:val="0"/>
                              <w:marTop w:val="0"/>
                              <w:marBottom w:val="0"/>
                              <w:divBdr>
                                <w:top w:val="none" w:sz="0" w:space="0" w:color="auto"/>
                                <w:left w:val="none" w:sz="0" w:space="0" w:color="auto"/>
                                <w:bottom w:val="none" w:sz="0" w:space="0" w:color="auto"/>
                                <w:right w:val="none" w:sz="0" w:space="0" w:color="auto"/>
                              </w:divBdr>
                              <w:divsChild>
                                <w:div w:id="515584921">
                                  <w:marLeft w:val="0"/>
                                  <w:marRight w:val="0"/>
                                  <w:marTop w:val="0"/>
                                  <w:marBottom w:val="0"/>
                                  <w:divBdr>
                                    <w:top w:val="none" w:sz="0" w:space="0" w:color="auto"/>
                                    <w:left w:val="none" w:sz="0" w:space="0" w:color="auto"/>
                                    <w:bottom w:val="none" w:sz="0" w:space="0" w:color="auto"/>
                                    <w:right w:val="none" w:sz="0" w:space="0" w:color="auto"/>
                                  </w:divBdr>
                                  <w:divsChild>
                                    <w:div w:id="1556964763">
                                      <w:marLeft w:val="0"/>
                                      <w:marRight w:val="0"/>
                                      <w:marTop w:val="0"/>
                                      <w:marBottom w:val="39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sChild>
                                            <w:div w:id="1061561825">
                                              <w:marLeft w:val="0"/>
                                              <w:marRight w:val="0"/>
                                              <w:marTop w:val="0"/>
                                              <w:marBottom w:val="0"/>
                                              <w:divBdr>
                                                <w:top w:val="none" w:sz="0" w:space="0" w:color="auto"/>
                                                <w:left w:val="none" w:sz="0" w:space="0" w:color="auto"/>
                                                <w:bottom w:val="none" w:sz="0" w:space="0" w:color="auto"/>
                                                <w:right w:val="none" w:sz="0" w:space="0" w:color="auto"/>
                                              </w:divBdr>
                                              <w:divsChild>
                                                <w:div w:id="1766805801">
                                                  <w:marLeft w:val="0"/>
                                                  <w:marRight w:val="0"/>
                                                  <w:marTop w:val="0"/>
                                                  <w:marBottom w:val="0"/>
                                                  <w:divBdr>
                                                    <w:top w:val="none" w:sz="0" w:space="0" w:color="auto"/>
                                                    <w:left w:val="none" w:sz="0" w:space="0" w:color="auto"/>
                                                    <w:bottom w:val="none" w:sz="0" w:space="0" w:color="auto"/>
                                                    <w:right w:val="none" w:sz="0" w:space="0" w:color="auto"/>
                                                  </w:divBdr>
                                                  <w:divsChild>
                                                    <w:div w:id="1301954497">
                                                      <w:marLeft w:val="0"/>
                                                      <w:marRight w:val="0"/>
                                                      <w:marTop w:val="0"/>
                                                      <w:marBottom w:val="0"/>
                                                      <w:divBdr>
                                                        <w:top w:val="none" w:sz="0" w:space="0" w:color="auto"/>
                                                        <w:left w:val="none" w:sz="0" w:space="0" w:color="auto"/>
                                                        <w:bottom w:val="none" w:sz="0" w:space="0" w:color="auto"/>
                                                        <w:right w:val="none" w:sz="0" w:space="0" w:color="auto"/>
                                                      </w:divBdr>
                                                      <w:divsChild>
                                                        <w:div w:id="580604339">
                                                          <w:marLeft w:val="0"/>
                                                          <w:marRight w:val="0"/>
                                                          <w:marTop w:val="0"/>
                                                          <w:marBottom w:val="0"/>
                                                          <w:divBdr>
                                                            <w:top w:val="none" w:sz="0" w:space="0" w:color="auto"/>
                                                            <w:left w:val="none" w:sz="0" w:space="0" w:color="auto"/>
                                                            <w:bottom w:val="none" w:sz="0" w:space="0" w:color="auto"/>
                                                            <w:right w:val="none" w:sz="0" w:space="0" w:color="auto"/>
                                                          </w:divBdr>
                                                          <w:divsChild>
                                                            <w:div w:id="133064355">
                                                              <w:marLeft w:val="0"/>
                                                              <w:marRight w:val="0"/>
                                                              <w:marTop w:val="0"/>
                                                              <w:marBottom w:val="0"/>
                                                              <w:divBdr>
                                                                <w:top w:val="none" w:sz="0" w:space="0" w:color="auto"/>
                                                                <w:left w:val="none" w:sz="0" w:space="0" w:color="auto"/>
                                                                <w:bottom w:val="none" w:sz="0" w:space="0" w:color="auto"/>
                                                                <w:right w:val="none" w:sz="0" w:space="0" w:color="auto"/>
                                                              </w:divBdr>
                                                              <w:divsChild>
                                                                <w:div w:id="2134979805">
                                                                  <w:marLeft w:val="0"/>
                                                                  <w:marRight w:val="0"/>
                                                                  <w:marTop w:val="0"/>
                                                                  <w:marBottom w:val="0"/>
                                                                  <w:divBdr>
                                                                    <w:top w:val="none" w:sz="0" w:space="0" w:color="auto"/>
                                                                    <w:left w:val="none" w:sz="0" w:space="0" w:color="auto"/>
                                                                    <w:bottom w:val="none" w:sz="0" w:space="0" w:color="auto"/>
                                                                    <w:right w:val="none" w:sz="0" w:space="0" w:color="auto"/>
                                                                  </w:divBdr>
                                                                  <w:divsChild>
                                                                    <w:div w:id="1189879016">
                                                                      <w:marLeft w:val="0"/>
                                                                      <w:marRight w:val="0"/>
                                                                      <w:marTop w:val="0"/>
                                                                      <w:marBottom w:val="0"/>
                                                                      <w:divBdr>
                                                                        <w:top w:val="none" w:sz="0" w:space="0" w:color="auto"/>
                                                                        <w:left w:val="none" w:sz="0" w:space="0" w:color="auto"/>
                                                                        <w:bottom w:val="none" w:sz="0" w:space="0" w:color="auto"/>
                                                                        <w:right w:val="none" w:sz="0" w:space="0" w:color="auto"/>
                                                                      </w:divBdr>
                                                                      <w:divsChild>
                                                                        <w:div w:id="1727607116">
                                                                          <w:marLeft w:val="0"/>
                                                                          <w:marRight w:val="0"/>
                                                                          <w:marTop w:val="0"/>
                                                                          <w:marBottom w:val="0"/>
                                                                          <w:divBdr>
                                                                            <w:top w:val="none" w:sz="0" w:space="0" w:color="auto"/>
                                                                            <w:left w:val="none" w:sz="0" w:space="0" w:color="auto"/>
                                                                            <w:bottom w:val="none" w:sz="0" w:space="0" w:color="auto"/>
                                                                            <w:right w:val="none" w:sz="0" w:space="0" w:color="auto"/>
                                                                          </w:divBdr>
                                                                          <w:divsChild>
                                                                            <w:div w:id="937060685">
                                                                              <w:marLeft w:val="0"/>
                                                                              <w:marRight w:val="0"/>
                                                                              <w:marTop w:val="0"/>
                                                                              <w:marBottom w:val="0"/>
                                                                              <w:divBdr>
                                                                                <w:top w:val="none" w:sz="0" w:space="0" w:color="auto"/>
                                                                                <w:left w:val="none" w:sz="0" w:space="0" w:color="auto"/>
                                                                                <w:bottom w:val="none" w:sz="0" w:space="0" w:color="auto"/>
                                                                                <w:right w:val="none" w:sz="0" w:space="0" w:color="auto"/>
                                                                              </w:divBdr>
                                                                              <w:divsChild>
                                                                                <w:div w:id="837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mM86yp" TargetMode="External"/><Relationship Id="rId13" Type="http://schemas.openxmlformats.org/officeDocument/2006/relationships/hyperlink" Target="https://g7.gc.ca/en/g7-presidency/themes/building-peaceful-secure-world/g7-ministerial-meeting/chairs-statement-security-ministers-meeting/g7-security-ministers-commitments-paper/" TargetMode="External"/><Relationship Id="rId3" Type="http://schemas.openxmlformats.org/officeDocument/2006/relationships/hyperlink" Target="http://www.globaltimes.cn/content/1044644.shtml" TargetMode="External"/><Relationship Id="rId7" Type="http://schemas.openxmlformats.org/officeDocument/2006/relationships/hyperlink" Target="http://data.consilium.europa.eu/doc/document/ST-8015-2018-INIT/en/pdf" TargetMode="External"/><Relationship Id="rId12" Type="http://schemas.openxmlformats.org/officeDocument/2006/relationships/hyperlink" Target="https://edpb.europa.eu/news/news/2018/european-data-protection-board-endorsed-statement-wp29-icannwhois_sv" TargetMode="External"/><Relationship Id="rId2" Type="http://schemas.openxmlformats.org/officeDocument/2006/relationships/hyperlink" Target="http://www.europol.europa.eu/sites/default/files/documents/tesat2017.pdf" TargetMode="External"/><Relationship Id="rId1" Type="http://schemas.openxmlformats.org/officeDocument/2006/relationships/hyperlink" Target="http://www.consilium.europa.eu/media/33457/22-euco-final-conclusions-en.pdf" TargetMode="External"/><Relationship Id="rId6" Type="http://schemas.openxmlformats.org/officeDocument/2006/relationships/hyperlink" Target="http://ec.europa.eu/transparency/regexpert/index.cfm?do=groupDetail.groupDetail&amp;groupID=3552" TargetMode="External"/><Relationship Id="rId11" Type="http://schemas.openxmlformats.org/officeDocument/2006/relationships/hyperlink" Target="https://www.icann.org/resources/pages/correspondence" TargetMode="External"/><Relationship Id="rId5" Type="http://schemas.openxmlformats.org/officeDocument/2006/relationships/hyperlink" Target="http://ec.europa.eu/transparency/regexpert/index.cfm?do=groupDetail.groupDetail&amp;groupID=3552&amp;NewSearch=1&amp;NewSearch=1" TargetMode="External"/><Relationship Id="rId15" Type="http://schemas.openxmlformats.org/officeDocument/2006/relationships/hyperlink" Target="https://g7.gc.ca/en/g7-presidency/themes/building-peaceful-secure-world/g7-ministerial-meeting/defending-democracy-addressing-foreign-threats/" TargetMode="External"/><Relationship Id="rId10" Type="http://schemas.openxmlformats.org/officeDocument/2006/relationships/hyperlink" Target="http://www.cyber-europe.eu/" TargetMode="External"/><Relationship Id="rId4" Type="http://schemas.openxmlformats.org/officeDocument/2006/relationships/hyperlink" Target="https://www.h2020-enotice.eu/static/roster.html" TargetMode="External"/><Relationship Id="rId9" Type="http://schemas.openxmlformats.org/officeDocument/2006/relationships/hyperlink" Target="https://eur-lex.europa.eu/legal-content/BG/NIM/?uri=CELEX%3A32016L0681" TargetMode="External"/><Relationship Id="rId14" Type="http://schemas.openxmlformats.org/officeDocument/2006/relationships/hyperlink" Target="https://g7.gc.ca/en/g7-presidency/themes/building-peaceful-secure-world/g7-ministerial-meeting/managing-foreign-terrorist-fighters-associated-trav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3E1B-3B47-4EB1-AE06-B66A916E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7865</Words>
  <Characters>47194</Characters>
  <Application>Microsoft Office Word</Application>
  <DocSecurity>0</DocSecurity>
  <Lines>761</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21</cp:revision>
  <cp:lastPrinted>2018-06-08T18:08:00Z</cp:lastPrinted>
  <dcterms:created xsi:type="dcterms:W3CDTF">2018-06-11T08:21:00Z</dcterms:created>
  <dcterms:modified xsi:type="dcterms:W3CDTF">2018-06-22T06:36:00Z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