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charts/chart1.xml" ContentType="application/vnd.openxmlformats-officedocument.drawingml.chart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9C099CD-00DE-4356-93E6-111DECF04A94" style="width:450.75pt;height:368.2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lastRenderedPageBreak/>
        <w:t>TABLE I: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Overview table summarising the monthly reports of the Turkish Cypriot Chamber of Commerce according to Article 8 of Commission Regulation (EC) No 1480/2004 in EUR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</w:p>
    <w:tbl>
      <w:tblPr>
        <w:tblW w:w="16434" w:type="dxa"/>
        <w:tblInd w:w="-34" w:type="dxa"/>
        <w:tblLook w:val="04A0" w:firstRow="1" w:lastRow="0" w:firstColumn="1" w:lastColumn="0" w:noHBand="0" w:noVBand="1"/>
      </w:tblPr>
      <w:tblGrid>
        <w:gridCol w:w="1754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38"/>
        <w:gridCol w:w="1116"/>
        <w:gridCol w:w="1116"/>
        <w:gridCol w:w="1116"/>
        <w:gridCol w:w="1266"/>
      </w:tblGrid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Traded products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September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October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November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December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>
        <w:trPr>
          <w:trHeight w:val="104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Animal/vegetable fats and oils and their cleavage products; prepared edible fats; animal or vegetable waxes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16,600.00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-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9,130.00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8,300.00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9,240.00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9,240.00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8,400.00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8,400.00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8,400.00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8,400.00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20,800.00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32,760.00     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     139,670.00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Building / construction materials (articles of stone, plaster, cement, asbestos, mica or similar materials; ceramic products; glass and glassware)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67,826.81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64,437.64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76,881.83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77,105.75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67,948.39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118,923.42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81,527.44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71,127.39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53,044.00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76,254.31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44,122.20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116,498.64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915,697.82</w:t>
            </w:r>
          </w:p>
        </w:tc>
      </w:tr>
      <w:tr>
        <w:trPr>
          <w:trHeight w:val="382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Waste/scrap products (base metals and articles of base metal)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28,650.00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46,600.00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38,225.00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34,150.00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35,887.00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22,150.00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28,550.00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22,255.00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22,550.00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57,122.71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72,650.00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19,250.00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428,039.71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Fresh Fish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57,271.00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68,348.00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70,877.00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51,629.00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71,860.00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90,443.00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90,988.00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90,105.00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78,512.50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62,473.00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32,940.00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48,907.00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814,353.50</w:t>
            </w:r>
          </w:p>
        </w:tc>
      </w:tr>
      <w:tr>
        <w:trPr>
          <w:trHeight w:val="56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Miscellaneous manufactured articles including furniture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25,322.70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35,015.13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26,863.00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50,007.00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40,017.10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31,517.00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31,360.64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25,542.00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29,267.00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28,203.20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32,805.50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49,412.41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405,332.68 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Plastic products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101,953.73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112,349.41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143,451.78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127,018.67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147,267.37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130,700.77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173,521.64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162,491.57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108,344.84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158,381.77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172,485.71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111,254.01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1,649,221.27</w:t>
            </w:r>
          </w:p>
        </w:tc>
      </w:tr>
      <w:tr>
        <w:trPr>
          <w:trHeight w:val="88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Residues and waste from food industries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400.00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200.00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413.00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-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413.00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413.00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     1,839.00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ab/>
              <w:t xml:space="preserve"> 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Chemical Products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700.00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438.00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4,608.00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1,791.00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          7,537.00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ab/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lastRenderedPageBreak/>
              <w:t>Paper products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20,300.00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22,500.00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23,380.00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26,330.00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24,031.00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24,180.00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22,500.00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19,560.00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54,000.00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20,580.00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27,390.00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299,751.00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Textile articles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872.00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-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792.00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-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336.00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870.00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856.00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     3,726.00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ab/>
              <w:t xml:space="preserve"> 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Fruits and vegetables other than potatoes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37,200.00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56,985.00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27,965.00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5,090.00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34,950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48,650.00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5,100.00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70,200.00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9,000.00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84,500.00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17,760.00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21,200.00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418,600.00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Potatoes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139,550.00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273,950.00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131,400.00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22,500.00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-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-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567,400.00</w:t>
            </w:r>
          </w:p>
        </w:tc>
      </w:tr>
      <w:tr>
        <w:trPr>
          <w:trHeight w:val="32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Wood and articles of wood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2,274.00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2,606.00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19,065.00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1,776.00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1,371.00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1,787.00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3,134.00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2,181.00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2,681.00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4,339.00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3,689.00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1,624.00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      46,527.00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497,348.24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682,791.18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568,110.61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381,406.42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456,063.86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478,291.19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445,830.72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472,731.96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367,068.34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500,691.99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429,663.41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417,697.06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  5,697,694.98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  <w:t xml:space="preserve">Source: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Turkish Cypriot Chamber of Commerce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rPr>
          <w:rFonts w:ascii="Calibri" w:eastAsia="Calibri" w:hAnsi="Calibri" w:cs="Times New Roman"/>
          <w:noProof/>
        </w:rPr>
      </w:pPr>
    </w:p>
    <w:p>
      <w:pPr>
        <w:rPr>
          <w:rFonts w:ascii="Calibri" w:eastAsia="Calibri" w:hAnsi="Calibri" w:cs="Times New Roman"/>
          <w:noProof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720" w:right="720" w:bottom="720" w:left="340" w:header="709" w:footer="709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TABLE II: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Value of goods crossing the Green Line reported by the authorities of the Republic of Cyprus for 2017 in EUR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</w:tblGrid>
      <w:tr>
        <w:trPr>
          <w:trHeight w:val="510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Total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br/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January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328,328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February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550,925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March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480,981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April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379,705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May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400,614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June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395,236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July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386,967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August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409,950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September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360,284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October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406,085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November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371,612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December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320,277</w:t>
            </w:r>
          </w:p>
        </w:tc>
      </w:tr>
      <w:tr>
        <w:trPr>
          <w:trHeight w:val="270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TOTAL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>
            <w:pPr>
              <w:jc w:val="center"/>
              <w:rPr>
                <w:rFonts w:ascii="Times New Roman" w:hAnsi="Times New Roman" w:cs="Times New Roman"/>
                <w:bCs/>
                <w:noProof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Cs w:val="20"/>
              </w:rPr>
              <w:t>4,790,963.85</w:t>
            </w:r>
          </w:p>
        </w:tc>
      </w:tr>
    </w:tbl>
    <w:p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: table based on data received from </w:t>
      </w:r>
      <w:bookmarkStart w:id="2" w:name="top"/>
      <w:r>
        <w:rPr>
          <w:rFonts w:ascii="Times New Roman" w:eastAsia="Calibri" w:hAnsi="Times New Roman" w:cs="Times New Roman"/>
          <w:noProof/>
          <w:sz w:val="20"/>
          <w:szCs w:val="20"/>
        </w:rPr>
        <w:t>Cyprus Customs and Excise Department</w:t>
      </w:r>
      <w:bookmarkEnd w:id="2"/>
    </w:p>
    <w:p>
      <w:pPr>
        <w:rPr>
          <w:rFonts w:ascii="Calibri" w:eastAsia="Calibri" w:hAnsi="Calibri" w:cs="Times New Roman"/>
          <w:noProof/>
        </w:rPr>
      </w:pPr>
    </w:p>
    <w:p>
      <w:pPr>
        <w:rPr>
          <w:rFonts w:ascii="Calibri" w:eastAsia="Calibri" w:hAnsi="Calibri" w:cs="Times New Roman"/>
          <w:noProof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TABLE III: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Value of goods which crossed the Green Line and value of goods for which accompanying documents were issued by the Turkish Cypriot Chamber of Commerce for 2017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6181725" cy="325755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  <w:t>Source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- For the value of goods for which accompanying documents were issued: Turkish Cypriot Chamber of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Commerce</w:t>
      </w:r>
    </w:p>
    <w:p>
      <w:pPr>
        <w:rPr>
          <w:rFonts w:ascii="Calibri" w:eastAsia="Calibri" w:hAnsi="Calibri" w:cs="Times New Roman"/>
          <w:noProof/>
          <w:sz w:val="20"/>
          <w:szCs w:val="20"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 xml:space="preserve">- For the value of goods which crossed the Green Line: </w:t>
      </w:r>
      <w:r>
        <w:rPr>
          <w:rFonts w:ascii="Times New Roman" w:eastAsia="Calibri" w:hAnsi="Times New Roman" w:cs="Times New Roman"/>
          <w:noProof/>
          <w:sz w:val="20"/>
          <w:szCs w:val="20"/>
        </w:rPr>
        <w:t>Cyprus Customs and Excise Department</w:t>
      </w:r>
    </w:p>
    <w:p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TABLE IV: </w:t>
      </w:r>
    </w:p>
    <w:p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Most traded products in 2017 in EUR</w:t>
      </w:r>
    </w:p>
    <w:p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rPr>
          <w:rFonts w:ascii="Calibri" w:eastAsia="Calibri" w:hAnsi="Calibri" w:cs="Times New Roman"/>
          <w:noProof/>
          <w:lang w:eastAsia="en-GB"/>
        </w:rPr>
      </w:pPr>
      <w:r>
        <w:rPr>
          <w:noProof/>
          <w:lang w:val="en-US"/>
        </w:rPr>
        <w:drawing>
          <wp:inline distT="0" distB="0" distL="0" distR="0">
            <wp:extent cx="6877050" cy="404812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tbl>
      <w:tblPr>
        <w:tblW w:w="9254" w:type="dxa"/>
        <w:tblInd w:w="620" w:type="dxa"/>
        <w:tblLook w:val="04A0" w:firstRow="1" w:lastRow="0" w:firstColumn="1" w:lastColumn="0" w:noHBand="0" w:noVBand="1"/>
      </w:tblPr>
      <w:tblGrid>
        <w:gridCol w:w="5359"/>
        <w:gridCol w:w="2255"/>
        <w:gridCol w:w="1640"/>
      </w:tblGrid>
      <w:tr>
        <w:trPr>
          <w:trHeight w:val="240"/>
        </w:trPr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Plastic products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1,537,217.76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32%</w:t>
            </w:r>
          </w:p>
        </w:tc>
      </w:tr>
      <w:tr>
        <w:trPr>
          <w:trHeight w:val="240"/>
        </w:trPr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Building materials/articles of stone/ceramic products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844,284.96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18%</w:t>
            </w:r>
          </w:p>
        </w:tc>
      </w:tr>
      <w:tr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Fresh fish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798,256.50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17%</w:t>
            </w:r>
          </w:p>
        </w:tc>
      </w:tr>
      <w:tr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Scrap/waste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556,719.90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12%</w:t>
            </w:r>
          </w:p>
        </w:tc>
      </w:tr>
      <w:tr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Potatoes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371,339.90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8%</w:t>
            </w:r>
          </w:p>
        </w:tc>
      </w:tr>
      <w:tr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Furniture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278,150.37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6%</w:t>
            </w:r>
          </w:p>
        </w:tc>
      </w:tr>
      <w:tr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Fruits and vegetables other than potatoes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128,725.00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3%</w:t>
            </w:r>
          </w:p>
        </w:tc>
      </w:tr>
      <w:tr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Mattresses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110,496.61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2%</w:t>
            </w:r>
          </w:p>
        </w:tc>
      </w:tr>
      <w:tr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165,772.85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3%</w:t>
            </w:r>
          </w:p>
        </w:tc>
      </w:tr>
      <w:tr>
        <w:trPr>
          <w:trHeight w:val="240"/>
        </w:trPr>
        <w:tc>
          <w:tcPr>
            <w:tcW w:w="5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4,790,963.85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100.0%</w:t>
            </w:r>
          </w:p>
        </w:tc>
      </w:tr>
    </w:tbl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ind w:left="720"/>
        <w:rPr>
          <w:rFonts w:ascii="Times New Roman" w:eastAsia="Calibri" w:hAnsi="Times New Roman" w:cs="Times New Roman"/>
          <w:noProof/>
          <w:sz w:val="20"/>
          <w:szCs w:val="20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>: table based on data received from Cyprus Customs and Excise Department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TABLE V: 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Development of accompanying documents issued for the most traded goods in 2017 (highest value)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9448800" cy="448627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>:  Graph based on data on issued accompanying documents received from the Turkish Cypriot Chamber of Commerce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TABLE VI</w:t>
      </w:r>
    </w:p>
    <w:tbl>
      <w:tblPr>
        <w:tblW w:w="9337" w:type="dxa"/>
        <w:tblInd w:w="98" w:type="dxa"/>
        <w:tblLook w:val="0000" w:firstRow="0" w:lastRow="0" w:firstColumn="0" w:lastColumn="0" w:noHBand="0" w:noVBand="0"/>
      </w:tblPr>
      <w:tblGrid>
        <w:gridCol w:w="1415"/>
        <w:gridCol w:w="1341"/>
        <w:gridCol w:w="1341"/>
        <w:gridCol w:w="1326"/>
        <w:gridCol w:w="1305"/>
        <w:gridCol w:w="1305"/>
        <w:gridCol w:w="1304"/>
      </w:tblGrid>
      <w:tr>
        <w:trPr>
          <w:trHeight w:val="1641"/>
        </w:trPr>
        <w:tc>
          <w:tcPr>
            <w:tcW w:w="93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 xml:space="preserve">Movement of Greek Cypriot and Turkish Cypriot persons and vehicles across the crossing points as per Council Regulation no.866/04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(01/01/2017 – 31/12/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l-GR" w:eastAsia="el-G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7)</w:t>
            </w:r>
          </w:p>
        </w:tc>
      </w:tr>
      <w:tr>
        <w:trPr>
          <w:trHeight w:val="754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MONTH</w:t>
            </w:r>
          </w:p>
        </w:tc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MOVEMENTS OF PERSONS</w:t>
            </w:r>
          </w:p>
        </w:tc>
        <w:tc>
          <w:tcPr>
            <w:tcW w:w="3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 xml:space="preserve">MOVEMENTS OF VEHICLES </w:t>
            </w:r>
          </w:p>
        </w:tc>
      </w:tr>
      <w:tr>
        <w:trPr>
          <w:trHeight w:val="827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el-GR" w:eastAsia="el-GR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GREEK -CYPRIOTS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lang w:val="en-US" w:eastAsia="el-GR"/>
              </w:rPr>
              <w:t>TURKISH-CYPRIOTS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TOTAL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VEHICLES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GCs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lang w:val="en-US" w:eastAsia="el-GR"/>
              </w:rPr>
              <w:t>VEHICLES TCs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TOTAL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01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7318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85256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132575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19271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32113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51384</w:t>
            </w:r>
          </w:p>
        </w:tc>
      </w:tr>
      <w:tr>
        <w:trPr>
          <w:trHeight w:val="66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02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45827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89653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135480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17943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31869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49812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03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51319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89562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140881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21079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34698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55777</w:t>
            </w:r>
          </w:p>
        </w:tc>
      </w:tr>
      <w:tr>
        <w:trPr>
          <w:trHeight w:val="66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04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52261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88354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140615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21373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32670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54043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05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52989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97169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150158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21240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36769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58009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06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56469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101469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157938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23493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38428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61921</w:t>
            </w:r>
          </w:p>
        </w:tc>
      </w:tr>
      <w:tr>
        <w:trPr>
          <w:trHeight w:val="609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07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57110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92702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149812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22613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36953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59566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08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64415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100880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165295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27142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39394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66536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09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57168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108320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165488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25043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41082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66125</w:t>
            </w:r>
          </w:p>
        </w:tc>
      </w:tr>
      <w:tr>
        <w:trPr>
          <w:trHeight w:val="69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10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51166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95956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147122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21131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38006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59137</w:t>
            </w:r>
          </w:p>
        </w:tc>
      </w:tr>
      <w:tr>
        <w:trPr>
          <w:trHeight w:val="711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11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52519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89984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142503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21306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35663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56969</w:t>
            </w:r>
          </w:p>
        </w:tc>
      </w:tr>
      <w:tr>
        <w:trPr>
          <w:trHeight w:val="856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l-GR" w:eastAsia="el-GR"/>
              </w:rPr>
              <w:t>12 / 201</w:t>
            </w:r>
            <w:r>
              <w:rPr>
                <w:rFonts w:ascii="Times New Roman" w:eastAsia="Times New Roman" w:hAnsi="Times New Roman" w:cs="Times New Roman"/>
                <w:noProof/>
                <w:lang w:val="en-US" w:eastAsia="el-GR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58007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101377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159384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25833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38237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64070</w:t>
            </w:r>
          </w:p>
        </w:tc>
      </w:tr>
      <w:tr>
        <w:trPr>
          <w:trHeight w:val="871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TOTAL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646569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1140682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1787251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267467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435882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703349</w:t>
            </w:r>
          </w:p>
        </w:tc>
      </w:tr>
    </w:tbl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val="en-US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: CYPOL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TABLE VII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4961"/>
      </w:tblGrid>
      <w:tr>
        <w:trPr>
          <w:trHeight w:val="130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Nationality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Number of irregular migrants apprehended after crossing the Green Line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(01/01/2017 – 31/12/2017)</w:t>
            </w:r>
          </w:p>
        </w:tc>
      </w:tr>
      <w:tr>
        <w:trPr>
          <w:trHeight w:val="2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Syria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754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Pakistan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119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Somalia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111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Cameroon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98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Turkey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75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Bangladesh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72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Iran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70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India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44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Iraq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43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Nigeria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42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Georgia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36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Congo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Palestine</w:t>
            </w:r>
            <w:r>
              <w:rPr>
                <w:rStyle w:val="FootnoteReference"/>
                <w:rFonts w:ascii="Times New Roman" w:hAnsi="Times New Roman" w:cs="Times New Roman"/>
                <w:noProof/>
                <w:sz w:val="24"/>
                <w:szCs w:val="24"/>
              </w:rPr>
              <w:footnoteReference w:id="2"/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Gambia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Egypt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Jordan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Vietnam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15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Ukraine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Lebanon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Côte d'Ivoire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Congo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Sri Lanka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Yemen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Russia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China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Nepal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Serbia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Albania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Guinea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Morocco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Ethiopia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Armenia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Algeria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South Korea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Moldova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Afghanistan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Venezuela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Eritrea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8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Israel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Libya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Senegal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Malaysia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Ghana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Mali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Tunisia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Kuwait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Total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1688</w:t>
            </w:r>
          </w:p>
        </w:tc>
      </w:tr>
    </w:tbl>
    <w:p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Source</w:t>
      </w:r>
      <w:r>
        <w:rPr>
          <w:rFonts w:ascii="Times New Roman" w:hAnsi="Times New Roman"/>
          <w:noProof/>
          <w:sz w:val="20"/>
          <w:szCs w:val="20"/>
        </w:rPr>
        <w:t>: CYPOL</w:t>
      </w:r>
    </w:p>
    <w:p>
      <w:pPr>
        <w:rPr>
          <w:noProof/>
        </w:rPr>
      </w:pPr>
    </w:p>
    <w:sectPr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5707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6144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4369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8024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30192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42104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These figures include both the 1686 irregular migrants apprehended in the government-controlled areas and the 2 irregular migrants apprehended in the SBA.</w:t>
      </w:r>
    </w:p>
  </w:footnote>
  <w:footnote w:id="2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This designation shall not be construed as recognition of a State of Palestine and is without prejudice to the individual positions of the Member States on this issue.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Accompanying the document"/>
    <w:docVar w:name="LW_CORRIGENDUM" w:val="&lt;UNUSED&gt;"/>
    <w:docVar w:name="LW_COVERPAGE_EXISTS" w:val="True"/>
    <w:docVar w:name="LW_COVERPAGE_GUID" w:val="59C099CD-00DE-4356-93E6-111DECF04A94"/>
    <w:docVar w:name="LW_COVERPAGE_TYPE" w:val="1"/>
    <w:docVar w:name="LW_CROSSREFERENCE" w:val="{COM(2018) 488 final}"/>
    <w:docVar w:name="LW_DocType" w:val="NORMAL"/>
    <w:docVar w:name="LW_EMISSION" w:val="22.6.2018"/>
    <w:docVar w:name="LW_EMISSION_ISODATE" w:val="2018-06-22"/>
    <w:docVar w:name="LW_EMISSION_LOCATION" w:val="BRX"/>
    <w:docVar w:name="LW_EMISSION_PREFIX" w:val="Brussels, "/>
    <w:docVar w:name="LW_EMISSION_SUFFIX" w:val="&lt;EMPTY&gt;"/>
    <w:docVar w:name="LW_ID_DOCTYPE_NONLW" w:val="CP-025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Fourteenth report on the implementation of Council Regulation (EC) No 866/2004 of 29 April 2004 and the situation resulting from its application covering the period 1 January until 31 December 2017"/>
    <w:docVar w:name="LW_PART_NBR" w:val="1"/>
    <w:docVar w:name="LW_PART_NBR_TOTAL" w:val="1"/>
    <w:docVar w:name="LW_REF.INST.NEW" w:val="SWD"/>
    <w:docVar w:name="LW_REF.INST.NEW_ADOPTED" w:val="final"/>
    <w:docVar w:name="LW_REF.INST.NEW_TEXT" w:val="(2018) 35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COMMISSION STAFF WORKING DOCUMENT"/>
    <w:docVar w:name="LW_TYPEACTEPRINCIPAL.CP" w:val="REPORT FROM THE COMMISSION TO THE COUNC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chart" Target="charts/chart1.xml"/><Relationship Id="rId39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header" Target="header19.xml"/><Relationship Id="rId50" Type="http://schemas.openxmlformats.org/officeDocument/2006/relationships/footer" Target="footer20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chart" Target="charts/chart2.xml"/><Relationship Id="rId38" Type="http://schemas.openxmlformats.org/officeDocument/2006/relationships/header" Target="header15.xml"/><Relationship Id="rId46" Type="http://schemas.openxmlformats.org/officeDocument/2006/relationships/footer" Target="footer18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41" Type="http://schemas.openxmlformats.org/officeDocument/2006/relationships/header" Target="header16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chart" Target="charts/chart3.xml"/><Relationship Id="rId45" Type="http://schemas.openxmlformats.org/officeDocument/2006/relationships/header" Target="header18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49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footer" Target="footer16.xml"/><Relationship Id="rId48" Type="http://schemas.openxmlformats.org/officeDocument/2006/relationships/header" Target="header20.xml"/><Relationship Id="rId8" Type="http://schemas.openxmlformats.org/officeDocument/2006/relationships/header" Target="header1.xml"/><Relationship Id="rId51" Type="http://schemas.openxmlformats.org/officeDocument/2006/relationships/header" Target="header2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285714285714285"/>
          <c:y val="0.2662043054748659"/>
          <c:w val="0.53246753246753242"/>
          <c:h val="0.516204870616479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'2017'!$H$8</c:f>
              <c:strCache>
                <c:ptCount val="1"/>
                <c:pt idx="0">
                  <c:v>VALUE OF TRADE WHICH EFFECTIVELY CROSSED THE GREEN LINE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'2017'!$D$9:$D$20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'2017'!$H$9:$H$20</c:f>
              <c:numCache>
                <c:formatCode>#,##0</c:formatCode>
                <c:ptCount val="12"/>
                <c:pt idx="0">
                  <c:v>328328.09000000003</c:v>
                </c:pt>
                <c:pt idx="1">
                  <c:v>550924.57999999996</c:v>
                </c:pt>
                <c:pt idx="2">
                  <c:v>480980.99</c:v>
                </c:pt>
                <c:pt idx="3">
                  <c:v>379704.6</c:v>
                </c:pt>
                <c:pt idx="4">
                  <c:v>400613.73</c:v>
                </c:pt>
                <c:pt idx="5">
                  <c:v>395236.47</c:v>
                </c:pt>
                <c:pt idx="6">
                  <c:v>386967.14</c:v>
                </c:pt>
                <c:pt idx="7">
                  <c:v>409950.30999999994</c:v>
                </c:pt>
                <c:pt idx="8">
                  <c:v>360284.42000000004</c:v>
                </c:pt>
                <c:pt idx="9">
                  <c:v>406084.72</c:v>
                </c:pt>
                <c:pt idx="10">
                  <c:v>371611.91</c:v>
                </c:pt>
                <c:pt idx="11">
                  <c:v>320276.89</c:v>
                </c:pt>
              </c:numCache>
            </c:numRef>
          </c:val>
        </c:ser>
        <c:ser>
          <c:idx val="2"/>
          <c:order val="1"/>
          <c:tx>
            <c:strRef>
              <c:f>'2017'!$E$8</c:f>
              <c:strCache>
                <c:ptCount val="1"/>
                <c:pt idx="0">
                  <c:v>VALUE OF TRADE FOR WHICH ACCOMPANYING DOCUMENTS WERE ISSUED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'2017'!$D$9:$D$20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'2017'!$E$9:$E$20</c:f>
              <c:numCache>
                <c:formatCode>#,##0</c:formatCode>
                <c:ptCount val="12"/>
                <c:pt idx="0">
                  <c:v>497348.24</c:v>
                </c:pt>
                <c:pt idx="1">
                  <c:v>682791.18</c:v>
                </c:pt>
                <c:pt idx="2">
                  <c:v>568110.61</c:v>
                </c:pt>
                <c:pt idx="3">
                  <c:v>381406.42</c:v>
                </c:pt>
                <c:pt idx="4">
                  <c:v>456063.86</c:v>
                </c:pt>
                <c:pt idx="5">
                  <c:v>478291.19</c:v>
                </c:pt>
                <c:pt idx="6">
                  <c:v>445830.72</c:v>
                </c:pt>
                <c:pt idx="7">
                  <c:v>472731.96</c:v>
                </c:pt>
                <c:pt idx="8">
                  <c:v>367068.34</c:v>
                </c:pt>
                <c:pt idx="9">
                  <c:v>500691.99</c:v>
                </c:pt>
                <c:pt idx="10">
                  <c:v>429663.41</c:v>
                </c:pt>
                <c:pt idx="11">
                  <c:v>417697.06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392576"/>
        <c:axId val="62406656"/>
      </c:barChart>
      <c:catAx>
        <c:axId val="62392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2406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40665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Value of trade (EUR)</a:t>
                </a:r>
              </a:p>
            </c:rich>
          </c:tx>
          <c:layout>
            <c:manualLayout>
              <c:xMode val="edge"/>
              <c:yMode val="edge"/>
              <c:x val="5.993744156882962E-3"/>
              <c:y val="0.32021665923834991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23925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34630530887459"/>
          <c:y val="0.30153345218640126"/>
          <c:w val="0.26767684826614135"/>
          <c:h val="0.4540717080176298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2"/>
          <c:order val="2"/>
          <c:dLbls>
            <c:dLbl>
              <c:idx val="6"/>
              <c:layout>
                <c:manualLayout>
                  <c:x val="-2.973027064427404E-3"/>
                  <c:y val="3.452594573440892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4.1864489161077087E-2"/>
                  <c:y val="-1.095973653917174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Sheet1!$C$8:$C$16</c:f>
              <c:strCache>
                <c:ptCount val="9"/>
                <c:pt idx="0">
                  <c:v>Plastic products</c:v>
                </c:pt>
                <c:pt idx="1">
                  <c:v>Building materials/articles of stone/ceramic products</c:v>
                </c:pt>
                <c:pt idx="2">
                  <c:v>Fresh fish</c:v>
                </c:pt>
                <c:pt idx="3">
                  <c:v>Scrap/waste</c:v>
                </c:pt>
                <c:pt idx="4">
                  <c:v>Potatoes</c:v>
                </c:pt>
                <c:pt idx="5">
                  <c:v>Furniture</c:v>
                </c:pt>
                <c:pt idx="6">
                  <c:v>Fruits and vegetables other than potatoes</c:v>
                </c:pt>
                <c:pt idx="7">
                  <c:v>Mattresses </c:v>
                </c:pt>
                <c:pt idx="8">
                  <c:v>Other</c:v>
                </c:pt>
              </c:strCache>
            </c:strRef>
          </c:cat>
          <c:val>
            <c:numRef>
              <c:f>Sheet1!$D$8:$D$16</c:f>
              <c:numCache>
                <c:formatCode>General</c:formatCode>
                <c:ptCount val="9"/>
                <c:pt idx="0">
                  <c:v>1537217.76</c:v>
                </c:pt>
                <c:pt idx="1">
                  <c:v>844284.96</c:v>
                </c:pt>
                <c:pt idx="2">
                  <c:v>798256.5</c:v>
                </c:pt>
                <c:pt idx="3">
                  <c:v>556719.9</c:v>
                </c:pt>
                <c:pt idx="4">
                  <c:v>371339.9</c:v>
                </c:pt>
                <c:pt idx="5">
                  <c:v>278150.37</c:v>
                </c:pt>
                <c:pt idx="6">
                  <c:v>128725</c:v>
                </c:pt>
                <c:pt idx="7">
                  <c:v>110496.61</c:v>
                </c:pt>
                <c:pt idx="8">
                  <c:v>165772.85</c:v>
                </c:pt>
              </c:numCache>
            </c:numRef>
          </c:val>
        </c:ser>
        <c:ser>
          <c:idx val="3"/>
          <c:order val="3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Sheet1!$C$8:$C$16</c:f>
              <c:strCache>
                <c:ptCount val="9"/>
                <c:pt idx="0">
                  <c:v>Plastic products</c:v>
                </c:pt>
                <c:pt idx="1">
                  <c:v>Building materials/articles of stone/ceramic products</c:v>
                </c:pt>
                <c:pt idx="2">
                  <c:v>Fresh fish</c:v>
                </c:pt>
                <c:pt idx="3">
                  <c:v>Scrap/waste</c:v>
                </c:pt>
                <c:pt idx="4">
                  <c:v>Potatoes</c:v>
                </c:pt>
                <c:pt idx="5">
                  <c:v>Furniture</c:v>
                </c:pt>
                <c:pt idx="6">
                  <c:v>Fruits and vegetables other than potatoes</c:v>
                </c:pt>
                <c:pt idx="7">
                  <c:v>Mattresses </c:v>
                </c:pt>
                <c:pt idx="8">
                  <c:v>Other</c:v>
                </c:pt>
              </c:strCache>
            </c:strRef>
          </c:cat>
          <c:val>
            <c:numRef>
              <c:f>Sheet1!$E$8:$E$16</c:f>
              <c:numCache>
                <c:formatCode>0%</c:formatCode>
                <c:ptCount val="9"/>
                <c:pt idx="0">
                  <c:v>0.32085772469353951</c:v>
                </c:pt>
                <c:pt idx="1">
                  <c:v>0.1762244480304313</c:v>
                </c:pt>
                <c:pt idx="2">
                  <c:v>0.1666170993963981</c:v>
                </c:pt>
                <c:pt idx="3">
                  <c:v>0.1162020665215414</c:v>
                </c:pt>
                <c:pt idx="4">
                  <c:v>7.7508391135115762E-2</c:v>
                </c:pt>
                <c:pt idx="5">
                  <c:v>5.8057288409721568E-2</c:v>
                </c:pt>
                <c:pt idx="6">
                  <c:v>2.6868288726494986E-2</c:v>
                </c:pt>
                <c:pt idx="7">
                  <c:v>2.3063544927394933E-2</c:v>
                </c:pt>
                <c:pt idx="8">
                  <c:v>3.4601148159362549E-2</c:v>
                </c:pt>
              </c:numCache>
            </c:numRef>
          </c:val>
        </c:ser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Sheet1!$C$8:$C$16</c:f>
              <c:strCache>
                <c:ptCount val="9"/>
                <c:pt idx="0">
                  <c:v>Plastic products</c:v>
                </c:pt>
                <c:pt idx="1">
                  <c:v>Building materials/articles of stone/ceramic products</c:v>
                </c:pt>
                <c:pt idx="2">
                  <c:v>Fresh fish</c:v>
                </c:pt>
                <c:pt idx="3">
                  <c:v>Scrap/waste</c:v>
                </c:pt>
                <c:pt idx="4">
                  <c:v>Potatoes</c:v>
                </c:pt>
                <c:pt idx="5">
                  <c:v>Furniture</c:v>
                </c:pt>
                <c:pt idx="6">
                  <c:v>Fruits and vegetables other than potatoes</c:v>
                </c:pt>
                <c:pt idx="7">
                  <c:v>Mattresses </c:v>
                </c:pt>
                <c:pt idx="8">
                  <c:v>Other</c:v>
                </c:pt>
              </c:strCache>
            </c:strRef>
          </c:cat>
          <c:val>
            <c:numRef>
              <c:f>Sheet1!$D$8:$D$16</c:f>
              <c:numCache>
                <c:formatCode>General</c:formatCode>
                <c:ptCount val="9"/>
                <c:pt idx="0">
                  <c:v>1537217.76</c:v>
                </c:pt>
                <c:pt idx="1">
                  <c:v>844284.96</c:v>
                </c:pt>
                <c:pt idx="2">
                  <c:v>798256.5</c:v>
                </c:pt>
                <c:pt idx="3">
                  <c:v>556719.9</c:v>
                </c:pt>
                <c:pt idx="4">
                  <c:v>371339.9</c:v>
                </c:pt>
                <c:pt idx="5">
                  <c:v>278150.37</c:v>
                </c:pt>
                <c:pt idx="6">
                  <c:v>128725</c:v>
                </c:pt>
                <c:pt idx="7">
                  <c:v>110496.61</c:v>
                </c:pt>
                <c:pt idx="8">
                  <c:v>165772.85</c:v>
                </c:pt>
              </c:numCache>
            </c:numRef>
          </c:val>
        </c:ser>
        <c:ser>
          <c:idx val="1"/>
          <c:order val="1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Sheet1!$C$8:$C$16</c:f>
              <c:strCache>
                <c:ptCount val="9"/>
                <c:pt idx="0">
                  <c:v>Plastic products</c:v>
                </c:pt>
                <c:pt idx="1">
                  <c:v>Building materials/articles of stone/ceramic products</c:v>
                </c:pt>
                <c:pt idx="2">
                  <c:v>Fresh fish</c:v>
                </c:pt>
                <c:pt idx="3">
                  <c:v>Scrap/waste</c:v>
                </c:pt>
                <c:pt idx="4">
                  <c:v>Potatoes</c:v>
                </c:pt>
                <c:pt idx="5">
                  <c:v>Furniture</c:v>
                </c:pt>
                <c:pt idx="6">
                  <c:v>Fruits and vegetables other than potatoes</c:v>
                </c:pt>
                <c:pt idx="7">
                  <c:v>Mattresses </c:v>
                </c:pt>
                <c:pt idx="8">
                  <c:v>Other</c:v>
                </c:pt>
              </c:strCache>
            </c:strRef>
          </c:cat>
          <c:val>
            <c:numRef>
              <c:f>Sheet1!$E$8:$E$16</c:f>
              <c:numCache>
                <c:formatCode>0%</c:formatCode>
                <c:ptCount val="9"/>
                <c:pt idx="0">
                  <c:v>0.32085772469353951</c:v>
                </c:pt>
                <c:pt idx="1">
                  <c:v>0.1762244480304313</c:v>
                </c:pt>
                <c:pt idx="2">
                  <c:v>0.1666170993963981</c:v>
                </c:pt>
                <c:pt idx="3">
                  <c:v>0.1162020665215414</c:v>
                </c:pt>
                <c:pt idx="4">
                  <c:v>7.7508391135115762E-2</c:v>
                </c:pt>
                <c:pt idx="5">
                  <c:v>5.8057288409721568E-2</c:v>
                </c:pt>
                <c:pt idx="6">
                  <c:v>2.6868288726494986E-2</c:v>
                </c:pt>
                <c:pt idx="7">
                  <c:v>2.3063544927394933E-2</c:v>
                </c:pt>
                <c:pt idx="8">
                  <c:v>3.4601148159362549E-2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Sheet3!$B$6</c:f>
              <c:strCache>
                <c:ptCount val="1"/>
                <c:pt idx="0">
                  <c:v>Building / construction materials </c:v>
                </c:pt>
              </c:strCache>
            </c:strRef>
          </c:tx>
          <c:cat>
            <c:strRef>
              <c:f>Sheet3!$C$5:$N$5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Sheet3!$C$6:$N$6</c:f>
              <c:numCache>
                <c:formatCode>General</c:formatCode>
                <c:ptCount val="12"/>
                <c:pt idx="0">
                  <c:v>67826.81</c:v>
                </c:pt>
                <c:pt idx="1">
                  <c:v>64437.64</c:v>
                </c:pt>
                <c:pt idx="2">
                  <c:v>76881.83</c:v>
                </c:pt>
                <c:pt idx="3">
                  <c:v>77105.75</c:v>
                </c:pt>
                <c:pt idx="4">
                  <c:v>67948.39</c:v>
                </c:pt>
                <c:pt idx="5">
                  <c:v>118923.42</c:v>
                </c:pt>
                <c:pt idx="6">
                  <c:v>81527.44</c:v>
                </c:pt>
                <c:pt idx="7">
                  <c:v>71127.39</c:v>
                </c:pt>
                <c:pt idx="8">
                  <c:v>53044</c:v>
                </c:pt>
                <c:pt idx="9">
                  <c:v>76254.31</c:v>
                </c:pt>
                <c:pt idx="10">
                  <c:v>44122.2</c:v>
                </c:pt>
                <c:pt idx="11">
                  <c:v>116498.64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Sheet3!$B$7</c:f>
              <c:strCache>
                <c:ptCount val="1"/>
                <c:pt idx="0">
                  <c:v>Waste/scrap </c:v>
                </c:pt>
              </c:strCache>
            </c:strRef>
          </c:tx>
          <c:cat>
            <c:strRef>
              <c:f>Sheet3!$C$5:$N$5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Sheet3!$C$7:$N$7</c:f>
              <c:numCache>
                <c:formatCode>General</c:formatCode>
                <c:ptCount val="12"/>
                <c:pt idx="0">
                  <c:v>28650</c:v>
                </c:pt>
                <c:pt idx="1">
                  <c:v>46600</c:v>
                </c:pt>
                <c:pt idx="2">
                  <c:v>38225</c:v>
                </c:pt>
                <c:pt idx="3">
                  <c:v>34150</c:v>
                </c:pt>
                <c:pt idx="4">
                  <c:v>35887</c:v>
                </c:pt>
                <c:pt idx="5">
                  <c:v>22150</c:v>
                </c:pt>
                <c:pt idx="6">
                  <c:v>28550</c:v>
                </c:pt>
                <c:pt idx="7">
                  <c:v>22255</c:v>
                </c:pt>
                <c:pt idx="8">
                  <c:v>22550</c:v>
                </c:pt>
                <c:pt idx="9">
                  <c:v>57122.71</c:v>
                </c:pt>
                <c:pt idx="10">
                  <c:v>72650</c:v>
                </c:pt>
                <c:pt idx="11">
                  <c:v>19250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Sheet3!$B$8</c:f>
              <c:strCache>
                <c:ptCount val="1"/>
                <c:pt idx="0">
                  <c:v>Fresh Fish</c:v>
                </c:pt>
              </c:strCache>
            </c:strRef>
          </c:tx>
          <c:cat>
            <c:strRef>
              <c:f>Sheet3!$C$5:$N$5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Sheet3!$C$8:$N$8</c:f>
              <c:numCache>
                <c:formatCode>General</c:formatCode>
                <c:ptCount val="12"/>
                <c:pt idx="0">
                  <c:v>57271</c:v>
                </c:pt>
                <c:pt idx="1">
                  <c:v>68348</c:v>
                </c:pt>
                <c:pt idx="2">
                  <c:v>70877</c:v>
                </c:pt>
                <c:pt idx="3">
                  <c:v>51629</c:v>
                </c:pt>
                <c:pt idx="4">
                  <c:v>71860</c:v>
                </c:pt>
                <c:pt idx="5">
                  <c:v>90443</c:v>
                </c:pt>
                <c:pt idx="6">
                  <c:v>90988</c:v>
                </c:pt>
                <c:pt idx="7">
                  <c:v>90105</c:v>
                </c:pt>
                <c:pt idx="8">
                  <c:v>78512.5</c:v>
                </c:pt>
                <c:pt idx="9">
                  <c:v>62473</c:v>
                </c:pt>
                <c:pt idx="10">
                  <c:v>32940</c:v>
                </c:pt>
                <c:pt idx="11">
                  <c:v>48907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Sheet3!$B$9</c:f>
              <c:strCache>
                <c:ptCount val="1"/>
                <c:pt idx="0">
                  <c:v>Miscellaneous manufactured articles including furniture</c:v>
                </c:pt>
              </c:strCache>
            </c:strRef>
          </c:tx>
          <c:cat>
            <c:strRef>
              <c:f>Sheet3!$C$5:$N$5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Sheet3!$C$9:$N$9</c:f>
              <c:numCache>
                <c:formatCode>General</c:formatCode>
                <c:ptCount val="12"/>
                <c:pt idx="0">
                  <c:v>25322.7</c:v>
                </c:pt>
                <c:pt idx="1">
                  <c:v>35015.129999999997</c:v>
                </c:pt>
                <c:pt idx="2">
                  <c:v>26863</c:v>
                </c:pt>
                <c:pt idx="3">
                  <c:v>50007</c:v>
                </c:pt>
                <c:pt idx="4">
                  <c:v>40017.1</c:v>
                </c:pt>
                <c:pt idx="5">
                  <c:v>31517</c:v>
                </c:pt>
                <c:pt idx="6">
                  <c:v>31360.639999999999</c:v>
                </c:pt>
                <c:pt idx="7">
                  <c:v>25542</c:v>
                </c:pt>
                <c:pt idx="8">
                  <c:v>29267</c:v>
                </c:pt>
                <c:pt idx="9">
                  <c:v>28203.200000000001</c:v>
                </c:pt>
                <c:pt idx="10">
                  <c:v>32805.5</c:v>
                </c:pt>
                <c:pt idx="11">
                  <c:v>49412.41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Sheet3!$B$10</c:f>
              <c:strCache>
                <c:ptCount val="1"/>
                <c:pt idx="0">
                  <c:v>Plastic products</c:v>
                </c:pt>
              </c:strCache>
            </c:strRef>
          </c:tx>
          <c:cat>
            <c:strRef>
              <c:f>Sheet3!$C$5:$N$5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Sheet3!$C$10:$N$10</c:f>
              <c:numCache>
                <c:formatCode>General</c:formatCode>
                <c:ptCount val="12"/>
                <c:pt idx="0">
                  <c:v>101953.73</c:v>
                </c:pt>
                <c:pt idx="1">
                  <c:v>112349.41</c:v>
                </c:pt>
                <c:pt idx="2">
                  <c:v>143451.78</c:v>
                </c:pt>
                <c:pt idx="3">
                  <c:v>127018.67</c:v>
                </c:pt>
                <c:pt idx="4">
                  <c:v>147267.37</c:v>
                </c:pt>
                <c:pt idx="5">
                  <c:v>130700.77</c:v>
                </c:pt>
                <c:pt idx="6">
                  <c:v>173521.64</c:v>
                </c:pt>
                <c:pt idx="7">
                  <c:v>162491.57</c:v>
                </c:pt>
                <c:pt idx="8">
                  <c:v>108344.84</c:v>
                </c:pt>
                <c:pt idx="9">
                  <c:v>158381.76999999999</c:v>
                </c:pt>
                <c:pt idx="10">
                  <c:v>172485.71</c:v>
                </c:pt>
                <c:pt idx="11">
                  <c:v>111254.01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Sheet3!$B$11</c:f>
              <c:strCache>
                <c:ptCount val="1"/>
                <c:pt idx="0">
                  <c:v>Fruits and vegetables other than potatoes</c:v>
                </c:pt>
              </c:strCache>
            </c:strRef>
          </c:tx>
          <c:cat>
            <c:strRef>
              <c:f>Sheet3!$C$5:$N$5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Sheet3!$C$11:$N$11</c:f>
              <c:numCache>
                <c:formatCode>General</c:formatCode>
                <c:ptCount val="12"/>
                <c:pt idx="0">
                  <c:v>37200</c:v>
                </c:pt>
                <c:pt idx="1">
                  <c:v>56985</c:v>
                </c:pt>
                <c:pt idx="2">
                  <c:v>27965</c:v>
                </c:pt>
                <c:pt idx="3">
                  <c:v>5090</c:v>
                </c:pt>
                <c:pt idx="4">
                  <c:v>34950</c:v>
                </c:pt>
                <c:pt idx="5">
                  <c:v>48650</c:v>
                </c:pt>
                <c:pt idx="6">
                  <c:v>5100</c:v>
                </c:pt>
                <c:pt idx="7">
                  <c:v>70200</c:v>
                </c:pt>
                <c:pt idx="8">
                  <c:v>9000</c:v>
                </c:pt>
                <c:pt idx="9">
                  <c:v>84500</c:v>
                </c:pt>
                <c:pt idx="10">
                  <c:v>17760</c:v>
                </c:pt>
                <c:pt idx="11">
                  <c:v>21200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Sheet3!$B$12</c:f>
              <c:strCache>
                <c:ptCount val="1"/>
                <c:pt idx="0">
                  <c:v>Potatoes</c:v>
                </c:pt>
              </c:strCache>
            </c:strRef>
          </c:tx>
          <c:cat>
            <c:strRef>
              <c:f>Sheet3!$C$5:$N$5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 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Sheet3!$C$12:$N$12</c:f>
              <c:numCache>
                <c:formatCode>General</c:formatCode>
                <c:ptCount val="12"/>
                <c:pt idx="0">
                  <c:v>139550</c:v>
                </c:pt>
                <c:pt idx="1">
                  <c:v>273950</c:v>
                </c:pt>
                <c:pt idx="2">
                  <c:v>131400</c:v>
                </c:pt>
                <c:pt idx="3">
                  <c:v>0</c:v>
                </c:pt>
                <c:pt idx="4">
                  <c:v>22500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367680"/>
        <c:axId val="71529216"/>
      </c:lineChart>
      <c:catAx>
        <c:axId val="7136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71529216"/>
        <c:crosses val="autoZero"/>
        <c:auto val="1"/>
        <c:lblAlgn val="ctr"/>
        <c:lblOffset val="100"/>
        <c:noMultiLvlLbl val="0"/>
      </c:catAx>
      <c:valAx>
        <c:axId val="7152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36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1085</Words>
  <Characters>6318</Characters>
  <Application>Microsoft Office Word</Application>
  <DocSecurity>0</DocSecurity>
  <Lines>1053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dcterms:created xsi:type="dcterms:W3CDTF">2018-06-14T08:52:00Z</dcterms:created>
  <dcterms:modified xsi:type="dcterms:W3CDTF">2018-06-15T08:25:00Z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</Properties>
</file>