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35" w:rsidRDefault="009E6C92" w:rsidP="009E6C9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23533A8-3926-4130-BE37-95AAB6C9EAB9" style="width:450.75pt;height:564.75pt">
            <v:imagedata r:id="rId9" o:title=""/>
          </v:shape>
        </w:pict>
      </w:r>
    </w:p>
    <w:bookmarkEnd w:id="0"/>
    <w:p w:rsidR="00010D35" w:rsidRDefault="00010D35">
      <w:pPr>
        <w:rPr>
          <w:noProof/>
        </w:rPr>
        <w:sectPr w:rsidR="00010D35" w:rsidSect="009E6C9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010D35" w:rsidRDefault="009E6C92">
      <w:pPr>
        <w:widowControl w:val="0"/>
        <w:spacing w:after="0"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REPORT ON BENEFITS FOR THE PEOPLE OF WESTERN SAHARA AND PUBLIC CONSULTATION ON EXTENDING TARIFF PREFERENCES TO PRODUCTS FROM WESTERN SAHARA</w:t>
      </w:r>
    </w:p>
    <w:p w:rsidR="00010D35" w:rsidRDefault="00010D35">
      <w:pPr>
        <w:widowControl w:val="0"/>
        <w:spacing w:after="0" w:line="240" w:lineRule="auto"/>
        <w:jc w:val="center"/>
        <w:rPr>
          <w:rFonts w:ascii="Times New Roman" w:hAnsi="Times New Roman" w:cs="Times New Roman"/>
          <w:b/>
          <w:noProof/>
          <w:sz w:val="28"/>
          <w:szCs w:val="28"/>
        </w:rPr>
      </w:pPr>
    </w:p>
    <w:p w:rsidR="00010D35" w:rsidRDefault="009E6C92">
      <w:pPr>
        <w:widowControl w:val="0"/>
        <w:spacing w:after="0" w:line="240" w:lineRule="auto"/>
        <w:jc w:val="center"/>
        <w:rPr>
          <w:rFonts w:ascii="Times New Roman" w:hAnsi="Times New Roman" w:cs="Times New Roman"/>
          <w:b/>
          <w:noProof/>
          <w:sz w:val="28"/>
          <w:szCs w:val="28"/>
        </w:rPr>
      </w:pPr>
      <w:r>
        <w:rPr>
          <w:rFonts w:ascii="Times New Roman" w:hAnsi="Times New Roman"/>
          <w:b/>
          <w:noProof/>
          <w:sz w:val="28"/>
        </w:rPr>
        <w:t xml:space="preserve">Joint </w:t>
      </w:r>
      <w:r>
        <w:rPr>
          <w:rFonts w:ascii="Times New Roman" w:hAnsi="Times New Roman"/>
          <w:b/>
          <w:noProof/>
          <w:sz w:val="28"/>
        </w:rPr>
        <w:t>report by the Commission and the European External Action Service</w:t>
      </w:r>
    </w:p>
    <w:p w:rsidR="00010D35" w:rsidRDefault="00010D35">
      <w:pPr>
        <w:widowControl w:val="0"/>
        <w:spacing w:after="0" w:line="240" w:lineRule="auto"/>
        <w:jc w:val="center"/>
        <w:rPr>
          <w:rFonts w:ascii="Times New Roman" w:hAnsi="Times New Roman" w:cs="Times New Roman"/>
          <w:b/>
          <w:noProof/>
          <w:sz w:val="28"/>
          <w:szCs w:val="28"/>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rPr>
      </w:pPr>
      <w:r>
        <w:rPr>
          <w:rFonts w:ascii="Times New Roman" w:hAnsi="Times New Roman"/>
          <w:b/>
          <w:noProof/>
          <w:sz w:val="28"/>
        </w:rPr>
        <w:t>Summary</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The Western Saharan economy</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Though encouraging, recent growth in Western Sahara remains fragile. The economy is based on a limited number of industries: fishing and processing </w:t>
      </w:r>
      <w:r>
        <w:rPr>
          <w:rFonts w:ascii="Times New Roman" w:hAnsi="Times New Roman"/>
          <w:noProof/>
          <w:sz w:val="24"/>
        </w:rPr>
        <w:t>of fishery products, phosphate mining, agriculture (especially fruit and vegetables and pastoral nomadism) and, to some extent, trade and craft industries. Tourism and renewable energy are nascent but potentially promising sectors. The Saharan economy is l</w:t>
      </w:r>
      <w:r>
        <w:rPr>
          <w:rFonts w:ascii="Times New Roman" w:hAnsi="Times New Roman"/>
          <w:noProof/>
          <w:sz w:val="24"/>
        </w:rPr>
        <w:t>andlocked and still largely subsidised.</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Tariff preferences as a lifeline for exports</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Diversifying the economic potential of Western Sahara means encouraging foreign investment. This means offering traders legal certainty, especially by clarifying the </w:t>
      </w:r>
      <w:r>
        <w:rPr>
          <w:rFonts w:ascii="Times New Roman" w:hAnsi="Times New Roman"/>
          <w:noProof/>
          <w:sz w:val="24"/>
        </w:rPr>
        <w:t xml:space="preserve">tariff conditions for current and future exports from Western Sahara to the EU. Though available data is often fragmentary, this study concludes that </w:t>
      </w:r>
      <w:r>
        <w:rPr>
          <w:rFonts w:ascii="Times New Roman" w:hAnsi="Times New Roman"/>
          <w:b/>
          <w:noProof/>
          <w:sz w:val="24"/>
        </w:rPr>
        <w:t>certain areas of the economy and production in Western Sahara deserve the same tariff preferences</w:t>
      </w:r>
      <w:r>
        <w:rPr>
          <w:rFonts w:ascii="Times New Roman" w:hAnsi="Times New Roman"/>
          <w:noProof/>
          <w:sz w:val="24"/>
        </w:rPr>
        <w:t xml:space="preserve"> as those</w:t>
      </w:r>
      <w:r>
        <w:rPr>
          <w:rFonts w:ascii="Times New Roman" w:hAnsi="Times New Roman"/>
          <w:noProof/>
          <w:sz w:val="24"/>
        </w:rPr>
        <w:t xml:space="preserve"> granted to the Kingdom of Morocco, which they enjoyed de facto until 21 December 2016. Extending EU tariff preferences to such products would ensure the continuity of exports. It </w:t>
      </w:r>
      <w:r>
        <w:rPr>
          <w:rFonts w:ascii="Times New Roman" w:hAnsi="Times New Roman"/>
          <w:b/>
          <w:noProof/>
          <w:sz w:val="24"/>
        </w:rPr>
        <w:t>should also play a major role in boosting the Saharan economy, by stimulatin</w:t>
      </w:r>
      <w:r>
        <w:rPr>
          <w:rFonts w:ascii="Times New Roman" w:hAnsi="Times New Roman"/>
          <w:b/>
          <w:noProof/>
          <w:sz w:val="24"/>
        </w:rPr>
        <w:t>g current and planned investment</w:t>
      </w:r>
      <w:r>
        <w:rPr>
          <w:rFonts w:ascii="Times New Roman" w:hAnsi="Times New Roman"/>
          <w:noProof/>
          <w:sz w:val="24"/>
        </w:rPr>
        <w:t xml:space="preserve"> liable to generate jobs (in particular in some phosphates, such as phosphoric acid or agricultural fertilisers, and in agriculture and fishing).</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Conversely, </w:t>
      </w:r>
      <w:r>
        <w:rPr>
          <w:rFonts w:ascii="Times New Roman" w:hAnsi="Times New Roman"/>
          <w:b/>
          <w:noProof/>
          <w:sz w:val="24"/>
        </w:rPr>
        <w:t>not granting tariff preferences would diminish Western Saharan ex</w:t>
      </w:r>
      <w:r>
        <w:rPr>
          <w:rFonts w:ascii="Times New Roman" w:hAnsi="Times New Roman"/>
          <w:b/>
          <w:noProof/>
          <w:sz w:val="24"/>
        </w:rPr>
        <w:t>ports, especially exports of fishery and agricultural products,</w:t>
      </w:r>
      <w:r>
        <w:rPr>
          <w:rFonts w:ascii="Times New Roman" w:hAnsi="Times New Roman"/>
          <w:noProof/>
          <w:sz w:val="24"/>
        </w:rPr>
        <w:t xml:space="preserve"> and would further narrow its already limited range of production. Without tariff preferences, Western Saharan products would be subject to normal customs tariffs (as applicable in the EU under</w:t>
      </w:r>
      <w:r>
        <w:rPr>
          <w:rFonts w:ascii="Times New Roman" w:hAnsi="Times New Roman"/>
          <w:noProof/>
          <w:sz w:val="24"/>
        </w:rPr>
        <w:t xml:space="preserve"> the most-favoured nation clause), without privileged access to the EU market. Industrial products (such as phosphates) would scarcely be affected, but exports of fishery and agricultural products to the EU would suffer greatly, with many jobs lost.</w:t>
      </w:r>
    </w:p>
    <w:p w:rsidR="00010D35" w:rsidRDefault="00010D3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sz w:val="24"/>
          <w:szCs w:val="24"/>
        </w:rPr>
      </w:pPr>
    </w:p>
    <w:p w:rsidR="00010D35" w:rsidRDefault="009E6C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w:t>
      </w:r>
      <w:r>
        <w:rPr>
          <w:rFonts w:ascii="Times New Roman" w:hAnsi="Times New Roman"/>
          <w:noProof/>
          <w:sz w:val="24"/>
        </w:rPr>
        <w:t>the longer term, boosting free private enterprise should reduce dependence on central government subsidies, while opening up the economy to greater trade and other types of exchange should gradually lead to discernible socio-economic and cultural growth.</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Involving people</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On the one hand, the Moroccan authorities have consulted all national, regional and local institutions concerned, to raise awareness and obtain their approval and input. This has led to broad support for the planned amendment and to so</w:t>
      </w:r>
      <w:r>
        <w:rPr>
          <w:rFonts w:ascii="Times New Roman" w:hAnsi="Times New Roman"/>
          <w:noProof/>
          <w:sz w:val="24"/>
        </w:rPr>
        <w:t xml:space="preserve">me recommendations to maximise its effect. </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On the other hand, the European Commission and the European External Action Service (EEAS) have consulted elected officials and public opinion in Western Sahara, where a large majority are in favour of tariff pr</w:t>
      </w:r>
      <w:r>
        <w:rPr>
          <w:rFonts w:ascii="Times New Roman" w:hAnsi="Times New Roman"/>
          <w:noProof/>
          <w:sz w:val="24"/>
          <w:bdr w:val="nil"/>
        </w:rPr>
        <w:t xml:space="preserve">eferences being extended to products from Western Sahara. </w:t>
      </w:r>
      <w:r>
        <w:rPr>
          <w:rFonts w:ascii="Times New Roman" w:hAnsi="Times New Roman"/>
          <w:noProof/>
          <w:sz w:val="24"/>
          <w:bdr w:val="nil"/>
        </w:rPr>
        <w:lastRenderedPageBreak/>
        <w:t>Most of those interviewed said this would help everyone, stressing the key role such preferences would play in spurring private investment. They felt that privileged access to EU markets would encou</w:t>
      </w:r>
      <w:r>
        <w:rPr>
          <w:rFonts w:ascii="Times New Roman" w:hAnsi="Times New Roman"/>
          <w:noProof/>
          <w:sz w:val="24"/>
          <w:bdr w:val="nil"/>
        </w:rPr>
        <w:t>rage business and EU direct investment, promoting Western Sahara’s new participatory and sustainable development model. Conversely, continuing legal uncertainty surrounding trade with Western Sahara would seriously hamper socio-economic development, as alr</w:t>
      </w:r>
      <w:r>
        <w:rPr>
          <w:rFonts w:ascii="Times New Roman" w:hAnsi="Times New Roman"/>
          <w:noProof/>
          <w:sz w:val="24"/>
          <w:bdr w:val="nil"/>
        </w:rPr>
        <w:t>eady evidenced by the slowdown in trade between the territory and some Member States and in certain sectors. Restricting access for Western Sahara to foreign markets and investment would put a brake on its economy and thwart socio-economic and political gr</w:t>
      </w:r>
      <w:r>
        <w:rPr>
          <w:rFonts w:ascii="Times New Roman" w:hAnsi="Times New Roman"/>
          <w:noProof/>
          <w:sz w:val="24"/>
          <w:bdr w:val="nil"/>
        </w:rPr>
        <w:t xml:space="preserve">owth, just when development in the territory finally seems ready to take off. </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color w:val="000000"/>
          <w:sz w:val="24"/>
          <w:u w:color="000000"/>
          <w:bdr w:val="nil"/>
        </w:rPr>
        <w:t>This was a general feeling, despite varying opinions as to the status of the territory, which everyone agreed could be settled only through the UN-led process.</w:t>
      </w:r>
      <w:r>
        <w:rPr>
          <w:rFonts w:ascii="Times New Roman" w:hAnsi="Times New Roman"/>
          <w:noProof/>
          <w:sz w:val="24"/>
          <w:bdr w:val="nil"/>
        </w:rPr>
        <w:t xml:space="preserve"> Some also felt t</w:t>
      </w:r>
      <w:r>
        <w:rPr>
          <w:rFonts w:ascii="Times New Roman" w:hAnsi="Times New Roman"/>
          <w:noProof/>
          <w:sz w:val="24"/>
          <w:bdr w:val="nil"/>
        </w:rPr>
        <w:t>hat the EU should be more involved in supporting the UN-led process.</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Technical discussions with the Polisario Front, which is an interlocutor with the UN and a party to the UN-led peace process for Western Sahara, highlighted the Front’s opposition in pri</w:t>
      </w:r>
      <w:r>
        <w:rPr>
          <w:rFonts w:ascii="Times New Roman" w:hAnsi="Times New Roman"/>
          <w:noProof/>
          <w:sz w:val="24"/>
          <w:bdr w:val="nil"/>
        </w:rPr>
        <w:t>nciple to amendment of the Agreement, largely for general political reasons unrelated to the amendment itself.</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Results by sector</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Consideration of the three main sectors potentially affected by the extension of EU tariff preferences to products from We</w:t>
      </w:r>
      <w:r>
        <w:rPr>
          <w:rFonts w:ascii="Times New Roman" w:hAnsi="Times New Roman"/>
          <w:noProof/>
          <w:sz w:val="24"/>
        </w:rPr>
        <w:t>stern Sahara leads to the following conclusions:</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(a)</w:t>
      </w:r>
      <w:r>
        <w:rPr>
          <w:noProof/>
        </w:rPr>
        <w:tab/>
      </w:r>
      <w:r>
        <w:rPr>
          <w:rFonts w:ascii="Times New Roman" w:hAnsi="Times New Roman"/>
          <w:b/>
          <w:i/>
          <w:noProof/>
          <w:sz w:val="24"/>
        </w:rPr>
        <w:t>Agriculture</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The study shows that </w:t>
      </w:r>
      <w:r>
        <w:rPr>
          <w:rFonts w:ascii="Times New Roman" w:hAnsi="Times New Roman"/>
          <w:b/>
          <w:noProof/>
          <w:sz w:val="24"/>
        </w:rPr>
        <w:t>crops are grown in Western Sahara, especially early-growing crops (tomatoes and melons), for which there is a big market in the EU</w:t>
      </w:r>
      <w:r>
        <w:rPr>
          <w:rFonts w:ascii="Times New Roman" w:hAnsi="Times New Roman"/>
          <w:noProof/>
          <w:sz w:val="24"/>
        </w:rPr>
        <w:t xml:space="preserve">. </w:t>
      </w:r>
      <w:r>
        <w:rPr>
          <w:rFonts w:ascii="Times New Roman" w:hAnsi="Times New Roman"/>
          <w:b/>
          <w:noProof/>
          <w:sz w:val="24"/>
        </w:rPr>
        <w:t xml:space="preserve">An estimated 64 000 tonnes of such </w:t>
      </w:r>
      <w:r>
        <w:rPr>
          <w:rFonts w:ascii="Times New Roman" w:hAnsi="Times New Roman"/>
          <w:b/>
          <w:noProof/>
          <w:sz w:val="24"/>
        </w:rPr>
        <w:t>crops were grown in 2016, accounting for some 14 000 direct jobs.</w:t>
      </w:r>
      <w:r>
        <w:rPr>
          <w:rFonts w:ascii="Times New Roman" w:hAnsi="Times New Roman"/>
          <w:noProof/>
          <w:sz w:val="24"/>
        </w:rPr>
        <w:t xml:space="preserve"> Those crops would have an import value of some </w:t>
      </w:r>
      <w:r>
        <w:rPr>
          <w:rFonts w:ascii="Times New Roman" w:hAnsi="Times New Roman"/>
          <w:b/>
          <w:noProof/>
          <w:sz w:val="24"/>
        </w:rPr>
        <w:t>EUR 65 million</w:t>
      </w:r>
      <w:r>
        <w:rPr>
          <w:rFonts w:ascii="Times New Roman" w:hAnsi="Times New Roman"/>
          <w:noProof/>
          <w:sz w:val="24"/>
        </w:rPr>
        <w:t xml:space="preserve">. Without tariff preferences, such exports would be subject to EUR 6.6 million in customs duties. </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Those economic benefits could</w:t>
      </w:r>
      <w:r>
        <w:rPr>
          <w:rFonts w:ascii="Times New Roman" w:hAnsi="Times New Roman"/>
          <w:noProof/>
          <w:sz w:val="24"/>
        </w:rPr>
        <w:t xml:space="preserve"> grow if Western Sahara increases production and exports more to the EU under projects currently being planned. That would also increase the number of jobs, which some forecasts say could grow fivefold.</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Although more farming means using more natural resou</w:t>
      </w:r>
      <w:r>
        <w:rPr>
          <w:rFonts w:ascii="Times New Roman" w:hAnsi="Times New Roman"/>
          <w:noProof/>
          <w:sz w:val="24"/>
        </w:rPr>
        <w:t>rces, especially water, there seem to be few other ways at present for the territory’s economy to grow. Though questioned by some, Moroccan estimates suggest that the impact on groundwater reserves would be limited.</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(b)</w:t>
      </w:r>
      <w:r>
        <w:rPr>
          <w:noProof/>
        </w:rPr>
        <w:tab/>
      </w:r>
      <w:r>
        <w:rPr>
          <w:rFonts w:ascii="Times New Roman" w:hAnsi="Times New Roman"/>
          <w:b/>
          <w:i/>
          <w:noProof/>
          <w:sz w:val="24"/>
        </w:rPr>
        <w:t>Fishery products</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rPr>
      </w:pPr>
      <w:r>
        <w:rPr>
          <w:rFonts w:ascii="Times New Roman" w:hAnsi="Times New Roman"/>
          <w:noProof/>
          <w:sz w:val="24"/>
        </w:rPr>
        <w:t xml:space="preserve">The report shows that there is a major fish processing industry in Western Sahara. </w:t>
      </w:r>
      <w:r>
        <w:rPr>
          <w:rFonts w:ascii="Times New Roman" w:hAnsi="Times New Roman"/>
          <w:b/>
          <w:noProof/>
          <w:sz w:val="24"/>
        </w:rPr>
        <w:t>Exports of fishery products from the territory amounted to EUR 100-200 million in 2015 and 2016</w:t>
      </w:r>
      <w:r>
        <w:rPr>
          <w:rFonts w:ascii="Times New Roman" w:hAnsi="Times New Roman"/>
          <w:noProof/>
          <w:sz w:val="24"/>
        </w:rPr>
        <w:t xml:space="preserve">, according to different sources. </w:t>
      </w:r>
      <w:r>
        <w:rPr>
          <w:rFonts w:ascii="Times New Roman" w:hAnsi="Times New Roman"/>
          <w:b/>
          <w:noProof/>
          <w:sz w:val="24"/>
        </w:rPr>
        <w:t>Some 45 000 jobs depended</w:t>
      </w:r>
      <w:r>
        <w:rPr>
          <w:rFonts w:ascii="Times New Roman" w:hAnsi="Times New Roman"/>
          <w:noProof/>
          <w:sz w:val="24"/>
        </w:rPr>
        <w:t xml:space="preserve"> directly or indire</w:t>
      </w:r>
      <w:r>
        <w:rPr>
          <w:rFonts w:ascii="Times New Roman" w:hAnsi="Times New Roman"/>
          <w:noProof/>
          <w:sz w:val="24"/>
        </w:rPr>
        <w:t xml:space="preserve">ctly </w:t>
      </w:r>
      <w:r>
        <w:rPr>
          <w:rFonts w:ascii="Times New Roman" w:hAnsi="Times New Roman"/>
          <w:b/>
          <w:noProof/>
          <w:sz w:val="24"/>
        </w:rPr>
        <w:t>on those exports</w:t>
      </w:r>
      <w:r>
        <w:rPr>
          <w:rFonts w:ascii="Times New Roman" w:hAnsi="Times New Roman"/>
          <w:noProof/>
          <w:sz w:val="24"/>
        </w:rPr>
        <w:t>. As in agriculture, extending tariff preferences to those imports would have a major impact on the economy and thus on jobs in the territory. Conversely, not granting preferences would harm exports and jobs and encourage a shift in pr</w:t>
      </w:r>
      <w:r>
        <w:rPr>
          <w:rFonts w:ascii="Times New Roman" w:hAnsi="Times New Roman"/>
          <w:noProof/>
          <w:sz w:val="24"/>
        </w:rPr>
        <w:t>ocessing to other places, such as Morocco. That would jeopardise investment in Western Saharan fish processing plants cofinanced by the EU.</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(c) </w:t>
      </w:r>
      <w:r>
        <w:rPr>
          <w:noProof/>
        </w:rPr>
        <w:tab/>
      </w:r>
      <w:r>
        <w:rPr>
          <w:rFonts w:ascii="Times New Roman" w:hAnsi="Times New Roman"/>
          <w:b/>
          <w:i/>
          <w:noProof/>
          <w:sz w:val="24"/>
        </w:rPr>
        <w:t>Phosphates</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Phosphate production is a major industry in Western Sahara. However, as most of the raw phosphate</w:t>
      </w:r>
      <w:r>
        <w:rPr>
          <w:rFonts w:ascii="Times New Roman" w:hAnsi="Times New Roman"/>
          <w:noProof/>
          <w:sz w:val="24"/>
        </w:rPr>
        <w:t xml:space="preserve"> produced in Western Sahara and imported to the EU is not subject to customs duties, </w:t>
      </w:r>
      <w:r>
        <w:rPr>
          <w:rFonts w:ascii="Times New Roman" w:hAnsi="Times New Roman"/>
          <w:b/>
          <w:noProof/>
          <w:sz w:val="24"/>
        </w:rPr>
        <w:t>not applying tariff preferences to current Western Saharan phosphate production would have little or no impact</w:t>
      </w:r>
      <w:r>
        <w:rPr>
          <w:rFonts w:ascii="Times New Roman" w:hAnsi="Times New Roman"/>
          <w:noProof/>
          <w:sz w:val="24"/>
        </w:rPr>
        <w:t xml:space="preserve">. </w:t>
      </w:r>
      <w:r>
        <w:rPr>
          <w:rFonts w:ascii="Times New Roman" w:hAnsi="Times New Roman"/>
          <w:b/>
          <w:noProof/>
          <w:sz w:val="24"/>
        </w:rPr>
        <w:t>The proposed agreement could have a real impact only for ce</w:t>
      </w:r>
      <w:r>
        <w:rPr>
          <w:rFonts w:ascii="Times New Roman" w:hAnsi="Times New Roman"/>
          <w:b/>
          <w:noProof/>
          <w:sz w:val="24"/>
        </w:rPr>
        <w:t>rtain phosphate derivatives</w:t>
      </w:r>
      <w:r>
        <w:rPr>
          <w:rFonts w:ascii="Times New Roman" w:hAnsi="Times New Roman"/>
          <w:noProof/>
          <w:sz w:val="24"/>
        </w:rPr>
        <w:t xml:space="preserve"> (phosphoric acid and fertilisers) not currently produced in Western Sahara (and subject to duties of 4.8 to 6.5 %). The OCP Group (former Office Chérifien des Phosphates), which is the main employer in the territory, plans to de</w:t>
      </w:r>
      <w:r>
        <w:rPr>
          <w:rFonts w:ascii="Times New Roman" w:hAnsi="Times New Roman"/>
          <w:noProof/>
          <w:sz w:val="24"/>
        </w:rPr>
        <w:t>velop an industrial complex producing fertilisers (phosphoric acid and fertilisers) in Laâyoune and to build a new quay in the port of Laâyoune. Those projects would be threatened without preferential treatment for the products in question, which could cos</w:t>
      </w:r>
      <w:r>
        <w:rPr>
          <w:rFonts w:ascii="Times New Roman" w:hAnsi="Times New Roman"/>
          <w:noProof/>
          <w:sz w:val="24"/>
        </w:rPr>
        <w:t>t local jobs.</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Conclusion</w:t>
      </w:r>
    </w:p>
    <w:p w:rsidR="00010D35" w:rsidRDefault="00010D35">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rsidR="00010D35" w:rsidRDefault="009E6C92">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Though the Western Saharan population cannot be neatly divided into groups with specific backgrounds, there are signs that </w:t>
      </w:r>
      <w:r>
        <w:rPr>
          <w:rFonts w:ascii="Times New Roman" w:hAnsi="Times New Roman"/>
          <w:b/>
          <w:noProof/>
          <w:sz w:val="24"/>
        </w:rPr>
        <w:t xml:space="preserve">economic activity generated by exports to the EU creates local jobs and thus helps all parts of the </w:t>
      </w:r>
      <w:r>
        <w:rPr>
          <w:rFonts w:ascii="Times New Roman" w:hAnsi="Times New Roman"/>
          <w:b/>
          <w:noProof/>
          <w:sz w:val="24"/>
        </w:rPr>
        <w:t>population, regardless of background, to a greater or lesser extent</w:t>
      </w:r>
      <w:r>
        <w:rPr>
          <w:rFonts w:ascii="Times New Roman" w:hAnsi="Times New Roman"/>
          <w:noProof/>
          <w:sz w:val="24"/>
        </w:rPr>
        <w:t>. These benefits would be compromised if exports to the EU did not enjoy the same tariff preferences as those granted to Morocco.</w:t>
      </w:r>
    </w:p>
    <w:p w:rsidR="00010D35" w:rsidRDefault="009E6C92">
      <w:pPr>
        <w:rPr>
          <w:rFonts w:ascii="Times New Roman" w:eastAsia="Calibri" w:hAnsi="Times New Roman" w:cs="Times New Roman"/>
          <w:b/>
          <w:smallCaps/>
          <w:noProof/>
          <w:sz w:val="24"/>
        </w:rPr>
      </w:pPr>
      <w:r>
        <w:rPr>
          <w:noProof/>
        </w:rPr>
        <w:br w:type="page"/>
      </w:r>
      <w:r>
        <w:rPr>
          <w:noProof/>
        </w:rPr>
        <w:br w:type="page"/>
      </w:r>
    </w:p>
    <w:sdt>
      <w:sdtPr>
        <w:rPr>
          <w:b/>
          <w:bCs/>
          <w:noProof/>
        </w:rPr>
        <w:id w:val="-938063622"/>
        <w:docPartObj>
          <w:docPartGallery w:val="Table of Contents"/>
          <w:docPartUnique/>
        </w:docPartObj>
      </w:sdtPr>
      <w:sdtEndPr>
        <w:rPr>
          <w:b w:val="0"/>
          <w:bCs w:val="0"/>
        </w:rPr>
      </w:sdtEndPr>
      <w:sdtContent>
        <w:p w:rsidR="00010D35" w:rsidRDefault="009E6C92">
          <w:pPr>
            <w:pStyle w:val="TOC2"/>
            <w:tabs>
              <w:tab w:val="left" w:pos="660"/>
              <w:tab w:val="right" w:leader="dot" w:pos="9061"/>
            </w:tabs>
            <w:rPr>
              <w:noProof/>
            </w:rPr>
          </w:pPr>
          <w:r>
            <w:rPr>
              <w:noProof/>
            </w:rPr>
            <w:t>Contents</w:t>
          </w:r>
        </w:p>
        <w:p w:rsidR="00010D35" w:rsidRDefault="009E6C92">
          <w:pPr>
            <w:pStyle w:val="TOC1"/>
            <w:tabs>
              <w:tab w:val="left" w:pos="440"/>
              <w:tab w:val="right" w:leader="dot" w:pos="9061"/>
            </w:tabs>
            <w:rPr>
              <w:rFonts w:eastAsiaTheme="minorEastAsia"/>
              <w:noProof/>
              <w:lang w:bidi="ar-SA"/>
            </w:rPr>
          </w:pPr>
          <w:r>
            <w:rPr>
              <w:noProof/>
            </w:rPr>
            <w:fldChar w:fldCharType="begin"/>
          </w:r>
          <w:r>
            <w:rPr>
              <w:noProof/>
            </w:rPr>
            <w:instrText xml:space="preserve"> TOC \o "1-3" \h \z \u </w:instrText>
          </w:r>
          <w:r>
            <w:rPr>
              <w:noProof/>
            </w:rPr>
            <w:fldChar w:fldCharType="separate"/>
          </w:r>
          <w:hyperlink w:anchor="_Toc516249526" w:history="1">
            <w:r>
              <w:rPr>
                <w:rStyle w:val="Hyperlink"/>
                <w:rFonts w:eastAsia="Calibri"/>
                <w:noProof/>
              </w:rPr>
              <w:t>1</w:t>
            </w:r>
            <w:r>
              <w:rPr>
                <w:rFonts w:eastAsiaTheme="minorEastAsia"/>
                <w:noProof/>
                <w:lang w:bidi="ar-SA"/>
              </w:rPr>
              <w:tab/>
            </w:r>
            <w:r>
              <w:rPr>
                <w:rStyle w:val="Hyperlink"/>
                <w:noProof/>
              </w:rPr>
              <w:t>INTRODUCTION</w:t>
            </w:r>
            <w:r>
              <w:rPr>
                <w:noProof/>
                <w:webHidden/>
              </w:rPr>
              <w:tab/>
            </w:r>
            <w:r>
              <w:rPr>
                <w:noProof/>
                <w:webHidden/>
              </w:rPr>
              <w:fldChar w:fldCharType="begin"/>
            </w:r>
            <w:r>
              <w:rPr>
                <w:noProof/>
                <w:webHidden/>
              </w:rPr>
              <w:instrText xml:space="preserve"> PAGEREF _Toc516249526 \h </w:instrText>
            </w:r>
            <w:r>
              <w:rPr>
                <w:noProof/>
                <w:webHidden/>
              </w:rPr>
            </w:r>
            <w:r>
              <w:rPr>
                <w:noProof/>
                <w:webHidden/>
              </w:rPr>
              <w:fldChar w:fldCharType="separate"/>
            </w:r>
            <w:r>
              <w:rPr>
                <w:noProof/>
                <w:webHidden/>
              </w:rPr>
              <w:t>6</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27" w:history="1">
            <w:r>
              <w:rPr>
                <w:rStyle w:val="Hyperlink"/>
                <w:rFonts w:eastAsia="Arial Unicode MS"/>
                <w:noProof/>
              </w:rPr>
              <w:t>1.1</w:t>
            </w:r>
            <w:r>
              <w:rPr>
                <w:rFonts w:eastAsiaTheme="minorEastAsia"/>
                <w:noProof/>
                <w:lang w:bidi="ar-SA"/>
              </w:rPr>
              <w:tab/>
            </w:r>
            <w:r>
              <w:rPr>
                <w:rStyle w:val="Hyperlink"/>
                <w:noProof/>
              </w:rPr>
              <w:t>Background</w:t>
            </w:r>
            <w:r>
              <w:rPr>
                <w:noProof/>
                <w:webHidden/>
              </w:rPr>
              <w:tab/>
            </w:r>
            <w:r>
              <w:rPr>
                <w:noProof/>
                <w:webHidden/>
              </w:rPr>
              <w:fldChar w:fldCharType="begin"/>
            </w:r>
            <w:r>
              <w:rPr>
                <w:noProof/>
                <w:webHidden/>
              </w:rPr>
              <w:instrText xml:space="preserve"> PAGEREF _Toc516249527 \h </w:instrText>
            </w:r>
            <w:r>
              <w:rPr>
                <w:noProof/>
                <w:webHidden/>
              </w:rPr>
            </w:r>
            <w:r>
              <w:rPr>
                <w:noProof/>
                <w:webHidden/>
              </w:rPr>
              <w:fldChar w:fldCharType="separate"/>
            </w:r>
            <w:r>
              <w:rPr>
                <w:noProof/>
                <w:webHidden/>
              </w:rPr>
              <w:t>6</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28" w:history="1">
            <w:r>
              <w:rPr>
                <w:rStyle w:val="Hyperlink"/>
                <w:rFonts w:eastAsia="Arial Unicode MS"/>
                <w:noProof/>
              </w:rPr>
              <w:t>1.2</w:t>
            </w:r>
            <w:r>
              <w:rPr>
                <w:rFonts w:eastAsiaTheme="minorEastAsia"/>
                <w:noProof/>
                <w:lang w:bidi="ar-SA"/>
              </w:rPr>
              <w:tab/>
            </w:r>
            <w:r>
              <w:rPr>
                <w:rStyle w:val="Hyperlink"/>
                <w:noProof/>
              </w:rPr>
              <w:t>Scope and method</w:t>
            </w:r>
            <w:r>
              <w:rPr>
                <w:noProof/>
                <w:webHidden/>
              </w:rPr>
              <w:tab/>
            </w:r>
            <w:r>
              <w:rPr>
                <w:noProof/>
                <w:webHidden/>
              </w:rPr>
              <w:fldChar w:fldCharType="begin"/>
            </w:r>
            <w:r>
              <w:rPr>
                <w:noProof/>
                <w:webHidden/>
              </w:rPr>
              <w:instrText xml:space="preserve"> PAGEREF _Toc516249528 \h </w:instrText>
            </w:r>
            <w:r>
              <w:rPr>
                <w:noProof/>
                <w:webHidden/>
              </w:rPr>
            </w:r>
            <w:r>
              <w:rPr>
                <w:noProof/>
                <w:webHidden/>
              </w:rPr>
              <w:fldChar w:fldCharType="separate"/>
            </w:r>
            <w:r>
              <w:rPr>
                <w:noProof/>
                <w:webHidden/>
              </w:rPr>
              <w:t>8</w:t>
            </w:r>
            <w:r>
              <w:rPr>
                <w:noProof/>
                <w:webHidden/>
              </w:rPr>
              <w:fldChar w:fldCharType="end"/>
            </w:r>
          </w:hyperlink>
        </w:p>
        <w:p w:rsidR="00010D35" w:rsidRDefault="009E6C92">
          <w:pPr>
            <w:pStyle w:val="TOC3"/>
            <w:tabs>
              <w:tab w:val="left" w:pos="1320"/>
              <w:tab w:val="right" w:leader="dot" w:pos="9061"/>
            </w:tabs>
            <w:rPr>
              <w:rFonts w:eastAsiaTheme="minorEastAsia"/>
              <w:noProof/>
              <w:lang w:bidi="ar-SA"/>
            </w:rPr>
          </w:pPr>
          <w:hyperlink w:anchor="_Toc516249529" w:history="1">
            <w:r>
              <w:rPr>
                <w:rStyle w:val="Hyperlink"/>
                <w:rFonts w:eastAsia="Calibri"/>
                <w:noProof/>
              </w:rPr>
              <w:t>1.2.1</w:t>
            </w:r>
            <w:r>
              <w:rPr>
                <w:rFonts w:eastAsiaTheme="minorEastAsia"/>
                <w:noProof/>
                <w:lang w:bidi="ar-SA"/>
              </w:rPr>
              <w:tab/>
            </w:r>
            <w:r>
              <w:rPr>
                <w:rStyle w:val="Hyperlink"/>
                <w:noProof/>
              </w:rPr>
              <w:t>Scope</w:t>
            </w:r>
            <w:r>
              <w:rPr>
                <w:noProof/>
                <w:webHidden/>
              </w:rPr>
              <w:tab/>
            </w:r>
            <w:r>
              <w:rPr>
                <w:noProof/>
                <w:webHidden/>
              </w:rPr>
              <w:fldChar w:fldCharType="begin"/>
            </w:r>
            <w:r>
              <w:rPr>
                <w:noProof/>
                <w:webHidden/>
              </w:rPr>
              <w:instrText xml:space="preserve"> PAGEREF _Toc516249529 \h </w:instrText>
            </w:r>
            <w:r>
              <w:rPr>
                <w:noProof/>
                <w:webHidden/>
              </w:rPr>
            </w:r>
            <w:r>
              <w:rPr>
                <w:noProof/>
                <w:webHidden/>
              </w:rPr>
              <w:fldChar w:fldCharType="separate"/>
            </w:r>
            <w:r>
              <w:rPr>
                <w:noProof/>
                <w:webHidden/>
              </w:rPr>
              <w:t>8</w:t>
            </w:r>
            <w:r>
              <w:rPr>
                <w:noProof/>
                <w:webHidden/>
              </w:rPr>
              <w:fldChar w:fldCharType="end"/>
            </w:r>
          </w:hyperlink>
        </w:p>
        <w:p w:rsidR="00010D35" w:rsidRDefault="009E6C92">
          <w:pPr>
            <w:pStyle w:val="TOC3"/>
            <w:tabs>
              <w:tab w:val="left" w:pos="1320"/>
              <w:tab w:val="right" w:leader="dot" w:pos="9061"/>
            </w:tabs>
            <w:rPr>
              <w:rFonts w:eastAsiaTheme="minorEastAsia"/>
              <w:noProof/>
              <w:lang w:bidi="ar-SA"/>
            </w:rPr>
          </w:pPr>
          <w:hyperlink w:anchor="_Toc516249530" w:history="1">
            <w:r>
              <w:rPr>
                <w:rStyle w:val="Hyperlink"/>
                <w:noProof/>
              </w:rPr>
              <w:t>1.2.2</w:t>
            </w:r>
            <w:r>
              <w:rPr>
                <w:rFonts w:eastAsiaTheme="minorEastAsia"/>
                <w:noProof/>
                <w:lang w:bidi="ar-SA"/>
              </w:rPr>
              <w:tab/>
            </w:r>
            <w:r>
              <w:rPr>
                <w:rStyle w:val="Hyperlink"/>
                <w:noProof/>
              </w:rPr>
              <w:t>Methodological constraints</w:t>
            </w:r>
            <w:r>
              <w:rPr>
                <w:noProof/>
                <w:webHidden/>
              </w:rPr>
              <w:tab/>
            </w:r>
            <w:r>
              <w:rPr>
                <w:noProof/>
                <w:webHidden/>
              </w:rPr>
              <w:fldChar w:fldCharType="begin"/>
            </w:r>
            <w:r>
              <w:rPr>
                <w:noProof/>
                <w:webHidden/>
              </w:rPr>
              <w:instrText xml:space="preserve"> PAGEREF _Toc516249530 \h </w:instrText>
            </w:r>
            <w:r>
              <w:rPr>
                <w:noProof/>
                <w:webHidden/>
              </w:rPr>
            </w:r>
            <w:r>
              <w:rPr>
                <w:noProof/>
                <w:webHidden/>
              </w:rPr>
              <w:fldChar w:fldCharType="separate"/>
            </w:r>
            <w:r>
              <w:rPr>
                <w:noProof/>
                <w:webHidden/>
              </w:rPr>
              <w:t>8</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31" w:history="1">
            <w:r>
              <w:rPr>
                <w:rStyle w:val="Hyperlink"/>
                <w:rFonts w:eastAsia="Calibri"/>
                <w:noProof/>
              </w:rPr>
              <w:t>1.3</w:t>
            </w:r>
            <w:r>
              <w:rPr>
                <w:rFonts w:eastAsiaTheme="minorEastAsia"/>
                <w:noProof/>
                <w:lang w:bidi="ar-SA"/>
              </w:rPr>
              <w:tab/>
            </w:r>
            <w:r>
              <w:rPr>
                <w:rStyle w:val="Hyperlink"/>
                <w:noProof/>
              </w:rPr>
              <w:t>Consulting the people concerned</w:t>
            </w:r>
            <w:r>
              <w:rPr>
                <w:noProof/>
                <w:webHidden/>
              </w:rPr>
              <w:tab/>
            </w:r>
            <w:r>
              <w:rPr>
                <w:noProof/>
                <w:webHidden/>
              </w:rPr>
              <w:fldChar w:fldCharType="begin"/>
            </w:r>
            <w:r>
              <w:rPr>
                <w:noProof/>
                <w:webHidden/>
              </w:rPr>
              <w:instrText xml:space="preserve"> PAGEREF _Toc516249531 \h </w:instrText>
            </w:r>
            <w:r>
              <w:rPr>
                <w:noProof/>
                <w:webHidden/>
              </w:rPr>
            </w:r>
            <w:r>
              <w:rPr>
                <w:noProof/>
                <w:webHidden/>
              </w:rPr>
              <w:fldChar w:fldCharType="separate"/>
            </w:r>
            <w:r>
              <w:rPr>
                <w:noProof/>
                <w:webHidden/>
              </w:rPr>
              <w:t>10</w:t>
            </w:r>
            <w:r>
              <w:rPr>
                <w:noProof/>
                <w:webHidden/>
              </w:rPr>
              <w:fldChar w:fldCharType="end"/>
            </w:r>
          </w:hyperlink>
        </w:p>
        <w:p w:rsidR="00010D35" w:rsidRDefault="009E6C92">
          <w:pPr>
            <w:pStyle w:val="TOC1"/>
            <w:tabs>
              <w:tab w:val="left" w:pos="440"/>
              <w:tab w:val="right" w:leader="dot" w:pos="9061"/>
            </w:tabs>
            <w:rPr>
              <w:rFonts w:eastAsiaTheme="minorEastAsia"/>
              <w:noProof/>
              <w:lang w:bidi="ar-SA"/>
            </w:rPr>
          </w:pPr>
          <w:hyperlink w:anchor="_Toc516249532" w:history="1">
            <w:r>
              <w:rPr>
                <w:rStyle w:val="Hyperlink"/>
                <w:noProof/>
              </w:rPr>
              <w:t>2</w:t>
            </w:r>
            <w:r>
              <w:rPr>
                <w:rFonts w:eastAsiaTheme="minorEastAsia"/>
                <w:noProof/>
                <w:lang w:bidi="ar-SA"/>
              </w:rPr>
              <w:tab/>
            </w:r>
            <w:r>
              <w:rPr>
                <w:rStyle w:val="Hyperlink"/>
                <w:noProof/>
              </w:rPr>
              <w:t>HUMAN RIGHTS IN WESTERN SAHARA</w:t>
            </w:r>
            <w:r>
              <w:rPr>
                <w:noProof/>
                <w:webHidden/>
              </w:rPr>
              <w:tab/>
            </w:r>
            <w:r>
              <w:rPr>
                <w:noProof/>
                <w:webHidden/>
              </w:rPr>
              <w:fldChar w:fldCharType="begin"/>
            </w:r>
            <w:r>
              <w:rPr>
                <w:noProof/>
                <w:webHidden/>
              </w:rPr>
              <w:instrText xml:space="preserve"> PAGEREF _Toc516249532 \h </w:instrText>
            </w:r>
            <w:r>
              <w:rPr>
                <w:noProof/>
                <w:webHidden/>
              </w:rPr>
            </w:r>
            <w:r>
              <w:rPr>
                <w:noProof/>
                <w:webHidden/>
              </w:rPr>
              <w:fldChar w:fldCharType="separate"/>
            </w:r>
            <w:r>
              <w:rPr>
                <w:noProof/>
                <w:webHidden/>
              </w:rPr>
              <w:t>10</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33" w:history="1">
            <w:r>
              <w:rPr>
                <w:rStyle w:val="Hyperlink"/>
                <w:rFonts w:asciiTheme="majorHAnsi" w:eastAsia="Times New Roman" w:hAnsiTheme="majorHAnsi" w:cstheme="majorBidi"/>
                <w:b/>
                <w:bCs/>
                <w:noProof/>
              </w:rPr>
              <w:t>2.1</w:t>
            </w:r>
            <w:r>
              <w:rPr>
                <w:rFonts w:eastAsiaTheme="minorEastAsia"/>
                <w:noProof/>
                <w:lang w:bidi="ar-SA"/>
              </w:rPr>
              <w:tab/>
            </w:r>
            <w:r>
              <w:rPr>
                <w:rStyle w:val="Hyperlink"/>
                <w:rFonts w:asciiTheme="majorHAnsi" w:hAnsiTheme="majorHAnsi" w:cstheme="majorBidi"/>
                <w:b/>
                <w:noProof/>
              </w:rPr>
              <w:t>The human rights situation in Western Sahara</w:t>
            </w:r>
            <w:r>
              <w:rPr>
                <w:noProof/>
                <w:webHidden/>
              </w:rPr>
              <w:tab/>
            </w:r>
            <w:r>
              <w:rPr>
                <w:noProof/>
                <w:webHidden/>
              </w:rPr>
              <w:fldChar w:fldCharType="begin"/>
            </w:r>
            <w:r>
              <w:rPr>
                <w:noProof/>
                <w:webHidden/>
              </w:rPr>
              <w:instrText xml:space="preserve"> PAGEREF _Toc516249533 \h </w:instrText>
            </w:r>
            <w:r>
              <w:rPr>
                <w:noProof/>
                <w:webHidden/>
              </w:rPr>
            </w:r>
            <w:r>
              <w:rPr>
                <w:noProof/>
                <w:webHidden/>
              </w:rPr>
              <w:fldChar w:fldCharType="separate"/>
            </w:r>
            <w:r>
              <w:rPr>
                <w:noProof/>
                <w:webHidden/>
              </w:rPr>
              <w:t>10</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34" w:history="1">
            <w:r>
              <w:rPr>
                <w:rStyle w:val="Hyperlink"/>
                <w:rFonts w:eastAsia="Times New Roman"/>
                <w:noProof/>
              </w:rPr>
              <w:t>2.2</w:t>
            </w:r>
            <w:r>
              <w:rPr>
                <w:rFonts w:eastAsiaTheme="minorEastAsia"/>
                <w:noProof/>
                <w:lang w:bidi="ar-SA"/>
              </w:rPr>
              <w:tab/>
            </w:r>
            <w:r>
              <w:rPr>
                <w:rStyle w:val="Hyperlink"/>
                <w:noProof/>
              </w:rPr>
              <w:t>Framework for EU-Morocco cooperation in the fields of human rights and democracy</w:t>
            </w:r>
            <w:r>
              <w:rPr>
                <w:noProof/>
                <w:webHidden/>
              </w:rPr>
              <w:tab/>
            </w:r>
            <w:r>
              <w:rPr>
                <w:noProof/>
                <w:webHidden/>
              </w:rPr>
              <w:fldChar w:fldCharType="begin"/>
            </w:r>
            <w:r>
              <w:rPr>
                <w:noProof/>
                <w:webHidden/>
              </w:rPr>
              <w:instrText xml:space="preserve"> PAGEREF _Toc516249534 \h </w:instrText>
            </w:r>
            <w:r>
              <w:rPr>
                <w:noProof/>
                <w:webHidden/>
              </w:rPr>
            </w:r>
            <w:r>
              <w:rPr>
                <w:noProof/>
                <w:webHidden/>
              </w:rPr>
              <w:fldChar w:fldCharType="separate"/>
            </w:r>
            <w:r>
              <w:rPr>
                <w:noProof/>
                <w:webHidden/>
              </w:rPr>
              <w:t>11</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35" w:history="1">
            <w:r>
              <w:rPr>
                <w:rStyle w:val="Hyperlink"/>
                <w:rFonts w:eastAsia="Times New Roman"/>
                <w:noProof/>
              </w:rPr>
              <w:t>2.3</w:t>
            </w:r>
            <w:r>
              <w:rPr>
                <w:rFonts w:eastAsiaTheme="minorEastAsia"/>
                <w:noProof/>
                <w:lang w:bidi="ar-SA"/>
              </w:rPr>
              <w:tab/>
            </w:r>
            <w:r>
              <w:rPr>
                <w:rStyle w:val="Hyperlink"/>
                <w:noProof/>
              </w:rPr>
              <w:t>Consequences of amending Protocols 1 a</w:t>
            </w:r>
            <w:r>
              <w:rPr>
                <w:rStyle w:val="Hyperlink"/>
                <w:noProof/>
              </w:rPr>
              <w:t>nd 4 of the Association Agreement on the human rights situation in Western Sahara</w:t>
            </w:r>
            <w:r>
              <w:rPr>
                <w:noProof/>
                <w:webHidden/>
              </w:rPr>
              <w:tab/>
            </w:r>
            <w:r>
              <w:rPr>
                <w:noProof/>
                <w:webHidden/>
              </w:rPr>
              <w:fldChar w:fldCharType="begin"/>
            </w:r>
            <w:r>
              <w:rPr>
                <w:noProof/>
                <w:webHidden/>
              </w:rPr>
              <w:instrText xml:space="preserve"> PAGEREF _Toc516249535 \h </w:instrText>
            </w:r>
            <w:r>
              <w:rPr>
                <w:noProof/>
                <w:webHidden/>
              </w:rPr>
            </w:r>
            <w:r>
              <w:rPr>
                <w:noProof/>
                <w:webHidden/>
              </w:rPr>
              <w:fldChar w:fldCharType="separate"/>
            </w:r>
            <w:r>
              <w:rPr>
                <w:noProof/>
                <w:webHidden/>
              </w:rPr>
              <w:t>12</w:t>
            </w:r>
            <w:r>
              <w:rPr>
                <w:noProof/>
                <w:webHidden/>
              </w:rPr>
              <w:fldChar w:fldCharType="end"/>
            </w:r>
          </w:hyperlink>
        </w:p>
        <w:p w:rsidR="00010D35" w:rsidRDefault="009E6C92">
          <w:pPr>
            <w:pStyle w:val="TOC1"/>
            <w:tabs>
              <w:tab w:val="left" w:pos="440"/>
              <w:tab w:val="right" w:leader="dot" w:pos="9061"/>
            </w:tabs>
            <w:rPr>
              <w:rFonts w:eastAsiaTheme="minorEastAsia"/>
              <w:noProof/>
              <w:lang w:bidi="ar-SA"/>
            </w:rPr>
          </w:pPr>
          <w:hyperlink w:anchor="_Toc516249536" w:history="1">
            <w:r>
              <w:rPr>
                <w:rStyle w:val="Hyperlink"/>
                <w:rFonts w:eastAsia="Calibri"/>
                <w:noProof/>
              </w:rPr>
              <w:t>3</w:t>
            </w:r>
            <w:r>
              <w:rPr>
                <w:rFonts w:eastAsiaTheme="minorEastAsia"/>
                <w:noProof/>
                <w:lang w:bidi="ar-SA"/>
              </w:rPr>
              <w:tab/>
            </w:r>
            <w:r>
              <w:rPr>
                <w:rStyle w:val="Hyperlink"/>
                <w:noProof/>
              </w:rPr>
              <w:t>THE WESTERN SAHARAN ECONOMY – ECONOMIC BEN</w:t>
            </w:r>
            <w:r>
              <w:rPr>
                <w:rStyle w:val="Hyperlink"/>
                <w:noProof/>
              </w:rPr>
              <w:t>EFITS FOR THE PEOPLE CONCERNED</w:t>
            </w:r>
            <w:r>
              <w:rPr>
                <w:noProof/>
                <w:webHidden/>
              </w:rPr>
              <w:tab/>
            </w:r>
            <w:r>
              <w:rPr>
                <w:noProof/>
                <w:webHidden/>
              </w:rPr>
              <w:fldChar w:fldCharType="begin"/>
            </w:r>
            <w:r>
              <w:rPr>
                <w:noProof/>
                <w:webHidden/>
              </w:rPr>
              <w:instrText xml:space="preserve"> PAGEREF _Toc516249536 \h </w:instrText>
            </w:r>
            <w:r>
              <w:rPr>
                <w:noProof/>
                <w:webHidden/>
              </w:rPr>
            </w:r>
            <w:r>
              <w:rPr>
                <w:noProof/>
                <w:webHidden/>
              </w:rPr>
              <w:fldChar w:fldCharType="separate"/>
            </w:r>
            <w:r>
              <w:rPr>
                <w:noProof/>
                <w:webHidden/>
              </w:rPr>
              <w:t>13</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37" w:history="1">
            <w:r>
              <w:rPr>
                <w:rStyle w:val="Hyperlink"/>
                <w:rFonts w:eastAsia="Calibri"/>
                <w:noProof/>
              </w:rPr>
              <w:t>3.1</w:t>
            </w:r>
            <w:r>
              <w:rPr>
                <w:rFonts w:eastAsiaTheme="minorEastAsia"/>
                <w:noProof/>
                <w:lang w:bidi="ar-SA"/>
              </w:rPr>
              <w:tab/>
            </w:r>
            <w:r>
              <w:rPr>
                <w:rStyle w:val="Hyperlink"/>
                <w:noProof/>
              </w:rPr>
              <w:t>Overview of the Western Saharan economy and the need to diversity it</w:t>
            </w:r>
            <w:r>
              <w:rPr>
                <w:noProof/>
                <w:webHidden/>
              </w:rPr>
              <w:tab/>
            </w:r>
            <w:r>
              <w:rPr>
                <w:noProof/>
                <w:webHidden/>
              </w:rPr>
              <w:fldChar w:fldCharType="begin"/>
            </w:r>
            <w:r>
              <w:rPr>
                <w:noProof/>
                <w:webHidden/>
              </w:rPr>
              <w:instrText xml:space="preserve"> PAGEREF _Toc516249537 </w:instrText>
            </w:r>
            <w:r>
              <w:rPr>
                <w:noProof/>
                <w:webHidden/>
              </w:rPr>
              <w:instrText xml:space="preserve">\h </w:instrText>
            </w:r>
            <w:r>
              <w:rPr>
                <w:noProof/>
                <w:webHidden/>
              </w:rPr>
            </w:r>
            <w:r>
              <w:rPr>
                <w:noProof/>
                <w:webHidden/>
              </w:rPr>
              <w:fldChar w:fldCharType="separate"/>
            </w:r>
            <w:r>
              <w:rPr>
                <w:noProof/>
                <w:webHidden/>
              </w:rPr>
              <w:t>13</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38" w:history="1">
            <w:r>
              <w:rPr>
                <w:rStyle w:val="Hyperlink"/>
                <w:rFonts w:eastAsia="Calibri"/>
                <w:noProof/>
              </w:rPr>
              <w:t>3.2</w:t>
            </w:r>
            <w:r>
              <w:rPr>
                <w:rFonts w:eastAsiaTheme="minorEastAsia"/>
                <w:noProof/>
                <w:lang w:bidi="ar-SA"/>
              </w:rPr>
              <w:tab/>
            </w:r>
            <w:r>
              <w:rPr>
                <w:rStyle w:val="Hyperlink"/>
                <w:noProof/>
              </w:rPr>
              <w:t>Potential benefits for the main export sectors of the economy</w:t>
            </w:r>
            <w:r>
              <w:rPr>
                <w:noProof/>
                <w:webHidden/>
              </w:rPr>
              <w:tab/>
            </w:r>
            <w:r>
              <w:rPr>
                <w:noProof/>
                <w:webHidden/>
              </w:rPr>
              <w:fldChar w:fldCharType="begin"/>
            </w:r>
            <w:r>
              <w:rPr>
                <w:noProof/>
                <w:webHidden/>
              </w:rPr>
              <w:instrText xml:space="preserve"> PAGEREF _Toc516249538 \h </w:instrText>
            </w:r>
            <w:r>
              <w:rPr>
                <w:noProof/>
                <w:webHidden/>
              </w:rPr>
            </w:r>
            <w:r>
              <w:rPr>
                <w:noProof/>
                <w:webHidden/>
              </w:rPr>
              <w:fldChar w:fldCharType="separate"/>
            </w:r>
            <w:r>
              <w:rPr>
                <w:noProof/>
                <w:webHidden/>
              </w:rPr>
              <w:t>15</w:t>
            </w:r>
            <w:r>
              <w:rPr>
                <w:noProof/>
                <w:webHidden/>
              </w:rPr>
              <w:fldChar w:fldCharType="end"/>
            </w:r>
          </w:hyperlink>
        </w:p>
        <w:p w:rsidR="00010D35" w:rsidRDefault="009E6C92">
          <w:pPr>
            <w:pStyle w:val="TOC3"/>
            <w:tabs>
              <w:tab w:val="left" w:pos="1320"/>
              <w:tab w:val="right" w:leader="dot" w:pos="9061"/>
            </w:tabs>
            <w:rPr>
              <w:rFonts w:eastAsiaTheme="minorEastAsia"/>
              <w:noProof/>
              <w:lang w:bidi="ar-SA"/>
            </w:rPr>
          </w:pPr>
          <w:hyperlink w:anchor="_Toc516249539" w:history="1">
            <w:r>
              <w:rPr>
                <w:rStyle w:val="Hyperlink"/>
                <w:rFonts w:eastAsia="Calibri"/>
                <w:noProof/>
              </w:rPr>
              <w:t>3.2.1</w:t>
            </w:r>
            <w:r>
              <w:rPr>
                <w:rFonts w:eastAsiaTheme="minorEastAsia"/>
                <w:noProof/>
                <w:lang w:bidi="ar-SA"/>
              </w:rPr>
              <w:tab/>
            </w:r>
            <w:r>
              <w:rPr>
                <w:rStyle w:val="Hyperlink"/>
                <w:noProof/>
              </w:rPr>
              <w:t>Agriculture</w:t>
            </w:r>
            <w:r>
              <w:rPr>
                <w:noProof/>
                <w:webHidden/>
              </w:rPr>
              <w:tab/>
            </w:r>
            <w:r>
              <w:rPr>
                <w:noProof/>
                <w:webHidden/>
              </w:rPr>
              <w:fldChar w:fldCharType="begin"/>
            </w:r>
            <w:r>
              <w:rPr>
                <w:noProof/>
                <w:webHidden/>
              </w:rPr>
              <w:instrText xml:space="preserve"> PAGEREF _Toc516249539 \h </w:instrText>
            </w:r>
            <w:r>
              <w:rPr>
                <w:noProof/>
                <w:webHidden/>
              </w:rPr>
            </w:r>
            <w:r>
              <w:rPr>
                <w:noProof/>
                <w:webHidden/>
              </w:rPr>
              <w:fldChar w:fldCharType="separate"/>
            </w:r>
            <w:r>
              <w:rPr>
                <w:noProof/>
                <w:webHidden/>
              </w:rPr>
              <w:t>15</w:t>
            </w:r>
            <w:r>
              <w:rPr>
                <w:noProof/>
                <w:webHidden/>
              </w:rPr>
              <w:fldChar w:fldCharType="end"/>
            </w:r>
          </w:hyperlink>
        </w:p>
        <w:p w:rsidR="00010D35" w:rsidRDefault="009E6C92">
          <w:pPr>
            <w:pStyle w:val="TOC3"/>
            <w:tabs>
              <w:tab w:val="left" w:pos="1320"/>
              <w:tab w:val="right" w:leader="dot" w:pos="9061"/>
            </w:tabs>
            <w:rPr>
              <w:rFonts w:eastAsiaTheme="minorEastAsia"/>
              <w:noProof/>
              <w:lang w:bidi="ar-SA"/>
            </w:rPr>
          </w:pPr>
          <w:hyperlink w:anchor="_Toc516249540" w:history="1">
            <w:r>
              <w:rPr>
                <w:rStyle w:val="Hyperlink"/>
                <w:rFonts w:eastAsia="Calibri"/>
                <w:noProof/>
              </w:rPr>
              <w:t>3.2.2</w:t>
            </w:r>
            <w:r>
              <w:rPr>
                <w:rFonts w:eastAsiaTheme="minorEastAsia"/>
                <w:noProof/>
                <w:lang w:bidi="ar-SA"/>
              </w:rPr>
              <w:tab/>
            </w:r>
            <w:r>
              <w:rPr>
                <w:rStyle w:val="Hyperlink"/>
                <w:noProof/>
              </w:rPr>
              <w:t>Fish</w:t>
            </w:r>
            <w:r>
              <w:rPr>
                <w:rStyle w:val="Hyperlink"/>
                <w:noProof/>
              </w:rPr>
              <w:t>ery products</w:t>
            </w:r>
            <w:r>
              <w:rPr>
                <w:noProof/>
                <w:webHidden/>
              </w:rPr>
              <w:tab/>
            </w:r>
            <w:r>
              <w:rPr>
                <w:noProof/>
                <w:webHidden/>
              </w:rPr>
              <w:fldChar w:fldCharType="begin"/>
            </w:r>
            <w:r>
              <w:rPr>
                <w:noProof/>
                <w:webHidden/>
              </w:rPr>
              <w:instrText xml:space="preserve"> PAGEREF _Toc516249540 \h </w:instrText>
            </w:r>
            <w:r>
              <w:rPr>
                <w:noProof/>
                <w:webHidden/>
              </w:rPr>
            </w:r>
            <w:r>
              <w:rPr>
                <w:noProof/>
                <w:webHidden/>
              </w:rPr>
              <w:fldChar w:fldCharType="separate"/>
            </w:r>
            <w:r>
              <w:rPr>
                <w:noProof/>
                <w:webHidden/>
              </w:rPr>
              <w:t>19</w:t>
            </w:r>
            <w:r>
              <w:rPr>
                <w:noProof/>
                <w:webHidden/>
              </w:rPr>
              <w:fldChar w:fldCharType="end"/>
            </w:r>
          </w:hyperlink>
        </w:p>
        <w:p w:rsidR="00010D35" w:rsidRDefault="009E6C92">
          <w:pPr>
            <w:pStyle w:val="TOC3"/>
            <w:tabs>
              <w:tab w:val="left" w:pos="1320"/>
              <w:tab w:val="right" w:leader="dot" w:pos="9061"/>
            </w:tabs>
            <w:rPr>
              <w:rFonts w:eastAsiaTheme="minorEastAsia"/>
              <w:noProof/>
              <w:lang w:bidi="ar-SA"/>
            </w:rPr>
          </w:pPr>
          <w:hyperlink w:anchor="_Toc516249541" w:history="1">
            <w:r>
              <w:rPr>
                <w:rStyle w:val="Hyperlink"/>
                <w:rFonts w:eastAsia="Calibri"/>
                <w:noProof/>
              </w:rPr>
              <w:t>3.2.3</w:t>
            </w:r>
            <w:r>
              <w:rPr>
                <w:rFonts w:eastAsiaTheme="minorEastAsia"/>
                <w:noProof/>
                <w:lang w:bidi="ar-SA"/>
              </w:rPr>
              <w:tab/>
            </w:r>
            <w:r>
              <w:rPr>
                <w:rStyle w:val="Hyperlink"/>
                <w:noProof/>
              </w:rPr>
              <w:t>Phosphates</w:t>
            </w:r>
            <w:r>
              <w:rPr>
                <w:noProof/>
                <w:webHidden/>
              </w:rPr>
              <w:tab/>
            </w:r>
            <w:r>
              <w:rPr>
                <w:noProof/>
                <w:webHidden/>
              </w:rPr>
              <w:fldChar w:fldCharType="begin"/>
            </w:r>
            <w:r>
              <w:rPr>
                <w:noProof/>
                <w:webHidden/>
              </w:rPr>
              <w:instrText xml:space="preserve"> PAGEREF _Toc516249541 \h </w:instrText>
            </w:r>
            <w:r>
              <w:rPr>
                <w:noProof/>
                <w:webHidden/>
              </w:rPr>
            </w:r>
            <w:r>
              <w:rPr>
                <w:noProof/>
                <w:webHidden/>
              </w:rPr>
              <w:fldChar w:fldCharType="separate"/>
            </w:r>
            <w:r>
              <w:rPr>
                <w:noProof/>
                <w:webHidden/>
              </w:rPr>
              <w:t>24</w:t>
            </w:r>
            <w:r>
              <w:rPr>
                <w:noProof/>
                <w:webHidden/>
              </w:rPr>
              <w:fldChar w:fldCharType="end"/>
            </w:r>
          </w:hyperlink>
        </w:p>
        <w:p w:rsidR="00010D35" w:rsidRDefault="009E6C92">
          <w:pPr>
            <w:pStyle w:val="TOC1"/>
            <w:tabs>
              <w:tab w:val="left" w:pos="440"/>
              <w:tab w:val="right" w:leader="dot" w:pos="9061"/>
            </w:tabs>
            <w:rPr>
              <w:rFonts w:eastAsiaTheme="minorEastAsia"/>
              <w:noProof/>
              <w:lang w:bidi="ar-SA"/>
            </w:rPr>
          </w:pPr>
          <w:hyperlink w:anchor="_Toc516249542" w:history="1">
            <w:r>
              <w:rPr>
                <w:rStyle w:val="Hyperlink"/>
                <w:rFonts w:eastAsia="Calibri"/>
                <w:noProof/>
              </w:rPr>
              <w:t>4</w:t>
            </w:r>
            <w:r>
              <w:rPr>
                <w:rFonts w:eastAsiaTheme="minorEastAsia"/>
                <w:noProof/>
                <w:lang w:bidi="ar-SA"/>
              </w:rPr>
              <w:tab/>
            </w:r>
            <w:r>
              <w:rPr>
                <w:rStyle w:val="Hyperlink"/>
                <w:noProof/>
              </w:rPr>
              <w:t>CONSULTATION OF THE PEOPLE CONCERNED BY THE AMENDMENTS TO PROTOCOLS 1 AND 4 OF THE ASSOCIATION AGREEMENT</w:t>
            </w:r>
            <w:r>
              <w:rPr>
                <w:noProof/>
                <w:webHidden/>
              </w:rPr>
              <w:tab/>
            </w:r>
            <w:r>
              <w:rPr>
                <w:noProof/>
                <w:webHidden/>
              </w:rPr>
              <w:fldChar w:fldCharType="begin"/>
            </w:r>
            <w:r>
              <w:rPr>
                <w:noProof/>
                <w:webHidden/>
              </w:rPr>
              <w:instrText xml:space="preserve"> PAGEREF _Toc516249542 \h </w:instrText>
            </w:r>
            <w:r>
              <w:rPr>
                <w:noProof/>
                <w:webHidden/>
              </w:rPr>
            </w:r>
            <w:r>
              <w:rPr>
                <w:noProof/>
                <w:webHidden/>
              </w:rPr>
              <w:fldChar w:fldCharType="separate"/>
            </w:r>
            <w:r>
              <w:rPr>
                <w:noProof/>
                <w:webHidden/>
              </w:rPr>
              <w:t>28</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43" w:history="1">
            <w:r>
              <w:rPr>
                <w:rStyle w:val="Hyperlink"/>
                <w:rFonts w:eastAsia="Arial Unicode MS"/>
                <w:noProof/>
                <w:u w:color="000000"/>
                <w:bdr w:val="nil"/>
              </w:rPr>
              <w:t>4.1</w:t>
            </w:r>
            <w:r>
              <w:rPr>
                <w:rFonts w:eastAsiaTheme="minorEastAsia"/>
                <w:noProof/>
                <w:lang w:bidi="ar-SA"/>
              </w:rPr>
              <w:tab/>
            </w:r>
            <w:r>
              <w:rPr>
                <w:rStyle w:val="Hyperlink"/>
                <w:noProof/>
              </w:rPr>
              <w:t>Aim and scope of consultation</w:t>
            </w:r>
            <w:r>
              <w:rPr>
                <w:noProof/>
                <w:webHidden/>
              </w:rPr>
              <w:tab/>
            </w:r>
            <w:r>
              <w:rPr>
                <w:noProof/>
                <w:webHidden/>
              </w:rPr>
              <w:fldChar w:fldCharType="begin"/>
            </w:r>
            <w:r>
              <w:rPr>
                <w:noProof/>
                <w:webHidden/>
              </w:rPr>
              <w:instrText xml:space="preserve"> PAGEREF _Toc516249543 \h </w:instrText>
            </w:r>
            <w:r>
              <w:rPr>
                <w:noProof/>
                <w:webHidden/>
              </w:rPr>
            </w:r>
            <w:r>
              <w:rPr>
                <w:noProof/>
                <w:webHidden/>
              </w:rPr>
              <w:fldChar w:fldCharType="separate"/>
            </w:r>
            <w:r>
              <w:rPr>
                <w:noProof/>
                <w:webHidden/>
              </w:rPr>
              <w:t>28</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44" w:history="1">
            <w:r>
              <w:rPr>
                <w:rStyle w:val="Hyperlink"/>
                <w:rFonts w:eastAsia="Arial Unicode MS"/>
                <w:noProof/>
                <w:u w:color="000000"/>
                <w:bdr w:val="nil"/>
              </w:rPr>
              <w:t>4.2</w:t>
            </w:r>
            <w:r>
              <w:rPr>
                <w:rFonts w:eastAsiaTheme="minorEastAsia"/>
                <w:noProof/>
                <w:lang w:bidi="ar-SA"/>
              </w:rPr>
              <w:tab/>
            </w:r>
            <w:r>
              <w:rPr>
                <w:rStyle w:val="Hyperlink"/>
                <w:noProof/>
              </w:rPr>
              <w:t>Main results</w:t>
            </w:r>
            <w:r>
              <w:rPr>
                <w:noProof/>
                <w:webHidden/>
              </w:rPr>
              <w:tab/>
            </w:r>
            <w:r>
              <w:rPr>
                <w:noProof/>
                <w:webHidden/>
              </w:rPr>
              <w:fldChar w:fldCharType="begin"/>
            </w:r>
            <w:r>
              <w:rPr>
                <w:noProof/>
                <w:webHidden/>
              </w:rPr>
              <w:instrText xml:space="preserve"> PAGEREF _Toc516249544 \h </w:instrText>
            </w:r>
            <w:r>
              <w:rPr>
                <w:noProof/>
                <w:webHidden/>
              </w:rPr>
            </w:r>
            <w:r>
              <w:rPr>
                <w:noProof/>
                <w:webHidden/>
              </w:rPr>
              <w:fldChar w:fldCharType="separate"/>
            </w:r>
            <w:r>
              <w:rPr>
                <w:noProof/>
                <w:webHidden/>
              </w:rPr>
              <w:t>28</w:t>
            </w:r>
            <w:r>
              <w:rPr>
                <w:noProof/>
                <w:webHidden/>
              </w:rPr>
              <w:fldChar w:fldCharType="end"/>
            </w:r>
          </w:hyperlink>
        </w:p>
        <w:p w:rsidR="00010D35" w:rsidRDefault="009E6C92">
          <w:pPr>
            <w:pStyle w:val="TOC2"/>
            <w:tabs>
              <w:tab w:val="left" w:pos="880"/>
              <w:tab w:val="right" w:leader="dot" w:pos="9061"/>
            </w:tabs>
            <w:rPr>
              <w:rFonts w:eastAsiaTheme="minorEastAsia"/>
              <w:noProof/>
              <w:lang w:bidi="ar-SA"/>
            </w:rPr>
          </w:pPr>
          <w:hyperlink w:anchor="_Toc516249545" w:history="1">
            <w:r>
              <w:rPr>
                <w:rStyle w:val="Hyperlink"/>
                <w:noProof/>
              </w:rPr>
              <w:t>4.3</w:t>
            </w:r>
            <w:r>
              <w:rPr>
                <w:rFonts w:eastAsiaTheme="minorEastAsia"/>
                <w:noProof/>
                <w:lang w:bidi="ar-SA"/>
              </w:rPr>
              <w:tab/>
            </w:r>
            <w:r>
              <w:rPr>
                <w:rStyle w:val="Hyperlink"/>
                <w:noProof/>
              </w:rPr>
              <w:t>Conclusi</w:t>
            </w:r>
            <w:r>
              <w:rPr>
                <w:rStyle w:val="Hyperlink"/>
                <w:noProof/>
              </w:rPr>
              <w:t>on</w:t>
            </w:r>
            <w:r>
              <w:rPr>
                <w:noProof/>
                <w:webHidden/>
              </w:rPr>
              <w:tab/>
            </w:r>
            <w:r>
              <w:rPr>
                <w:noProof/>
                <w:webHidden/>
              </w:rPr>
              <w:fldChar w:fldCharType="begin"/>
            </w:r>
            <w:r>
              <w:rPr>
                <w:noProof/>
                <w:webHidden/>
              </w:rPr>
              <w:instrText xml:space="preserve"> PAGEREF _Toc516249545 \h </w:instrText>
            </w:r>
            <w:r>
              <w:rPr>
                <w:noProof/>
                <w:webHidden/>
              </w:rPr>
            </w:r>
            <w:r>
              <w:rPr>
                <w:noProof/>
                <w:webHidden/>
              </w:rPr>
              <w:fldChar w:fldCharType="separate"/>
            </w:r>
            <w:r>
              <w:rPr>
                <w:noProof/>
                <w:webHidden/>
              </w:rPr>
              <w:t>31</w:t>
            </w:r>
            <w:r>
              <w:rPr>
                <w:noProof/>
                <w:webHidden/>
              </w:rPr>
              <w:fldChar w:fldCharType="end"/>
            </w:r>
          </w:hyperlink>
        </w:p>
        <w:p w:rsidR="00010D35" w:rsidRDefault="009E6C92">
          <w:pPr>
            <w:pStyle w:val="TOC1"/>
            <w:tabs>
              <w:tab w:val="left" w:pos="440"/>
              <w:tab w:val="right" w:leader="dot" w:pos="9061"/>
            </w:tabs>
            <w:rPr>
              <w:rFonts w:eastAsiaTheme="minorEastAsia"/>
              <w:noProof/>
              <w:lang w:bidi="ar-SA"/>
            </w:rPr>
          </w:pPr>
          <w:hyperlink w:anchor="_Toc516249546" w:history="1">
            <w:r>
              <w:rPr>
                <w:rStyle w:val="Hyperlink"/>
                <w:rFonts w:eastAsia="Calibri"/>
                <w:noProof/>
              </w:rPr>
              <w:t>5</w:t>
            </w:r>
            <w:r>
              <w:rPr>
                <w:rFonts w:eastAsiaTheme="minorEastAsia"/>
                <w:noProof/>
                <w:lang w:bidi="ar-SA"/>
              </w:rPr>
              <w:tab/>
            </w:r>
            <w:r>
              <w:rPr>
                <w:rStyle w:val="Hyperlink"/>
                <w:noProof/>
              </w:rPr>
              <w:t>GENERAL CONCLUSION</w:t>
            </w:r>
            <w:r>
              <w:rPr>
                <w:noProof/>
                <w:webHidden/>
              </w:rPr>
              <w:tab/>
            </w:r>
            <w:r>
              <w:rPr>
                <w:noProof/>
                <w:webHidden/>
              </w:rPr>
              <w:fldChar w:fldCharType="begin"/>
            </w:r>
            <w:r>
              <w:rPr>
                <w:noProof/>
                <w:webHidden/>
              </w:rPr>
              <w:instrText xml:space="preserve"> PAGEREF _Toc516249546 \h </w:instrText>
            </w:r>
            <w:r>
              <w:rPr>
                <w:noProof/>
                <w:webHidden/>
              </w:rPr>
            </w:r>
            <w:r>
              <w:rPr>
                <w:noProof/>
                <w:webHidden/>
              </w:rPr>
              <w:fldChar w:fldCharType="separate"/>
            </w:r>
            <w:r>
              <w:rPr>
                <w:noProof/>
                <w:webHidden/>
              </w:rPr>
              <w:t>32</w:t>
            </w:r>
            <w:r>
              <w:rPr>
                <w:noProof/>
                <w:webHidden/>
              </w:rPr>
              <w:fldChar w:fldCharType="end"/>
            </w:r>
          </w:hyperlink>
        </w:p>
        <w:p w:rsidR="00010D35" w:rsidRDefault="009E6C92">
          <w:pPr>
            <w:pStyle w:val="TOC2"/>
            <w:tabs>
              <w:tab w:val="right" w:leader="dot" w:pos="9061"/>
            </w:tabs>
            <w:rPr>
              <w:rFonts w:eastAsiaTheme="minorEastAsia"/>
              <w:noProof/>
              <w:lang w:bidi="ar-SA"/>
            </w:rPr>
          </w:pPr>
          <w:hyperlink w:anchor="_Toc516249547" w:history="1">
            <w:r>
              <w:rPr>
                <w:rStyle w:val="Hyperlink"/>
                <w:noProof/>
              </w:rPr>
              <w:t>Annex</w:t>
            </w:r>
            <w:r>
              <w:rPr>
                <w:noProof/>
                <w:webHidden/>
              </w:rPr>
              <w:tab/>
            </w:r>
            <w:r>
              <w:rPr>
                <w:noProof/>
                <w:webHidden/>
              </w:rPr>
              <w:fldChar w:fldCharType="begin"/>
            </w:r>
            <w:r>
              <w:rPr>
                <w:noProof/>
                <w:webHidden/>
              </w:rPr>
              <w:instrText xml:space="preserve"> PAGEREF _Toc516249547 \h </w:instrText>
            </w:r>
            <w:r>
              <w:rPr>
                <w:noProof/>
                <w:webHidden/>
              </w:rPr>
            </w:r>
            <w:r>
              <w:rPr>
                <w:noProof/>
                <w:webHidden/>
              </w:rPr>
              <w:fldChar w:fldCharType="separate"/>
            </w:r>
            <w:r>
              <w:rPr>
                <w:noProof/>
                <w:webHidden/>
              </w:rPr>
              <w:t>34</w:t>
            </w:r>
            <w:r>
              <w:rPr>
                <w:noProof/>
                <w:webHidden/>
              </w:rPr>
              <w:fldChar w:fldCharType="end"/>
            </w:r>
          </w:hyperlink>
        </w:p>
        <w:p w:rsidR="00010D35" w:rsidRDefault="009E6C92">
          <w:pPr>
            <w:pStyle w:val="TOC1"/>
            <w:tabs>
              <w:tab w:val="left" w:pos="440"/>
              <w:tab w:val="right" w:leader="dot" w:pos="9061"/>
            </w:tabs>
            <w:rPr>
              <w:rFonts w:eastAsiaTheme="minorEastAsia"/>
              <w:noProof/>
              <w:lang w:bidi="ar-SA"/>
            </w:rPr>
          </w:pPr>
          <w:hyperlink w:anchor="_Toc516249548" w:history="1">
            <w:r>
              <w:rPr>
                <w:rStyle w:val="Hyperlink"/>
                <w:rFonts w:ascii="Symbol" w:eastAsia="Calibri" w:hAnsi="Symbol" w:cs="Times New Roman"/>
                <w:smallCaps/>
                <w:noProof/>
              </w:rPr>
              <w:t></w:t>
            </w:r>
            <w:r>
              <w:rPr>
                <w:rFonts w:eastAsiaTheme="minorEastAsia"/>
                <w:noProof/>
                <w:lang w:bidi="ar-SA"/>
              </w:rPr>
              <w:tab/>
            </w:r>
            <w:r>
              <w:rPr>
                <w:rStyle w:val="Hyperlink"/>
                <w:rFonts w:ascii="Arial" w:hAnsi="Arial"/>
                <w:noProof/>
                <w:u w:color="000000"/>
                <w:bdr w:val="nil"/>
              </w:rPr>
              <w:t xml:space="preserve">Delegation of 85 associations jointly signing a letter to the European Commission and the </w:t>
            </w:r>
            <w:r>
              <w:rPr>
                <w:rStyle w:val="Hyperlink"/>
                <w:rFonts w:ascii="Arial" w:hAnsi="Arial"/>
                <w:noProof/>
                <w:u w:color="000000"/>
                <w:bdr w:val="nil"/>
              </w:rPr>
              <w:t>EEAS on 3 February 2018 on amending the Protocols</w:t>
            </w:r>
            <w:r>
              <w:rPr>
                <w:noProof/>
                <w:webHidden/>
              </w:rPr>
              <w:tab/>
            </w:r>
            <w:r>
              <w:rPr>
                <w:noProof/>
                <w:webHidden/>
              </w:rPr>
              <w:fldChar w:fldCharType="begin"/>
            </w:r>
            <w:r>
              <w:rPr>
                <w:noProof/>
                <w:webHidden/>
              </w:rPr>
              <w:instrText xml:space="preserve"> PAGEREF _Toc516249548 \h </w:instrText>
            </w:r>
            <w:r>
              <w:rPr>
                <w:noProof/>
                <w:webHidden/>
              </w:rPr>
            </w:r>
            <w:r>
              <w:rPr>
                <w:noProof/>
                <w:webHidden/>
              </w:rPr>
              <w:fldChar w:fldCharType="separate"/>
            </w:r>
            <w:r>
              <w:rPr>
                <w:noProof/>
                <w:webHidden/>
              </w:rPr>
              <w:t>34</w:t>
            </w:r>
            <w:r>
              <w:rPr>
                <w:noProof/>
                <w:webHidden/>
              </w:rPr>
              <w:fldChar w:fldCharType="end"/>
            </w:r>
          </w:hyperlink>
        </w:p>
        <w:p w:rsidR="00010D35" w:rsidRDefault="009E6C92">
          <w:pPr>
            <w:pStyle w:val="TOC1"/>
            <w:tabs>
              <w:tab w:val="left" w:pos="440"/>
              <w:tab w:val="right" w:leader="dot" w:pos="9061"/>
            </w:tabs>
            <w:rPr>
              <w:rFonts w:eastAsiaTheme="minorEastAsia"/>
              <w:noProof/>
            </w:rPr>
          </w:pPr>
          <w:r>
            <w:rPr>
              <w:rFonts w:eastAsiaTheme="minorEastAsia"/>
              <w:noProof/>
            </w:rPr>
            <w:fldChar w:fldCharType="end"/>
          </w:r>
        </w:p>
      </w:sdtContent>
    </w:sdt>
    <w:p w:rsidR="00010D35" w:rsidRDefault="009E6C92">
      <w:pPr>
        <w:rPr>
          <w:rFonts w:ascii="Times New Roman" w:eastAsia="Calibri" w:hAnsi="Times New Roman" w:cs="Times New Roman"/>
          <w:b/>
          <w:smallCaps/>
          <w:noProof/>
          <w:sz w:val="24"/>
        </w:rPr>
      </w:pPr>
      <w:r>
        <w:rPr>
          <w:noProof/>
        </w:rPr>
        <w:br w:type="page"/>
      </w:r>
    </w:p>
    <w:p w:rsidR="00010D35" w:rsidRDefault="009E6C92">
      <w:pPr>
        <w:pStyle w:val="Heading1"/>
        <w:rPr>
          <w:rFonts w:eastAsia="Calibri"/>
          <w:noProof/>
        </w:rPr>
      </w:pPr>
      <w:bookmarkStart w:id="2" w:name="_Toc514257455"/>
      <w:bookmarkStart w:id="3" w:name="_Toc516249526"/>
      <w:r>
        <w:rPr>
          <w:noProof/>
        </w:rPr>
        <w:t>INTRODUCTION</w:t>
      </w:r>
      <w:bookmarkEnd w:id="2"/>
      <w:bookmarkEnd w:id="3"/>
    </w:p>
    <w:p w:rsidR="00010D35" w:rsidRDefault="009E6C92">
      <w:pPr>
        <w:pStyle w:val="Heading2"/>
        <w:rPr>
          <w:rFonts w:eastAsia="Arial Unicode MS"/>
          <w:noProof/>
        </w:rPr>
      </w:pPr>
      <w:bookmarkStart w:id="4" w:name="_Toc511381539"/>
      <w:bookmarkStart w:id="5" w:name="_Toc514257456"/>
      <w:bookmarkStart w:id="6" w:name="_Toc516249527"/>
      <w:r>
        <w:rPr>
          <w:noProof/>
        </w:rPr>
        <w:t>Background</w:t>
      </w:r>
      <w:bookmarkEnd w:id="4"/>
      <w:bookmarkEnd w:id="5"/>
      <w:bookmarkEnd w:id="6"/>
    </w:p>
    <w:p w:rsidR="00010D35" w:rsidRDefault="00010D35">
      <w:pPr>
        <w:widowControl w:val="0"/>
        <w:spacing w:after="0" w:line="240" w:lineRule="auto"/>
        <w:jc w:val="both"/>
        <w:rPr>
          <w:rFonts w:ascii="Times New Roman" w:eastAsia="Arial Unicode MS" w:hAnsi="Times New Roman" w:cs="Times New Roman"/>
          <w:noProof/>
          <w:color w:val="000000" w:themeColor="text1"/>
          <w:sz w:val="24"/>
        </w:rPr>
      </w:pPr>
    </w:p>
    <w:p w:rsidR="00010D35" w:rsidRDefault="009E6C92">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Western Sahara is a territory in northwestern Africa bordering Morocco, Alge</w:t>
      </w:r>
      <w:r>
        <w:rPr>
          <w:rFonts w:ascii="Times New Roman" w:hAnsi="Times New Roman"/>
          <w:noProof/>
          <w:color w:val="000000" w:themeColor="text1"/>
          <w:sz w:val="24"/>
        </w:rPr>
        <w:t>ria and Mauritania. It was under Spanish administration until 1976. On 14 December 1960, the UN General Assembly adopted Resolution 1514 (XV) on the Granting of Independence to Colonial Countries and Peoples. In 1963, at the request of the Kingdom of Moroc</w:t>
      </w:r>
      <w:r>
        <w:rPr>
          <w:rFonts w:ascii="Times New Roman" w:hAnsi="Times New Roman"/>
          <w:noProof/>
          <w:color w:val="000000" w:themeColor="text1"/>
          <w:sz w:val="24"/>
        </w:rPr>
        <w:t>co and in response to information sent by the Kingdom of Spain under Article 73(e) of the UN Charter, the UN added Western Sahara to its list of non-self-governing territories. It remains on that list today.</w:t>
      </w:r>
    </w:p>
    <w:p w:rsidR="00010D35" w:rsidRDefault="00010D35">
      <w:pPr>
        <w:widowControl w:val="0"/>
        <w:spacing w:after="0" w:line="240" w:lineRule="auto"/>
        <w:jc w:val="both"/>
        <w:rPr>
          <w:rFonts w:ascii="Times New Roman" w:eastAsia="Arial Unicode MS" w:hAnsi="Times New Roman" w:cs="Times New Roman"/>
          <w:noProof/>
          <w:color w:val="000000" w:themeColor="text1"/>
          <w:sz w:val="24"/>
        </w:rPr>
      </w:pPr>
    </w:p>
    <w:p w:rsidR="00010D35" w:rsidRDefault="009E6C92">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 xml:space="preserve">Both the Kingdom of Morocco and the Popular </w:t>
      </w:r>
      <w:r>
        <w:rPr>
          <w:rFonts w:ascii="Times New Roman" w:hAnsi="Times New Roman"/>
          <w:noProof/>
          <w:color w:val="000000" w:themeColor="text1"/>
          <w:sz w:val="24"/>
        </w:rPr>
        <w:t>Front for the Liberation of Saguía el-Hamra and Río de Oro (the Polisario Front) claim the territory; the UN has long been working towards a peaceful resolution of the dispute. The EU and its Member States have refrained from intervening or taking sides in</w:t>
      </w:r>
      <w:r>
        <w:rPr>
          <w:rFonts w:ascii="Times New Roman" w:hAnsi="Times New Roman"/>
          <w:noProof/>
          <w:color w:val="000000" w:themeColor="text1"/>
          <w:sz w:val="24"/>
        </w:rPr>
        <w:t xml:space="preserve"> the dispute and will, as appropriate, accept any solution decided in accordance with international law, under the auspices of the UN. They do not recognise Moroccan sovereignty over Western Sahara, but support efforts by the UN Secretary-General to bring </w:t>
      </w:r>
      <w:r>
        <w:rPr>
          <w:rFonts w:ascii="Times New Roman" w:hAnsi="Times New Roman"/>
          <w:noProof/>
          <w:color w:val="000000" w:themeColor="text1"/>
          <w:sz w:val="24"/>
        </w:rPr>
        <w:t>about a just, lasting and mutually acceptable solution which will allow self-determination for the people of Western Sahara.</w:t>
      </w:r>
    </w:p>
    <w:p w:rsidR="00010D35" w:rsidRDefault="00010D35">
      <w:pPr>
        <w:widowControl w:val="0"/>
        <w:spacing w:after="0" w:line="240" w:lineRule="auto"/>
        <w:jc w:val="both"/>
        <w:rPr>
          <w:rFonts w:ascii="Times New Roman" w:eastAsia="Arial Unicode MS" w:hAnsi="Times New Roman" w:cs="Times New Roman"/>
          <w:noProof/>
          <w:color w:val="000000" w:themeColor="text1"/>
          <w:sz w:val="24"/>
        </w:rPr>
      </w:pPr>
    </w:p>
    <w:p w:rsidR="00010D35" w:rsidRDefault="009E6C92">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 xml:space="preserve">Ever since Spain left in 1976, no statistics have been sent to the UN on economic, social or education conditions in the </w:t>
      </w:r>
      <w:r>
        <w:rPr>
          <w:rFonts w:ascii="Times New Roman" w:hAnsi="Times New Roman"/>
          <w:noProof/>
          <w:color w:val="000000" w:themeColor="text1"/>
          <w:sz w:val="24"/>
        </w:rPr>
        <w:t>territory.</w:t>
      </w:r>
    </w:p>
    <w:p w:rsidR="00010D35" w:rsidRDefault="00010D35">
      <w:pPr>
        <w:widowControl w:val="0"/>
        <w:spacing w:after="0" w:line="240" w:lineRule="auto"/>
        <w:jc w:val="both"/>
        <w:rPr>
          <w:rFonts w:ascii="Times New Roman" w:eastAsia="Arial Unicode MS" w:hAnsi="Times New Roman" w:cs="Times New Roman"/>
          <w:noProof/>
          <w:color w:val="000000" w:themeColor="text1"/>
          <w:sz w:val="24"/>
        </w:rPr>
      </w:pPr>
    </w:p>
    <w:p w:rsidR="00010D35" w:rsidRDefault="009E6C92">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Most of the territory is currently controlled by the Kingdom of Morocco, with the Polisario Front controlling a smaller, sparsely populated area in the east. The area controlled by the Polisario Front and the area controlled by the Kingdom of M</w:t>
      </w:r>
      <w:r>
        <w:rPr>
          <w:rFonts w:ascii="Times New Roman" w:hAnsi="Times New Roman"/>
          <w:noProof/>
          <w:color w:val="000000" w:themeColor="text1"/>
          <w:sz w:val="24"/>
        </w:rPr>
        <w:t>orocco are divided by a wall of sand, built by Morocco and guarded by the Moroccan military. Many refugees from Western Sahara live in camps run by the Polisario Front in Algeria, near Western Sahara</w:t>
      </w:r>
      <w:r>
        <w:rPr>
          <w:rStyle w:val="FootnoteReference"/>
          <w:rFonts w:ascii="Times New Roman" w:hAnsi="Times New Roman"/>
          <w:noProof/>
          <w:color w:val="000000" w:themeColor="text1"/>
          <w:sz w:val="24"/>
        </w:rPr>
        <w:footnoteReference w:id="2"/>
      </w:r>
      <w:r>
        <w:rPr>
          <w:rFonts w:ascii="Times New Roman" w:hAnsi="Times New Roman"/>
          <w:noProof/>
          <w:color w:val="000000" w:themeColor="text1"/>
          <w:sz w:val="24"/>
        </w:rPr>
        <w:t>.</w:t>
      </w:r>
    </w:p>
    <w:p w:rsidR="00010D35" w:rsidRDefault="00010D35">
      <w:pPr>
        <w:widowControl w:val="0"/>
        <w:spacing w:after="0" w:line="240" w:lineRule="auto"/>
        <w:jc w:val="both"/>
        <w:rPr>
          <w:rFonts w:ascii="Times New Roman" w:eastAsia="Arial Unicode MS" w:hAnsi="Times New Roman" w:cs="Times New Roman"/>
          <w:noProof/>
          <w:color w:val="000000" w:themeColor="text1"/>
          <w:sz w:val="24"/>
        </w:rPr>
      </w:pPr>
    </w:p>
    <w:p w:rsidR="00010D35" w:rsidRDefault="009E6C92">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Ever since Spain ended its presence and Mauritania wi</w:t>
      </w:r>
      <w:r>
        <w:rPr>
          <w:rFonts w:ascii="Times New Roman" w:hAnsi="Times New Roman"/>
          <w:noProof/>
          <w:color w:val="000000" w:themeColor="text1"/>
          <w:sz w:val="24"/>
        </w:rPr>
        <w:t>thdrew, the Kingdom of Morocco has exercised sole de facto administration over the part of Western Sahara under its control. The Kingdom of Morocco regards Western Sahara as part of its territory. The EU regards Morocco as administering the non-self-govern</w:t>
      </w:r>
      <w:r>
        <w:rPr>
          <w:rFonts w:ascii="Times New Roman" w:hAnsi="Times New Roman"/>
          <w:noProof/>
          <w:color w:val="000000" w:themeColor="text1"/>
          <w:sz w:val="24"/>
        </w:rPr>
        <w:t>ing territory.</w:t>
      </w:r>
    </w:p>
    <w:p w:rsidR="00010D35" w:rsidRDefault="00010D35">
      <w:pPr>
        <w:widowControl w:val="0"/>
        <w:spacing w:after="0" w:line="240" w:lineRule="auto"/>
        <w:jc w:val="both"/>
        <w:rPr>
          <w:rFonts w:ascii="Times New Roman" w:eastAsia="Arial Unicode MS" w:hAnsi="Times New Roman" w:cs="Times New Roman"/>
          <w:noProof/>
          <w:color w:val="000000" w:themeColor="text1"/>
          <w:sz w:val="24"/>
        </w:rPr>
      </w:pPr>
    </w:p>
    <w:p w:rsidR="00010D35" w:rsidRDefault="009E6C92">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This report uses the term ‘Western Sahara’ to refer to the part of the territory administered de facto by Morocco.</w:t>
      </w:r>
    </w:p>
    <w:p w:rsidR="00010D35" w:rsidRDefault="00010D35">
      <w:pPr>
        <w:widowControl w:val="0"/>
        <w:spacing w:after="0" w:line="240" w:lineRule="auto"/>
        <w:jc w:val="both"/>
        <w:rPr>
          <w:rFonts w:ascii="Times New Roman" w:hAnsi="Times New Roman"/>
          <w:noProof/>
          <w:color w:val="000000" w:themeColor="text1"/>
          <w:sz w:val="24"/>
        </w:rPr>
      </w:pPr>
    </w:p>
    <w:p w:rsidR="00010D35" w:rsidRDefault="009E6C92">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 xml:space="preserve">After the entry into force of the Euro-Mediterranean Agreement establishing an association between the European Communities </w:t>
      </w:r>
      <w:r>
        <w:rPr>
          <w:rFonts w:ascii="Times New Roman" w:hAnsi="Times New Roman"/>
          <w:noProof/>
          <w:color w:val="000000" w:themeColor="text1"/>
          <w:sz w:val="24"/>
        </w:rPr>
        <w:t>and their Member States, of the one part, and the Kingdom of Morocco, of the other part</w:t>
      </w:r>
      <w:r>
        <w:rPr>
          <w:rFonts w:ascii="Times New Roman" w:hAnsi="Times New Roman"/>
          <w:noProof/>
          <w:color w:val="000000" w:themeColor="text1"/>
          <w:sz w:val="24"/>
          <w:vertAlign w:val="superscript"/>
        </w:rPr>
        <w:footnoteReference w:id="3"/>
      </w:r>
      <w:r>
        <w:rPr>
          <w:rFonts w:ascii="Times New Roman" w:hAnsi="Times New Roman"/>
          <w:noProof/>
          <w:color w:val="000000" w:themeColor="text1"/>
          <w:sz w:val="24"/>
        </w:rPr>
        <w:t xml:space="preserve"> (the ‘EU-Morocco Association Agreement’), products from Western Sahara benefited de facto from the tariff preferences established in the Association Agreement, as they</w:t>
      </w:r>
      <w:r>
        <w:rPr>
          <w:rFonts w:ascii="Times New Roman" w:hAnsi="Times New Roman"/>
          <w:noProof/>
          <w:color w:val="000000" w:themeColor="text1"/>
          <w:sz w:val="24"/>
        </w:rPr>
        <w:t xml:space="preserve"> were certified by Morocco as being of Moroccan preferential origin. However, in its judgment of 21 December 2016 in case C-104/16 P</w:t>
      </w:r>
      <w:r>
        <w:rPr>
          <w:rFonts w:ascii="Times New Roman" w:hAnsi="Times New Roman"/>
          <w:noProof/>
          <w:color w:val="000000" w:themeColor="text1"/>
          <w:sz w:val="24"/>
          <w:vertAlign w:val="superscript"/>
        </w:rPr>
        <w:footnoteReference w:id="4"/>
      </w:r>
      <w:r>
        <w:rPr>
          <w:rFonts w:ascii="Times New Roman" w:hAnsi="Times New Roman"/>
          <w:noProof/>
          <w:color w:val="000000" w:themeColor="text1"/>
          <w:sz w:val="24"/>
        </w:rPr>
        <w:t xml:space="preserve">, the European Court of Justice (ECJ) ruled that the Agreement applied only to the territory of the Kingdom of Morocco and </w:t>
      </w:r>
      <w:r>
        <w:rPr>
          <w:rFonts w:ascii="Times New Roman" w:hAnsi="Times New Roman"/>
          <w:noProof/>
          <w:color w:val="000000" w:themeColor="text1"/>
          <w:sz w:val="24"/>
        </w:rPr>
        <w:t>not to the non-self-governing territory of Western Sahara</w:t>
      </w:r>
      <w:r>
        <w:rPr>
          <w:rStyle w:val="FootnoteReference"/>
          <w:rFonts w:ascii="Times New Roman" w:hAnsi="Times New Roman"/>
          <w:noProof/>
          <w:color w:val="000000" w:themeColor="text1"/>
          <w:sz w:val="24"/>
        </w:rPr>
        <w:footnoteReference w:id="5"/>
      </w:r>
      <w:r>
        <w:rPr>
          <w:rFonts w:ascii="Times New Roman" w:hAnsi="Times New Roman"/>
          <w:noProof/>
          <w:color w:val="000000" w:themeColor="text1"/>
          <w:sz w:val="24"/>
        </w:rPr>
        <w:t xml:space="preserve">. After that judgment, the EU immediately stopped granting the above tariff preferences; those preferences can be restored only if the relevant provisions of Protocol 1 (access to the EU market for </w:t>
      </w:r>
      <w:r>
        <w:rPr>
          <w:rFonts w:ascii="Times New Roman" w:hAnsi="Times New Roman"/>
          <w:noProof/>
          <w:color w:val="000000" w:themeColor="text1"/>
          <w:sz w:val="24"/>
        </w:rPr>
        <w:t>agricultural products, processed agricultural products and fish and fishery products) and Protocol 4 (rules of origin) are amended, clearly establishing the principle that products from Western Sahara may enjoy the same treatment as products from Morocco.</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Therefore, on 29 May 2017, the Council authorised the Commission, in the form of an Exchange of Letters, to negotiate an international agreement on behalf of the EU to amend the Association Agreement as necessary. But the Council attached two conditions t</w:t>
      </w:r>
      <w:r>
        <w:rPr>
          <w:rFonts w:ascii="Times New Roman" w:hAnsi="Times New Roman"/>
          <w:noProof/>
          <w:color w:val="000000" w:themeColor="text1"/>
          <w:sz w:val="24"/>
        </w:rPr>
        <w:t>o that authorisation: First, before the new Agreement is signed, the Commission must have evaluated its potential impact on sustainable growth in Western Sahara, considering in particular its advantages for local people and the impact of natural resource u</w:t>
      </w:r>
      <w:r>
        <w:rPr>
          <w:rFonts w:ascii="Times New Roman" w:hAnsi="Times New Roman"/>
          <w:noProof/>
          <w:color w:val="000000" w:themeColor="text1"/>
          <w:sz w:val="24"/>
        </w:rPr>
        <w:t>se on the areas in question. Second, the people concerned by the Agreement must have been adequately involved.</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As the people of Western Sahara have the right to self-determination, it is not for the EU to carry out a local census or decide who to count as</w:t>
      </w:r>
      <w:r>
        <w:rPr>
          <w:rFonts w:ascii="Times New Roman" w:hAnsi="Times New Roman"/>
          <w:noProof/>
          <w:color w:val="000000" w:themeColor="text1"/>
          <w:sz w:val="24"/>
        </w:rPr>
        <w:t xml:space="preserve"> part of the population</w:t>
      </w:r>
      <w:r>
        <w:rPr>
          <w:noProof/>
          <w:vertAlign w:val="superscript"/>
        </w:rPr>
        <w:footnoteReference w:id="6"/>
      </w:r>
      <w:r>
        <w:rPr>
          <w:rFonts w:ascii="Times New Roman" w:hAnsi="Times New Roman"/>
          <w:noProof/>
          <w:color w:val="000000" w:themeColor="text1"/>
          <w:sz w:val="24"/>
        </w:rPr>
        <w:t>; at the same time, UN documents on economic activity in non-self-governing territories also refer to socio</w:t>
      </w:r>
      <w:r>
        <w:rPr>
          <w:rFonts w:ascii="Times New Roman" w:hAnsi="Times New Roman"/>
          <w:noProof/>
          <w:color w:val="000000" w:themeColor="text1"/>
          <w:sz w:val="24"/>
        </w:rPr>
        <w:noBreakHyphen/>
        <w:t>economic benefits for their inhabitants</w:t>
      </w:r>
      <w:r>
        <w:rPr>
          <w:rFonts w:ascii="Times New Roman" w:hAnsi="Times New Roman"/>
          <w:noProof/>
          <w:color w:val="000000" w:themeColor="text1"/>
          <w:sz w:val="24"/>
          <w:vertAlign w:val="superscript"/>
        </w:rPr>
        <w:footnoteReference w:id="7"/>
      </w:r>
      <w:r>
        <w:rPr>
          <w:rFonts w:ascii="Times New Roman" w:hAnsi="Times New Roman"/>
          <w:noProof/>
          <w:color w:val="000000" w:themeColor="text1"/>
          <w:sz w:val="24"/>
        </w:rPr>
        <w:t>. Keeping in mind these differences and the difficulty of assessing the impact of th</w:t>
      </w:r>
      <w:r>
        <w:rPr>
          <w:rFonts w:ascii="Times New Roman" w:hAnsi="Times New Roman"/>
          <w:noProof/>
          <w:color w:val="000000" w:themeColor="text1"/>
          <w:sz w:val="24"/>
        </w:rPr>
        <w:t>e amendment on a people which has yet to be defined, this analysis focuses on the benefits for the population of Western Sahara, as preferences are granted to products from a given territory, with advantages associated mainly with that territory.</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This rep</w:t>
      </w:r>
      <w:r>
        <w:rPr>
          <w:rFonts w:ascii="Times New Roman" w:hAnsi="Times New Roman"/>
          <w:noProof/>
          <w:color w:val="000000" w:themeColor="text1"/>
          <w:sz w:val="24"/>
        </w:rPr>
        <w:t>ort aims to respond to those requests from the Council. It is based on:</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all available statistical data;</w:t>
      </w:r>
    </w:p>
    <w:p w:rsidR="00010D35" w:rsidRDefault="009E6C92">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information exchanged between the EU and Morocco;</w:t>
      </w:r>
    </w:p>
    <w:p w:rsidR="00010D35" w:rsidRDefault="009E6C92">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consultations with a wide range of socio-economic and political actors in Western Sahara, especially </w:t>
      </w:r>
      <w:r>
        <w:rPr>
          <w:rFonts w:ascii="Times New Roman" w:hAnsi="Times New Roman"/>
          <w:noProof/>
          <w:color w:val="000000" w:themeColor="text1"/>
          <w:sz w:val="24"/>
        </w:rPr>
        <w:t xml:space="preserve">through interviews with civil society organisations, Western Saharan MPs, economic operators and representatives of the Polisario Front; </w:t>
      </w:r>
    </w:p>
    <w:p w:rsidR="00010D35" w:rsidRDefault="009E6C92">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observations submitted by the Polisario Front in action T-512/12 and by the Western Sahara Campaign in the national di</w:t>
      </w:r>
      <w:r>
        <w:rPr>
          <w:rFonts w:ascii="Times New Roman" w:hAnsi="Times New Roman"/>
          <w:noProof/>
          <w:color w:val="000000" w:themeColor="text1"/>
          <w:sz w:val="24"/>
        </w:rPr>
        <w:t>spute which led to case C-266/16;</w:t>
      </w:r>
    </w:p>
    <w:p w:rsidR="00010D35" w:rsidRDefault="009E6C92">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annual reports by the UN Secretary-General on the situation in Western Sahara and the website of the UN Mission for the Referendum in Western Sahara</w:t>
      </w:r>
      <w:r>
        <w:rPr>
          <w:rStyle w:val="FootnoteReference"/>
          <w:rFonts w:ascii="Times New Roman" w:hAnsi="Times New Roman"/>
          <w:noProof/>
          <w:color w:val="000000" w:themeColor="text1"/>
          <w:sz w:val="24"/>
        </w:rPr>
        <w:footnoteReference w:id="8"/>
      </w:r>
      <w:r>
        <w:rPr>
          <w:rFonts w:ascii="Times New Roman" w:hAnsi="Times New Roman"/>
          <w:noProof/>
          <w:color w:val="000000" w:themeColor="text1"/>
          <w:sz w:val="24"/>
        </w:rPr>
        <w:t xml:space="preserve">; </w:t>
      </w:r>
    </w:p>
    <w:p w:rsidR="00010D35" w:rsidRDefault="009E6C92">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sz w:val="24"/>
          <w:bdr w:val="nil"/>
        </w:rPr>
        <w:t>information in the public domain.</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The Commission and the EEAS have al</w:t>
      </w:r>
      <w:r>
        <w:rPr>
          <w:rFonts w:ascii="Times New Roman" w:hAnsi="Times New Roman"/>
          <w:noProof/>
          <w:color w:val="000000" w:themeColor="text1"/>
          <w:sz w:val="24"/>
        </w:rPr>
        <w:t>so maintained regular contact with the team of the Personal Envoy of the UN Secretary-General for Western Sahara. The aim has been to ensure that the proposed agreement will support efforts by the UN Secretary-General to achieve a solution providing for se</w:t>
      </w:r>
      <w:r>
        <w:rPr>
          <w:rFonts w:ascii="Times New Roman" w:hAnsi="Times New Roman"/>
          <w:noProof/>
          <w:color w:val="000000" w:themeColor="text1"/>
          <w:sz w:val="24"/>
        </w:rPr>
        <w:t xml:space="preserve">lf-determination for the people of Western Sahara in accordance with the principles and objectives of the UN Charter. </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pStyle w:val="Heading2"/>
        <w:rPr>
          <w:rFonts w:eastAsia="Arial Unicode MS"/>
          <w:noProof/>
        </w:rPr>
      </w:pPr>
      <w:bookmarkStart w:id="7" w:name="_Toc511381540"/>
      <w:bookmarkStart w:id="8" w:name="_Toc514257457"/>
      <w:bookmarkStart w:id="9" w:name="_Toc516249528"/>
      <w:r>
        <w:rPr>
          <w:noProof/>
        </w:rPr>
        <w:t>Scope and method</w:t>
      </w:r>
      <w:bookmarkEnd w:id="7"/>
      <w:bookmarkEnd w:id="8"/>
      <w:bookmarkEnd w:id="9"/>
    </w:p>
    <w:p w:rsidR="00010D35" w:rsidRDefault="00010D35">
      <w:pPr>
        <w:pStyle w:val="ListParagraph"/>
        <w:widowControl w:val="0"/>
        <w:spacing w:after="0" w:line="240" w:lineRule="auto"/>
        <w:ind w:left="780"/>
        <w:jc w:val="both"/>
        <w:rPr>
          <w:rFonts w:ascii="Times New Roman" w:eastAsia="Calibri" w:hAnsi="Times New Roman" w:cs="Times New Roman"/>
          <w:noProof/>
          <w:sz w:val="24"/>
        </w:rPr>
      </w:pPr>
    </w:p>
    <w:p w:rsidR="00010D35" w:rsidRDefault="009E6C92">
      <w:pPr>
        <w:pStyle w:val="Heading3"/>
        <w:rPr>
          <w:rFonts w:eastAsia="Calibri"/>
          <w:noProof/>
        </w:rPr>
      </w:pPr>
      <w:bookmarkStart w:id="10" w:name="_Toc514257458"/>
      <w:bookmarkStart w:id="11" w:name="_Toc516249529"/>
      <w:r>
        <w:rPr>
          <w:noProof/>
        </w:rPr>
        <w:t>Scope</w:t>
      </w:r>
      <w:bookmarkEnd w:id="10"/>
      <w:bookmarkEnd w:id="11"/>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This evaluation aims to determine the benefits for the people of Western Sahara, guided by the parameters in Article 73 of the UN Charter. It will analyse the potential impact of the agreement on sustainable growth in Western Sahara, especially in terms of</w:t>
      </w:r>
      <w:r>
        <w:rPr>
          <w:rFonts w:ascii="Times New Roman" w:hAnsi="Times New Roman"/>
          <w:noProof/>
          <w:sz w:val="24"/>
        </w:rPr>
        <w:t xml:space="preserve"> advantages for the people concerned and the impact of using natural resources in the areas in question. Of course, the real impact on sustainable growth and local people can be assessed only if the granting of tariff preferences has an effect on trade bet</w:t>
      </w:r>
      <w:r>
        <w:rPr>
          <w:rFonts w:ascii="Times New Roman" w:hAnsi="Times New Roman"/>
          <w:noProof/>
          <w:sz w:val="24"/>
        </w:rPr>
        <w:t xml:space="preserve">ween the EU and Western Sahara. The first aspect to consider is the impact of tariff preferences on trade from Western Sahara to the EU.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Only later can the real impact on sustainable growth and local people be considered or assessed, as this question ari</w:t>
      </w:r>
      <w:r>
        <w:rPr>
          <w:rFonts w:ascii="Times New Roman" w:hAnsi="Times New Roman"/>
          <w:noProof/>
          <w:sz w:val="24"/>
        </w:rPr>
        <w:t>ses only if the granting of tariff preferences has an effect on trade between the EU and Western Sahara.</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hAnsi="Times New Roman"/>
          <w:noProof/>
          <w:sz w:val="24"/>
        </w:rPr>
      </w:pPr>
      <w:r>
        <w:rPr>
          <w:rFonts w:ascii="Times New Roman" w:hAnsi="Times New Roman"/>
          <w:noProof/>
          <w:sz w:val="24"/>
        </w:rPr>
        <w:t>Tariff preferences provide for preferential customs duties (zero for most products) to be applied to goods entering the EU, subject to certain conditi</w:t>
      </w:r>
      <w:r>
        <w:rPr>
          <w:rFonts w:ascii="Times New Roman" w:hAnsi="Times New Roman"/>
          <w:noProof/>
          <w:sz w:val="24"/>
        </w:rPr>
        <w:t>ons. The duty applied to goods is determined by three factors: their tariff position in the customs nomenclature</w:t>
      </w:r>
      <w:r>
        <w:rPr>
          <w:rStyle w:val="FootnoteReference"/>
          <w:rFonts w:ascii="Times New Roman" w:hAnsi="Times New Roman"/>
          <w:noProof/>
          <w:sz w:val="24"/>
        </w:rPr>
        <w:footnoteReference w:id="9"/>
      </w:r>
      <w:r>
        <w:rPr>
          <w:rFonts w:ascii="Times New Roman" w:hAnsi="Times New Roman"/>
          <w:noProof/>
          <w:sz w:val="24"/>
        </w:rPr>
        <w:t>; their origin, i.e. their purported country of origin; and, in some cases, their value. Those concepts are examined in detail later in this re</w:t>
      </w:r>
      <w:r>
        <w:rPr>
          <w:rFonts w:ascii="Times New Roman" w:hAnsi="Times New Roman"/>
          <w:noProof/>
          <w:sz w:val="24"/>
        </w:rPr>
        <w:t>port.</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pStyle w:val="Heading3"/>
        <w:rPr>
          <w:noProof/>
        </w:rPr>
      </w:pPr>
      <w:bookmarkStart w:id="12" w:name="_Toc511381541"/>
      <w:bookmarkStart w:id="13" w:name="_Toc514257459"/>
      <w:bookmarkStart w:id="14" w:name="_Toc516249530"/>
      <w:r>
        <w:rPr>
          <w:noProof/>
        </w:rPr>
        <w:t>Methodological constraints</w:t>
      </w:r>
      <w:bookmarkEnd w:id="12"/>
      <w:bookmarkEnd w:id="13"/>
      <w:bookmarkEnd w:id="14"/>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There are various types of methodological constraints, involving:</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the quality of available information; </w:t>
      </w:r>
    </w:p>
    <w:p w:rsidR="00010D35" w:rsidRDefault="009E6C92">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practice following the Court judgment of 21 December 2016;</w:t>
      </w:r>
    </w:p>
    <w:p w:rsidR="00010D35" w:rsidRDefault="009E6C92">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the defined scope of the study;</w:t>
      </w:r>
    </w:p>
    <w:p w:rsidR="00010D35" w:rsidRDefault="009E6C92">
      <w:pPr>
        <w:pStyle w:val="ListParagraph"/>
        <w:widowControl w:val="0"/>
        <w:numPr>
          <w:ilvl w:val="0"/>
          <w:numId w:val="16"/>
        </w:numPr>
        <w:pBdr>
          <w:top w:val="nil"/>
          <w:left w:val="nil"/>
          <w:bottom w:val="nil"/>
          <w:right w:val="nil"/>
          <w:between w:val="nil"/>
          <w:bar w:val="nil"/>
        </w:pBdr>
        <w:spacing w:after="0" w:line="240" w:lineRule="auto"/>
        <w:contextualSpacing w:val="0"/>
        <w:jc w:val="both"/>
        <w:rPr>
          <w:rStyle w:val="None"/>
          <w:rFonts w:ascii="Times New Roman" w:eastAsia="Times New Roman" w:hAnsi="Times New Roman" w:cs="Times New Roman"/>
          <w:noProof/>
          <w:sz w:val="24"/>
          <w:szCs w:val="24"/>
        </w:rPr>
      </w:pPr>
      <w:r>
        <w:rPr>
          <w:rStyle w:val="None"/>
          <w:rFonts w:ascii="Times New Roman" w:hAnsi="Times New Roman"/>
          <w:noProof/>
          <w:sz w:val="24"/>
        </w:rPr>
        <w:t xml:space="preserve">the difficulty for the </w:t>
      </w:r>
      <w:r>
        <w:rPr>
          <w:rStyle w:val="None"/>
          <w:rFonts w:ascii="Times New Roman" w:hAnsi="Times New Roman"/>
          <w:noProof/>
          <w:sz w:val="24"/>
        </w:rPr>
        <w:t>EU as a third party to assess the impact of the agreement, in particular its benefits for the people concerned.</w:t>
      </w:r>
    </w:p>
    <w:p w:rsidR="00010D35" w:rsidRDefault="00010D35">
      <w:pPr>
        <w:pStyle w:val="BodyA"/>
        <w:widowControl w:val="0"/>
        <w:spacing w:after="0" w:line="240" w:lineRule="auto"/>
        <w:jc w:val="both"/>
        <w:rPr>
          <w:rStyle w:val="None"/>
          <w:rFonts w:ascii="Times New Roman" w:eastAsia="Times New Roman" w:hAnsi="Times New Roman" w:cs="Times New Roman"/>
          <w:noProof/>
          <w:sz w:val="24"/>
          <w:szCs w:val="24"/>
        </w:rPr>
      </w:pP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9E6C92">
      <w:pPr>
        <w:widowControl w:val="0"/>
        <w:spacing w:after="0" w:line="240" w:lineRule="auto"/>
        <w:jc w:val="both"/>
        <w:rPr>
          <w:rFonts w:ascii="Times New Roman" w:hAnsi="Times New Roman"/>
          <w:noProof/>
          <w:color w:val="000000" w:themeColor="text1"/>
          <w:sz w:val="24"/>
        </w:rPr>
      </w:pPr>
      <w:r>
        <w:rPr>
          <w:rFonts w:ascii="Times New Roman" w:hAnsi="Times New Roman"/>
          <w:b/>
          <w:i/>
          <w:noProof/>
          <w:color w:val="000000" w:themeColor="text1"/>
          <w:sz w:val="24"/>
        </w:rPr>
        <w:t>Information available</w:t>
      </w:r>
      <w:r>
        <w:rPr>
          <w:rFonts w:ascii="Times New Roman" w:hAnsi="Times New Roman"/>
          <w:noProof/>
          <w:color w:val="000000" w:themeColor="text1"/>
          <w:sz w:val="24"/>
        </w:rPr>
        <w:t xml:space="preserve"> Statistics on Western Sahara generally remain patchy and disparate, due to the territory’s unique political situation. For example, though much information can be found on the websites of various Moroccan institutions (including the Economic, Social and E</w:t>
      </w:r>
      <w:r>
        <w:rPr>
          <w:rFonts w:ascii="Times New Roman" w:hAnsi="Times New Roman"/>
          <w:noProof/>
          <w:color w:val="000000" w:themeColor="text1"/>
          <w:sz w:val="24"/>
        </w:rPr>
        <w:t>nvironmental Council and the High Planning Commission), the territory of Western Sahara does not correspond exactly to the ‘southern provinces’ referred to by the Moroccan authorities in their publications or in information exchanged with the Commission (t</w:t>
      </w:r>
      <w:r>
        <w:rPr>
          <w:rFonts w:ascii="Times New Roman" w:hAnsi="Times New Roman"/>
          <w:noProof/>
          <w:color w:val="000000" w:themeColor="text1"/>
          <w:sz w:val="24"/>
        </w:rPr>
        <w:t xml:space="preserve">he regions of Laâyoune-Sakia el Hamra, Dakhla-Oued ed Dahab and Guelmim-Oued Noun). But that obstacle can be overcome, as this report considers economic activity in the regions of Laâyoune-Sakia el Hamra and Dakhla-Oued ed Dahab. </w:t>
      </w:r>
    </w:p>
    <w:p w:rsidR="00010D35" w:rsidRDefault="00010D35">
      <w:pPr>
        <w:widowControl w:val="0"/>
        <w:spacing w:after="0" w:line="240" w:lineRule="auto"/>
        <w:jc w:val="both"/>
        <w:rPr>
          <w:rFonts w:ascii="Times New Roman" w:eastAsia="Calibri" w:hAnsi="Times New Roman" w:cs="Times New Roman"/>
          <w:noProof/>
          <w:color w:val="000000" w:themeColor="text1"/>
          <w:sz w:val="24"/>
        </w:rPr>
      </w:pP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b/>
          <w:i/>
          <w:noProof/>
          <w:color w:val="000000" w:themeColor="text1"/>
          <w:sz w:val="24"/>
        </w:rPr>
        <w:t xml:space="preserve">Practice following the </w:t>
      </w:r>
      <w:r>
        <w:rPr>
          <w:rFonts w:ascii="Times New Roman" w:hAnsi="Times New Roman"/>
          <w:b/>
          <w:i/>
          <w:noProof/>
          <w:color w:val="000000" w:themeColor="text1"/>
          <w:sz w:val="24"/>
        </w:rPr>
        <w:t>Court judgment of 21 December 2016</w:t>
      </w:r>
      <w:r>
        <w:rPr>
          <w:rFonts w:ascii="Times New Roman" w:hAnsi="Times New Roman"/>
          <w:noProof/>
          <w:color w:val="000000" w:themeColor="text1"/>
          <w:sz w:val="24"/>
        </w:rPr>
        <w:t xml:space="preserve"> </w:t>
      </w:r>
      <w:r>
        <w:rPr>
          <w:rFonts w:ascii="Times New Roman" w:hAnsi="Times New Roman"/>
          <w:noProof/>
          <w:sz w:val="24"/>
        </w:rPr>
        <w:t>The methodological limits on data available to the EU institutions are linked to the practice which was in place until the ECJ judgment of 21 December 2016. As goods from Western Sahara imported to the EU de facto enjoyed</w:t>
      </w:r>
      <w:r>
        <w:rPr>
          <w:rFonts w:ascii="Times New Roman" w:hAnsi="Times New Roman"/>
          <w:noProof/>
          <w:sz w:val="24"/>
        </w:rPr>
        <w:t xml:space="preserve"> the same preferences as goods from Morocco, it is generally impossible to distinguish Moroccan imports from Western Saharan imports using EU statistics on foreign trade (such as the Eurostat Comext database) and therefore to estimate what portion of those</w:t>
      </w:r>
      <w:r>
        <w:rPr>
          <w:rFonts w:ascii="Times New Roman" w:hAnsi="Times New Roman"/>
          <w:noProof/>
          <w:sz w:val="24"/>
        </w:rPr>
        <w:t xml:space="preserve"> imports is from Western Sahara. It is only for fishery products that data from the Commission’s Trade Control and Expert System (Traces) make it possible to estimate what portion is processed in the territory and imported to the EU.</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b/>
          <w:i/>
          <w:noProof/>
          <w:color w:val="000000" w:themeColor="text1"/>
          <w:sz w:val="24"/>
        </w:rPr>
        <w:t>Defining the scope of</w:t>
      </w:r>
      <w:r>
        <w:rPr>
          <w:rFonts w:ascii="Times New Roman" w:hAnsi="Times New Roman"/>
          <w:b/>
          <w:i/>
          <w:noProof/>
          <w:color w:val="000000" w:themeColor="text1"/>
          <w:sz w:val="24"/>
        </w:rPr>
        <w:t xml:space="preserve"> the study</w:t>
      </w:r>
      <w:r>
        <w:rPr>
          <w:rFonts w:ascii="Times New Roman" w:hAnsi="Times New Roman"/>
          <w:noProof/>
          <w:sz w:val="24"/>
        </w:rPr>
        <w:t xml:space="preserve"> The term ‘people concerned’ is liable to different or even divergent interpretations</w:t>
      </w:r>
      <w:r>
        <w:rPr>
          <w:rStyle w:val="FootnoteReference"/>
          <w:rFonts w:ascii="Times New Roman" w:hAnsi="Times New Roman"/>
          <w:noProof/>
          <w:sz w:val="24"/>
        </w:rPr>
        <w:footnoteReference w:id="10"/>
      </w:r>
      <w:r>
        <w:rPr>
          <w:rFonts w:ascii="Times New Roman" w:hAnsi="Times New Roman"/>
          <w:noProof/>
          <w:sz w:val="24"/>
        </w:rPr>
        <w:t>. It can be understood as referring to people living in the territory; this is Morocco’s interpretation, which does not distinguish between inhabitants on the b</w:t>
      </w:r>
      <w:r>
        <w:rPr>
          <w:rFonts w:ascii="Times New Roman" w:hAnsi="Times New Roman"/>
          <w:noProof/>
          <w:sz w:val="24"/>
        </w:rPr>
        <w:t>asis of ethnicity or community. It can also be understood as referring to a specific set of inhabitants, in particular on the basis of ethnicity or community (Sahrawis); in that case, at least some of the people concerned may be living outside of Western S</w:t>
      </w:r>
      <w:r>
        <w:rPr>
          <w:rFonts w:ascii="Times New Roman" w:hAnsi="Times New Roman"/>
          <w:noProof/>
          <w:sz w:val="24"/>
        </w:rPr>
        <w:t>ahara (as refugees), while some newer inhabitants may not be included. This is the interpretation preferred by the Polisario Front. If the people concerned are to be defined on the basis of ethnicity or community, three things should be kept in mind: (1) T</w:t>
      </w:r>
      <w:r>
        <w:rPr>
          <w:rFonts w:ascii="Times New Roman" w:hAnsi="Times New Roman"/>
          <w:noProof/>
          <w:sz w:val="24"/>
        </w:rPr>
        <w:t>he UN Mission for the Referendum in Western Sahara (MINURSO) worked for 13 years, from 1991 to 2004, to determine which people would be allowed to exercise the right to self-determination for the people of Western Sahara, without arriving at a conclusive r</w:t>
      </w:r>
      <w:r>
        <w:rPr>
          <w:rFonts w:ascii="Times New Roman" w:hAnsi="Times New Roman"/>
          <w:noProof/>
          <w:sz w:val="24"/>
        </w:rPr>
        <w:t>esult. (2) People identifying as Sahrawi inhabit an area much larger than Western Sahara including southern Morocco, Mauritania, part of Algeria and sizeable groups in Europe and North America; (3) Sahrawi people, traditionally nomadic, have family ties ex</w:t>
      </w:r>
      <w:r>
        <w:rPr>
          <w:rFonts w:ascii="Times New Roman" w:hAnsi="Times New Roman"/>
          <w:noProof/>
          <w:sz w:val="24"/>
        </w:rPr>
        <w:t>tending beyond the borders of the region. This shows how great the challenge is for the Commission, which has no precise, reliable way of deciding who to include in the (Sahrawi) ‘people concerned’.</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Also, the effect of tariff advantages on natural resourc</w:t>
      </w:r>
      <w:r>
        <w:rPr>
          <w:rFonts w:ascii="Times New Roman" w:hAnsi="Times New Roman"/>
          <w:noProof/>
          <w:sz w:val="24"/>
        </w:rPr>
        <w:t>es, employment and human rights is indirect and therefore quite hard to gauge.</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Though this report has been prepared as objectively as possible, it is limited by natural constraints: On the one hand, the parties to the dispute on Western Sahara and its sta</w:t>
      </w:r>
      <w:r>
        <w:rPr>
          <w:rFonts w:ascii="Times New Roman" w:hAnsi="Times New Roman"/>
          <w:noProof/>
          <w:sz w:val="24"/>
        </w:rPr>
        <w:t>tus have radically diverging positions; on the other hand, there is no independent UN-commissioned analysis of the benefits of international trade agreements for Western Sahara. Moreover, the EU has no competence for or direct means of investigating the te</w:t>
      </w:r>
      <w:r>
        <w:rPr>
          <w:rFonts w:ascii="Times New Roman" w:hAnsi="Times New Roman"/>
          <w:noProof/>
          <w:sz w:val="24"/>
        </w:rPr>
        <w:t xml:space="preserve">rritory of Western Sahara.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In any event, we decided to start by assessing whether the agreement helped trade between Western Sahara and the EU. If so, we wished to gauge its impact on jobs and the use of natural resources. Where possible, we sought to de</w:t>
      </w:r>
      <w:r>
        <w:rPr>
          <w:rFonts w:ascii="Times New Roman" w:hAnsi="Times New Roman"/>
          <w:noProof/>
          <w:sz w:val="24"/>
        </w:rPr>
        <w:t>termine whether that impact could be associated with differences in the background (indigenous or not) of the people.</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So all available data have been used in preparing this study. Though incomplete, that information allows for an approximate estimate of t</w:t>
      </w:r>
      <w:r>
        <w:rPr>
          <w:rFonts w:ascii="Times New Roman" w:hAnsi="Times New Roman"/>
          <w:noProof/>
          <w:sz w:val="24"/>
        </w:rPr>
        <w:t>he impact of extending the trade preferences established in the Association Agreement to exports from Western Sahara or, conversely, the impact of not granting such preferences on the territory’s economy, sustainable growth and the people concerned.</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An ex</w:t>
      </w:r>
      <w:r>
        <w:rPr>
          <w:rFonts w:ascii="Times New Roman" w:hAnsi="Times New Roman"/>
          <w:noProof/>
          <w:sz w:val="24"/>
        </w:rPr>
        <w:t>amination of economic activity in Western Sahara shows that the sectors with the largest volume of exports to the EU are fisheries and agriculture. The potential impact of the Agreement on those sectors is analysed below. Because of its potential, the phos</w:t>
      </w:r>
      <w:r>
        <w:rPr>
          <w:rFonts w:ascii="Times New Roman" w:hAnsi="Times New Roman"/>
          <w:noProof/>
          <w:sz w:val="24"/>
        </w:rPr>
        <w:t>phates sector is analysed as well.</w:t>
      </w:r>
    </w:p>
    <w:p w:rsidR="00010D35" w:rsidRDefault="00010D35">
      <w:pPr>
        <w:widowControl w:val="0"/>
        <w:spacing w:after="0" w:line="240" w:lineRule="auto"/>
        <w:rPr>
          <w:rFonts w:ascii="Times New Roman" w:eastAsia="Calibri" w:hAnsi="Times New Roman" w:cs="Times New Roman"/>
          <w:b/>
          <w:smallCaps/>
          <w:noProof/>
          <w:sz w:val="24"/>
        </w:rPr>
      </w:pPr>
    </w:p>
    <w:p w:rsidR="00010D35" w:rsidRDefault="009E6C92">
      <w:pPr>
        <w:pStyle w:val="Heading2"/>
        <w:rPr>
          <w:rFonts w:eastAsia="Calibri"/>
          <w:noProof/>
        </w:rPr>
      </w:pPr>
      <w:bookmarkStart w:id="15" w:name="_Toc514257460"/>
      <w:bookmarkStart w:id="16" w:name="_Toc516249531"/>
      <w:r>
        <w:rPr>
          <w:noProof/>
        </w:rPr>
        <w:t>Consulting the people</w:t>
      </w:r>
      <w:bookmarkEnd w:id="15"/>
      <w:r>
        <w:rPr>
          <w:noProof/>
        </w:rPr>
        <w:t xml:space="preserve"> concerned</w:t>
      </w:r>
      <w:bookmarkEnd w:id="16"/>
    </w:p>
    <w:p w:rsidR="00010D35" w:rsidRDefault="00010D35">
      <w:pPr>
        <w:rPr>
          <w:noProof/>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One of the aims of the negotiation was to fulfil the condition that ‘the people concerned by the agreement have been adequately involved’ in preparing to amend Protocols 1 and 4 of the </w:t>
      </w:r>
      <w:r>
        <w:rPr>
          <w:rFonts w:ascii="Times New Roman" w:hAnsi="Times New Roman"/>
          <w:noProof/>
          <w:sz w:val="24"/>
        </w:rPr>
        <w:t>Association Agreement. With no other way of directly consulting people in Western Sahara, the Commission and the EEAS consulted a broad range of Sahrawi civil society organisations, MPs, economic operators and other organisations, including the Polisario F</w:t>
      </w:r>
      <w:r>
        <w:rPr>
          <w:rFonts w:ascii="Times New Roman" w:hAnsi="Times New Roman"/>
          <w:noProof/>
          <w:sz w:val="24"/>
        </w:rPr>
        <w:t>ront. Most of those organisations and associations, including the Polisario Front, shared their views with us; a few declined to do so. The main aim of the consultation was to exchange views and comments on the potential benefits for the people and the eco</w:t>
      </w:r>
      <w:r>
        <w:rPr>
          <w:rFonts w:ascii="Times New Roman" w:hAnsi="Times New Roman"/>
          <w:noProof/>
          <w:sz w:val="24"/>
        </w:rPr>
        <w:t>nomy of Western Sahara of extending the preferential treatment granted to Moroccan products to products imported from Western Sahara to the EU.</w:t>
      </w:r>
    </w:p>
    <w:p w:rsidR="00010D35" w:rsidRDefault="009E6C92">
      <w:pPr>
        <w:pStyle w:val="Heading1"/>
        <w:rPr>
          <w:noProof/>
        </w:rPr>
      </w:pPr>
      <w:bookmarkStart w:id="17" w:name="_Toc514257461"/>
      <w:bookmarkStart w:id="18" w:name="_Toc516249532"/>
      <w:r>
        <w:rPr>
          <w:rStyle w:val="Heading1Char"/>
          <w:b/>
          <w:noProof/>
        </w:rPr>
        <w:t>HUMAN RIGHTS IN WESTERN SAHARA</w:t>
      </w:r>
      <w:bookmarkEnd w:id="17"/>
      <w:bookmarkEnd w:id="18"/>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keepNext/>
        <w:keepLines/>
        <w:numPr>
          <w:ilvl w:val="1"/>
          <w:numId w:val="23"/>
        </w:numPr>
        <w:spacing w:before="200" w:after="0"/>
        <w:outlineLvl w:val="1"/>
        <w:rPr>
          <w:rFonts w:asciiTheme="majorHAnsi" w:eastAsia="Times New Roman" w:hAnsiTheme="majorHAnsi" w:cstheme="majorBidi"/>
          <w:b/>
          <w:bCs/>
          <w:noProof/>
          <w:color w:val="4F81BD" w:themeColor="accent1"/>
          <w:sz w:val="26"/>
          <w:szCs w:val="26"/>
        </w:rPr>
      </w:pPr>
      <w:bookmarkStart w:id="19" w:name="_Toc514257462"/>
      <w:bookmarkStart w:id="20" w:name="_Toc516249533"/>
      <w:r>
        <w:rPr>
          <w:rFonts w:asciiTheme="majorHAnsi" w:hAnsiTheme="majorHAnsi" w:cstheme="majorBidi"/>
          <w:b/>
          <w:noProof/>
          <w:color w:val="4F81BD" w:themeColor="accent1"/>
          <w:sz w:val="26"/>
        </w:rPr>
        <w:t>The human rights situation in Western Sahara</w:t>
      </w:r>
      <w:bookmarkEnd w:id="19"/>
      <w:bookmarkEnd w:id="20"/>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human rights situation in Western Sahara is generally similar to that in Morocco. Mechanisms and laws ensuring protection are the same. However, there are some differences in Western Sahara because of the political dispute, especially in freedom of exp</w:t>
      </w:r>
      <w:r>
        <w:rPr>
          <w:rFonts w:ascii="Times New Roman" w:hAnsi="Times New Roman"/>
          <w:noProof/>
          <w:sz w:val="24"/>
        </w:rPr>
        <w:t xml:space="preserve">ression, freedom of demonstration and freedom of association. Any ‘threat to territorial integrity’, including advocating independence as the Polisario Front does, is punishable by fine or imprisonment. </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hAnsi="Times New Roman"/>
          <w:noProof/>
          <w:sz w:val="24"/>
        </w:rPr>
      </w:pPr>
      <w:r>
        <w:rPr>
          <w:rFonts w:ascii="Times New Roman" w:hAnsi="Times New Roman"/>
          <w:noProof/>
          <w:sz w:val="24"/>
        </w:rPr>
        <w:t>In case T-512/12, the Polisario Front claims that M</w:t>
      </w:r>
      <w:r>
        <w:rPr>
          <w:rFonts w:ascii="Times New Roman" w:hAnsi="Times New Roman"/>
          <w:noProof/>
          <w:sz w:val="24"/>
        </w:rPr>
        <w:t>orocco has violated the human rights of Sahrawi civilians during protest demonstrations. According to some NGOs</w:t>
      </w:r>
      <w:r>
        <w:rPr>
          <w:rFonts w:ascii="Times New Roman" w:hAnsi="Times New Roman"/>
          <w:noProof/>
          <w:sz w:val="24"/>
          <w:vertAlign w:val="superscript"/>
        </w:rPr>
        <w:footnoteReference w:id="11"/>
      </w:r>
      <w:r>
        <w:rPr>
          <w:rFonts w:ascii="Times New Roman" w:hAnsi="Times New Roman"/>
          <w:noProof/>
          <w:sz w:val="24"/>
        </w:rPr>
        <w:t>, violations of socio-economic as well as civil and political rights are more common in Western Sahara than in Morocco. This is confirmed in the</w:t>
      </w:r>
      <w:r>
        <w:rPr>
          <w:rFonts w:ascii="Times New Roman" w:hAnsi="Times New Roman"/>
          <w:noProof/>
          <w:sz w:val="24"/>
        </w:rPr>
        <w:t xml:space="preserve"> UN Secretary-General’s latest report on Western Sahara</w:t>
      </w:r>
      <w:r>
        <w:rPr>
          <w:rFonts w:ascii="Times New Roman" w:hAnsi="Times New Roman"/>
          <w:noProof/>
          <w:sz w:val="24"/>
          <w:vertAlign w:val="superscript"/>
        </w:rPr>
        <w:footnoteReference w:id="12"/>
      </w:r>
      <w:r>
        <w:rPr>
          <w:rFonts w:ascii="Times New Roman" w:hAnsi="Times New Roman"/>
          <w:noProof/>
          <w:sz w:val="24"/>
        </w:rPr>
        <w:t xml:space="preserve">. Given the nature of the dispute, some Sahrawi organisations report violations of freedom of expression, freedom of demonstration and freedom of association. They report difficulties in operating as </w:t>
      </w:r>
      <w:r>
        <w:rPr>
          <w:rFonts w:ascii="Times New Roman" w:hAnsi="Times New Roman"/>
          <w:noProof/>
          <w:sz w:val="24"/>
        </w:rPr>
        <w:t>they have no legal recognition. Despite an encouraging climate of reform in recent years, repressive practices remain and NGOs continue to face daily obstacles.</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authorities have made efforts in recent years to respond to concerns of the international</w:t>
      </w:r>
      <w:r>
        <w:rPr>
          <w:rFonts w:ascii="Times New Roman" w:hAnsi="Times New Roman"/>
          <w:noProof/>
          <w:sz w:val="24"/>
        </w:rPr>
        <w:t xml:space="preserve"> community and civil society, but the means of measuring those efforts and verifying their impact on the human rights situation need to be improved. One major step forward is Morocco’s recent recognition of the Sahrawi Association of Victims of Serious Hum</w:t>
      </w:r>
      <w:r>
        <w:rPr>
          <w:rFonts w:ascii="Times New Roman" w:hAnsi="Times New Roman"/>
          <w:noProof/>
          <w:sz w:val="24"/>
        </w:rPr>
        <w:t>an Rights Violations, the first registered Sahrawi association. The regional commissions of Morocco’s National Human Rights Council, operating in Dakhla et Laâyoune, have also been strengthened, making it easier to monitor the human rights situation in the</w:t>
      </w:r>
      <w:r>
        <w:rPr>
          <w:rFonts w:ascii="Times New Roman" w:hAnsi="Times New Roman"/>
          <w:noProof/>
          <w:sz w:val="24"/>
        </w:rPr>
        <w:t xml:space="preserve"> territory.</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Morocco underwent its third Universal Periodic Review by the UN Human Rights Council in September 2017, receiving 244 recommendations. Those focused mainly on abolishing the death penalty, stopping violence against women, gender equality, endi</w:t>
      </w:r>
      <w:r>
        <w:rPr>
          <w:rFonts w:ascii="Times New Roman" w:hAnsi="Times New Roman"/>
          <w:noProof/>
          <w:sz w:val="24"/>
        </w:rPr>
        <w:t>ng discrimination against children born out of wedlock and decriminalising sexual relations between consenting adults of the same sex. The Review highlighted challenges in respecting the prevalence of international over national human rights law.</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pStyle w:val="Heading2"/>
        <w:rPr>
          <w:rFonts w:eastAsia="Times New Roman"/>
          <w:noProof/>
        </w:rPr>
      </w:pPr>
      <w:bookmarkStart w:id="21" w:name="_Toc514257463"/>
      <w:bookmarkStart w:id="22" w:name="_Toc516249534"/>
      <w:r>
        <w:rPr>
          <w:noProof/>
        </w:rPr>
        <w:t>Framewor</w:t>
      </w:r>
      <w:r>
        <w:rPr>
          <w:noProof/>
        </w:rPr>
        <w:t>k for EU-Morocco cooperation in the fields of human rights and democracy</w:t>
      </w:r>
      <w:bookmarkEnd w:id="21"/>
      <w:bookmarkEnd w:id="22"/>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Western Sahara has long been the subject of dialogue between the EU and Morocco in the fields of human rights and democracy under the Association Agreement, Article 2 of which states</w:t>
      </w:r>
      <w:r>
        <w:rPr>
          <w:rFonts w:ascii="Times New Roman" w:hAnsi="Times New Roman"/>
          <w:noProof/>
          <w:sz w:val="24"/>
        </w:rPr>
        <w:t>: ‘Respect for the democratic principles and fundamental human rights established by the Universal Declaration of Human Rights shall inspire the domestic and external policies of the Community and of Morocco and shall constitute an essential element of thi</w:t>
      </w:r>
      <w:r>
        <w:rPr>
          <w:rFonts w:ascii="Times New Roman" w:hAnsi="Times New Roman"/>
          <w:noProof/>
          <w:sz w:val="24"/>
        </w:rPr>
        <w:t>s Agreement.’</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EU-Morocco relations in the field of human rights have been accompanied by regular dialogue – both political, at high-level meetings of the Association Council and official visits by senior officials, and technical, in the Sub-Committee on H</w:t>
      </w:r>
      <w:r>
        <w:rPr>
          <w:rFonts w:ascii="Times New Roman" w:hAnsi="Times New Roman"/>
          <w:noProof/>
          <w:sz w:val="24"/>
        </w:rPr>
        <w:t>uman Rights, Democracy and Governance</w:t>
      </w:r>
      <w:r>
        <w:rPr>
          <w:rStyle w:val="FootnoteReference"/>
          <w:rFonts w:ascii="Times New Roman" w:hAnsi="Times New Roman"/>
          <w:noProof/>
          <w:sz w:val="24"/>
        </w:rPr>
        <w:footnoteReference w:id="13"/>
      </w:r>
      <w:r>
        <w:rPr>
          <w:rFonts w:ascii="Times New Roman" w:hAnsi="Times New Roman"/>
          <w:noProof/>
          <w:sz w:val="24"/>
        </w:rPr>
        <w:t>, which has met annually since its creation.</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Though informal contacts on the matter have continued in recent years, the difficulties in bilateral relations since the Court judgment of 10 December 2015 (Case T-512/12) </w:t>
      </w:r>
      <w:r>
        <w:rPr>
          <w:rFonts w:ascii="Times New Roman" w:hAnsi="Times New Roman"/>
          <w:noProof/>
          <w:sz w:val="24"/>
        </w:rPr>
        <w:t>have made it impossible to hold such meetings officially. As part of the process of normalisation and with a view to restoring bilateral ties, the EU is planning to relaunch the dialogue before the end of 2018.</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Discussions have dealt with progress in </w:t>
      </w:r>
      <w:r>
        <w:rPr>
          <w:rFonts w:ascii="Times New Roman" w:hAnsi="Times New Roman"/>
          <w:noProof/>
          <w:sz w:val="24"/>
        </w:rPr>
        <w:t>implementing reform for various individual and collective rights, as well as EU-financed human rights and governance programmes. They have also touched on individual cases of alleged human rights violations – a matter of particular relevance to Western Sah</w:t>
      </w:r>
      <w:r>
        <w:rPr>
          <w:rFonts w:ascii="Times New Roman" w:hAnsi="Times New Roman"/>
          <w:noProof/>
          <w:sz w:val="24"/>
        </w:rPr>
        <w:t>ara.</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strike/>
          <w:noProof/>
          <w:sz w:val="24"/>
          <w:szCs w:val="24"/>
        </w:rPr>
      </w:pPr>
      <w:r>
        <w:rPr>
          <w:rFonts w:ascii="Times New Roman" w:hAnsi="Times New Roman"/>
          <w:noProof/>
          <w:sz w:val="24"/>
        </w:rPr>
        <w:t>As part of the political dialogue, the EU regularly underscores the importance of upholding the rule of law, in particular in the field of justice. This dialogue accompanies major EU support for reform of the Moroccan judicial system, aiming to impro</w:t>
      </w:r>
      <w:r>
        <w:rPr>
          <w:rFonts w:ascii="Times New Roman" w:hAnsi="Times New Roman"/>
          <w:noProof/>
          <w:sz w:val="24"/>
        </w:rPr>
        <w:t>ve access to justice, to ensure better legal protection for public rights and freedoms, and to make the judicial system more effective. Institutional dialogue on political and technical issues goes hand in hand with dialogue with civil society.</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EU Del</w:t>
      </w:r>
      <w:r>
        <w:rPr>
          <w:rFonts w:ascii="Times New Roman" w:hAnsi="Times New Roman"/>
          <w:noProof/>
          <w:sz w:val="24"/>
        </w:rPr>
        <w:t xml:space="preserve">egation to Morocco holds frequent contacts with Morocco’s National Human Rights Council. That independent institution plays a major role in monitoring the human rights situation in Morocco, in particular through its regional commissions in Western Sahara. </w:t>
      </w:r>
      <w:r>
        <w:rPr>
          <w:rFonts w:ascii="Times New Roman" w:hAnsi="Times New Roman"/>
          <w:noProof/>
          <w:sz w:val="24"/>
        </w:rPr>
        <w:t>The EU supports the Council through a programme dedicated to strengthening its institutional capacity, including that of its regional commissions in Dakhla and Laâyoune.</w:t>
      </w:r>
      <w:r>
        <w:rPr>
          <w:noProof/>
        </w:rPr>
        <w:t xml:space="preserve"> </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EU is also in regular contact with other bodies, in particular international </w:t>
      </w:r>
      <w:r>
        <w:rPr>
          <w:rFonts w:ascii="Times New Roman" w:hAnsi="Times New Roman"/>
          <w:noProof/>
          <w:sz w:val="24"/>
        </w:rPr>
        <w:t>organisations and third countries with a presence in Western Sahara, which provide detailed information on the situation there. The EU Delegation also travelled to Western Sahara in 2015, before the break in bilateral ties.</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Finally, the EU consults report</w:t>
      </w:r>
      <w:r>
        <w:rPr>
          <w:rFonts w:ascii="Times New Roman" w:hAnsi="Times New Roman"/>
          <w:noProof/>
          <w:sz w:val="24"/>
        </w:rPr>
        <w:t>s by UN human rights agencies which visit Western Sahara, including the UN High Commissioner for Human Rights and the UN Special Rapporteur on torture.</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pStyle w:val="Heading2"/>
        <w:rPr>
          <w:rFonts w:eastAsia="Times New Roman"/>
          <w:noProof/>
        </w:rPr>
      </w:pPr>
      <w:bookmarkStart w:id="23" w:name="_Toc514257464"/>
      <w:bookmarkStart w:id="24" w:name="_Toc516249535"/>
      <w:r>
        <w:rPr>
          <w:noProof/>
        </w:rPr>
        <w:t xml:space="preserve">Consequences of amending Protocols 1 and 4 of the Association Agreement on the human rights situation </w:t>
      </w:r>
      <w:r>
        <w:rPr>
          <w:noProof/>
        </w:rPr>
        <w:t>in Western Sahara</w:t>
      </w:r>
      <w:bookmarkEnd w:id="23"/>
      <w:bookmarkEnd w:id="24"/>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Amending Protocols 1 and 4 of the EU-Morocco Association Agreement will improve access to the EU market and spur foreign investment in Western Sahara, driving economic development, which should help promote socio-economic rights such as </w:t>
      </w:r>
      <w:r>
        <w:rPr>
          <w:rFonts w:ascii="Times New Roman" w:hAnsi="Times New Roman"/>
          <w:noProof/>
          <w:sz w:val="24"/>
        </w:rPr>
        <w:t>access to employment and social benefits. In the longer term, opening up the economy to the outside world and increasing trade and other types of exchange should stimulate socio-economic and cultural growth, helping to enlarge and consolidate the middle cl</w:t>
      </w:r>
      <w:r>
        <w:rPr>
          <w:rFonts w:ascii="Times New Roman" w:hAnsi="Times New Roman"/>
          <w:noProof/>
          <w:sz w:val="24"/>
        </w:rPr>
        <w:t>ass and to promote social mobility. Boosting free private enterprise and entrepreneurship should reduce dependence on central power, which poses a threat to the territory’s long-term socio-political growth.</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EU-Morocco ties weakened after the Court judgmen</w:t>
      </w:r>
      <w:r>
        <w:rPr>
          <w:rFonts w:ascii="Times New Roman" w:hAnsi="Times New Roman"/>
          <w:noProof/>
          <w:sz w:val="24"/>
        </w:rPr>
        <w:t>t of 10 December 2015 (case T-512/12), making it harder to hold a regular human rights dialogue; the spirit of increased engagement brought about by the normalisation of contractual relations will now help restore that dialogue. The reference framework for</w:t>
      </w:r>
      <w:r>
        <w:rPr>
          <w:rFonts w:ascii="Times New Roman" w:hAnsi="Times New Roman"/>
          <w:noProof/>
          <w:sz w:val="24"/>
        </w:rPr>
        <w:t xml:space="preserve"> amending the Protocols (Article 2 of the Association Agreement, which guarantees respect for democratic principles and fundamental rights) should make it easier to monitor respect for human rights, in particular socio-economic rights, in Western Sahara. E</w:t>
      </w:r>
      <w:r>
        <w:rPr>
          <w:rFonts w:ascii="Times New Roman" w:hAnsi="Times New Roman"/>
          <w:noProof/>
          <w:sz w:val="24"/>
        </w:rPr>
        <w:t>stablishing a regular mechanism for exchanging information on the sustainable use of natural resources under the amendment to the Agreement will also favour a more equitable distribution of the dividends of growth. That will make it easier to target cooper</w:t>
      </w:r>
      <w:r>
        <w:rPr>
          <w:rFonts w:ascii="Times New Roman" w:hAnsi="Times New Roman"/>
          <w:noProof/>
          <w:sz w:val="24"/>
        </w:rPr>
        <w:t>ation projects for those benefiting least from the amended Agreement (such as nomads).</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general, extending tariff preferences to products from Western Sahara should have a comparable effect on human rights in the territory to the effect of the EU-Morocc</w:t>
      </w:r>
      <w:r>
        <w:rPr>
          <w:rFonts w:ascii="Times New Roman" w:hAnsi="Times New Roman"/>
          <w:noProof/>
          <w:sz w:val="24"/>
        </w:rPr>
        <w:t>o Association Agreement on human rights in Morocco. By promoting a convergence of rules with EU standards in various fields, the Agreement will lead to indirect improvements in areas such as working conditions (including safety), labour legislation (includ</w:t>
      </w:r>
      <w:r>
        <w:rPr>
          <w:rFonts w:ascii="Times New Roman" w:hAnsi="Times New Roman"/>
          <w:noProof/>
          <w:sz w:val="24"/>
        </w:rPr>
        <w:t>ing child labour), plant health measures and consumer protection.</w:t>
      </w:r>
    </w:p>
    <w:p w:rsidR="00010D35" w:rsidRDefault="00010D35">
      <w:pPr>
        <w:spacing w:after="0" w:line="240" w:lineRule="auto"/>
        <w:jc w:val="both"/>
        <w:rPr>
          <w:rFonts w:ascii="Times New Roman" w:eastAsia="Times New Roman" w:hAnsi="Times New Roman" w:cs="Times New Roman"/>
          <w:noProof/>
          <w:sz w:val="24"/>
          <w:szCs w:val="24"/>
        </w:rPr>
      </w:pPr>
    </w:p>
    <w:p w:rsidR="00010D35" w:rsidRDefault="009E6C92">
      <w:pPr>
        <w:pStyle w:val="Heading1"/>
        <w:rPr>
          <w:rFonts w:eastAsia="Calibri"/>
          <w:noProof/>
        </w:rPr>
      </w:pPr>
      <w:bookmarkStart w:id="25" w:name="_Toc514257465"/>
      <w:bookmarkStart w:id="26" w:name="_Toc516249536"/>
      <w:r>
        <w:rPr>
          <w:noProof/>
        </w:rPr>
        <w:t>THE WESTERN SAHARAN ECONOMY – ECONOMIC BENEFITS FOR THE PEOPLE</w:t>
      </w:r>
      <w:bookmarkEnd w:id="25"/>
      <w:r>
        <w:rPr>
          <w:noProof/>
        </w:rPr>
        <w:t xml:space="preserve"> CONCERNED</w:t>
      </w:r>
      <w:bookmarkEnd w:id="26"/>
      <w:r>
        <w:rPr>
          <w:noProof/>
        </w:rPr>
        <w:t xml:space="preserve"> </w:t>
      </w:r>
    </w:p>
    <w:p w:rsidR="00010D35" w:rsidRDefault="00010D35">
      <w:pPr>
        <w:widowControl w:val="0"/>
        <w:spacing w:after="0" w:line="240" w:lineRule="auto"/>
        <w:rPr>
          <w:rFonts w:ascii="Times New Roman" w:eastAsia="Calibri" w:hAnsi="Times New Roman" w:cs="Times New Roman"/>
          <w:b/>
          <w:smallCaps/>
          <w:noProof/>
          <w:sz w:val="24"/>
        </w:rPr>
      </w:pPr>
    </w:p>
    <w:p w:rsidR="00010D35" w:rsidRDefault="009E6C92">
      <w:pPr>
        <w:pStyle w:val="Heading2"/>
        <w:jc w:val="both"/>
        <w:rPr>
          <w:rFonts w:eastAsia="Calibri"/>
          <w:noProof/>
        </w:rPr>
      </w:pPr>
      <w:bookmarkStart w:id="27" w:name="_Toc514257466"/>
      <w:bookmarkStart w:id="28" w:name="_Toc516249537"/>
      <w:r>
        <w:rPr>
          <w:noProof/>
        </w:rPr>
        <w:t>Overview of the Western Saharan economy and the need to diversity it</w:t>
      </w:r>
      <w:bookmarkEnd w:id="27"/>
      <w:bookmarkEnd w:id="28"/>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Still suffering from a historical developmen</w:t>
      </w:r>
      <w:r>
        <w:rPr>
          <w:rFonts w:ascii="Times New Roman" w:hAnsi="Times New Roman"/>
          <w:noProof/>
          <w:color w:val="000000" w:themeColor="text1"/>
          <w:sz w:val="24"/>
        </w:rPr>
        <w:t>t deficit and long left outside the international economic and commercial mainstream, Western Sahara is a territory of 266 000 km², mostly covered by desert, with a population of some 584 000</w:t>
      </w:r>
      <w:r>
        <w:rPr>
          <w:rStyle w:val="FootnoteReference"/>
          <w:rFonts w:ascii="Times New Roman" w:hAnsi="Times New Roman"/>
          <w:noProof/>
          <w:color w:val="000000" w:themeColor="text1"/>
          <w:sz w:val="24"/>
        </w:rPr>
        <w:footnoteReference w:id="14"/>
      </w:r>
      <w:r>
        <w:rPr>
          <w:rFonts w:ascii="Times New Roman" w:hAnsi="Times New Roman"/>
          <w:noProof/>
          <w:color w:val="000000" w:themeColor="text1"/>
          <w:sz w:val="24"/>
        </w:rPr>
        <w:t>.</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According to available information, Western Sahara is a small</w:t>
      </w:r>
      <w:r>
        <w:rPr>
          <w:rFonts w:ascii="Times New Roman" w:hAnsi="Times New Roman"/>
          <w:noProof/>
          <w:color w:val="000000" w:themeColor="text1"/>
          <w:sz w:val="24"/>
        </w:rPr>
        <w:t xml:space="preserve"> market economy based mainly on fishing and fish processing, phosphate mining, agriculture (especially early-growing fruit and vegetables and pastoral nomadism), trade and craft industries. Other sectors, such as tourism and renewable energy, are still nas</w:t>
      </w:r>
      <w:r>
        <w:rPr>
          <w:rFonts w:ascii="Times New Roman" w:hAnsi="Times New Roman"/>
          <w:noProof/>
          <w:color w:val="000000" w:themeColor="text1"/>
          <w:sz w:val="24"/>
        </w:rPr>
        <w:t>cent.</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Under a development model based on close ties between centre and periphery, the central Moroccan government is the main shaper of development policy for the Western Saharan economy and plays a major role in employment, infrastructure and social redi</w:t>
      </w:r>
      <w:r>
        <w:rPr>
          <w:rFonts w:ascii="Times New Roman" w:hAnsi="Times New Roman"/>
          <w:noProof/>
          <w:color w:val="000000" w:themeColor="text1"/>
          <w:sz w:val="24"/>
        </w:rPr>
        <w:t>stribution in the territory. This leading role played by the central government has grown in the last ten years, allowing Western Sahara to catch up to some extent with the more developed parts of Morocco. According to the Department of Studies and Financi</w:t>
      </w:r>
      <w:r>
        <w:rPr>
          <w:rFonts w:ascii="Times New Roman" w:hAnsi="Times New Roman"/>
          <w:noProof/>
          <w:color w:val="000000" w:themeColor="text1"/>
          <w:sz w:val="24"/>
        </w:rPr>
        <w:t>al Forecasts of the Moroccan Ministry of Economy and Finance, growth in the regions of Dakhla-Oued ed Dahab and Laâyoune-Sakia el Hamra was 5.6 points higher than national growth between 2007 and 2010, and 4.9 points higher between 2011 and 2014. They expl</w:t>
      </w:r>
      <w:r>
        <w:rPr>
          <w:rFonts w:ascii="Times New Roman" w:hAnsi="Times New Roman"/>
          <w:noProof/>
          <w:color w:val="000000" w:themeColor="text1"/>
          <w:sz w:val="24"/>
        </w:rPr>
        <w:t>ain that this is due to public investment in the southern regions to make them competitive nationally</w:t>
      </w:r>
      <w:r>
        <w:rPr>
          <w:rStyle w:val="FootnoteReference"/>
          <w:rFonts w:ascii="Times New Roman" w:hAnsi="Times New Roman"/>
          <w:noProof/>
          <w:color w:val="000000" w:themeColor="text1"/>
          <w:sz w:val="24"/>
        </w:rPr>
        <w:footnoteReference w:id="15"/>
      </w:r>
      <w:r>
        <w:rPr>
          <w:rFonts w:ascii="Times New Roman" w:hAnsi="Times New Roman"/>
          <w:noProof/>
          <w:color w:val="000000" w:themeColor="text1"/>
          <w:sz w:val="24"/>
        </w:rPr>
        <w:t>.</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 March 2013 report by the Economic, Social and Environmental Council</w:t>
      </w:r>
      <w:r>
        <w:rPr>
          <w:rStyle w:val="FootnoteReference"/>
          <w:rFonts w:ascii="Times New Roman" w:hAnsi="Times New Roman"/>
          <w:noProof/>
          <w:color w:val="000000" w:themeColor="text1"/>
          <w:sz w:val="24"/>
        </w:rPr>
        <w:footnoteReference w:id="16"/>
      </w:r>
      <w:r>
        <w:rPr>
          <w:rFonts w:ascii="Times New Roman" w:hAnsi="Times New Roman"/>
          <w:noProof/>
          <w:color w:val="000000" w:themeColor="text1"/>
          <w:sz w:val="24"/>
        </w:rPr>
        <w:t xml:space="preserve"> also states: ‘GDP in the three southern regions in 2017 was MAD 21.7 billion, or</w:t>
      </w:r>
      <w:r>
        <w:rPr>
          <w:rFonts w:ascii="Times New Roman" w:hAnsi="Times New Roman"/>
          <w:noProof/>
          <w:color w:val="000000" w:themeColor="text1"/>
          <w:sz w:val="24"/>
        </w:rPr>
        <w:t xml:space="preserve"> 3.5 % of annually produced wealth.’ It goes on to say: ‘Unemployment there [according to a 2007-2011 survey by the High Planning Commission] affects 15.2 % of the active population, compared to 8.9 % nationally (35.1 % for women, compared to 10.2 % nation</w:t>
      </w:r>
      <w:r>
        <w:rPr>
          <w:rFonts w:ascii="Times New Roman" w:hAnsi="Times New Roman"/>
          <w:noProof/>
          <w:color w:val="000000" w:themeColor="text1"/>
          <w:sz w:val="24"/>
        </w:rPr>
        <w:t>ally); the regions of Laâyoune and Dakhla are among the least poor in the country (with respective poverty rates of 2.2 % and 2.6 %, compared to 8.9 % nationally).’ Finally, the report states that ‘the private sector there is weak’, while ‘the State, as so</w:t>
      </w:r>
      <w:r>
        <w:rPr>
          <w:rFonts w:ascii="Times New Roman" w:hAnsi="Times New Roman"/>
          <w:noProof/>
          <w:color w:val="000000" w:themeColor="text1"/>
          <w:sz w:val="24"/>
        </w:rPr>
        <w:t>vereign power and supported by public investment, administrative spending and payment of social benefits, has been the driving force behind this transformation’.</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No commercially viable source of oil has yet been found in Western Sahara; some prospecting o</w:t>
      </w:r>
      <w:r>
        <w:rPr>
          <w:rFonts w:ascii="Times New Roman" w:hAnsi="Times New Roman"/>
          <w:noProof/>
          <w:color w:val="000000" w:themeColor="text1"/>
          <w:sz w:val="24"/>
        </w:rPr>
        <w:t xml:space="preserve">perations continue, though less intensely than before. Given the small size of the domestic market in Western Sahara and the fact that production focuses on a very limited range of products, the major challenge for the territory’s economy is to diversify, </w:t>
      </w:r>
      <w:r>
        <w:rPr>
          <w:rFonts w:ascii="Times New Roman" w:hAnsi="Times New Roman"/>
          <w:noProof/>
          <w:color w:val="000000" w:themeColor="text1"/>
          <w:sz w:val="24"/>
        </w:rPr>
        <w:t xml:space="preserve">extending to other sectors liable to create jobs and revenue for the territory and its people as a whole, which is the key to ending its commercial isolation. </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Diversifying the economy by opening it up to the world is all the more important given the gene</w:t>
      </w:r>
      <w:r>
        <w:rPr>
          <w:rFonts w:ascii="Times New Roman" w:hAnsi="Times New Roman"/>
          <w:noProof/>
          <w:color w:val="000000" w:themeColor="text1"/>
          <w:sz w:val="24"/>
        </w:rPr>
        <w:t xml:space="preserve">ral economic stagnation of the Maghrebi region, which is suffering from very weak intraregional trade, a lack of cross-border cooperation and the continued closure of some borders. </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Verdana" w:eastAsia="Times New Roman" w:hAnsi="Verdana" w:cs="Arial"/>
          <w:noProof/>
          <w:color w:val="222222"/>
          <w:sz w:val="20"/>
          <w:szCs w:val="20"/>
        </w:rPr>
      </w:pPr>
      <w:r>
        <w:rPr>
          <w:rFonts w:ascii="Times New Roman" w:hAnsi="Times New Roman"/>
          <w:noProof/>
          <w:color w:val="000000" w:themeColor="text1"/>
          <w:sz w:val="24"/>
        </w:rPr>
        <w:t xml:space="preserve">In November 2015, the Moroccan government announced a series of investments aimed at diversifying activity, while the Moroccan Confederation of Industry planned an investment initiative of some 609 million dollars in the region in March 2015. According to </w:t>
      </w:r>
      <w:r>
        <w:rPr>
          <w:rFonts w:ascii="Times New Roman" w:hAnsi="Times New Roman"/>
          <w:noProof/>
          <w:color w:val="000000" w:themeColor="text1"/>
          <w:sz w:val="24"/>
        </w:rPr>
        <w:t xml:space="preserve">figures announced by Morocco’s National Investment Commission at its January 2018 meeting under the authority of the Prime Minister, government investment planning for 2018 would focus on Western Sahara, involving some EUR 1.5 billion and hoping to create </w:t>
      </w:r>
      <w:r>
        <w:rPr>
          <w:rFonts w:ascii="Times New Roman" w:hAnsi="Times New Roman"/>
          <w:noProof/>
          <w:color w:val="000000" w:themeColor="text1"/>
          <w:sz w:val="24"/>
        </w:rPr>
        <w:t xml:space="preserve">nearly 3 000 jobs.  </w:t>
      </w:r>
    </w:p>
    <w:p w:rsidR="00010D35" w:rsidRDefault="00010D35">
      <w:pPr>
        <w:widowControl w:val="0"/>
        <w:shd w:val="clear" w:color="auto" w:fill="FFFFFF"/>
        <w:spacing w:after="0" w:line="240" w:lineRule="auto"/>
        <w:rPr>
          <w:rFonts w:ascii="Verdana" w:eastAsia="Times New Roman" w:hAnsi="Verdana" w:cs="Arial"/>
          <w:b/>
          <w:noProof/>
          <w:color w:val="FF0000"/>
          <w:sz w:val="20"/>
          <w:szCs w:val="20"/>
        </w:rPr>
      </w:pPr>
    </w:p>
    <w:p w:rsidR="00010D35" w:rsidRDefault="009E6C92">
      <w:pPr>
        <w:widowControl w:val="0"/>
        <w:shd w:val="clear" w:color="auto" w:fill="FFFFFF"/>
        <w:spacing w:before="120" w:after="0" w:line="240" w:lineRule="auto"/>
        <w:jc w:val="center"/>
        <w:rPr>
          <w:rFonts w:ascii="Verdana" w:eastAsia="Times New Roman" w:hAnsi="Verdana" w:cs="Arial"/>
          <w:noProof/>
          <w:sz w:val="20"/>
          <w:szCs w:val="20"/>
        </w:rPr>
      </w:pPr>
      <w:r>
        <w:rPr>
          <w:rFonts w:ascii="Verdana" w:hAnsi="Verdana"/>
          <w:noProof/>
          <w:sz w:val="20"/>
        </w:rPr>
        <w:t xml:space="preserve">Government investment in 2018 </w:t>
      </w:r>
    </w:p>
    <w:p w:rsidR="00010D35" w:rsidRDefault="009E6C92">
      <w:pPr>
        <w:widowControl w:val="0"/>
        <w:shd w:val="clear" w:color="auto" w:fill="FFFFFF"/>
        <w:spacing w:after="0" w:line="240" w:lineRule="auto"/>
        <w:jc w:val="center"/>
        <w:rPr>
          <w:rFonts w:ascii="Verdana" w:eastAsia="Times New Roman" w:hAnsi="Verdana" w:cs="Arial"/>
          <w:noProof/>
          <w:color w:val="222222"/>
          <w:sz w:val="20"/>
          <w:szCs w:val="20"/>
        </w:rPr>
      </w:pPr>
      <w:r>
        <w:rPr>
          <w:rFonts w:ascii="Verdana" w:eastAsia="Times New Roman" w:hAnsi="Verdana" w:cs="Arial"/>
          <w:noProof/>
          <w:color w:val="222222"/>
          <w:sz w:val="20"/>
          <w:szCs w:val="20"/>
          <w:lang w:bidi="ar-SA"/>
        </w:rPr>
        <w:drawing>
          <wp:inline distT="0" distB="0" distL="0" distR="0" wp14:anchorId="34174B40" wp14:editId="7CAEAC57">
            <wp:extent cx="3592286" cy="266949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 investissements marocains 2018.jpg"/>
                    <pic:cNvPicPr/>
                  </pic:nvPicPr>
                  <pic:blipFill>
                    <a:blip r:embed="rId16">
                      <a:extLst>
                        <a:ext uri="{28A0092B-C50C-407E-A947-70E740481C1C}">
                          <a14:useLocalDpi xmlns:a14="http://schemas.microsoft.com/office/drawing/2010/main" val="0"/>
                        </a:ext>
                      </a:extLst>
                    </a:blip>
                    <a:stretch>
                      <a:fillRect/>
                    </a:stretch>
                  </pic:blipFill>
                  <pic:spPr>
                    <a:xfrm>
                      <a:off x="0" y="0"/>
                      <a:ext cx="3594427" cy="2671088"/>
                    </a:xfrm>
                    <a:prstGeom prst="rect">
                      <a:avLst/>
                    </a:prstGeom>
                  </pic:spPr>
                </pic:pic>
              </a:graphicData>
            </a:graphic>
          </wp:inline>
        </w:drawing>
      </w:r>
    </w:p>
    <w:p w:rsidR="00010D35" w:rsidRDefault="00010D35">
      <w:pPr>
        <w:widowControl w:val="0"/>
        <w:shd w:val="clear" w:color="auto" w:fill="FFFFFF"/>
        <w:spacing w:after="0" w:line="240" w:lineRule="auto"/>
        <w:jc w:val="center"/>
        <w:rPr>
          <w:rFonts w:ascii="Verdana" w:eastAsia="Times New Roman" w:hAnsi="Verdana" w:cs="Arial"/>
          <w:noProof/>
          <w:color w:val="222222"/>
          <w:sz w:val="20"/>
          <w:szCs w:val="20"/>
        </w:rPr>
      </w:pPr>
    </w:p>
    <w:p w:rsidR="00010D35" w:rsidRDefault="00010D35">
      <w:pPr>
        <w:widowControl w:val="0"/>
        <w:shd w:val="clear" w:color="auto" w:fill="FFFFFF"/>
        <w:spacing w:after="0" w:line="240" w:lineRule="auto"/>
        <w:rPr>
          <w:rFonts w:ascii="Verdana" w:eastAsia="Times New Roman" w:hAnsi="Verdana" w:cs="Arial"/>
          <w:noProof/>
          <w:color w:val="222222"/>
          <w:sz w:val="20"/>
          <w:szCs w:val="20"/>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Past and future investment by Morocco in the territory stands in sharp contrast to the shortage of international investment and the wait-and-see attitude which seems to be blocking its expansion. </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w:t>
      </w:r>
      <w:r>
        <w:rPr>
          <w:rFonts w:ascii="Times New Roman" w:hAnsi="Times New Roman"/>
          <w:noProof/>
          <w:color w:val="000000" w:themeColor="text1"/>
          <w:sz w:val="24"/>
        </w:rPr>
        <w:t xml:space="preserve"> major argument by those opposed to extending the Association Agreement to cover Western Sahara is the fact that Morocco will be increasing structural investment in the territory many times over, with a political view to annexing it by changing its identit</w:t>
      </w:r>
      <w:r>
        <w:rPr>
          <w:rFonts w:ascii="Times New Roman" w:hAnsi="Times New Roman"/>
          <w:noProof/>
          <w:color w:val="000000" w:themeColor="text1"/>
          <w:sz w:val="24"/>
        </w:rPr>
        <w:t>y. It has allegedly implemented an overall administrative and economic policy to this end</w:t>
      </w:r>
      <w:r>
        <w:rPr>
          <w:rStyle w:val="FootnoteReference"/>
          <w:rFonts w:ascii="Times New Roman" w:hAnsi="Times New Roman"/>
          <w:noProof/>
          <w:color w:val="000000" w:themeColor="text1"/>
          <w:sz w:val="24"/>
        </w:rPr>
        <w:footnoteReference w:id="17"/>
      </w:r>
      <w:r>
        <w:rPr>
          <w:rFonts w:ascii="Times New Roman" w:hAnsi="Times New Roman"/>
          <w:noProof/>
          <w:color w:val="000000" w:themeColor="text1"/>
          <w:sz w:val="24"/>
        </w:rPr>
        <w:t>. The Polisario Front describes the exploitation of natural resources in Western Sahara under Moroccan control as ‘economic plunder aimed at altering the structure of</w:t>
      </w:r>
      <w:r>
        <w:rPr>
          <w:rFonts w:ascii="Times New Roman" w:hAnsi="Times New Roman"/>
          <w:noProof/>
          <w:color w:val="000000" w:themeColor="text1"/>
          <w:sz w:val="24"/>
        </w:rPr>
        <w:t xml:space="preserve"> Sahrawi society’</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Similarly, it is claimed that Morocco has pursued a policy of using various incentives to alter the population of Western Sahara by bringing in new inhabitants from Morocco. Since 1975, thousands of Moroccans have allegedly been </w:t>
      </w:r>
      <w:r>
        <w:rPr>
          <w:rFonts w:ascii="Times New Roman" w:hAnsi="Times New Roman"/>
          <w:noProof/>
          <w:color w:val="000000" w:themeColor="text1"/>
          <w:sz w:val="24"/>
        </w:rPr>
        <w:t>brought to live in Western Sahara, making the Sahrawi people a minority in their own land. Whether or not these new inhabitants are counted as part of the ‘people of Western Sahara’ or the ‘local population’ will of course have major consequences for a fut</w:t>
      </w:r>
      <w:r>
        <w:rPr>
          <w:rFonts w:ascii="Times New Roman" w:hAnsi="Times New Roman"/>
          <w:noProof/>
          <w:color w:val="000000" w:themeColor="text1"/>
          <w:sz w:val="24"/>
        </w:rPr>
        <w:t>ure referendum on the territory’s status</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w:t>
      </w: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The first argument does not concern the subject of this report: it deals with an aspect of general policy, but not directly with the question of extending tariff preferences established in the EU-Morocco Associati</w:t>
      </w:r>
      <w:r>
        <w:rPr>
          <w:rFonts w:ascii="Times New Roman" w:hAnsi="Times New Roman"/>
          <w:noProof/>
          <w:color w:val="000000" w:themeColor="text1"/>
          <w:sz w:val="24"/>
        </w:rPr>
        <w:t>on Agreement to products from Western Sahara. Of course, all production involves using natural resources; still, this cannot mean banning all economic activity a priori, as that would make economic growth impossible. Several of those interviewed in the con</w:t>
      </w:r>
      <w:r>
        <w:rPr>
          <w:rFonts w:ascii="Times New Roman" w:hAnsi="Times New Roman"/>
          <w:noProof/>
          <w:color w:val="000000" w:themeColor="text1"/>
          <w:sz w:val="24"/>
        </w:rPr>
        <w:t>sultation of Western Saharan economic operators in February 2018 said that the people had a right to development and that it was not reasonable to make growth contingent on a UN-brokered solution to the dispute. They felt that such an approach would in pra</w:t>
      </w:r>
      <w:r>
        <w:rPr>
          <w:rFonts w:ascii="Times New Roman" w:hAnsi="Times New Roman"/>
          <w:noProof/>
          <w:color w:val="000000" w:themeColor="text1"/>
          <w:sz w:val="24"/>
        </w:rPr>
        <w:t xml:space="preserve">ctice stop all activity in the territory and amount to punishing the local population. </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As for the second argument, it is true that the impasse in the dispute has resulted in an intermingling of Moroccans and indigenous Western Saharans, which has of cour</w:t>
      </w:r>
      <w:r>
        <w:rPr>
          <w:rFonts w:ascii="Times New Roman" w:hAnsi="Times New Roman"/>
          <w:noProof/>
          <w:color w:val="000000" w:themeColor="text1"/>
          <w:sz w:val="24"/>
        </w:rPr>
        <w:t>se altered the structure of the territory’s population. Yet that does not justify drawing conclusions as to which people could be consulted in a referendum on the territory’s status. Moreover, while a sizeable portion of the Sahrawi population lives outsid</w:t>
      </w:r>
      <w:r>
        <w:rPr>
          <w:rFonts w:ascii="Times New Roman" w:hAnsi="Times New Roman"/>
          <w:noProof/>
          <w:color w:val="000000" w:themeColor="text1"/>
          <w:sz w:val="24"/>
        </w:rPr>
        <w:t>e the territory of Western Sahara</w:t>
      </w:r>
      <w:r>
        <w:rPr>
          <w:rStyle w:val="FootnoteReference"/>
          <w:rFonts w:ascii="Times New Roman" w:hAnsi="Times New Roman"/>
          <w:noProof/>
          <w:color w:val="000000" w:themeColor="text1"/>
          <w:sz w:val="24"/>
        </w:rPr>
        <w:footnoteReference w:id="20"/>
      </w:r>
      <w:r>
        <w:rPr>
          <w:rFonts w:ascii="Times New Roman" w:hAnsi="Times New Roman"/>
          <w:noProof/>
          <w:color w:val="000000" w:themeColor="text1"/>
          <w:sz w:val="24"/>
        </w:rPr>
        <w:t>, a major portion does live in the territory. Those people are entitled to participate in the process of economic growth.</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hAnsi="Times New Roman"/>
          <w:noProof/>
          <w:sz w:val="24"/>
        </w:rPr>
      </w:pPr>
      <w:r>
        <w:rPr>
          <w:rFonts w:ascii="Times New Roman" w:hAnsi="Times New Roman"/>
          <w:noProof/>
          <w:sz w:val="24"/>
        </w:rPr>
        <w:t xml:space="preserve">Because of the small population, the territory’s economic growth model is based largely on </w:t>
      </w:r>
      <w:r>
        <w:rPr>
          <w:rFonts w:ascii="Times New Roman" w:hAnsi="Times New Roman"/>
          <w:noProof/>
          <w:sz w:val="24"/>
        </w:rPr>
        <w:t>production of a limited range of exports. Assessing the benefits of the proposed Agreement for the people concerned means analysing its impact on the main current and potential export sectors for products from Western Sahara.</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pStyle w:val="Heading2"/>
        <w:rPr>
          <w:rFonts w:eastAsia="Calibri"/>
          <w:noProof/>
        </w:rPr>
      </w:pPr>
      <w:bookmarkStart w:id="29" w:name="_Toc514257467"/>
      <w:bookmarkStart w:id="30" w:name="_Toc516249538"/>
      <w:r>
        <w:rPr>
          <w:noProof/>
        </w:rPr>
        <w:t>Potential benefits for the ma</w:t>
      </w:r>
      <w:r>
        <w:rPr>
          <w:noProof/>
        </w:rPr>
        <w:t>in export sectors of the economy</w:t>
      </w:r>
      <w:bookmarkEnd w:id="29"/>
      <w:bookmarkEnd w:id="30"/>
    </w:p>
    <w:p w:rsidR="00010D35" w:rsidRDefault="009E6C92">
      <w:pPr>
        <w:pStyle w:val="Heading3"/>
        <w:rPr>
          <w:rFonts w:eastAsia="Calibri"/>
          <w:noProof/>
        </w:rPr>
      </w:pPr>
      <w:bookmarkStart w:id="31" w:name="_Toc514257468"/>
      <w:bookmarkStart w:id="32" w:name="_Toc516249539"/>
      <w:r>
        <w:rPr>
          <w:noProof/>
        </w:rPr>
        <w:t>Agriculture</w:t>
      </w:r>
      <w:bookmarkEnd w:id="31"/>
      <w:bookmarkEnd w:id="32"/>
    </w:p>
    <w:p w:rsidR="00010D35" w:rsidRDefault="009E6C92">
      <w:pPr>
        <w:pStyle w:val="Heading4"/>
        <w:rPr>
          <w:rFonts w:ascii="Times New Roman" w:eastAsia="Calibri" w:hAnsi="Times New Roman" w:cs="Times New Roman"/>
          <w:smallCaps/>
          <w:noProof/>
          <w:sz w:val="24"/>
        </w:rPr>
      </w:pPr>
      <w:bookmarkStart w:id="33" w:name="_Toc511381546"/>
      <w:r>
        <w:rPr>
          <w:noProof/>
        </w:rPr>
        <w:t>Introduction</w:t>
      </w:r>
      <w:bookmarkEnd w:id="33"/>
    </w:p>
    <w:p w:rsidR="00010D35" w:rsidRDefault="00010D35">
      <w:pPr>
        <w:widowControl w:val="0"/>
        <w:spacing w:after="0" w:line="240" w:lineRule="auto"/>
        <w:jc w:val="both"/>
        <w:rPr>
          <w:rFonts w:ascii="Times New Roman" w:eastAsia="Calibri" w:hAnsi="Times New Roman" w:cs="Times New Roman"/>
          <w:noProof/>
          <w:sz w:val="24"/>
        </w:rPr>
      </w:pPr>
      <w:bookmarkStart w:id="34" w:name="_Toc511381270"/>
      <w:bookmarkStart w:id="35" w:name="_Toc511381547"/>
      <w:bookmarkStart w:id="36" w:name="_Toc511381271"/>
      <w:bookmarkStart w:id="37" w:name="_Toc511381548"/>
      <w:bookmarkEnd w:id="34"/>
      <w:bookmarkEnd w:id="35"/>
      <w:bookmarkEnd w:id="36"/>
      <w:bookmarkEnd w:id="37"/>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Because of the region’s topography, Western Saharan agricultural production focuses on a very narrow range of sectors. Due to its desert climate, the region’s main activity is animal (mainly camel,</w:t>
      </w:r>
      <w:r>
        <w:rPr>
          <w:rFonts w:ascii="Times New Roman" w:hAnsi="Times New Roman"/>
          <w:noProof/>
          <w:sz w:val="24"/>
        </w:rPr>
        <w:t xml:space="preserve"> goat and sheep) herding, which is helped by the presence of range land and the local demand for bred animal products. Animal products from Western Sahara do not yet comply with health standards for access to the EU market, so no such products are exported</w:t>
      </w:r>
      <w:r>
        <w:rPr>
          <w:rFonts w:ascii="Times New Roman" w:hAnsi="Times New Roman"/>
          <w:noProof/>
          <w:sz w:val="24"/>
        </w:rPr>
        <w:t xml:space="preserve"> to the EU</w:t>
      </w:r>
      <w:r>
        <w:rPr>
          <w:rFonts w:ascii="Times New Roman" w:hAnsi="Times New Roman"/>
          <w:noProof/>
          <w:sz w:val="24"/>
          <w:vertAlign w:val="superscript"/>
        </w:rPr>
        <w:footnoteReference w:id="21"/>
      </w:r>
      <w:r>
        <w:rPr>
          <w:rFonts w:ascii="Times New Roman" w:hAnsi="Times New Roman"/>
          <w:noProof/>
          <w:sz w:val="24"/>
        </w:rPr>
        <w:t xml:space="preserve">.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Moreover, the area of Dakhla enjoys a temperate climate (18-25° C year-round), constant sunshine and slightly sulphurous water, all of which favour the growing of above-ground greenhouse crops, which are high in value and slightly ahead of M</w:t>
      </w:r>
      <w:r>
        <w:rPr>
          <w:rFonts w:ascii="Times New Roman" w:hAnsi="Times New Roman"/>
          <w:noProof/>
          <w:sz w:val="24"/>
        </w:rPr>
        <w:t>oroccan production</w:t>
      </w:r>
      <w:r>
        <w:rPr>
          <w:rFonts w:ascii="Times New Roman" w:hAnsi="Times New Roman"/>
          <w:noProof/>
          <w:sz w:val="24"/>
          <w:vertAlign w:val="superscript"/>
        </w:rPr>
        <w:footnoteReference w:id="22"/>
      </w:r>
      <w:r>
        <w:rPr>
          <w:rFonts w:ascii="Times New Roman" w:hAnsi="Times New Roman"/>
          <w:noProof/>
          <w:sz w:val="24"/>
        </w:rPr>
        <w:t>.</w:t>
      </w: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According to Morocco, there were 6 847 farms in the region (including all types of activity and products) in 2016. Agricultural activity seems to be a major source of employment, generating the equivalent of 35 000 jobs, in a region wi</w:t>
      </w:r>
      <w:r>
        <w:rPr>
          <w:rFonts w:ascii="Times New Roman" w:hAnsi="Times New Roman"/>
          <w:noProof/>
          <w:sz w:val="24"/>
        </w:rPr>
        <w:t xml:space="preserve">th 584 000 inhabitants and an unemployment of some 15 %, far above the national average (9 %).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pStyle w:val="Heading4"/>
        <w:rPr>
          <w:rFonts w:eastAsia="Calibri"/>
          <w:noProof/>
        </w:rPr>
      </w:pPr>
      <w:r>
        <w:rPr>
          <w:noProof/>
        </w:rPr>
        <w:t>Agricultural production, trade with the EU and socio-economic impact</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Early-growing fruit and vegetables are one of the main sectors of exports from Western Sa</w:t>
      </w:r>
      <w:r>
        <w:rPr>
          <w:rFonts w:ascii="Times New Roman" w:hAnsi="Times New Roman"/>
          <w:noProof/>
          <w:sz w:val="24"/>
        </w:rPr>
        <w:t xml:space="preserve">hara to the EU. According to information received by the Commission, </w:t>
      </w:r>
      <w:r>
        <w:rPr>
          <w:rFonts w:ascii="Times New Roman" w:hAnsi="Times New Roman"/>
          <w:b/>
          <w:noProof/>
          <w:sz w:val="24"/>
        </w:rPr>
        <w:t>64 000 tonnes of early-growing crops were harvested in the territory in 2016, covering an area of some 900 hectares</w:t>
      </w:r>
      <w:r>
        <w:rPr>
          <w:rFonts w:ascii="Times New Roman" w:hAnsi="Times New Roman"/>
          <w:b/>
          <w:i/>
          <w:noProof/>
          <w:sz w:val="24"/>
          <w:vertAlign w:val="superscript"/>
        </w:rPr>
        <w:footnoteReference w:id="23"/>
      </w:r>
      <w:r>
        <w:rPr>
          <w:rFonts w:ascii="Times New Roman" w:hAnsi="Times New Roman"/>
          <w:noProof/>
          <w:sz w:val="24"/>
        </w:rPr>
        <w:t>. According to available data, these are high-added-value crops, 78 % o</w:t>
      </w:r>
      <w:r>
        <w:rPr>
          <w:rFonts w:ascii="Times New Roman" w:hAnsi="Times New Roman"/>
          <w:noProof/>
          <w:sz w:val="24"/>
        </w:rPr>
        <w:t>f which are tomatoes (50 000 tonnes of various types and varieties) and 22 % melons (14 000 tonnes). These crops are apparently grown for export to the EU, Russia, African countries and the local market. As harvested crops are sent to sorting and packaging</w:t>
      </w:r>
      <w:r>
        <w:rPr>
          <w:rFonts w:ascii="Times New Roman" w:hAnsi="Times New Roman"/>
          <w:noProof/>
          <w:sz w:val="24"/>
        </w:rPr>
        <w:t xml:space="preserve"> sites in the region of Agadir, it is hard to obtain precise figures for their final destination, but fruit and vegetables grown in Western Sahara are assumed to be included in exports to the EU, which is a profitable market.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Under the EU-Morocco Associa</w:t>
      </w:r>
      <w:r>
        <w:rPr>
          <w:rFonts w:ascii="Times New Roman" w:hAnsi="Times New Roman"/>
          <w:noProof/>
          <w:sz w:val="24"/>
        </w:rPr>
        <w:t>tion Agreement, Moroccan agricultural products enjoy preferential conditions for access to the EU market. Those conditions include unlimited exemption from customs duties for most products</w:t>
      </w:r>
      <w:r>
        <w:rPr>
          <w:rFonts w:ascii="Times New Roman" w:hAnsi="Times New Roman"/>
          <w:noProof/>
          <w:sz w:val="24"/>
          <w:vertAlign w:val="superscript"/>
        </w:rPr>
        <w:footnoteReference w:id="24"/>
      </w:r>
      <w:r>
        <w:rPr>
          <w:rFonts w:ascii="Times New Roman" w:hAnsi="Times New Roman"/>
          <w:noProof/>
          <w:sz w:val="24"/>
        </w:rPr>
        <w:t>, with some fruit and vegetables subject to specific provisions suc</w:t>
      </w:r>
      <w:r>
        <w:rPr>
          <w:rFonts w:ascii="Times New Roman" w:hAnsi="Times New Roman"/>
          <w:noProof/>
          <w:sz w:val="24"/>
        </w:rPr>
        <w:t>h as limits on quantity (tariff quotas).</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Based on data available for 2016 and assuming that all crops grown in Western Sahara are exported to the EU, applying the preferences stated in the Association Agreement </w:t>
      </w:r>
      <w:r>
        <w:rPr>
          <w:rFonts w:ascii="Times New Roman" w:hAnsi="Times New Roman"/>
          <w:b/>
          <w:noProof/>
          <w:sz w:val="24"/>
        </w:rPr>
        <w:t>to 14 000 tonnes of melons would mean saving</w:t>
      </w:r>
      <w:r>
        <w:rPr>
          <w:rFonts w:ascii="Times New Roman" w:hAnsi="Times New Roman"/>
          <w:b/>
          <w:noProof/>
          <w:sz w:val="24"/>
        </w:rPr>
        <w:t>s of some EUR 1.3 million in customs duties</w:t>
      </w:r>
      <w:r>
        <w:rPr>
          <w:rFonts w:ascii="Times New Roman" w:hAnsi="Times New Roman"/>
          <w:noProof/>
          <w:sz w:val="24"/>
        </w:rPr>
        <w:t xml:space="preserve">. </w:t>
      </w:r>
      <w:r>
        <w:rPr>
          <w:rFonts w:ascii="Times New Roman" w:hAnsi="Times New Roman"/>
          <w:b/>
          <w:noProof/>
          <w:sz w:val="24"/>
        </w:rPr>
        <w:t>For tomatoes</w:t>
      </w:r>
      <w:r>
        <w:rPr>
          <w:rFonts w:ascii="Times New Roman" w:hAnsi="Times New Roman"/>
          <w:noProof/>
          <w:sz w:val="24"/>
        </w:rPr>
        <w:t xml:space="preserve">, if preferences were granted for all production (50 000 tonnes), </w:t>
      </w:r>
      <w:r>
        <w:rPr>
          <w:rFonts w:ascii="Times New Roman" w:hAnsi="Times New Roman"/>
          <w:b/>
          <w:noProof/>
          <w:sz w:val="24"/>
        </w:rPr>
        <w:t>the savings in customs duties would be some EUR 5.3 million</w:t>
      </w:r>
      <w:r>
        <w:rPr>
          <w:rFonts w:ascii="Times New Roman" w:hAnsi="Times New Roman"/>
          <w:noProof/>
          <w:sz w:val="24"/>
        </w:rPr>
        <w:t>, as long as the specific duty did not apply</w:t>
      </w:r>
      <w:r>
        <w:rPr>
          <w:rFonts w:ascii="Times New Roman" w:hAnsi="Times New Roman"/>
          <w:noProof/>
          <w:sz w:val="24"/>
          <w:vertAlign w:val="superscript"/>
        </w:rPr>
        <w:footnoteReference w:id="25"/>
      </w:r>
      <w:r>
        <w:rPr>
          <w:rFonts w:ascii="Times New Roman" w:hAnsi="Times New Roman"/>
          <w:noProof/>
          <w:sz w:val="24"/>
        </w:rPr>
        <w:t>. Note that the volume of tom</w:t>
      </w:r>
      <w:r>
        <w:rPr>
          <w:rFonts w:ascii="Times New Roman" w:hAnsi="Times New Roman"/>
          <w:noProof/>
          <w:sz w:val="24"/>
        </w:rPr>
        <w:t xml:space="preserve">atoes exported would be subject to the tariff conditions established in the Agreement and thus included in the quota for Morocco. Tomato and melon exports would have represented 12.7 % and 31.09 % of the total export volume in 2016 respectively. Fruit and </w:t>
      </w:r>
      <w:r>
        <w:rPr>
          <w:rFonts w:ascii="Times New Roman" w:hAnsi="Times New Roman"/>
          <w:noProof/>
          <w:sz w:val="24"/>
        </w:rPr>
        <w:t>vegetable imports from Morocco in 2016 totalled 1.2 billion tonnes in volume and were worth EUR 1.4 billion.</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hAnsi="Times New Roman"/>
          <w:noProof/>
          <w:sz w:val="24"/>
        </w:rPr>
      </w:pPr>
      <w:r>
        <w:rPr>
          <w:rFonts w:ascii="Times New Roman" w:hAnsi="Times New Roman"/>
          <w:noProof/>
          <w:sz w:val="24"/>
        </w:rPr>
        <w:t>In socio-economic terms, early-growing crops are a major source of jobs. High-added-value early-growing crops are labour-intensive, often grown in</w:t>
      </w:r>
      <w:r>
        <w:rPr>
          <w:rFonts w:ascii="Times New Roman" w:hAnsi="Times New Roman"/>
          <w:noProof/>
          <w:sz w:val="24"/>
        </w:rPr>
        <w:t xml:space="preserve"> greenhouses and above ground. In 2016, they accounted for </w:t>
      </w:r>
      <w:r>
        <w:rPr>
          <w:rFonts w:ascii="Times New Roman" w:hAnsi="Times New Roman"/>
          <w:b/>
          <w:noProof/>
          <w:sz w:val="24"/>
        </w:rPr>
        <w:t>some 14 000 direct jobs</w:t>
      </w:r>
      <w:r>
        <w:rPr>
          <w:rFonts w:ascii="Times New Roman" w:hAnsi="Times New Roman"/>
          <w:noProof/>
          <w:sz w:val="24"/>
        </w:rPr>
        <w:t xml:space="preserve"> (with an average of 15 workers per hectare). That represents some 40 % of all agricultural jobs in the region.</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010D35">
      <w:pPr>
        <w:widowControl w:val="0"/>
        <w:spacing w:after="0" w:line="240" w:lineRule="auto"/>
        <w:jc w:val="both"/>
        <w:rPr>
          <w:rFonts w:ascii="Times New Roman" w:eastAsia="MS Mincho" w:hAnsi="Times New Roman" w:cs="Times New Roman"/>
          <w:i/>
          <w:noProof/>
          <w:color w:val="000000" w:themeColor="text1"/>
          <w:sz w:val="24"/>
          <w:szCs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It has been claimed that this activity would not benefit the</w:t>
      </w:r>
      <w:r>
        <w:rPr>
          <w:rFonts w:ascii="Times New Roman" w:hAnsi="Times New Roman"/>
          <w:noProof/>
          <w:sz w:val="24"/>
        </w:rPr>
        <w:t xml:space="preserve"> local population. That argument was put forward in the national dispute which led to case C-266/16, with 4 000 seasonal workers said to be on 10-month contracts, coming from Morocco for the harvesting season and then returning home, and some 200 permanent</w:t>
      </w:r>
      <w:r>
        <w:rPr>
          <w:rFonts w:ascii="Times New Roman" w:hAnsi="Times New Roman"/>
          <w:noProof/>
          <w:sz w:val="24"/>
        </w:rPr>
        <w:t xml:space="preserve"> workers employed in agriculture around Dakhla in 2008. According to Western Sahara Resource Watch, agriculture is seen by Morocco as a means of populating the territory and is on the rise.</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Morocco has not provided job figures for the early-growing crops </w:t>
      </w:r>
      <w:r>
        <w:rPr>
          <w:rFonts w:ascii="Times New Roman" w:hAnsi="Times New Roman"/>
          <w:noProof/>
          <w:sz w:val="24"/>
        </w:rPr>
        <w:t>sector broken down between Sahrawi and other workers. This has been the subject of discussions with the Moroccan authorities, who say that establishing statistics on an ‘ethnic’ basis would violate the principle of non-discrimination. However, those interv</w:t>
      </w:r>
      <w:r>
        <w:rPr>
          <w:rFonts w:ascii="Times New Roman" w:hAnsi="Times New Roman"/>
          <w:noProof/>
          <w:sz w:val="24"/>
        </w:rPr>
        <w:t>iewed in the consultations in February 2018, most of whom identified as Sahrawi, felt that growth of the sector would benefit the local (Sahrawi) population. Note that all local elected officials (MPs and governors of regions) and economic operators (inclu</w:t>
      </w:r>
      <w:r>
        <w:rPr>
          <w:rFonts w:ascii="Times New Roman" w:hAnsi="Times New Roman"/>
          <w:noProof/>
          <w:sz w:val="24"/>
        </w:rPr>
        <w:t xml:space="preserve">ding presidents of chambers of commerce, agriculture and fishing) who participated in the consultations identified as Sahrawis coming from the territory. But recall that the EU has no investigation powers in a non-EU country to determine whether people in </w:t>
      </w:r>
      <w:r>
        <w:rPr>
          <w:rFonts w:ascii="Times New Roman" w:hAnsi="Times New Roman"/>
          <w:noProof/>
          <w:sz w:val="24"/>
        </w:rPr>
        <w:t>a specific sector of activity belong to a given segment of the population</w:t>
      </w:r>
      <w:r>
        <w:rPr>
          <w:rStyle w:val="FootnoteReference"/>
          <w:rFonts w:ascii="Times New Roman" w:hAnsi="Times New Roman"/>
          <w:noProof/>
          <w:sz w:val="24"/>
        </w:rPr>
        <w:footnoteReference w:id="26"/>
      </w:r>
      <w:r>
        <w:rPr>
          <w:rFonts w:ascii="Times New Roman" w:hAnsi="Times New Roman"/>
          <w:noProof/>
          <w:sz w:val="24"/>
        </w:rPr>
        <w:t>.</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pStyle w:val="Heading4"/>
        <w:rPr>
          <w:rFonts w:eastAsia="Calibri"/>
          <w:noProof/>
        </w:rPr>
      </w:pPr>
      <w:r>
        <w:rPr>
          <w:noProof/>
        </w:rPr>
        <w:t>Use of resources</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Any agricultural activity involves using natural resources, especially land and water. The primary constraint in Western Sahara is water, due to the type of terr</w:t>
      </w:r>
      <w:r>
        <w:rPr>
          <w:rFonts w:ascii="Times New Roman" w:hAnsi="Times New Roman"/>
          <w:noProof/>
          <w:sz w:val="24"/>
        </w:rPr>
        <w:t xml:space="preserve">ain and the lack of rainfall. Research shows that there is groundwater in the region, though it is hard to put an exact figure to the level of reserves and their rate of replenishment.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According to Morocco, groundwater is present in a large area (90 000 </w:t>
      </w:r>
      <w:r>
        <w:rPr>
          <w:rFonts w:ascii="Times New Roman" w:hAnsi="Times New Roman"/>
          <w:noProof/>
          <w:sz w:val="24"/>
        </w:rPr>
        <w:t>km²), is deep (up to 1 800 m) and contains an estimated 3 billion m³ of permanent reserves. The General Monograph of the Region of Dakhla-Oued ed Dahab, produced by the Directorate</w:t>
      </w:r>
      <w:r>
        <w:rPr>
          <w:rFonts w:ascii="Times New Roman" w:hAnsi="Times New Roman"/>
          <w:noProof/>
          <w:sz w:val="24"/>
        </w:rPr>
        <w:noBreakHyphen/>
        <w:t>General for Local Authorities of the Moroccan Ministry of the Interior, say</w:t>
      </w:r>
      <w:r>
        <w:rPr>
          <w:rFonts w:ascii="Times New Roman" w:hAnsi="Times New Roman"/>
          <w:noProof/>
          <w:sz w:val="24"/>
        </w:rPr>
        <w:t>s: ‘[There is a] sedimentary basin (called Laâyoune-Dakhla) extending along the Atlantic coast in the west and covering an area of some 110 000 km² on the continent. It is relatively rich in extensive underground water reserves, but not enough is known abo</w:t>
      </w:r>
      <w:r>
        <w:rPr>
          <w:rFonts w:ascii="Times New Roman" w:hAnsi="Times New Roman"/>
          <w:noProof/>
          <w:sz w:val="24"/>
        </w:rPr>
        <w:t>ut them and they are quite varied in depth, lithology, productivity and water quality. In hydrogeological terms, however, there are signs that the basin includes several layers of groundwater, containing a potentially major but non-renewable water source.’</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b/>
          <w:noProof/>
          <w:sz w:val="24"/>
        </w:rPr>
      </w:pPr>
      <w:r>
        <w:rPr>
          <w:rFonts w:ascii="Times New Roman" w:hAnsi="Times New Roman"/>
          <w:noProof/>
          <w:sz w:val="24"/>
        </w:rPr>
        <w:t>Irrigation water for early-growing crops has so far come from groundwater (also used for drinking water). According to Morocco, less than 3 million m³, or some 0.1 % of available volume, is currently used for agriculture. Western Sahara Resource Watch cl</w:t>
      </w:r>
      <w:r>
        <w:rPr>
          <w:rFonts w:ascii="Times New Roman" w:hAnsi="Times New Roman"/>
          <w:noProof/>
          <w:sz w:val="24"/>
        </w:rPr>
        <w:t xml:space="preserve">aims that Western Saharan underground water reserves are currently over-used by agro-industry in the territory, especially in Dakhla. The Moroccan authorities are aware of the problems and have taken corrective action. Similar comments have also been made </w:t>
      </w:r>
      <w:r>
        <w:rPr>
          <w:rFonts w:ascii="Times New Roman" w:hAnsi="Times New Roman"/>
          <w:noProof/>
          <w:sz w:val="24"/>
        </w:rPr>
        <w:t>by various Moroccan institutions, underscoring the fact that ‘intensive farming of some crops (melons or tomatoes) for export is especially detrimental, as irrigation in the region uses fossil groundwater, with potential consequences that have not been cle</w:t>
      </w:r>
      <w:r>
        <w:rPr>
          <w:rFonts w:ascii="Times New Roman" w:hAnsi="Times New Roman"/>
          <w:noProof/>
          <w:sz w:val="24"/>
        </w:rPr>
        <w:t>arly assessed.’</w:t>
      </w:r>
      <w:r>
        <w:rPr>
          <w:rFonts w:ascii="Times New Roman" w:hAnsi="Times New Roman"/>
          <w:noProof/>
          <w:sz w:val="24"/>
          <w:vertAlign w:val="superscript"/>
        </w:rPr>
        <w:footnoteReference w:id="27"/>
      </w:r>
      <w:r>
        <w:rPr>
          <w:rFonts w:ascii="Times New Roman" w:hAnsi="Times New Roman"/>
          <w:noProof/>
          <w:sz w:val="24"/>
        </w:rPr>
        <w:t xml:space="preserve"> In 2013, the Moroccan High Planning Commission also commented on the use of groundwater, saying: ‘Consideration of environmental constraints in the southern regions is clearly insufficient. The government’s means of oversight and preventio</w:t>
      </w:r>
      <w:r>
        <w:rPr>
          <w:rFonts w:ascii="Times New Roman" w:hAnsi="Times New Roman"/>
          <w:noProof/>
          <w:sz w:val="24"/>
        </w:rPr>
        <w:t>n of coastal pollution, though improving, remain limited. The over-pumping of water resources poses a serious threat.’</w:t>
      </w:r>
      <w:r>
        <w:rPr>
          <w:rFonts w:ascii="Times New Roman" w:hAnsi="Times New Roman"/>
          <w:noProof/>
          <w:sz w:val="24"/>
          <w:vertAlign w:val="superscript"/>
        </w:rPr>
        <w:footnoteReference w:id="28"/>
      </w:r>
      <w:r>
        <w:rPr>
          <w:rFonts w:ascii="Times New Roman" w:hAnsi="Times New Roman"/>
          <w:noProof/>
          <w:sz w:val="24"/>
        </w:rPr>
        <w:t xml:space="preserve"> Page 26 of the report adds: ‘Intensive farming of some crops (melons or tomatoes) for export is especially detrimental, as irrigation in</w:t>
      </w:r>
      <w:r>
        <w:rPr>
          <w:rFonts w:ascii="Times New Roman" w:hAnsi="Times New Roman"/>
          <w:noProof/>
          <w:sz w:val="24"/>
        </w:rPr>
        <w:t xml:space="preserve"> the region uses fossil groundwater, with potential consequences that have not been clearly assessed.’</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The exact volume and characteristics of the groundwater are still unknown, as is the risk of depleting it, which would be detrimental to natural resourc</w:t>
      </w:r>
      <w:r>
        <w:rPr>
          <w:rFonts w:ascii="Times New Roman" w:hAnsi="Times New Roman"/>
          <w:noProof/>
          <w:sz w:val="24"/>
        </w:rPr>
        <w:t>es in Western Sahara.</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Still, to optimise the use of groundwater today, local (drip) irrigation systems have been introduced for early-growing crops. For a number of years, the Moroccan authorities have also been developing measures to limit water use and </w:t>
      </w:r>
      <w:r>
        <w:rPr>
          <w:rFonts w:ascii="Times New Roman" w:hAnsi="Times New Roman"/>
          <w:noProof/>
          <w:sz w:val="24"/>
        </w:rPr>
        <w:t>raise awareness among users in the form of ‘groundwater contracts’ (work on the contract for Western Sahara is currently ongoing).</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They have also published a call for projects to build seawater desalination plants, mainly to provide drinking water but als</w:t>
      </w:r>
      <w:r>
        <w:rPr>
          <w:rFonts w:ascii="Times New Roman" w:hAnsi="Times New Roman"/>
          <w:noProof/>
          <w:sz w:val="24"/>
        </w:rPr>
        <w:t>o for irrigation, in Dakhla and Boujdour. According to the timetable, the plant in Dakhla should be operational as of 2020. Such infrastructure would make it possible to increase the cultivated surface area to 5 000 hectares, as part of a PPP irrigation pr</w:t>
      </w:r>
      <w:r>
        <w:rPr>
          <w:rFonts w:ascii="Times New Roman" w:hAnsi="Times New Roman"/>
          <w:noProof/>
          <w:sz w:val="24"/>
        </w:rPr>
        <w:t>oject. Actual investment and the timetable for it remain to be confirmed.</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pStyle w:val="Heading4"/>
        <w:rPr>
          <w:rFonts w:eastAsia="Calibri"/>
          <w:noProof/>
        </w:rPr>
      </w:pPr>
      <w:r>
        <w:rPr>
          <w:noProof/>
        </w:rPr>
        <w:t>Looking ahead</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The Green Morocco Plan includes a regional agricultural plan to increase the area of farmland (from 900 to some 5 000 hectares), which could mean increasing productio</w:t>
      </w:r>
      <w:r>
        <w:rPr>
          <w:rFonts w:ascii="Times New Roman" w:hAnsi="Times New Roman"/>
          <w:noProof/>
          <w:sz w:val="24"/>
        </w:rPr>
        <w:t>n to some 500 000 tonnes of early-growing crops. If that happens, the increase in farmland and production could create 60 000 new jobs (depending on task, production techniques and a possible diversification of crops); those jobs would remain in the region</w:t>
      </w:r>
      <w:r>
        <w:rPr>
          <w:rFonts w:ascii="Times New Roman" w:hAnsi="Times New Roman"/>
          <w:noProof/>
          <w:sz w:val="24"/>
        </w:rPr>
        <w:t xml:space="preserve">, generating revenue. Such high-added-value production would have major export potential. To be sustainable, this growth will need to involve responsible use of natural resources, especially water.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Jobs and benefits could also grow when animal products m</w:t>
      </w:r>
      <w:r>
        <w:rPr>
          <w:rFonts w:ascii="Times New Roman" w:hAnsi="Times New Roman"/>
          <w:noProof/>
          <w:sz w:val="24"/>
        </w:rPr>
        <w:t xml:space="preserve">eet the health criteria for access to the EU market. Yet it is hard to tell exactly what the economic and social impact of such exports would be.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It is clearly impossible to say that the overall economic impact of such growth would systematically and dir</w:t>
      </w:r>
      <w:r>
        <w:rPr>
          <w:rFonts w:ascii="Times New Roman" w:hAnsi="Times New Roman"/>
          <w:noProof/>
          <w:sz w:val="24"/>
        </w:rPr>
        <w:t>ectly benefit indigenous people. It can only be assumed that they would benefit, at least indirectly. Several of those interviewed in February 2018 stressed the importance of agriculture for regional growth, suggesting that a lack of tariff preferences wou</w:t>
      </w:r>
      <w:r>
        <w:rPr>
          <w:rFonts w:ascii="Times New Roman" w:hAnsi="Times New Roman"/>
          <w:noProof/>
          <w:sz w:val="24"/>
        </w:rPr>
        <w:t xml:space="preserve">ld end agricultural development in the territory.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pStyle w:val="Heading4"/>
        <w:rPr>
          <w:rFonts w:eastAsia="Calibri"/>
          <w:noProof/>
        </w:rPr>
      </w:pPr>
      <w:r>
        <w:rPr>
          <w:noProof/>
        </w:rPr>
        <w:t>Conclusion</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Crops are grown in Western Sahara, especially early-growing crops (tomatoes and melons), for which there is a big market in the EU. An estimated 64 000 tonnes of such crops are grown, </w:t>
      </w:r>
      <w:r>
        <w:rPr>
          <w:rFonts w:ascii="Times New Roman" w:hAnsi="Times New Roman"/>
          <w:noProof/>
          <w:sz w:val="24"/>
        </w:rPr>
        <w:t>accounting for some 14 000 direct jobs. They have an import value of some EUR 65 million. Without tariff preferences, such exports would be subject to EUR 6.6 million in customs duties.</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Those economic benefits could grow if Western Sahara increases produc</w:t>
      </w:r>
      <w:r>
        <w:rPr>
          <w:rFonts w:ascii="Times New Roman" w:hAnsi="Times New Roman"/>
          <w:noProof/>
          <w:sz w:val="24"/>
        </w:rPr>
        <w:t xml:space="preserve">tion and exports more to the EU under projects currently being planned. That would also increase the number of jobs, which some forecasts say could grow fivefold.  </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Though agricultural production has an impact on water resources, that impact is mitigated </w:t>
      </w:r>
      <w:r>
        <w:rPr>
          <w:rFonts w:ascii="Times New Roman" w:hAnsi="Times New Roman"/>
          <w:noProof/>
          <w:sz w:val="24"/>
        </w:rPr>
        <w:t>by various measures. Overall, there currently seem to be few other viable ways to help the Western Saharan economy grow, while the disadvantages linked to the use of water resources are offset by the economic benefits for the territory.</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pStyle w:val="Heading3"/>
        <w:rPr>
          <w:rFonts w:eastAsia="Calibri"/>
          <w:noProof/>
        </w:rPr>
      </w:pPr>
      <w:bookmarkStart w:id="38" w:name="_Toc514257469"/>
      <w:bookmarkStart w:id="39" w:name="_Toc516249540"/>
      <w:r>
        <w:rPr>
          <w:noProof/>
        </w:rPr>
        <w:t>Fishery products</w:t>
      </w:r>
      <w:bookmarkEnd w:id="38"/>
      <w:bookmarkEnd w:id="39"/>
    </w:p>
    <w:p w:rsidR="00010D35" w:rsidRDefault="00010D35">
      <w:pPr>
        <w:widowControl w:val="0"/>
        <w:spacing w:after="0" w:line="240" w:lineRule="auto"/>
        <w:jc w:val="both"/>
        <w:rPr>
          <w:rFonts w:ascii="Times New Roman" w:hAnsi="Times New Roman" w:cs="Times New Roman"/>
          <w:noProof/>
          <w:sz w:val="24"/>
          <w:szCs w:val="24"/>
          <w:highlight w:val="yellow"/>
        </w:rPr>
      </w:pPr>
    </w:p>
    <w:p w:rsidR="00010D35" w:rsidRDefault="009E6C92">
      <w:pPr>
        <w:pStyle w:val="Heading4"/>
        <w:rPr>
          <w:noProof/>
        </w:rPr>
      </w:pPr>
      <w:r>
        <w:rPr>
          <w:noProof/>
        </w:rPr>
        <w:t xml:space="preserve">Introduction </w:t>
      </w:r>
    </w:p>
    <w:p w:rsidR="00010D35" w:rsidRDefault="00010D35">
      <w:pPr>
        <w:widowControl w:val="0"/>
        <w:spacing w:after="0" w:line="240" w:lineRule="auto"/>
        <w:jc w:val="both"/>
        <w:rPr>
          <w:rFonts w:ascii="Times New Roman" w:hAnsi="Times New Roman" w:cs="Times New Roman"/>
          <w:noProof/>
          <w:sz w:val="24"/>
          <w:szCs w:val="24"/>
          <w:highlight w:val="yellow"/>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Before looking more closely at the fisheries sector in Western Sahara, recall that the aim of this report is to assess the impact of the Agreement on sustainable development, considering in particular the advantages for local people and the </w:t>
      </w:r>
      <w:r>
        <w:rPr>
          <w:rFonts w:ascii="Times New Roman" w:hAnsi="Times New Roman"/>
          <w:noProof/>
          <w:sz w:val="24"/>
        </w:rPr>
        <w:t>impact of natural resource use on the territory. This means assessing the potential effect of the Agreement on exports from the territory to the EU. A key part of that is determining the origin of the products in question. Products of maritime fishing outs</w:t>
      </w:r>
      <w:r>
        <w:rPr>
          <w:rFonts w:ascii="Times New Roman" w:hAnsi="Times New Roman"/>
          <w:noProof/>
          <w:sz w:val="24"/>
        </w:rPr>
        <w:t>ide territorial waters (12 nautical miles) acquire the origin of the fishing vessel which caught them. The conditions on the origin of fishery products, laid down in Article 5 of Protocol 4 of the Association Agreement, state that fish caught by a vessel o</w:t>
      </w:r>
      <w:r>
        <w:rPr>
          <w:rFonts w:ascii="Times New Roman" w:hAnsi="Times New Roman"/>
          <w:noProof/>
          <w:sz w:val="24"/>
        </w:rPr>
        <w:t>f a party to the Agreement are regarded as being of preferential origin.</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Fish caught outside territorial waters acquire preferential origin on the basis of vessel ownership, flag, crew and registration (criteria laid down in Protocol 4 of the Association </w:t>
      </w:r>
      <w:r>
        <w:rPr>
          <w:rFonts w:ascii="Times New Roman" w:hAnsi="Times New Roman"/>
          <w:noProof/>
          <w:sz w:val="24"/>
        </w:rPr>
        <w:t>Agreement). As no fishing fleet flies a Western Saharan flag, fish caught (outside territorial waters) never acquire Western Saharan preferential origin. It is only at the processing stage that a processed product may acquire Western Saharan origin and enj</w:t>
      </w:r>
      <w:r>
        <w:rPr>
          <w:rFonts w:ascii="Times New Roman" w:hAnsi="Times New Roman"/>
          <w:noProof/>
          <w:sz w:val="24"/>
        </w:rPr>
        <w:t>oy tariff preferences, through cumulation of origin</w:t>
      </w:r>
      <w:r>
        <w:rPr>
          <w:rStyle w:val="FootnoteReference"/>
          <w:rFonts w:ascii="Times New Roman" w:hAnsi="Times New Roman"/>
          <w:noProof/>
          <w:sz w:val="24"/>
        </w:rPr>
        <w:footnoteReference w:id="29"/>
      </w:r>
      <w:r>
        <w:rPr>
          <w:rFonts w:ascii="Times New Roman" w:hAnsi="Times New Roman"/>
          <w:noProof/>
          <w:sz w:val="24"/>
        </w:rPr>
        <w:t>.</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Therefore, to assess the impact of the Agreement, this study must focus on the processing of fishery products in the territory of Western Sahara and the impact which granting or refusing preferences wo</w:t>
      </w:r>
      <w:r>
        <w:rPr>
          <w:rFonts w:ascii="Times New Roman" w:hAnsi="Times New Roman"/>
          <w:noProof/>
          <w:sz w:val="24"/>
        </w:rPr>
        <w:t>uld have on that production. This does not include fishing activity or the location (waters) where it takes place, which are of limited relevance to the aim of this analysis.</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Processed products are generally from fish caught along the coast of Western Sah</w:t>
      </w:r>
      <w:r>
        <w:rPr>
          <w:rFonts w:ascii="Times New Roman" w:hAnsi="Times New Roman"/>
          <w:noProof/>
          <w:sz w:val="24"/>
        </w:rPr>
        <w:t>ara, within territorial waters (12 miles) or in the adjacent EEZ (200 miles), but may also be from fish caught outside that zone (Moroccan territorial waters or EEZ).</w:t>
      </w:r>
    </w:p>
    <w:p w:rsidR="00010D35" w:rsidRDefault="009E6C92">
      <w:pPr>
        <w:pStyle w:val="Heading4"/>
        <w:rPr>
          <w:noProof/>
        </w:rPr>
      </w:pPr>
      <w:r>
        <w:rPr>
          <w:noProof/>
        </w:rPr>
        <w:t>Fisheries in Western Sahara</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Most of the fisheries sector is in Laâyoune, Boujdour and Da</w:t>
      </w:r>
      <w:r>
        <w:rPr>
          <w:rFonts w:ascii="Times New Roman" w:hAnsi="Times New Roman"/>
          <w:noProof/>
          <w:sz w:val="24"/>
        </w:rPr>
        <w:t>khla. According to Morocco, those towns have 141 fish processing companies, directly or indirectly employing some 90 000 people and processing products worth an estimated MAD 4.9 billion (some EUR 450 million), of which MAD 2.6 billion (around EUR 240 mill</w:t>
      </w:r>
      <w:r>
        <w:rPr>
          <w:rFonts w:ascii="Times New Roman" w:hAnsi="Times New Roman"/>
          <w:noProof/>
          <w:sz w:val="24"/>
        </w:rPr>
        <w:t>ion) are for export (some 60 % of those being for the EU).</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fisheries and fish processing sector is the main sector providing employment in the territory, as well as the main export sector</w:t>
      </w:r>
      <w:r>
        <w:rPr>
          <w:rStyle w:val="FootnoteReference"/>
          <w:rFonts w:ascii="Times New Roman" w:hAnsi="Times New Roman"/>
          <w:noProof/>
          <w:sz w:val="24"/>
        </w:rPr>
        <w:footnoteReference w:id="30"/>
      </w:r>
      <w:r>
        <w:rPr>
          <w:rFonts w:ascii="Times New Roman" w:hAnsi="Times New Roman"/>
          <w:noProof/>
          <w:sz w:val="24"/>
        </w:rPr>
        <w:t>. Still, most fish are not processed, as there are not enough p</w:t>
      </w:r>
      <w:r>
        <w:rPr>
          <w:rFonts w:ascii="Times New Roman" w:hAnsi="Times New Roman"/>
          <w:noProof/>
          <w:sz w:val="24"/>
        </w:rPr>
        <w:t>rocessing plants for products to be better utilised</w:t>
      </w:r>
      <w:r>
        <w:rPr>
          <w:rStyle w:val="FootnoteReference"/>
          <w:rFonts w:ascii="Times New Roman" w:hAnsi="Times New Roman"/>
          <w:noProof/>
          <w:sz w:val="24"/>
        </w:rPr>
        <w:footnoteReference w:id="31"/>
      </w:r>
      <w:r>
        <w:rPr>
          <w:rFonts w:ascii="Times New Roman" w:hAnsi="Times New Roman"/>
          <w:noProof/>
          <w:sz w:val="24"/>
        </w:rPr>
        <w:t>. So this is one of the sectors with the greatest potential for growth and jobs in Western Sahara.</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EU has helped develop the processing of fishery products in Western Sahara. Under the sectoral suppo</w:t>
      </w:r>
      <w:r>
        <w:rPr>
          <w:rFonts w:ascii="Times New Roman" w:hAnsi="Times New Roman"/>
          <w:noProof/>
          <w:sz w:val="24"/>
        </w:rPr>
        <w:t>rt provisions of the Protocol to the Fisheries Partnership Agreement between the EU and Morocco, the EU has also financed a large number of actions, including infrastructure and equipment, to improve competitiveness and create jobs in the fish processing s</w:t>
      </w:r>
      <w:r>
        <w:rPr>
          <w:rFonts w:ascii="Times New Roman" w:hAnsi="Times New Roman"/>
          <w:noProof/>
          <w:sz w:val="24"/>
        </w:rPr>
        <w:t>ector.</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pStyle w:val="Heading4"/>
        <w:rPr>
          <w:noProof/>
        </w:rPr>
      </w:pPr>
      <w:r>
        <w:rPr>
          <w:noProof/>
        </w:rPr>
        <w:t xml:space="preserve"> Exports of fishery products to the EU</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w:t>
      </w:r>
      <w:r>
        <w:rPr>
          <w:rFonts w:ascii="Times New Roman" w:hAnsi="Times New Roman"/>
          <w:b/>
          <w:noProof/>
          <w:sz w:val="24"/>
        </w:rPr>
        <w:t>exports of fishery products</w:t>
      </w:r>
      <w:r>
        <w:rPr>
          <w:rStyle w:val="FootnoteReference"/>
          <w:rFonts w:ascii="Times New Roman" w:hAnsi="Times New Roman"/>
          <w:noProof/>
          <w:sz w:val="24"/>
        </w:rPr>
        <w:footnoteReference w:id="32"/>
      </w:r>
      <w:r>
        <w:rPr>
          <w:rFonts w:ascii="Times New Roman" w:hAnsi="Times New Roman"/>
          <w:b/>
          <w:noProof/>
          <w:sz w:val="24"/>
        </w:rPr>
        <w:t xml:space="preserve"> from Western Sahara to the EU</w:t>
      </w:r>
      <w:r>
        <w:rPr>
          <w:rFonts w:ascii="Times New Roman" w:hAnsi="Times New Roman"/>
          <w:noProof/>
          <w:sz w:val="24"/>
        </w:rPr>
        <w:t xml:space="preserve"> and duties not paid because of the preferences established in the EU-Morocco Association Agreement are as follows:</w:t>
      </w:r>
    </w:p>
    <w:p w:rsidR="00010D35" w:rsidRDefault="00010D35">
      <w:pPr>
        <w:widowControl w:val="0"/>
        <w:spacing w:after="0" w:line="240" w:lineRule="auto"/>
        <w:jc w:val="both"/>
        <w:rPr>
          <w:rFonts w:ascii="Times New Roman" w:hAnsi="Times New Roman" w:cs="Times New Roman"/>
          <w:noProof/>
          <w:sz w:val="24"/>
          <w:szCs w:val="24"/>
        </w:rPr>
      </w:pPr>
    </w:p>
    <w:tbl>
      <w:tblPr>
        <w:tblStyle w:val="TableGrid"/>
        <w:tblW w:w="0" w:type="auto"/>
        <w:tblInd w:w="708" w:type="dxa"/>
        <w:tblLook w:val="04A0" w:firstRow="1" w:lastRow="0" w:firstColumn="1" w:lastColumn="0" w:noHBand="0" w:noVBand="1"/>
      </w:tblPr>
      <w:tblGrid>
        <w:gridCol w:w="2188"/>
        <w:gridCol w:w="1191"/>
        <w:gridCol w:w="996"/>
        <w:gridCol w:w="1016"/>
        <w:gridCol w:w="1176"/>
        <w:gridCol w:w="996"/>
        <w:gridCol w:w="1016"/>
      </w:tblGrid>
      <w:tr w:rsidR="00010D35">
        <w:tc>
          <w:tcPr>
            <w:tcW w:w="2876" w:type="dxa"/>
            <w:tcBorders>
              <w:top w:val="nil"/>
              <w:left w:val="nil"/>
              <w:bottom w:val="nil"/>
            </w:tcBorders>
            <w:vAlign w:val="center"/>
          </w:tcPr>
          <w:p w:rsidR="00010D35" w:rsidRDefault="00010D35">
            <w:pPr>
              <w:widowControl w:val="0"/>
              <w:jc w:val="center"/>
              <w:rPr>
                <w:rFonts w:ascii="Times New Roman" w:hAnsi="Times New Roman" w:cs="Times New Roman"/>
                <w:noProof/>
                <w:sz w:val="24"/>
                <w:szCs w:val="24"/>
              </w:rPr>
            </w:pPr>
          </w:p>
        </w:tc>
        <w:tc>
          <w:tcPr>
            <w:tcW w:w="3000" w:type="dxa"/>
            <w:gridSpan w:val="3"/>
            <w:tcBorders>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2704" w:type="dxa"/>
            <w:gridSpan w:val="3"/>
            <w:tcBorders>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2016</w:t>
            </w:r>
          </w:p>
        </w:tc>
      </w:tr>
      <w:tr w:rsidR="00010D35">
        <w:tc>
          <w:tcPr>
            <w:tcW w:w="2876" w:type="dxa"/>
            <w:tcBorders>
              <w:top w:val="nil"/>
              <w:left w:val="nil"/>
              <w:bottom w:val="nil"/>
            </w:tcBorders>
            <w:vAlign w:val="center"/>
          </w:tcPr>
          <w:p w:rsidR="00010D35" w:rsidRDefault="00010D35">
            <w:pPr>
              <w:widowControl w:val="0"/>
              <w:jc w:val="center"/>
              <w:rPr>
                <w:rFonts w:ascii="Times New Roman" w:hAnsi="Times New Roman" w:cs="Times New Roman"/>
                <w:noProof/>
                <w:sz w:val="24"/>
                <w:szCs w:val="24"/>
              </w:rPr>
            </w:pPr>
          </w:p>
        </w:tc>
        <w:tc>
          <w:tcPr>
            <w:tcW w:w="1200" w:type="dxa"/>
            <w:tcBorders>
              <w:top w:val="nil"/>
              <w:bottom w:val="nil"/>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0"/>
                <w:szCs w:val="20"/>
              </w:rPr>
            </w:pPr>
            <w:r>
              <w:rPr>
                <w:rFonts w:ascii="Times New Roman" w:hAnsi="Times New Roman"/>
                <w:b/>
                <w:noProof/>
                <w:sz w:val="20"/>
              </w:rPr>
              <w:t>Value of imports</w:t>
            </w:r>
          </w:p>
        </w:tc>
        <w:tc>
          <w:tcPr>
            <w:tcW w:w="1800" w:type="dxa"/>
            <w:gridSpan w:val="2"/>
            <w:tcBorders>
              <w:top w:val="nil"/>
              <w:left w:val="nil"/>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0"/>
                <w:szCs w:val="20"/>
              </w:rPr>
            </w:pPr>
            <w:r>
              <w:rPr>
                <w:rFonts w:ascii="Times New Roman" w:hAnsi="Times New Roman"/>
                <w:b/>
                <w:noProof/>
                <w:sz w:val="20"/>
              </w:rPr>
              <w:t>Amount of import duties</w:t>
            </w:r>
          </w:p>
        </w:tc>
        <w:tc>
          <w:tcPr>
            <w:tcW w:w="1080" w:type="dxa"/>
            <w:tcBorders>
              <w:top w:val="nil"/>
              <w:bottom w:val="nil"/>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0"/>
                <w:szCs w:val="20"/>
              </w:rPr>
            </w:pPr>
            <w:r>
              <w:rPr>
                <w:rFonts w:ascii="Times New Roman" w:hAnsi="Times New Roman"/>
                <w:b/>
                <w:noProof/>
                <w:sz w:val="20"/>
              </w:rPr>
              <w:t>Value of imports</w:t>
            </w:r>
          </w:p>
        </w:tc>
        <w:tc>
          <w:tcPr>
            <w:tcW w:w="1624" w:type="dxa"/>
            <w:gridSpan w:val="2"/>
            <w:tcBorders>
              <w:top w:val="nil"/>
              <w:left w:val="nil"/>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0"/>
                <w:szCs w:val="20"/>
              </w:rPr>
            </w:pPr>
            <w:r>
              <w:rPr>
                <w:rFonts w:ascii="Times New Roman" w:hAnsi="Times New Roman"/>
                <w:b/>
                <w:noProof/>
                <w:sz w:val="20"/>
              </w:rPr>
              <w:t xml:space="preserve">Amount of import duties </w:t>
            </w:r>
          </w:p>
        </w:tc>
      </w:tr>
      <w:tr w:rsidR="00010D35">
        <w:tc>
          <w:tcPr>
            <w:tcW w:w="2876" w:type="dxa"/>
            <w:tcBorders>
              <w:top w:val="nil"/>
              <w:left w:val="nil"/>
            </w:tcBorders>
            <w:vAlign w:val="center"/>
          </w:tcPr>
          <w:p w:rsidR="00010D35" w:rsidRDefault="00010D35">
            <w:pPr>
              <w:widowControl w:val="0"/>
              <w:jc w:val="center"/>
              <w:rPr>
                <w:rFonts w:ascii="Times New Roman" w:hAnsi="Times New Roman" w:cs="Times New Roman"/>
                <w:noProof/>
                <w:sz w:val="24"/>
                <w:szCs w:val="24"/>
              </w:rPr>
            </w:pPr>
          </w:p>
        </w:tc>
        <w:tc>
          <w:tcPr>
            <w:tcW w:w="1200" w:type="dxa"/>
            <w:tcBorders>
              <w:top w:val="nil"/>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960" w:type="dxa"/>
            <w:tcBorders>
              <w:top w:val="nil"/>
              <w:left w:val="nil"/>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840" w:type="dxa"/>
            <w:tcBorders>
              <w:top w:val="nil"/>
              <w:lef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Average duty</w:t>
            </w:r>
          </w:p>
        </w:tc>
        <w:tc>
          <w:tcPr>
            <w:tcW w:w="1080" w:type="dxa"/>
            <w:tcBorders>
              <w:top w:val="nil"/>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809" w:type="dxa"/>
            <w:tcBorders>
              <w:top w:val="nil"/>
              <w:left w:val="nil"/>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815" w:type="dxa"/>
            <w:tcBorders>
              <w:top w:val="nil"/>
              <w:lef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Average duty</w:t>
            </w:r>
          </w:p>
        </w:tc>
      </w:tr>
      <w:tr w:rsidR="00010D35">
        <w:tc>
          <w:tcPr>
            <w:tcW w:w="2876"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Morocco and Western Sahara</w:t>
            </w:r>
          </w:p>
        </w:tc>
        <w:tc>
          <w:tcPr>
            <w:tcW w:w="120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1 087 952</w:t>
            </w:r>
          </w:p>
        </w:tc>
        <w:tc>
          <w:tcPr>
            <w:tcW w:w="96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133 356</w:t>
            </w:r>
          </w:p>
        </w:tc>
        <w:tc>
          <w:tcPr>
            <w:tcW w:w="840" w:type="dxa"/>
            <w:tcBorders>
              <w:bottom w:val="single" w:sz="4" w:space="0" w:color="auto"/>
            </w:tcBorders>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12.3 %</w:t>
            </w:r>
          </w:p>
        </w:tc>
        <w:tc>
          <w:tcPr>
            <w:tcW w:w="108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1 171 854</w:t>
            </w:r>
          </w:p>
        </w:tc>
        <w:tc>
          <w:tcPr>
            <w:tcW w:w="809"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136 562</w:t>
            </w:r>
          </w:p>
        </w:tc>
        <w:tc>
          <w:tcPr>
            <w:tcW w:w="815" w:type="dxa"/>
            <w:tcBorders>
              <w:bottom w:val="single" w:sz="4" w:space="0" w:color="auto"/>
            </w:tcBorders>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11.7 %</w:t>
            </w:r>
          </w:p>
        </w:tc>
      </w:tr>
      <w:tr w:rsidR="00010D35">
        <w:tc>
          <w:tcPr>
            <w:tcW w:w="2876" w:type="dxa"/>
            <w:tcBorders>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Western Sahara</w:t>
            </w:r>
            <w:r>
              <w:rPr>
                <w:rFonts w:ascii="Times New Roman" w:hAnsi="Times New Roman" w:cs="Times New Roman"/>
                <w:noProof/>
                <w:sz w:val="24"/>
                <w:szCs w:val="24"/>
              </w:rPr>
              <w:br/>
            </w:r>
            <w:r>
              <w:rPr>
                <w:rFonts w:ascii="Times New Roman" w:hAnsi="Times New Roman"/>
                <w:noProof/>
                <w:sz w:val="24"/>
              </w:rPr>
              <w:t>%</w:t>
            </w:r>
          </w:p>
        </w:tc>
        <w:tc>
          <w:tcPr>
            <w:tcW w:w="1200" w:type="dxa"/>
            <w:tcBorders>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121 823</w:t>
            </w:r>
            <w:r>
              <w:rPr>
                <w:rFonts w:ascii="Times New Roman" w:hAnsi="Times New Roman" w:cs="Times New Roman"/>
                <w:noProof/>
                <w:sz w:val="24"/>
                <w:szCs w:val="24"/>
              </w:rPr>
              <w:br/>
            </w:r>
            <w:r>
              <w:rPr>
                <w:rFonts w:ascii="Times New Roman" w:hAnsi="Times New Roman"/>
                <w:i/>
                <w:noProof/>
                <w:sz w:val="24"/>
              </w:rPr>
              <w:t>11.2 %</w:t>
            </w:r>
          </w:p>
        </w:tc>
        <w:tc>
          <w:tcPr>
            <w:tcW w:w="960" w:type="dxa"/>
            <w:tcBorders>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9 093</w:t>
            </w:r>
            <w:r>
              <w:rPr>
                <w:rFonts w:ascii="Times New Roman" w:hAnsi="Times New Roman" w:cs="Times New Roman"/>
                <w:noProof/>
                <w:sz w:val="24"/>
                <w:szCs w:val="24"/>
              </w:rPr>
              <w:br/>
            </w:r>
            <w:r>
              <w:rPr>
                <w:rFonts w:ascii="Times New Roman" w:hAnsi="Times New Roman"/>
                <w:i/>
                <w:noProof/>
                <w:sz w:val="24"/>
              </w:rPr>
              <w:t>6.8 %</w:t>
            </w:r>
          </w:p>
        </w:tc>
        <w:tc>
          <w:tcPr>
            <w:tcW w:w="840" w:type="dxa"/>
            <w:tcBorders>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7.5 %</w:t>
            </w:r>
          </w:p>
        </w:tc>
        <w:tc>
          <w:tcPr>
            <w:tcW w:w="1080" w:type="dxa"/>
            <w:tcBorders>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134 010</w:t>
            </w:r>
            <w:r>
              <w:rPr>
                <w:rFonts w:ascii="Times New Roman" w:hAnsi="Times New Roman" w:cs="Times New Roman"/>
                <w:noProof/>
                <w:sz w:val="24"/>
                <w:szCs w:val="24"/>
              </w:rPr>
              <w:br/>
            </w:r>
            <w:r>
              <w:rPr>
                <w:rFonts w:ascii="Times New Roman" w:hAnsi="Times New Roman"/>
                <w:i/>
                <w:noProof/>
                <w:sz w:val="24"/>
              </w:rPr>
              <w:t>11.4 %</w:t>
            </w:r>
          </w:p>
        </w:tc>
        <w:tc>
          <w:tcPr>
            <w:tcW w:w="809" w:type="dxa"/>
            <w:tcBorders>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9 477</w:t>
            </w:r>
            <w:r>
              <w:rPr>
                <w:rFonts w:ascii="Times New Roman" w:hAnsi="Times New Roman" w:cs="Times New Roman"/>
                <w:noProof/>
                <w:sz w:val="24"/>
                <w:szCs w:val="24"/>
              </w:rPr>
              <w:br/>
            </w:r>
            <w:r>
              <w:rPr>
                <w:rFonts w:ascii="Times New Roman" w:hAnsi="Times New Roman"/>
                <w:i/>
                <w:noProof/>
                <w:sz w:val="24"/>
              </w:rPr>
              <w:t>6.9 %</w:t>
            </w:r>
          </w:p>
        </w:tc>
        <w:tc>
          <w:tcPr>
            <w:tcW w:w="815" w:type="dxa"/>
            <w:tcBorders>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7.1 %</w:t>
            </w:r>
          </w:p>
        </w:tc>
      </w:tr>
      <w:tr w:rsidR="00010D35">
        <w:tc>
          <w:tcPr>
            <w:tcW w:w="2876"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120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96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84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108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809"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815"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r>
      <w:tr w:rsidR="00010D35">
        <w:tc>
          <w:tcPr>
            <w:tcW w:w="8580" w:type="dxa"/>
            <w:gridSpan w:val="7"/>
            <w:tcBorders>
              <w:top w:val="nil"/>
              <w:left w:val="nil"/>
              <w:bottom w:val="nil"/>
              <w:right w:val="nil"/>
            </w:tcBorders>
            <w:vAlign w:val="center"/>
          </w:tcPr>
          <w:p w:rsidR="00010D35" w:rsidRDefault="009E6C92">
            <w:pPr>
              <w:widowControl w:val="0"/>
              <w:jc w:val="center"/>
              <w:rPr>
                <w:rFonts w:ascii="Times New Roman" w:hAnsi="Times New Roman" w:cs="Times New Roman"/>
                <w:i/>
                <w:noProof/>
                <w:sz w:val="24"/>
                <w:szCs w:val="24"/>
              </w:rPr>
            </w:pPr>
            <w:r>
              <w:rPr>
                <w:rFonts w:ascii="Times New Roman" w:hAnsi="Times New Roman"/>
                <w:i/>
                <w:noProof/>
                <w:sz w:val="24"/>
              </w:rPr>
              <w:t>€/MAD exchange rate used: 10.819 (2015) and 10.836 (2016)</w:t>
            </w:r>
          </w:p>
        </w:tc>
      </w:tr>
    </w:tbl>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According to Morocco,</w:t>
      </w:r>
      <w:r>
        <w:rPr>
          <w:rFonts w:ascii="Times New Roman" w:hAnsi="Times New Roman"/>
          <w:b/>
          <w:noProof/>
          <w:sz w:val="24"/>
        </w:rPr>
        <w:t xml:space="preserve"> exports from Western Sahara amounted to 44 891 tonnes in 2015 and 54 637 tonnes in 2016</w:t>
      </w:r>
      <w:r>
        <w:rPr>
          <w:rStyle w:val="FootnoteReference"/>
          <w:rFonts w:ascii="Times New Roman" w:hAnsi="Times New Roman"/>
          <w:noProof/>
          <w:sz w:val="24"/>
        </w:rPr>
        <w:footnoteReference w:id="33"/>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w:t>
      </w:r>
      <w:r>
        <w:rPr>
          <w:rFonts w:ascii="Times New Roman" w:hAnsi="Times New Roman"/>
          <w:b/>
          <w:noProof/>
          <w:sz w:val="24"/>
        </w:rPr>
        <w:t xml:space="preserve">Imports from Western </w:t>
      </w:r>
      <w:r>
        <w:rPr>
          <w:rFonts w:ascii="Times New Roman" w:hAnsi="Times New Roman"/>
          <w:b/>
          <w:noProof/>
          <w:sz w:val="24"/>
        </w:rPr>
        <w:t>Sahara amounted to EUR 121 million in 2015 and EUR 134 million in 2016</w:t>
      </w:r>
      <w:r>
        <w:rPr>
          <w:rFonts w:ascii="Times New Roman" w:hAnsi="Times New Roman"/>
          <w:noProof/>
          <w:sz w:val="24"/>
        </w:rPr>
        <w:t>, representing just over 11 % of the total value of imports from Morocco and Western Sahara</w:t>
      </w:r>
      <w:r>
        <w:rPr>
          <w:rStyle w:val="FootnoteReference"/>
          <w:rFonts w:ascii="Times New Roman" w:hAnsi="Times New Roman"/>
          <w:noProof/>
          <w:sz w:val="24"/>
        </w:rPr>
        <w:footnoteReference w:id="35"/>
      </w:r>
      <w:r>
        <w:rPr>
          <w:rFonts w:ascii="Times New Roman" w:hAnsi="Times New Roman"/>
          <w:noProof/>
          <w:sz w:val="24"/>
        </w:rPr>
        <w:t>.</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Thus, the Moroccan figures for the value of exports of fishery products from Western Sahara</w:t>
      </w:r>
      <w:r>
        <w:rPr>
          <w:rFonts w:ascii="Times New Roman" w:hAnsi="Times New Roman"/>
          <w:noProof/>
          <w:sz w:val="24"/>
        </w:rPr>
        <w:t xml:space="preserve"> to the EU are lower than the EU figures for imports, while the Moroccan figures for total exports from Morocco and Western Sahara to the EU (EUR 1.01 billion in 2015 and EUR 1.14 billion in 2016) are comparable to the EU figures. In terms of preferential </w:t>
      </w:r>
      <w:r>
        <w:rPr>
          <w:rFonts w:ascii="Times New Roman" w:hAnsi="Times New Roman"/>
          <w:noProof/>
          <w:sz w:val="24"/>
        </w:rPr>
        <w:t>concessions, the following table shows the amount of duties not collected because of application of the tariff preferences established in the EU-Morocco Association Agreement as being between EUR 9 and 9.5 million per year.</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As regards fish processing site</w:t>
      </w:r>
      <w:r>
        <w:rPr>
          <w:rFonts w:ascii="Times New Roman" w:hAnsi="Times New Roman"/>
          <w:noProof/>
          <w:sz w:val="24"/>
        </w:rPr>
        <w:t>s in Western Sahara, exports to the EU must come from ‘authorised’ sites or processing/storage companies. The list of authorised sites is publicly available on the website of the Directorate-General for Health and Food Safety of the European Commission (DG</w:t>
      </w:r>
      <w:r>
        <w:rPr>
          <w:rFonts w:ascii="Times New Roman" w:hAnsi="Times New Roman"/>
          <w:noProof/>
          <w:sz w:val="24"/>
        </w:rPr>
        <w:t xml:space="preserve"> SANTE)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36"/>
      </w:r>
      <w:r>
        <w:rPr>
          <w:rStyle w:val="Hyperlink"/>
          <w:rFonts w:ascii="Times New Roman" w:hAnsi="Times New Roman"/>
          <w:noProof/>
          <w:sz w:val="24"/>
          <w:u w:val="none"/>
        </w:rPr>
        <w:t>.</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That list shows the authorised sites for processing fishery and aquaculture products in the territory as being in the three coastal towns of Dakhla (in the south), Laâyoune (in the north) and Boujdour (in the centre).</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the numbers of </w:t>
      </w:r>
      <w:r>
        <w:rPr>
          <w:rFonts w:ascii="Times New Roman" w:hAnsi="Times New Roman"/>
          <w:b/>
          <w:noProof/>
          <w:sz w:val="24"/>
        </w:rPr>
        <w:t>direct jobs</w:t>
      </w:r>
      <w:r>
        <w:rPr>
          <w:rFonts w:ascii="Times New Roman" w:hAnsi="Times New Roman"/>
          <w:noProof/>
          <w:sz w:val="24"/>
        </w:rPr>
        <w:t xml:space="preserve"> in sites exporting to the EU, including some factory ships, are as follows:</w:t>
      </w:r>
    </w:p>
    <w:p w:rsidR="00010D35" w:rsidRDefault="00010D35">
      <w:pPr>
        <w:widowControl w:val="0"/>
        <w:spacing w:after="0" w:line="240" w:lineRule="auto"/>
        <w:jc w:val="both"/>
        <w:rPr>
          <w:rFonts w:ascii="Times New Roman" w:hAnsi="Times New Roman" w:cs="Times New Roman"/>
          <w:noProof/>
          <w:sz w:val="24"/>
          <w:szCs w:val="24"/>
        </w:rPr>
      </w:pPr>
    </w:p>
    <w:tbl>
      <w:tblPr>
        <w:tblStyle w:val="TableGrid"/>
        <w:tblW w:w="0" w:type="auto"/>
        <w:tblInd w:w="1024" w:type="dxa"/>
        <w:tblLook w:val="04A0" w:firstRow="1" w:lastRow="0" w:firstColumn="1" w:lastColumn="0" w:noHBand="0" w:noVBand="1"/>
      </w:tblPr>
      <w:tblGrid>
        <w:gridCol w:w="1295"/>
        <w:gridCol w:w="1723"/>
        <w:gridCol w:w="1101"/>
        <w:gridCol w:w="1080"/>
        <w:gridCol w:w="1080"/>
        <w:gridCol w:w="1140"/>
      </w:tblGrid>
      <w:tr w:rsidR="00010D35">
        <w:tc>
          <w:tcPr>
            <w:tcW w:w="1295" w:type="dxa"/>
            <w:vMerge w:val="restart"/>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Town</w:t>
            </w:r>
          </w:p>
        </w:tc>
        <w:tc>
          <w:tcPr>
            <w:tcW w:w="1723" w:type="dxa"/>
            <w:vMerge w:val="restart"/>
            <w:shd w:val="clear" w:color="auto" w:fill="C9C4C6" w:themeFill="background1" w:themeFillShade="D9"/>
            <w:vAlign w:val="center"/>
          </w:tcPr>
          <w:p w:rsidR="00010D35" w:rsidRDefault="009E6C92">
            <w:pPr>
              <w:widowControl w:val="0"/>
              <w:jc w:val="center"/>
              <w:rPr>
                <w:rFonts w:ascii="Times New Roman" w:hAnsi="Times New Roman" w:cs="Times New Roman"/>
                <w:noProof/>
                <w:color w:val="FF0000"/>
                <w:sz w:val="24"/>
                <w:szCs w:val="24"/>
              </w:rPr>
            </w:pPr>
            <w:r>
              <w:rPr>
                <w:rFonts w:ascii="Times New Roman" w:hAnsi="Times New Roman"/>
                <w:b/>
                <w:noProof/>
                <w:sz w:val="24"/>
              </w:rPr>
              <w:t>Number of sites</w:t>
            </w:r>
          </w:p>
        </w:tc>
        <w:tc>
          <w:tcPr>
            <w:tcW w:w="4401" w:type="dxa"/>
            <w:gridSpan w:val="4"/>
            <w:tcBorders>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Number of workers</w:t>
            </w:r>
          </w:p>
        </w:tc>
      </w:tr>
      <w:tr w:rsidR="00010D35">
        <w:tc>
          <w:tcPr>
            <w:tcW w:w="1295" w:type="dxa"/>
            <w:vMerge/>
            <w:shd w:val="clear" w:color="auto" w:fill="C9C4C6" w:themeFill="background1" w:themeFillShade="D9"/>
            <w:vAlign w:val="center"/>
          </w:tcPr>
          <w:p w:rsidR="00010D35" w:rsidRDefault="00010D35">
            <w:pPr>
              <w:widowControl w:val="0"/>
              <w:jc w:val="center"/>
              <w:rPr>
                <w:rFonts w:ascii="Times New Roman" w:hAnsi="Times New Roman" w:cs="Times New Roman"/>
                <w:b/>
                <w:noProof/>
                <w:sz w:val="24"/>
                <w:szCs w:val="24"/>
              </w:rPr>
            </w:pPr>
          </w:p>
        </w:tc>
        <w:tc>
          <w:tcPr>
            <w:tcW w:w="1723" w:type="dxa"/>
            <w:vMerge/>
            <w:shd w:val="clear" w:color="auto" w:fill="C9C4C6" w:themeFill="background1" w:themeFillShade="D9"/>
            <w:vAlign w:val="center"/>
          </w:tcPr>
          <w:p w:rsidR="00010D35" w:rsidRDefault="00010D35">
            <w:pPr>
              <w:widowControl w:val="0"/>
              <w:jc w:val="center"/>
              <w:rPr>
                <w:rFonts w:ascii="Times New Roman" w:hAnsi="Times New Roman" w:cs="Times New Roman"/>
                <w:b/>
                <w:noProof/>
                <w:sz w:val="24"/>
                <w:szCs w:val="24"/>
              </w:rPr>
            </w:pPr>
          </w:p>
        </w:tc>
        <w:tc>
          <w:tcPr>
            <w:tcW w:w="2181" w:type="dxa"/>
            <w:gridSpan w:val="2"/>
            <w:tcBorders>
              <w:top w:val="nil"/>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Permanent</w:t>
            </w:r>
          </w:p>
        </w:tc>
        <w:tc>
          <w:tcPr>
            <w:tcW w:w="2220" w:type="dxa"/>
            <w:gridSpan w:val="2"/>
            <w:tcBorders>
              <w:top w:val="nil"/>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Temporary</w:t>
            </w:r>
          </w:p>
        </w:tc>
      </w:tr>
      <w:tr w:rsidR="00010D35">
        <w:tc>
          <w:tcPr>
            <w:tcW w:w="1295" w:type="dxa"/>
            <w:vMerge/>
            <w:shd w:val="clear" w:color="auto" w:fill="C9C4C6" w:themeFill="background1" w:themeFillShade="D9"/>
            <w:vAlign w:val="center"/>
          </w:tcPr>
          <w:p w:rsidR="00010D35" w:rsidRDefault="00010D35">
            <w:pPr>
              <w:widowControl w:val="0"/>
              <w:jc w:val="center"/>
              <w:rPr>
                <w:rFonts w:ascii="Times New Roman" w:hAnsi="Times New Roman" w:cs="Times New Roman"/>
                <w:b/>
                <w:noProof/>
                <w:sz w:val="24"/>
                <w:szCs w:val="24"/>
              </w:rPr>
            </w:pPr>
          </w:p>
        </w:tc>
        <w:tc>
          <w:tcPr>
            <w:tcW w:w="1723" w:type="dxa"/>
            <w:vMerge/>
            <w:shd w:val="clear" w:color="auto" w:fill="C9C4C6" w:themeFill="background1" w:themeFillShade="D9"/>
            <w:vAlign w:val="center"/>
          </w:tcPr>
          <w:p w:rsidR="00010D35" w:rsidRDefault="00010D35">
            <w:pPr>
              <w:widowControl w:val="0"/>
              <w:jc w:val="center"/>
              <w:rPr>
                <w:rFonts w:ascii="Times New Roman" w:hAnsi="Times New Roman" w:cs="Times New Roman"/>
                <w:b/>
                <w:noProof/>
                <w:sz w:val="24"/>
                <w:szCs w:val="24"/>
              </w:rPr>
            </w:pPr>
          </w:p>
        </w:tc>
        <w:tc>
          <w:tcPr>
            <w:tcW w:w="1101" w:type="dxa"/>
            <w:tcBorders>
              <w:top w:val="nil"/>
              <w:bottom w:val="single" w:sz="4" w:space="0" w:color="auto"/>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080" w:type="dxa"/>
            <w:tcBorders>
              <w:top w:val="nil"/>
              <w:left w:val="nil"/>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2016</w:t>
            </w:r>
          </w:p>
        </w:tc>
        <w:tc>
          <w:tcPr>
            <w:tcW w:w="1080" w:type="dxa"/>
            <w:tcBorders>
              <w:top w:val="nil"/>
              <w:bottom w:val="single" w:sz="4" w:space="0" w:color="auto"/>
              <w:right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40" w:type="dxa"/>
            <w:tcBorders>
              <w:top w:val="nil"/>
              <w:left w:val="nil"/>
              <w:bottom w:val="single" w:sz="4" w:space="0" w:color="auto"/>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2016</w:t>
            </w:r>
          </w:p>
        </w:tc>
      </w:tr>
      <w:tr w:rsidR="00010D35">
        <w:tc>
          <w:tcPr>
            <w:tcW w:w="129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Dakhla</w:t>
            </w:r>
          </w:p>
        </w:tc>
        <w:tc>
          <w:tcPr>
            <w:tcW w:w="1723"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89</w:t>
            </w:r>
          </w:p>
        </w:tc>
        <w:tc>
          <w:tcPr>
            <w:tcW w:w="1101" w:type="dxa"/>
            <w:tcBorders>
              <w:righ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1 908</w:t>
            </w:r>
          </w:p>
        </w:tc>
        <w:tc>
          <w:tcPr>
            <w:tcW w:w="1080" w:type="dxa"/>
            <w:tcBorders>
              <w:lef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1 994</w:t>
            </w:r>
          </w:p>
        </w:tc>
        <w:tc>
          <w:tcPr>
            <w:tcW w:w="1080" w:type="dxa"/>
            <w:tcBorders>
              <w:righ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5 723</w:t>
            </w:r>
          </w:p>
        </w:tc>
        <w:tc>
          <w:tcPr>
            <w:tcW w:w="1140" w:type="dxa"/>
            <w:tcBorders>
              <w:lef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5 983</w:t>
            </w:r>
          </w:p>
        </w:tc>
      </w:tr>
      <w:tr w:rsidR="00010D35">
        <w:tc>
          <w:tcPr>
            <w:tcW w:w="129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Laâyoune</w:t>
            </w:r>
          </w:p>
        </w:tc>
        <w:tc>
          <w:tcPr>
            <w:tcW w:w="1723"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48</w:t>
            </w:r>
          </w:p>
        </w:tc>
        <w:tc>
          <w:tcPr>
            <w:tcW w:w="1101" w:type="dxa"/>
            <w:tcBorders>
              <w:righ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1 197</w:t>
            </w:r>
          </w:p>
        </w:tc>
        <w:tc>
          <w:tcPr>
            <w:tcW w:w="1080" w:type="dxa"/>
            <w:tcBorders>
              <w:lef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1 248</w:t>
            </w:r>
          </w:p>
        </w:tc>
        <w:tc>
          <w:tcPr>
            <w:tcW w:w="1080" w:type="dxa"/>
            <w:tcBorders>
              <w:righ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3 591</w:t>
            </w:r>
          </w:p>
        </w:tc>
        <w:tc>
          <w:tcPr>
            <w:tcW w:w="1140" w:type="dxa"/>
            <w:tcBorders>
              <w:lef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3 743</w:t>
            </w:r>
          </w:p>
        </w:tc>
      </w:tr>
      <w:tr w:rsidR="00010D35">
        <w:tc>
          <w:tcPr>
            <w:tcW w:w="129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Boujdour</w:t>
            </w:r>
          </w:p>
        </w:tc>
        <w:tc>
          <w:tcPr>
            <w:tcW w:w="1723"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w:t>
            </w:r>
          </w:p>
        </w:tc>
        <w:tc>
          <w:tcPr>
            <w:tcW w:w="1101" w:type="dxa"/>
            <w:tcBorders>
              <w:righ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118</w:t>
            </w:r>
          </w:p>
        </w:tc>
        <w:tc>
          <w:tcPr>
            <w:tcW w:w="1080" w:type="dxa"/>
            <w:tcBorders>
              <w:lef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124</w:t>
            </w:r>
          </w:p>
        </w:tc>
        <w:tc>
          <w:tcPr>
            <w:tcW w:w="1080" w:type="dxa"/>
            <w:tcBorders>
              <w:righ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354</w:t>
            </w:r>
          </w:p>
        </w:tc>
        <w:tc>
          <w:tcPr>
            <w:tcW w:w="1140" w:type="dxa"/>
            <w:tcBorders>
              <w:left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371</w:t>
            </w:r>
          </w:p>
        </w:tc>
      </w:tr>
      <w:tr w:rsidR="00010D35">
        <w:tc>
          <w:tcPr>
            <w:tcW w:w="1295" w:type="dxa"/>
            <w:tcBorders>
              <w:bottom w:val="single" w:sz="4" w:space="0" w:color="auto"/>
            </w:tcBorders>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Total</w:t>
            </w:r>
          </w:p>
        </w:tc>
        <w:tc>
          <w:tcPr>
            <w:tcW w:w="1723" w:type="dxa"/>
            <w:tcBorders>
              <w:bottom w:val="single" w:sz="4" w:space="0" w:color="auto"/>
            </w:tcBorders>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141</w:t>
            </w:r>
          </w:p>
        </w:tc>
        <w:tc>
          <w:tcPr>
            <w:tcW w:w="1101" w:type="dxa"/>
            <w:tcBorders>
              <w:bottom w:val="single" w:sz="4" w:space="0" w:color="auto"/>
              <w:right w:val="nil"/>
            </w:tcBorders>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3 223</w:t>
            </w:r>
          </w:p>
        </w:tc>
        <w:tc>
          <w:tcPr>
            <w:tcW w:w="1080" w:type="dxa"/>
            <w:tcBorders>
              <w:left w:val="nil"/>
              <w:bottom w:val="single" w:sz="4" w:space="0" w:color="auto"/>
            </w:tcBorders>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3 366</w:t>
            </w:r>
          </w:p>
        </w:tc>
        <w:tc>
          <w:tcPr>
            <w:tcW w:w="1080" w:type="dxa"/>
            <w:tcBorders>
              <w:bottom w:val="single" w:sz="4" w:space="0" w:color="auto"/>
              <w:right w:val="nil"/>
            </w:tcBorders>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9 668</w:t>
            </w:r>
          </w:p>
        </w:tc>
        <w:tc>
          <w:tcPr>
            <w:tcW w:w="1140" w:type="dxa"/>
            <w:tcBorders>
              <w:left w:val="nil"/>
              <w:bottom w:val="single" w:sz="4" w:space="0" w:color="auto"/>
            </w:tcBorders>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10 097</w:t>
            </w:r>
          </w:p>
        </w:tc>
      </w:tr>
      <w:tr w:rsidR="00010D35">
        <w:tc>
          <w:tcPr>
            <w:tcW w:w="7419" w:type="dxa"/>
            <w:gridSpan w:val="6"/>
            <w:tcBorders>
              <w:left w:val="nil"/>
              <w:bottom w:val="nil"/>
              <w:right w:val="nil"/>
            </w:tcBorders>
            <w:vAlign w:val="center"/>
          </w:tcPr>
          <w:p w:rsidR="00010D35" w:rsidRDefault="00010D35">
            <w:pPr>
              <w:widowControl w:val="0"/>
              <w:rPr>
                <w:rFonts w:ascii="Times New Roman" w:hAnsi="Times New Roman" w:cs="Times New Roman"/>
                <w:i/>
                <w:noProof/>
                <w:sz w:val="24"/>
                <w:szCs w:val="24"/>
              </w:rPr>
            </w:pPr>
          </w:p>
        </w:tc>
      </w:tr>
    </w:tbl>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some 50 % of production in those sites is for the EU. This suggests that </w:t>
      </w:r>
      <w:r>
        <w:rPr>
          <w:rFonts w:ascii="Times New Roman" w:hAnsi="Times New Roman"/>
          <w:b/>
          <w:noProof/>
          <w:sz w:val="24"/>
        </w:rPr>
        <w:t>half of those jobs (more than 6 500 people in 2016) depend directly</w:t>
      </w:r>
      <w:r>
        <w:rPr>
          <w:rFonts w:ascii="Times New Roman" w:hAnsi="Times New Roman"/>
          <w:b/>
          <w:noProof/>
          <w:sz w:val="24"/>
        </w:rPr>
        <w:t xml:space="preserve"> on exports to the EU</w:t>
      </w:r>
      <w:r>
        <w:rPr>
          <w:rFonts w:ascii="Times New Roman" w:hAnsi="Times New Roman"/>
          <w:noProof/>
          <w:sz w:val="24"/>
        </w:rPr>
        <w:t>.</w:t>
      </w: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list of sites provided by Morocco matches the list of sites authorised in accordance with EU law.</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pStyle w:val="Heading4"/>
        <w:rPr>
          <w:noProof/>
        </w:rPr>
      </w:pPr>
      <w:r>
        <w:rPr>
          <w:noProof/>
        </w:rPr>
        <w:t>Impact of applying trade preferences</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Extending the preferences established in the EU-Morocco Association Agreement to products </w:t>
      </w:r>
      <w:r>
        <w:rPr>
          <w:rFonts w:ascii="Times New Roman" w:hAnsi="Times New Roman"/>
          <w:noProof/>
          <w:sz w:val="24"/>
        </w:rPr>
        <w:t>from Western Sahara would allow EUR 100-200 million worth of fishery products from Western Sahara to be imported duty-free to the EU. Extending tariff preferences to those exports would mean the EU foregoing EUR 9-9.5 million in duties per year.</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follo</w:t>
      </w:r>
      <w:r>
        <w:rPr>
          <w:rFonts w:ascii="Times New Roman" w:hAnsi="Times New Roman"/>
          <w:noProof/>
          <w:sz w:val="24"/>
        </w:rPr>
        <w:t>wing table shows the main species of fish and seafood exported from the territory in 2015 and 2016 in terms of duties not collected:</w:t>
      </w:r>
    </w:p>
    <w:p w:rsidR="00010D35" w:rsidRDefault="00010D35">
      <w:pPr>
        <w:widowControl w:val="0"/>
        <w:spacing w:after="0" w:line="240" w:lineRule="auto"/>
        <w:jc w:val="both"/>
        <w:rPr>
          <w:rFonts w:ascii="Times New Roman" w:hAnsi="Times New Roman" w:cs="Times New Roman"/>
          <w:noProof/>
          <w:sz w:val="24"/>
          <w:szCs w:val="24"/>
        </w:rPr>
      </w:pPr>
    </w:p>
    <w:tbl>
      <w:tblPr>
        <w:tblStyle w:val="TableGrid"/>
        <w:tblW w:w="0" w:type="auto"/>
        <w:tblInd w:w="823" w:type="dxa"/>
        <w:tblLook w:val="04A0" w:firstRow="1" w:lastRow="0" w:firstColumn="1" w:lastColumn="0" w:noHBand="0" w:noVBand="1"/>
      </w:tblPr>
      <w:tblGrid>
        <w:gridCol w:w="3845"/>
        <w:gridCol w:w="1080"/>
        <w:gridCol w:w="1320"/>
        <w:gridCol w:w="1185"/>
      </w:tblGrid>
      <w:tr w:rsidR="00010D35">
        <w:tc>
          <w:tcPr>
            <w:tcW w:w="3845" w:type="dxa"/>
            <w:vMerge w:val="restart"/>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Species</w:t>
            </w:r>
          </w:p>
        </w:tc>
        <w:tc>
          <w:tcPr>
            <w:tcW w:w="1080" w:type="dxa"/>
            <w:vMerge w:val="restart"/>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 xml:space="preserve">Rate of duty </w:t>
            </w:r>
            <w:r>
              <w:rPr>
                <w:rFonts w:ascii="Times New Roman" w:hAnsi="Times New Roman"/>
                <w:b/>
                <w:noProof/>
                <w:sz w:val="24"/>
                <w:vertAlign w:val="superscript"/>
              </w:rPr>
              <w:t>(*)</w:t>
            </w:r>
          </w:p>
        </w:tc>
        <w:tc>
          <w:tcPr>
            <w:tcW w:w="1320" w:type="dxa"/>
            <w:tcBorders>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85" w:type="dxa"/>
            <w:tcBorders>
              <w:bottom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2016</w:t>
            </w:r>
          </w:p>
        </w:tc>
      </w:tr>
      <w:tr w:rsidR="00010D35">
        <w:tc>
          <w:tcPr>
            <w:tcW w:w="3845" w:type="dxa"/>
            <w:vMerge/>
            <w:shd w:val="clear" w:color="auto" w:fill="C9C4C6" w:themeFill="background1" w:themeFillShade="D9"/>
            <w:vAlign w:val="center"/>
          </w:tcPr>
          <w:p w:rsidR="00010D35" w:rsidRDefault="00010D35">
            <w:pPr>
              <w:widowControl w:val="0"/>
              <w:jc w:val="center"/>
              <w:rPr>
                <w:rFonts w:ascii="Times New Roman" w:hAnsi="Times New Roman" w:cs="Times New Roman"/>
                <w:b/>
                <w:noProof/>
                <w:sz w:val="24"/>
                <w:szCs w:val="24"/>
              </w:rPr>
            </w:pPr>
          </w:p>
        </w:tc>
        <w:tc>
          <w:tcPr>
            <w:tcW w:w="1080" w:type="dxa"/>
            <w:vMerge/>
            <w:shd w:val="clear" w:color="auto" w:fill="C9C4C6" w:themeFill="background1" w:themeFillShade="D9"/>
            <w:vAlign w:val="center"/>
          </w:tcPr>
          <w:p w:rsidR="00010D35" w:rsidRDefault="00010D35">
            <w:pPr>
              <w:widowControl w:val="0"/>
              <w:jc w:val="center"/>
              <w:rPr>
                <w:rFonts w:ascii="Times New Roman" w:hAnsi="Times New Roman" w:cs="Times New Roman"/>
                <w:b/>
                <w:noProof/>
                <w:sz w:val="24"/>
                <w:szCs w:val="24"/>
              </w:rPr>
            </w:pPr>
          </w:p>
        </w:tc>
        <w:tc>
          <w:tcPr>
            <w:tcW w:w="1320" w:type="dxa"/>
            <w:tcBorders>
              <w:top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i/>
                <w:noProof/>
                <w:sz w:val="24"/>
              </w:rPr>
              <w:t>€ 1 000</w:t>
            </w:r>
          </w:p>
        </w:tc>
        <w:tc>
          <w:tcPr>
            <w:tcW w:w="1185" w:type="dxa"/>
            <w:tcBorders>
              <w:top w:val="nil"/>
            </w:tcBorders>
            <w:shd w:val="clear" w:color="auto" w:fill="C9C4C6" w:themeFill="background1" w:themeFillShade="D9"/>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i/>
                <w:noProof/>
                <w:sz w:val="24"/>
              </w:rPr>
              <w:t>€ 1 000</w:t>
            </w:r>
          </w:p>
        </w:tc>
      </w:tr>
      <w:tr w:rsidR="00010D35">
        <w:tc>
          <w:tcPr>
            <w:tcW w:w="384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Octopus, frozen</w:t>
            </w:r>
          </w:p>
        </w:tc>
        <w:tc>
          <w:tcPr>
            <w:tcW w:w="108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8 %</w:t>
            </w:r>
          </w:p>
        </w:tc>
        <w:tc>
          <w:tcPr>
            <w:tcW w:w="132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5 412.73</w:t>
            </w:r>
          </w:p>
        </w:tc>
        <w:tc>
          <w:tcPr>
            <w:tcW w:w="118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5 348.19</w:t>
            </w:r>
          </w:p>
        </w:tc>
      </w:tr>
      <w:tr w:rsidR="00010D35">
        <w:tc>
          <w:tcPr>
            <w:tcW w:w="384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Sardines, frozen</w:t>
            </w:r>
          </w:p>
        </w:tc>
        <w:tc>
          <w:tcPr>
            <w:tcW w:w="108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23 %</w:t>
            </w:r>
          </w:p>
        </w:tc>
        <w:tc>
          <w:tcPr>
            <w:tcW w:w="132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1 137.41</w:t>
            </w:r>
          </w:p>
        </w:tc>
        <w:tc>
          <w:tcPr>
            <w:tcW w:w="118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1 198.29</w:t>
            </w:r>
          </w:p>
        </w:tc>
      </w:tr>
      <w:tr w:rsidR="00010D35">
        <w:tc>
          <w:tcPr>
            <w:tcW w:w="384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Mackerel, preserved</w:t>
            </w:r>
          </w:p>
        </w:tc>
        <w:tc>
          <w:tcPr>
            <w:tcW w:w="108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25 %</w:t>
            </w:r>
          </w:p>
        </w:tc>
        <w:tc>
          <w:tcPr>
            <w:tcW w:w="132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417.14</w:t>
            </w:r>
          </w:p>
        </w:tc>
        <w:tc>
          <w:tcPr>
            <w:tcW w:w="118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608.01</w:t>
            </w:r>
          </w:p>
        </w:tc>
      </w:tr>
      <w:tr w:rsidR="00010D35">
        <w:tc>
          <w:tcPr>
            <w:tcW w:w="384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Sardines, preserved</w:t>
            </w:r>
          </w:p>
        </w:tc>
        <w:tc>
          <w:tcPr>
            <w:tcW w:w="108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25 %</w:t>
            </w:r>
          </w:p>
        </w:tc>
        <w:tc>
          <w:tcPr>
            <w:tcW w:w="1320"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452.67</w:t>
            </w:r>
          </w:p>
        </w:tc>
        <w:tc>
          <w:tcPr>
            <w:tcW w:w="1185" w:type="dxa"/>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378.55</w:t>
            </w:r>
          </w:p>
        </w:tc>
      </w:tr>
      <w:tr w:rsidR="00010D35">
        <w:tc>
          <w:tcPr>
            <w:tcW w:w="3845"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Cuttlefish, frozen</w:t>
            </w:r>
          </w:p>
        </w:tc>
        <w:tc>
          <w:tcPr>
            <w:tcW w:w="108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6 %</w:t>
            </w:r>
          </w:p>
        </w:tc>
        <w:tc>
          <w:tcPr>
            <w:tcW w:w="132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255.02</w:t>
            </w:r>
          </w:p>
        </w:tc>
        <w:tc>
          <w:tcPr>
            <w:tcW w:w="1185"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370.30</w:t>
            </w:r>
          </w:p>
        </w:tc>
      </w:tr>
      <w:tr w:rsidR="00010D35">
        <w:tc>
          <w:tcPr>
            <w:tcW w:w="3845"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Squid, frozen</w:t>
            </w:r>
          </w:p>
        </w:tc>
        <w:tc>
          <w:tcPr>
            <w:tcW w:w="108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6 %</w:t>
            </w:r>
          </w:p>
        </w:tc>
        <w:tc>
          <w:tcPr>
            <w:tcW w:w="132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188.32</w:t>
            </w:r>
          </w:p>
        </w:tc>
        <w:tc>
          <w:tcPr>
            <w:tcW w:w="1185"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325.16</w:t>
            </w:r>
          </w:p>
        </w:tc>
      </w:tr>
      <w:tr w:rsidR="00010D35">
        <w:tc>
          <w:tcPr>
            <w:tcW w:w="3845"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Mackerel, frozen</w:t>
            </w:r>
          </w:p>
        </w:tc>
        <w:tc>
          <w:tcPr>
            <w:tcW w:w="108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20 %</w:t>
            </w:r>
          </w:p>
        </w:tc>
        <w:tc>
          <w:tcPr>
            <w:tcW w:w="1320"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128.39</w:t>
            </w:r>
          </w:p>
        </w:tc>
        <w:tc>
          <w:tcPr>
            <w:tcW w:w="1185" w:type="dxa"/>
            <w:tcBorders>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292.70</w:t>
            </w:r>
          </w:p>
        </w:tc>
      </w:tr>
      <w:tr w:rsidR="00010D35">
        <w:tc>
          <w:tcPr>
            <w:tcW w:w="7430" w:type="dxa"/>
            <w:gridSpan w:val="4"/>
            <w:tcBorders>
              <w:left w:val="nil"/>
              <w:bottom w:val="nil"/>
              <w:right w:val="nil"/>
            </w:tcBorders>
            <w:vAlign w:val="center"/>
          </w:tcPr>
          <w:p w:rsidR="00010D35" w:rsidRDefault="009E6C92">
            <w:pPr>
              <w:widowControl w:val="0"/>
              <w:jc w:val="both"/>
              <w:rPr>
                <w:rFonts w:ascii="Times New Roman" w:hAnsi="Times New Roman" w:cs="Times New Roman"/>
                <w:noProof/>
                <w:sz w:val="24"/>
                <w:szCs w:val="24"/>
              </w:rPr>
            </w:pPr>
            <w:r>
              <w:rPr>
                <w:rFonts w:ascii="Times New Roman" w:hAnsi="Times New Roman"/>
                <w:noProof/>
                <w:sz w:val="24"/>
              </w:rPr>
              <w:t xml:space="preserve">(*) Customs duty applicable in the EU under the </w:t>
            </w:r>
            <w:r>
              <w:rPr>
                <w:rFonts w:ascii="Times New Roman" w:hAnsi="Times New Roman"/>
                <w:noProof/>
                <w:sz w:val="24"/>
              </w:rPr>
              <w:t>most-favoured nation clause (no preference applied)</w:t>
            </w:r>
          </w:p>
        </w:tc>
      </w:tr>
    </w:tbl>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Finally, the following table shows the numbers of </w:t>
      </w:r>
      <w:r>
        <w:rPr>
          <w:rFonts w:ascii="Times New Roman" w:hAnsi="Times New Roman"/>
          <w:b/>
          <w:noProof/>
          <w:sz w:val="24"/>
        </w:rPr>
        <w:t>jobs created directly or indirectly</w:t>
      </w:r>
      <w:r>
        <w:rPr>
          <w:rFonts w:ascii="Times New Roman" w:hAnsi="Times New Roman"/>
          <w:noProof/>
          <w:sz w:val="24"/>
        </w:rPr>
        <w:t xml:space="preserve"> in Western Sahara by fish production and processing on board fishing vessels, at fish processing sites or in industries linked to fishery production</w:t>
      </w:r>
      <w:r>
        <w:rPr>
          <w:rStyle w:val="FootnoteReference"/>
          <w:rFonts w:ascii="Times New Roman" w:hAnsi="Times New Roman"/>
          <w:noProof/>
          <w:sz w:val="24"/>
        </w:rPr>
        <w:footnoteReference w:id="37"/>
      </w:r>
      <w:r>
        <w:rPr>
          <w:rFonts w:ascii="Times New Roman" w:hAnsi="Times New Roman"/>
          <w:noProof/>
          <w:sz w:val="24"/>
        </w:rPr>
        <w:t>:</w:t>
      </w:r>
    </w:p>
    <w:p w:rsidR="00010D35" w:rsidRDefault="00010D35">
      <w:pPr>
        <w:widowControl w:val="0"/>
        <w:spacing w:after="0" w:line="240" w:lineRule="auto"/>
        <w:jc w:val="both"/>
        <w:rPr>
          <w:rFonts w:ascii="Times New Roman" w:hAnsi="Times New Roman" w:cs="Times New Roman"/>
          <w:noProof/>
          <w:sz w:val="24"/>
          <w:szCs w:val="24"/>
        </w:rPr>
      </w:pPr>
    </w:p>
    <w:tbl>
      <w:tblPr>
        <w:tblStyle w:val="TableGrid"/>
        <w:tblW w:w="0" w:type="auto"/>
        <w:tblInd w:w="842" w:type="dxa"/>
        <w:tblLook w:val="04A0" w:firstRow="1" w:lastRow="0" w:firstColumn="1" w:lastColumn="0" w:noHBand="0" w:noVBand="1"/>
      </w:tblPr>
      <w:tblGrid>
        <w:gridCol w:w="2160"/>
        <w:gridCol w:w="1440"/>
        <w:gridCol w:w="1536"/>
        <w:gridCol w:w="1200"/>
        <w:gridCol w:w="1140"/>
      </w:tblGrid>
      <w:tr w:rsidR="00010D35">
        <w:tc>
          <w:tcPr>
            <w:tcW w:w="2160" w:type="dxa"/>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Town</w:t>
            </w:r>
          </w:p>
        </w:tc>
        <w:tc>
          <w:tcPr>
            <w:tcW w:w="2976" w:type="dxa"/>
            <w:gridSpan w:val="2"/>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Number of workers</w:t>
            </w:r>
          </w:p>
        </w:tc>
        <w:tc>
          <w:tcPr>
            <w:tcW w:w="1200" w:type="dxa"/>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40" w:type="dxa"/>
            <w:shd w:val="clear" w:color="auto" w:fill="C9C4C6" w:themeFill="background1" w:themeFillShade="D9"/>
            <w:vAlign w:val="center"/>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2016</w:t>
            </w:r>
          </w:p>
        </w:tc>
      </w:tr>
      <w:tr w:rsidR="00010D35">
        <w:tc>
          <w:tcPr>
            <w:tcW w:w="216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Dakhla</w:t>
            </w:r>
          </w:p>
        </w:tc>
        <w:tc>
          <w:tcPr>
            <w:tcW w:w="144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On land</w:t>
            </w:r>
          </w:p>
        </w:tc>
        <w:tc>
          <w:tcPr>
            <w:tcW w:w="1536"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22 915</w:t>
            </w:r>
          </w:p>
        </w:tc>
        <w:tc>
          <w:tcPr>
            <w:tcW w:w="114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23 931</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ign w:val="center"/>
          </w:tcPr>
          <w:p w:rsidR="00010D35" w:rsidRDefault="00010D35">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7 638</w:t>
            </w:r>
          </w:p>
        </w:tc>
        <w:tc>
          <w:tcPr>
            <w:tcW w:w="114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7 977</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 xml:space="preserve">At </w:t>
            </w:r>
            <w:r>
              <w:rPr>
                <w:rFonts w:ascii="Times New Roman" w:hAnsi="Times New Roman"/>
                <w:noProof/>
                <w:sz w:val="24"/>
              </w:rPr>
              <w:t>sea</w:t>
            </w:r>
          </w:p>
        </w:tc>
        <w:tc>
          <w:tcPr>
            <w:tcW w:w="1536"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ign w:val="center"/>
          </w:tcPr>
          <w:p w:rsidR="00010D35" w:rsidRDefault="00010D35">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15 082</w:t>
            </w:r>
          </w:p>
        </w:tc>
        <w:tc>
          <w:tcPr>
            <w:tcW w:w="114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15 082</w:t>
            </w:r>
          </w:p>
        </w:tc>
      </w:tr>
      <w:tr w:rsidR="00010D35">
        <w:tc>
          <w:tcPr>
            <w:tcW w:w="216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Laâyoune</w:t>
            </w:r>
          </w:p>
        </w:tc>
        <w:tc>
          <w:tcPr>
            <w:tcW w:w="144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On land</w:t>
            </w:r>
          </w:p>
        </w:tc>
        <w:tc>
          <w:tcPr>
            <w:tcW w:w="1536"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14 338</w:t>
            </w:r>
          </w:p>
        </w:tc>
        <w:tc>
          <w:tcPr>
            <w:tcW w:w="114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14 973</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ign w:val="center"/>
          </w:tcPr>
          <w:p w:rsidR="00010D35" w:rsidRDefault="00010D35">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4 779</w:t>
            </w:r>
          </w:p>
        </w:tc>
        <w:tc>
          <w:tcPr>
            <w:tcW w:w="114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4 991</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At sea</w:t>
            </w:r>
          </w:p>
        </w:tc>
        <w:tc>
          <w:tcPr>
            <w:tcW w:w="1536"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ign w:val="center"/>
          </w:tcPr>
          <w:p w:rsidR="00010D35" w:rsidRDefault="00010D35">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15 633</w:t>
            </w:r>
          </w:p>
        </w:tc>
        <w:tc>
          <w:tcPr>
            <w:tcW w:w="114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15 633</w:t>
            </w:r>
          </w:p>
        </w:tc>
      </w:tr>
      <w:tr w:rsidR="00010D35">
        <w:tc>
          <w:tcPr>
            <w:tcW w:w="216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Boujdour</w:t>
            </w:r>
          </w:p>
        </w:tc>
        <w:tc>
          <w:tcPr>
            <w:tcW w:w="144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On land</w:t>
            </w:r>
          </w:p>
        </w:tc>
        <w:tc>
          <w:tcPr>
            <w:tcW w:w="1536"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1 419</w:t>
            </w:r>
          </w:p>
        </w:tc>
        <w:tc>
          <w:tcPr>
            <w:tcW w:w="114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1 482</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ign w:val="center"/>
          </w:tcPr>
          <w:p w:rsidR="00010D35" w:rsidRDefault="00010D35">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473</w:t>
            </w:r>
          </w:p>
        </w:tc>
        <w:tc>
          <w:tcPr>
            <w:tcW w:w="114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494</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restart"/>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At sea</w:t>
            </w:r>
          </w:p>
        </w:tc>
        <w:tc>
          <w:tcPr>
            <w:tcW w:w="1536"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w:t>
            </w:r>
          </w:p>
        </w:tc>
      </w:tr>
      <w:tr w:rsidR="00010D35">
        <w:tc>
          <w:tcPr>
            <w:tcW w:w="2160" w:type="dxa"/>
            <w:vMerge/>
            <w:vAlign w:val="center"/>
          </w:tcPr>
          <w:p w:rsidR="00010D35" w:rsidRDefault="00010D35">
            <w:pPr>
              <w:widowControl w:val="0"/>
              <w:jc w:val="center"/>
              <w:rPr>
                <w:rFonts w:ascii="Times New Roman" w:hAnsi="Times New Roman" w:cs="Times New Roman"/>
                <w:noProof/>
                <w:sz w:val="24"/>
                <w:szCs w:val="24"/>
              </w:rPr>
            </w:pPr>
          </w:p>
        </w:tc>
        <w:tc>
          <w:tcPr>
            <w:tcW w:w="1440" w:type="dxa"/>
            <w:vMerge/>
            <w:vAlign w:val="center"/>
          </w:tcPr>
          <w:p w:rsidR="00010D35" w:rsidRDefault="00010D35">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5 528</w:t>
            </w:r>
          </w:p>
        </w:tc>
        <w:tc>
          <w:tcPr>
            <w:tcW w:w="1140" w:type="dxa"/>
            <w:tcBorders>
              <w:top w:val="nil"/>
              <w:bottom w:val="single" w:sz="4" w:space="0" w:color="auto"/>
            </w:tcBorders>
            <w:vAlign w:val="center"/>
          </w:tcPr>
          <w:p w:rsidR="00010D35" w:rsidRDefault="009E6C92">
            <w:pPr>
              <w:widowControl w:val="0"/>
              <w:jc w:val="center"/>
              <w:rPr>
                <w:rFonts w:ascii="Times New Roman" w:hAnsi="Times New Roman" w:cs="Times New Roman"/>
                <w:noProof/>
                <w:sz w:val="24"/>
                <w:szCs w:val="24"/>
              </w:rPr>
            </w:pPr>
            <w:r>
              <w:rPr>
                <w:rFonts w:ascii="Times New Roman" w:hAnsi="Times New Roman"/>
                <w:noProof/>
                <w:sz w:val="24"/>
              </w:rPr>
              <w:t>5 528</w:t>
            </w:r>
          </w:p>
        </w:tc>
      </w:tr>
      <w:tr w:rsidR="00010D35">
        <w:tc>
          <w:tcPr>
            <w:tcW w:w="2160" w:type="dxa"/>
            <w:vMerge w:val="restart"/>
          </w:tcPr>
          <w:p w:rsidR="00010D35" w:rsidRDefault="00010D35">
            <w:pPr>
              <w:widowControl w:val="0"/>
              <w:jc w:val="center"/>
              <w:rPr>
                <w:rFonts w:ascii="Times New Roman" w:hAnsi="Times New Roman" w:cs="Times New Roman"/>
                <w:b/>
                <w:noProof/>
                <w:sz w:val="24"/>
                <w:szCs w:val="24"/>
              </w:rPr>
            </w:pPr>
          </w:p>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TOTAL</w:t>
            </w:r>
          </w:p>
        </w:tc>
        <w:tc>
          <w:tcPr>
            <w:tcW w:w="1440" w:type="dxa"/>
            <w:vMerge w:val="restart"/>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On land</w:t>
            </w:r>
          </w:p>
        </w:tc>
        <w:tc>
          <w:tcPr>
            <w:tcW w:w="1536"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Temporary</w:t>
            </w:r>
          </w:p>
        </w:tc>
        <w:tc>
          <w:tcPr>
            <w:tcW w:w="120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38 672</w:t>
            </w:r>
          </w:p>
        </w:tc>
        <w:tc>
          <w:tcPr>
            <w:tcW w:w="114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40 386</w:t>
            </w:r>
          </w:p>
        </w:tc>
      </w:tr>
      <w:tr w:rsidR="00010D35">
        <w:tc>
          <w:tcPr>
            <w:tcW w:w="2160" w:type="dxa"/>
            <w:vMerge/>
          </w:tcPr>
          <w:p w:rsidR="00010D35" w:rsidRDefault="00010D35">
            <w:pPr>
              <w:widowControl w:val="0"/>
              <w:jc w:val="center"/>
              <w:rPr>
                <w:rFonts w:ascii="Times New Roman" w:hAnsi="Times New Roman" w:cs="Times New Roman"/>
                <w:b/>
                <w:noProof/>
                <w:sz w:val="24"/>
                <w:szCs w:val="24"/>
              </w:rPr>
            </w:pPr>
          </w:p>
        </w:tc>
        <w:tc>
          <w:tcPr>
            <w:tcW w:w="1440" w:type="dxa"/>
            <w:vMerge/>
          </w:tcPr>
          <w:p w:rsidR="00010D35" w:rsidRDefault="00010D35">
            <w:pPr>
              <w:widowControl w:val="0"/>
              <w:jc w:val="center"/>
              <w:rPr>
                <w:rFonts w:ascii="Times New Roman" w:hAnsi="Times New Roman" w:cs="Times New Roman"/>
                <w:b/>
                <w:noProof/>
                <w:sz w:val="24"/>
                <w:szCs w:val="24"/>
              </w:rPr>
            </w:pPr>
          </w:p>
        </w:tc>
        <w:tc>
          <w:tcPr>
            <w:tcW w:w="1536"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Permanent</w:t>
            </w:r>
          </w:p>
        </w:tc>
        <w:tc>
          <w:tcPr>
            <w:tcW w:w="120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12 891</w:t>
            </w:r>
          </w:p>
        </w:tc>
        <w:tc>
          <w:tcPr>
            <w:tcW w:w="114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13 462</w:t>
            </w:r>
          </w:p>
        </w:tc>
      </w:tr>
      <w:tr w:rsidR="00010D35">
        <w:tc>
          <w:tcPr>
            <w:tcW w:w="2160" w:type="dxa"/>
            <w:vMerge/>
          </w:tcPr>
          <w:p w:rsidR="00010D35" w:rsidRDefault="00010D35">
            <w:pPr>
              <w:widowControl w:val="0"/>
              <w:jc w:val="center"/>
              <w:rPr>
                <w:rFonts w:ascii="Times New Roman" w:hAnsi="Times New Roman" w:cs="Times New Roman"/>
                <w:b/>
                <w:noProof/>
                <w:sz w:val="24"/>
                <w:szCs w:val="24"/>
              </w:rPr>
            </w:pPr>
          </w:p>
        </w:tc>
        <w:tc>
          <w:tcPr>
            <w:tcW w:w="1440" w:type="dxa"/>
            <w:vMerge w:val="restart"/>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At sea</w:t>
            </w:r>
          </w:p>
        </w:tc>
        <w:tc>
          <w:tcPr>
            <w:tcW w:w="1536"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Temporary</w:t>
            </w:r>
          </w:p>
        </w:tc>
        <w:tc>
          <w:tcPr>
            <w:tcW w:w="120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w:t>
            </w:r>
          </w:p>
        </w:tc>
        <w:tc>
          <w:tcPr>
            <w:tcW w:w="114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w:t>
            </w:r>
          </w:p>
        </w:tc>
      </w:tr>
      <w:tr w:rsidR="00010D35">
        <w:tc>
          <w:tcPr>
            <w:tcW w:w="2160" w:type="dxa"/>
            <w:vMerge/>
          </w:tcPr>
          <w:p w:rsidR="00010D35" w:rsidRDefault="00010D35">
            <w:pPr>
              <w:widowControl w:val="0"/>
              <w:jc w:val="center"/>
              <w:rPr>
                <w:rFonts w:ascii="Times New Roman" w:hAnsi="Times New Roman" w:cs="Times New Roman"/>
                <w:b/>
                <w:noProof/>
                <w:sz w:val="24"/>
                <w:szCs w:val="24"/>
              </w:rPr>
            </w:pPr>
          </w:p>
        </w:tc>
        <w:tc>
          <w:tcPr>
            <w:tcW w:w="1440" w:type="dxa"/>
            <w:vMerge/>
          </w:tcPr>
          <w:p w:rsidR="00010D35" w:rsidRDefault="00010D35">
            <w:pPr>
              <w:widowControl w:val="0"/>
              <w:jc w:val="center"/>
              <w:rPr>
                <w:rFonts w:ascii="Times New Roman" w:hAnsi="Times New Roman" w:cs="Times New Roman"/>
                <w:b/>
                <w:noProof/>
                <w:sz w:val="24"/>
                <w:szCs w:val="24"/>
              </w:rPr>
            </w:pPr>
          </w:p>
        </w:tc>
        <w:tc>
          <w:tcPr>
            <w:tcW w:w="1536"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Permanent</w:t>
            </w:r>
          </w:p>
        </w:tc>
        <w:tc>
          <w:tcPr>
            <w:tcW w:w="120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36 243</w:t>
            </w:r>
          </w:p>
        </w:tc>
        <w:tc>
          <w:tcPr>
            <w:tcW w:w="1140" w:type="dxa"/>
          </w:tcPr>
          <w:p w:rsidR="00010D35" w:rsidRDefault="009E6C92">
            <w:pPr>
              <w:widowControl w:val="0"/>
              <w:jc w:val="center"/>
              <w:rPr>
                <w:rFonts w:ascii="Times New Roman" w:hAnsi="Times New Roman" w:cs="Times New Roman"/>
                <w:b/>
                <w:noProof/>
                <w:sz w:val="24"/>
                <w:szCs w:val="24"/>
              </w:rPr>
            </w:pPr>
            <w:r>
              <w:rPr>
                <w:rFonts w:ascii="Times New Roman" w:hAnsi="Times New Roman"/>
                <w:b/>
                <w:noProof/>
                <w:sz w:val="24"/>
              </w:rPr>
              <w:t>36 243</w:t>
            </w:r>
          </w:p>
        </w:tc>
      </w:tr>
      <w:tr w:rsidR="00010D35">
        <w:tc>
          <w:tcPr>
            <w:tcW w:w="216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144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1536"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120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c>
          <w:tcPr>
            <w:tcW w:w="1140" w:type="dxa"/>
            <w:tcBorders>
              <w:left w:val="nil"/>
              <w:bottom w:val="nil"/>
              <w:right w:val="nil"/>
            </w:tcBorders>
            <w:vAlign w:val="center"/>
          </w:tcPr>
          <w:p w:rsidR="00010D35" w:rsidRDefault="00010D35">
            <w:pPr>
              <w:widowControl w:val="0"/>
              <w:jc w:val="center"/>
              <w:rPr>
                <w:rFonts w:ascii="Times New Roman" w:hAnsi="Times New Roman" w:cs="Times New Roman"/>
                <w:noProof/>
                <w:sz w:val="24"/>
                <w:szCs w:val="24"/>
              </w:rPr>
            </w:pPr>
          </w:p>
        </w:tc>
      </w:tr>
    </w:tbl>
    <w:p w:rsidR="00010D35" w:rsidRDefault="00010D35">
      <w:pPr>
        <w:widowControl w:val="0"/>
        <w:spacing w:after="0" w:line="240" w:lineRule="auto"/>
        <w:jc w:val="both"/>
        <w:rPr>
          <w:rFonts w:ascii="Times New Roman" w:hAnsi="Times New Roman"/>
          <w:noProof/>
          <w:sz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some 50 % of production in those sites is for the EU, suggesting that some </w:t>
      </w:r>
      <w:r>
        <w:rPr>
          <w:rFonts w:ascii="Times New Roman" w:hAnsi="Times New Roman"/>
          <w:b/>
          <w:noProof/>
          <w:sz w:val="24"/>
        </w:rPr>
        <w:t xml:space="preserve">45 000 jobs </w:t>
      </w:r>
      <w:r>
        <w:rPr>
          <w:rFonts w:ascii="Times New Roman" w:hAnsi="Times New Roman"/>
          <w:b/>
          <w:noProof/>
          <w:sz w:val="24"/>
        </w:rPr>
        <w:t>depend directly or indirectly on exports to the EU</w:t>
      </w:r>
      <w:r>
        <w:rPr>
          <w:rFonts w:ascii="Times New Roman" w:hAnsi="Times New Roman"/>
          <w:noProof/>
          <w:sz w:val="24"/>
        </w:rPr>
        <w:t>.</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As duties on fishery products are high, especially in some cases (e.g. 25 % for preserved sardines), tariff preferences (zero duty) may play a major role in sourcing decisions by EU importers. For Wester</w:t>
      </w:r>
      <w:r>
        <w:rPr>
          <w:rFonts w:ascii="Times New Roman" w:hAnsi="Times New Roman"/>
          <w:noProof/>
          <w:sz w:val="24"/>
        </w:rPr>
        <w:t>n Sahara, a decision not to grant preferences may cause processing currently taking place in Western Sahara to move elsewhere – in particular to Morocco – to benefit from preferences, to the detriment of local people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38"/>
      </w:r>
      <w:r>
        <w:rPr>
          <w:rFonts w:ascii="Times New Roman" w:hAnsi="Times New Roman"/>
          <w:noProof/>
          <w:sz w:val="24"/>
        </w:rPr>
        <w:t>.</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It has been claimed that this activ</w:t>
      </w:r>
      <w:r>
        <w:rPr>
          <w:rFonts w:ascii="Times New Roman" w:hAnsi="Times New Roman"/>
          <w:noProof/>
          <w:sz w:val="24"/>
        </w:rPr>
        <w:t>ity would not benefit the local population. Reference has been made to demonstrations in 2012 by graduates of the Technical Institute for Maritime Fisheries protesting against exclusion from the fisheries job market, as hiring interviews for jobs in the se</w:t>
      </w:r>
      <w:r>
        <w:rPr>
          <w:rFonts w:ascii="Times New Roman" w:hAnsi="Times New Roman"/>
          <w:noProof/>
          <w:sz w:val="24"/>
        </w:rPr>
        <w:t>ctor were held in Morocco, and demanding that such interviews be held in Laâyoune. Similar claims were made in 2011 and 2013 (see various reports by Western Sahara Resource Watch</w:t>
      </w:r>
      <w:r>
        <w:rPr>
          <w:rFonts w:ascii="Times New Roman" w:hAnsi="Times New Roman"/>
          <w:i/>
          <w:noProof/>
          <w:sz w:val="24"/>
          <w:vertAlign w:val="superscript"/>
        </w:rPr>
        <w:footnoteReference w:id="39"/>
      </w:r>
      <w:r>
        <w:rPr>
          <w:rFonts w:ascii="Times New Roman" w:hAnsi="Times New Roman"/>
          <w:noProof/>
          <w:sz w:val="24"/>
        </w:rPr>
        <w:t xml:space="preserve"> </w:t>
      </w:r>
      <w:r>
        <w:rPr>
          <w:rFonts w:ascii="Times New Roman" w:hAnsi="Times New Roman"/>
          <w:i/>
          <w:noProof/>
          <w:sz w:val="24"/>
          <w:vertAlign w:val="superscript"/>
        </w:rPr>
        <w:footnoteReference w:id="40"/>
      </w:r>
      <w:r>
        <w:rPr>
          <w:rFonts w:ascii="Times New Roman" w:hAnsi="Times New Roman"/>
          <w:noProof/>
          <w:sz w:val="24"/>
        </w:rPr>
        <w:t xml:space="preserve"> </w:t>
      </w:r>
      <w:r>
        <w:rPr>
          <w:rFonts w:ascii="Times New Roman" w:hAnsi="Times New Roman"/>
          <w:i/>
          <w:noProof/>
          <w:sz w:val="24"/>
          <w:vertAlign w:val="superscript"/>
        </w:rPr>
        <w:footnoteReference w:id="41"/>
      </w:r>
      <w:r>
        <w:rPr>
          <w:rFonts w:ascii="Times New Roman" w:hAnsi="Times New Roman"/>
          <w:noProof/>
          <w:sz w:val="24"/>
        </w:rPr>
        <w:t>). Yet there is no publicly available information indicating that such pr</w:t>
      </w:r>
      <w:r>
        <w:rPr>
          <w:rFonts w:ascii="Times New Roman" w:hAnsi="Times New Roman"/>
          <w:noProof/>
          <w:sz w:val="24"/>
        </w:rPr>
        <w:t>actices continued afterwards or that similar demonstrations took place after early 2013. In any event, those claims are not proof that Sahrawis are actually excluded from working in the fisheries sector. Moreover, many of those interviewed in February 2018</w:t>
      </w:r>
      <w:r>
        <w:rPr>
          <w:rFonts w:ascii="Times New Roman" w:hAnsi="Times New Roman"/>
          <w:noProof/>
          <w:sz w:val="24"/>
        </w:rPr>
        <w:t xml:space="preserve"> stressed the benefits of extending preferences for agriculture as well as for fisheries. Some said that Sahrawis were likelier to work in agriculture, a traditional activity, than in fisheries, an activity generally less familiar to nomadic herders.</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pStyle w:val="Heading4"/>
        <w:rPr>
          <w:noProof/>
        </w:rPr>
      </w:pPr>
      <w:r>
        <w:rPr>
          <w:noProof/>
        </w:rPr>
        <w:t>Conclusion</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Western Sahara has a sizeable fish processing industry, including 141 sites authorised to export to the EU. </w:t>
      </w:r>
      <w:r>
        <w:rPr>
          <w:rFonts w:ascii="Times New Roman" w:hAnsi="Times New Roman"/>
          <w:b/>
          <w:noProof/>
          <w:sz w:val="24"/>
        </w:rPr>
        <w:t>Exports of fishery products from the territory amounted to EUR 100</w:t>
      </w:r>
      <w:r>
        <w:rPr>
          <w:rFonts w:ascii="Times New Roman" w:hAnsi="Times New Roman"/>
          <w:b/>
          <w:noProof/>
          <w:sz w:val="24"/>
        </w:rPr>
        <w:noBreakHyphen/>
        <w:t>200 million in 2015 and 2016.</w:t>
      </w:r>
      <w:r>
        <w:rPr>
          <w:rFonts w:ascii="Times New Roman" w:hAnsi="Times New Roman"/>
          <w:b/>
          <w:i/>
          <w:noProof/>
          <w:sz w:val="24"/>
        </w:rPr>
        <w:t xml:space="preserve"> </w:t>
      </w:r>
      <w:r>
        <w:rPr>
          <w:rFonts w:ascii="Times New Roman" w:hAnsi="Times New Roman"/>
          <w:b/>
          <w:noProof/>
          <w:sz w:val="24"/>
        </w:rPr>
        <w:t>Some 45 000 jobs depended directly or i</w:t>
      </w:r>
      <w:r>
        <w:rPr>
          <w:rFonts w:ascii="Times New Roman" w:hAnsi="Times New Roman"/>
          <w:b/>
          <w:noProof/>
          <w:sz w:val="24"/>
        </w:rPr>
        <w:t>ndirectly on those exports to the EU.</w:t>
      </w:r>
      <w:r>
        <w:rPr>
          <w:rFonts w:ascii="Times New Roman" w:hAnsi="Times New Roman"/>
          <w:noProof/>
          <w:sz w:val="24"/>
        </w:rPr>
        <w:t xml:space="preserve"> Extending tariff preferences to those imports would thus have a major impact on the economy and on jobs in the territory. It would also be consistent with the EU practice of providing financial support to Western Sahar</w:t>
      </w:r>
      <w:r>
        <w:rPr>
          <w:rFonts w:ascii="Times New Roman" w:hAnsi="Times New Roman"/>
          <w:noProof/>
          <w:sz w:val="24"/>
        </w:rPr>
        <w:t>a to make the sector more competitive, create jobs, improve the lives of fishers and promote the sustainable use of natural resources. Refusing to grant preferences would harm exports and jobs and encourage a shift in processing to other places, such as Mo</w:t>
      </w:r>
      <w:r>
        <w:rPr>
          <w:rFonts w:ascii="Times New Roman" w:hAnsi="Times New Roman"/>
          <w:noProof/>
          <w:sz w:val="24"/>
        </w:rPr>
        <w:t xml:space="preserve">rocco. It would also go against the EU objective of supporting the growth of the sector in Western Sahara. </w:t>
      </w: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widowControl w:val="0"/>
        <w:spacing w:after="0" w:line="240" w:lineRule="auto"/>
        <w:jc w:val="both"/>
        <w:rPr>
          <w:rFonts w:ascii="Times New Roman" w:hAnsi="Times New Roman"/>
          <w:noProof/>
          <w:sz w:val="24"/>
        </w:rPr>
      </w:pPr>
      <w:r>
        <w:rPr>
          <w:rFonts w:ascii="Times New Roman" w:hAnsi="Times New Roman"/>
          <w:noProof/>
          <w:sz w:val="24"/>
        </w:rPr>
        <w:t>European importers of fishery products from Western Sahara say that buying such products would be much less advantageous if no preferential treatme</w:t>
      </w:r>
      <w:r>
        <w:rPr>
          <w:rFonts w:ascii="Times New Roman" w:hAnsi="Times New Roman"/>
          <w:noProof/>
          <w:sz w:val="24"/>
        </w:rPr>
        <w:t xml:space="preserve">nt was granted, given the high level of the (non-preferential) common external tariff. </w:t>
      </w:r>
    </w:p>
    <w:p w:rsidR="00010D35" w:rsidRDefault="00010D35">
      <w:pPr>
        <w:widowControl w:val="0"/>
        <w:spacing w:after="0" w:line="240" w:lineRule="auto"/>
        <w:jc w:val="both"/>
        <w:rPr>
          <w:rFonts w:ascii="Times New Roman" w:hAnsi="Times New Roman"/>
          <w:noProof/>
          <w:sz w:val="24"/>
        </w:rPr>
      </w:pPr>
    </w:p>
    <w:p w:rsidR="00010D35" w:rsidRDefault="00010D35">
      <w:pPr>
        <w:widowControl w:val="0"/>
        <w:spacing w:after="0" w:line="240" w:lineRule="auto"/>
        <w:jc w:val="both"/>
        <w:rPr>
          <w:rFonts w:ascii="Times New Roman" w:hAnsi="Times New Roman"/>
          <w:noProof/>
          <w:sz w:val="24"/>
        </w:rPr>
      </w:pPr>
    </w:p>
    <w:p w:rsidR="00010D35" w:rsidRDefault="00010D35">
      <w:pPr>
        <w:widowControl w:val="0"/>
        <w:spacing w:after="0" w:line="240" w:lineRule="auto"/>
        <w:jc w:val="both"/>
        <w:rPr>
          <w:rFonts w:ascii="Times New Roman" w:hAnsi="Times New Roman" w:cs="Times New Roman"/>
          <w:noProof/>
          <w:sz w:val="24"/>
          <w:szCs w:val="24"/>
        </w:rPr>
      </w:pPr>
    </w:p>
    <w:p w:rsidR="00010D35" w:rsidRDefault="00010D35">
      <w:pPr>
        <w:widowControl w:val="0"/>
        <w:spacing w:after="0" w:line="240" w:lineRule="auto"/>
        <w:jc w:val="both"/>
        <w:rPr>
          <w:rFonts w:ascii="Times New Roman" w:hAnsi="Times New Roman" w:cs="Times New Roman"/>
          <w:noProof/>
          <w:sz w:val="24"/>
          <w:szCs w:val="24"/>
        </w:rPr>
      </w:pPr>
    </w:p>
    <w:p w:rsidR="00010D35" w:rsidRDefault="009E6C92">
      <w:pPr>
        <w:pStyle w:val="Heading3"/>
        <w:rPr>
          <w:rFonts w:eastAsia="Calibri"/>
          <w:noProof/>
        </w:rPr>
      </w:pPr>
      <w:bookmarkStart w:id="40" w:name="_Toc514257470"/>
      <w:bookmarkStart w:id="41" w:name="_Toc516249541"/>
      <w:r>
        <w:rPr>
          <w:noProof/>
        </w:rPr>
        <w:t>Phosphates</w:t>
      </w:r>
      <w:bookmarkEnd w:id="40"/>
      <w:bookmarkEnd w:id="41"/>
    </w:p>
    <w:p w:rsidR="00010D35" w:rsidRDefault="00010D35">
      <w:pPr>
        <w:widowControl w:val="0"/>
        <w:spacing w:after="0" w:line="240" w:lineRule="auto"/>
        <w:contextualSpacing/>
        <w:jc w:val="both"/>
        <w:rPr>
          <w:rFonts w:ascii="Times New Roman" w:eastAsia="MS Mincho" w:hAnsi="Times New Roman" w:cs="Times New Roman"/>
          <w:noProof/>
          <w:sz w:val="24"/>
          <w:szCs w:val="24"/>
          <w:u w:val="single"/>
        </w:rPr>
      </w:pPr>
    </w:p>
    <w:p w:rsidR="00010D35" w:rsidRDefault="009E6C92">
      <w:pPr>
        <w:pStyle w:val="Heading4"/>
        <w:rPr>
          <w:rFonts w:eastAsia="MS Mincho"/>
          <w:noProof/>
        </w:rPr>
      </w:pPr>
      <w:r>
        <w:rPr>
          <w:noProof/>
        </w:rPr>
        <w:t>Introduction</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Phosphates are ores used in making phosphate fertilisers for agriculture. More than 80 % of world production is used in agriculture; there</w:t>
      </w:r>
      <w:r>
        <w:rPr>
          <w:rFonts w:ascii="Times New Roman" w:hAnsi="Times New Roman"/>
          <w:noProof/>
          <w:sz w:val="24"/>
        </w:rPr>
        <w:t xml:space="preserve"> is no substitute and demand is rising. The largest deposits are currently in Morocco</w:t>
      </w:r>
      <w:r>
        <w:rPr>
          <w:rFonts w:ascii="Times New Roman" w:hAnsi="Times New Roman"/>
          <w:noProof/>
          <w:sz w:val="24"/>
          <w:vertAlign w:val="superscript"/>
        </w:rPr>
        <w:footnoteReference w:id="42"/>
      </w:r>
      <w:r>
        <w:rPr>
          <w:rFonts w:ascii="Times New Roman" w:hAnsi="Times New Roman"/>
          <w:noProof/>
          <w:sz w:val="24"/>
        </w:rPr>
        <w:t>.</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leading phosphate exporter in the world is the OCP group (former Office Chérifien des Phosphates)</w:t>
      </w:r>
      <w:r>
        <w:rPr>
          <w:rFonts w:ascii="Times New Roman" w:hAnsi="Times New Roman"/>
          <w:noProof/>
          <w:sz w:val="24"/>
          <w:vertAlign w:val="superscript"/>
        </w:rPr>
        <w:footnoteReference w:id="43"/>
      </w:r>
      <w:r>
        <w:rPr>
          <w:rFonts w:ascii="Times New Roman" w:hAnsi="Times New Roman"/>
          <w:noProof/>
          <w:sz w:val="24"/>
        </w:rPr>
        <w:t>, which controls the entire industry in Morocco and Western Sahar</w:t>
      </w:r>
      <w:r>
        <w:rPr>
          <w:rFonts w:ascii="Times New Roman" w:hAnsi="Times New Roman"/>
          <w:noProof/>
          <w:sz w:val="24"/>
        </w:rPr>
        <w:t xml:space="preserve">a. </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largest phosphate mines are in Morocco (Khouribga and Gantour), with only one mining site currently in Western Sahara, in Boucraa</w:t>
      </w:r>
      <w:r>
        <w:rPr>
          <w:rFonts w:ascii="Times New Roman" w:hAnsi="Times New Roman"/>
          <w:noProof/>
          <w:sz w:val="24"/>
          <w:vertAlign w:val="superscript"/>
        </w:rPr>
        <w:footnoteReference w:id="44"/>
      </w:r>
      <w:r>
        <w:rPr>
          <w:rFonts w:ascii="Times New Roman" w:hAnsi="Times New Roman"/>
          <w:noProof/>
          <w:sz w:val="24"/>
        </w:rPr>
        <w:t>. Annual reports from the OCP group show production in Morocco and Western Sahara, without distinguishing between the</w:t>
      </w:r>
      <w:r>
        <w:rPr>
          <w:rFonts w:ascii="Times New Roman" w:hAnsi="Times New Roman"/>
          <w:noProof/>
          <w:sz w:val="24"/>
        </w:rPr>
        <w:t xml:space="preserve"> two. </w:t>
      </w:r>
    </w:p>
    <w:p w:rsidR="00010D35" w:rsidRDefault="00010D35">
      <w:pPr>
        <w:widowControl w:val="0"/>
        <w:spacing w:after="0" w:line="240" w:lineRule="auto"/>
        <w:contextualSpacing/>
        <w:jc w:val="both"/>
        <w:rPr>
          <w:rFonts w:ascii="Times New Roman" w:eastAsia="MS Mincho" w:hAnsi="Times New Roman" w:cs="Times New Roman"/>
          <w:noProof/>
          <w:sz w:val="24"/>
          <w:szCs w:val="24"/>
          <w:u w:val="single"/>
        </w:rPr>
      </w:pPr>
    </w:p>
    <w:p w:rsidR="00010D35" w:rsidRDefault="009E6C92">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The Boucraa site is operated by the company Phosboucraa. It currently produces 2.6 million tonnes of phosphate ore</w:t>
      </w:r>
      <w:r>
        <w:rPr>
          <w:rStyle w:val="FootnoteReference"/>
          <w:rFonts w:ascii="Times New Roman" w:hAnsi="Times New Roman"/>
          <w:noProof/>
          <w:sz w:val="24"/>
        </w:rPr>
        <w:footnoteReference w:id="45"/>
      </w:r>
      <w:r>
        <w:rPr>
          <w:rFonts w:ascii="Times New Roman" w:hAnsi="Times New Roman"/>
          <w:noProof/>
          <w:sz w:val="24"/>
        </w:rPr>
        <w:t xml:space="preserve"> and has some 300 years’ worth of minable phosphate reserves (estimated at 1.1 billion m³). Investment planned between 2014 and 2020 amounts to MAD 17 billion (some EUR 1.6 billion)</w:t>
      </w:r>
      <w:r>
        <w:rPr>
          <w:rStyle w:val="FootnoteReference"/>
          <w:rFonts w:ascii="Times New Roman" w:hAnsi="Times New Roman"/>
          <w:noProof/>
          <w:sz w:val="24"/>
        </w:rPr>
        <w:footnoteReference w:id="46"/>
      </w:r>
      <w:r>
        <w:rPr>
          <w:rFonts w:ascii="Times New Roman" w:hAnsi="Times New Roman"/>
          <w:noProof/>
          <w:sz w:val="24"/>
        </w:rPr>
        <w:t>.</w:t>
      </w:r>
    </w:p>
    <w:p w:rsidR="00010D35" w:rsidRDefault="00010D35">
      <w:pPr>
        <w:widowControl w:val="0"/>
        <w:spacing w:after="0" w:line="240" w:lineRule="auto"/>
        <w:contextualSpacing/>
        <w:jc w:val="both"/>
        <w:rPr>
          <w:rFonts w:ascii="Times New Roman" w:eastAsia="MS Mincho" w:hAnsi="Times New Roman" w:cs="Times New Roman"/>
          <w:noProof/>
          <w:sz w:val="24"/>
          <w:szCs w:val="24"/>
        </w:rPr>
      </w:pPr>
    </w:p>
    <w:p w:rsidR="00010D35" w:rsidRDefault="009E6C92">
      <w:pPr>
        <w:widowControl w:val="0"/>
        <w:spacing w:after="0" w:line="240" w:lineRule="auto"/>
        <w:contextualSpacing/>
        <w:jc w:val="both"/>
        <w:rPr>
          <w:rFonts w:ascii="Times New Roman" w:eastAsia="MS Mincho" w:hAnsi="Times New Roman" w:cs="Times New Roman"/>
          <w:i/>
          <w:noProof/>
          <w:sz w:val="24"/>
          <w:szCs w:val="24"/>
        </w:rPr>
      </w:pPr>
      <w:r>
        <w:rPr>
          <w:rFonts w:ascii="Times New Roman" w:hAnsi="Times New Roman"/>
          <w:noProof/>
          <w:sz w:val="24"/>
        </w:rPr>
        <w:t xml:space="preserve">With nearly 2 200 workers, Phosboucraa is the largest private employer </w:t>
      </w:r>
      <w:r>
        <w:rPr>
          <w:rFonts w:ascii="Times New Roman" w:hAnsi="Times New Roman"/>
          <w:noProof/>
          <w:sz w:val="24"/>
        </w:rPr>
        <w:t>in the territory. According to OCP, 76 % of the workers were local in 2017, compared to only 4 % in the 1970s, with nearly 100 % of new employees now hired locally. The number of workers in managerial positions has risen from 1 in 2003 to 27 in 2017, or 55</w:t>
      </w:r>
      <w:r>
        <w:rPr>
          <w:rFonts w:ascii="Times New Roman" w:hAnsi="Times New Roman"/>
          <w:noProof/>
          <w:sz w:val="24"/>
        </w:rPr>
        <w:t> % of the 49 managerial positions. This economic activity benefits the entire region (50 local businesses accounting for 450 indirect jobs, social benefits paid to families and retired workers, medical services, etc.). OCP also notes that there is a seawat</w:t>
      </w:r>
      <w:r>
        <w:rPr>
          <w:rFonts w:ascii="Times New Roman" w:hAnsi="Times New Roman"/>
          <w:noProof/>
          <w:sz w:val="24"/>
        </w:rPr>
        <w:t>er desalination plant, that 13 000 trees have been replanted, and that the beach at Laâyoune has had a blue flag rating since 2008 thanks to the Clean Beaches project. Between 2013 and 2022, the Phosboucraa Management Board earmarked USD 250 million for so</w:t>
      </w:r>
      <w:r>
        <w:rPr>
          <w:rFonts w:ascii="Times New Roman" w:hAnsi="Times New Roman"/>
          <w:noProof/>
          <w:sz w:val="24"/>
        </w:rPr>
        <w:t>cial development in the region and USD 140 million for building projects, for a total of some USD 2.2 billion.</w:t>
      </w:r>
    </w:p>
    <w:p w:rsidR="00010D35" w:rsidRDefault="00010D35">
      <w:pPr>
        <w:widowControl w:val="0"/>
        <w:spacing w:after="0" w:line="240" w:lineRule="auto"/>
        <w:contextualSpacing/>
        <w:jc w:val="both"/>
        <w:rPr>
          <w:rFonts w:ascii="Times New Roman" w:eastAsia="MS Mincho" w:hAnsi="Times New Roman" w:cs="Times New Roman"/>
          <w:noProof/>
          <w:sz w:val="24"/>
          <w:szCs w:val="24"/>
        </w:rPr>
      </w:pPr>
    </w:p>
    <w:p w:rsidR="00010D35" w:rsidRDefault="009E6C92">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 xml:space="preserve">Others paint a less rosy picture. For example, Western Sahara Resource Watch maintains that there were 1 600 Sahrawis employed in the phosphate </w:t>
      </w:r>
      <w:r>
        <w:rPr>
          <w:rFonts w:ascii="Times New Roman" w:hAnsi="Times New Roman"/>
          <w:noProof/>
          <w:sz w:val="24"/>
        </w:rPr>
        <w:t>industry in 1968, in what is now Western Sahara.</w:t>
      </w:r>
      <w:r>
        <w:rPr>
          <w:rStyle w:val="FootnoteReference"/>
          <w:rFonts w:ascii="Times New Roman" w:hAnsi="Times New Roman"/>
          <w:noProof/>
          <w:sz w:val="24"/>
        </w:rPr>
        <w:footnoteReference w:id="47"/>
      </w:r>
      <w:r>
        <w:rPr>
          <w:rFonts w:ascii="Times New Roman" w:hAnsi="Times New Roman"/>
          <w:noProof/>
          <w:sz w:val="24"/>
        </w:rPr>
        <w:t xml:space="preserve"> Today, most of those workers have been replaced by Moroccan settlers. The industry, it is said, now employs only 200 Sahrawis, out of a total workforce of 1 900. Sahrawi workers are said to suffer discrimin</w:t>
      </w:r>
      <w:r>
        <w:rPr>
          <w:rFonts w:ascii="Times New Roman" w:hAnsi="Times New Roman"/>
          <w:noProof/>
          <w:sz w:val="24"/>
        </w:rPr>
        <w:t>ation compared to their Moroccan colleagues. Also, very few Sahrawis are said to have been promoted since 1975; most are said to have been dismissed</w:t>
      </w:r>
      <w:r>
        <w:rPr>
          <w:rStyle w:val="FootnoteReference"/>
          <w:rFonts w:ascii="Times New Roman" w:hAnsi="Times New Roman"/>
          <w:noProof/>
          <w:sz w:val="24"/>
        </w:rPr>
        <w:footnoteReference w:id="48"/>
      </w:r>
      <w:r>
        <w:rPr>
          <w:rFonts w:ascii="Times New Roman" w:hAnsi="Times New Roman"/>
          <w:noProof/>
          <w:sz w:val="24"/>
        </w:rPr>
        <w:t>.</w:t>
      </w:r>
    </w:p>
    <w:p w:rsidR="00010D35" w:rsidRDefault="009E6C92">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The first point to make in this respect is that it is impossible to compare the current situation to a ti</w:t>
      </w:r>
      <w:r>
        <w:rPr>
          <w:rFonts w:ascii="Times New Roman" w:hAnsi="Times New Roman"/>
          <w:noProof/>
          <w:sz w:val="24"/>
        </w:rPr>
        <w:t>me when Western Sahara was still a Spanish colony. Also, the figures provided by OCP refer to workers recruited locally, not workers of Sahrawi origin. The Commission has no way of checking locally to see which workers are Sahrawi; and again, it is not for</w:t>
      </w:r>
      <w:r>
        <w:rPr>
          <w:rFonts w:ascii="Times New Roman" w:hAnsi="Times New Roman"/>
          <w:noProof/>
          <w:sz w:val="24"/>
        </w:rPr>
        <w:t xml:space="preserve"> the EU to decide who should be counted as a part of the indigenous population. Moreover, none of those interviewed in February 2018 reported ethnic discrimination in hiring. This is consistent with other published information</w:t>
      </w:r>
      <w:r>
        <w:rPr>
          <w:rStyle w:val="FootnoteReference"/>
          <w:rFonts w:ascii="Times New Roman" w:hAnsi="Times New Roman"/>
          <w:noProof/>
          <w:sz w:val="24"/>
        </w:rPr>
        <w:footnoteReference w:id="49"/>
      </w:r>
      <w:r>
        <w:rPr>
          <w:rFonts w:ascii="Times New Roman" w:hAnsi="Times New Roman"/>
          <w:noProof/>
          <w:sz w:val="24"/>
        </w:rPr>
        <w:t>.</w:t>
      </w:r>
    </w:p>
    <w:p w:rsidR="00010D35" w:rsidRDefault="00010D35">
      <w:pPr>
        <w:widowControl w:val="0"/>
        <w:spacing w:after="0" w:line="240" w:lineRule="auto"/>
        <w:contextualSpacing/>
        <w:jc w:val="both"/>
        <w:rPr>
          <w:rFonts w:ascii="Times New Roman" w:eastAsia="MS Mincho" w:hAnsi="Times New Roman" w:cs="Times New Roman"/>
          <w:noProof/>
          <w:sz w:val="24"/>
          <w:szCs w:val="24"/>
        </w:rPr>
      </w:pPr>
    </w:p>
    <w:p w:rsidR="00010D35" w:rsidRDefault="009E6C92">
      <w:pPr>
        <w:widowControl w:val="0"/>
        <w:spacing w:after="0" w:line="240" w:lineRule="auto"/>
        <w:contextualSpacing/>
        <w:jc w:val="both"/>
        <w:rPr>
          <w:rFonts w:ascii="Times New Roman" w:eastAsia="MS Mincho" w:hAnsi="Times New Roman" w:cs="Times New Roman"/>
          <w:i/>
          <w:noProof/>
          <w:sz w:val="24"/>
          <w:szCs w:val="24"/>
        </w:rPr>
      </w:pPr>
      <w:r>
        <w:rPr>
          <w:rFonts w:ascii="Times New Roman" w:hAnsi="Times New Roman"/>
          <w:noProof/>
          <w:sz w:val="24"/>
        </w:rPr>
        <w:t>As regards the sustainable</w:t>
      </w:r>
      <w:r>
        <w:rPr>
          <w:rFonts w:ascii="Times New Roman" w:hAnsi="Times New Roman"/>
          <w:noProof/>
          <w:sz w:val="24"/>
        </w:rPr>
        <w:t xml:space="preserve"> use of natural resources, Phosboucraa has taken major steps to maximise energy efficiency by switching to renewable sources. Since July 2013, 99.8 % of the energy used by Phosboucraa has been from the wind farm in Foum El Oued. </w:t>
      </w:r>
    </w:p>
    <w:p w:rsidR="00010D35" w:rsidRDefault="00010D35">
      <w:pPr>
        <w:widowControl w:val="0"/>
        <w:spacing w:after="0" w:line="240" w:lineRule="auto"/>
        <w:contextualSpacing/>
        <w:jc w:val="both"/>
        <w:rPr>
          <w:rFonts w:ascii="Times New Roman" w:eastAsia="MS Mincho" w:hAnsi="Times New Roman" w:cs="Times New Roman"/>
          <w:noProof/>
          <w:sz w:val="24"/>
          <w:szCs w:val="24"/>
        </w:rPr>
      </w:pPr>
    </w:p>
    <w:p w:rsidR="00010D35" w:rsidRDefault="009E6C92">
      <w:pPr>
        <w:pStyle w:val="Heading4"/>
        <w:rPr>
          <w:rFonts w:eastAsia="MS Mincho"/>
          <w:noProof/>
        </w:rPr>
      </w:pPr>
      <w:r>
        <w:rPr>
          <w:noProof/>
        </w:rPr>
        <w:t>Production, trade with th</w:t>
      </w:r>
      <w:r>
        <w:rPr>
          <w:noProof/>
        </w:rPr>
        <w:t>e EU and socio-economic impact</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Phosphate production is a major industry in Western Sahara. So it is important to explore the potential of phosphates to promote Saharan industrial growth and benefit the population. But this requires more than trade statist</w:t>
      </w:r>
      <w:r>
        <w:rPr>
          <w:rFonts w:ascii="Times New Roman" w:hAnsi="Times New Roman"/>
          <w:noProof/>
          <w:sz w:val="24"/>
        </w:rPr>
        <w:t>ics. Here too, overall figures (available only from Morocco) do not list Western Sahara separately. We know that 34 % of phosphate imported to the EU in 2015 was from Morocco, but there is no way of knowing what portion was from Western Sahara.</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Still, an </w:t>
      </w:r>
      <w:r>
        <w:rPr>
          <w:rFonts w:ascii="Times New Roman" w:hAnsi="Times New Roman"/>
          <w:noProof/>
          <w:sz w:val="24"/>
        </w:rPr>
        <w:t>analysis of specific reports on the sector does make it possible to assess the effect of not applying tariff preferences to various phosphate products imported to the EU.</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With respect to mineral or chemical phosphate fertilisers, the customs nomenclature </w:t>
      </w:r>
      <w:r>
        <w:rPr>
          <w:rFonts w:ascii="Times New Roman" w:hAnsi="Times New Roman"/>
          <w:noProof/>
          <w:sz w:val="24"/>
        </w:rPr>
        <w:t>applied by the EU distinguishes between ‘superphosphates’</w:t>
      </w:r>
      <w:r>
        <w:rPr>
          <w:rFonts w:ascii="Times New Roman" w:hAnsi="Times New Roman"/>
          <w:noProof/>
          <w:sz w:val="24"/>
          <w:vertAlign w:val="superscript"/>
        </w:rPr>
        <w:footnoteReference w:id="50"/>
      </w:r>
      <w:r>
        <w:rPr>
          <w:rFonts w:ascii="Times New Roman" w:hAnsi="Times New Roman"/>
          <w:noProof/>
          <w:sz w:val="24"/>
        </w:rPr>
        <w:t xml:space="preserve"> and other types of phosphate fertiliser. Most raw phosphate</w:t>
      </w:r>
      <w:r>
        <w:rPr>
          <w:rFonts w:ascii="Times New Roman" w:hAnsi="Times New Roman"/>
          <w:noProof/>
          <w:sz w:val="24"/>
          <w:vertAlign w:val="superscript"/>
        </w:rPr>
        <w:footnoteReference w:id="51"/>
      </w:r>
      <w:r>
        <w:rPr>
          <w:rFonts w:ascii="Times New Roman" w:hAnsi="Times New Roman"/>
          <w:noProof/>
          <w:sz w:val="24"/>
        </w:rPr>
        <w:t xml:space="preserve"> imported to the EU is not subject to customs duty, with or without preferential arrangements. So for those products, extending the EU-Mo</w:t>
      </w:r>
      <w:r>
        <w:rPr>
          <w:rFonts w:ascii="Times New Roman" w:hAnsi="Times New Roman"/>
          <w:noProof/>
          <w:sz w:val="24"/>
        </w:rPr>
        <w:t>rocco Association Agreement to products from Western Sahara would have no effect. Only ‘superphosphates’</w:t>
      </w:r>
      <w:r>
        <w:rPr>
          <w:rFonts w:ascii="Times New Roman" w:hAnsi="Times New Roman"/>
          <w:noProof/>
          <w:sz w:val="24"/>
          <w:vertAlign w:val="superscript"/>
        </w:rPr>
        <w:footnoteReference w:id="52"/>
      </w:r>
      <w:r>
        <w:rPr>
          <w:rFonts w:ascii="Times New Roman" w:hAnsi="Times New Roman"/>
          <w:noProof/>
          <w:sz w:val="24"/>
        </w:rPr>
        <w:t xml:space="preserve"> are subject to customs duty (4.8 %) when imported to the EU. So the question of the impact of the Agreement is relevant only to those products. </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Betw</w:t>
      </w:r>
      <w:r>
        <w:rPr>
          <w:rFonts w:ascii="Times New Roman" w:hAnsi="Times New Roman"/>
          <w:noProof/>
          <w:sz w:val="24"/>
        </w:rPr>
        <w:t xml:space="preserve">een 2014 and 2016, relevant customs duties ranged from EUR 1.13 to 1.83 million. It is fair to assume that only a tiny portion of those imports to the EU was from Western Sahara. Indeed, the Phosboucraa site has relatively low production capacity compared </w:t>
      </w:r>
      <w:r>
        <w:rPr>
          <w:rFonts w:ascii="Times New Roman" w:hAnsi="Times New Roman"/>
          <w:noProof/>
          <w:sz w:val="24"/>
        </w:rPr>
        <w:t>to Moroccan sites; also, according to Morocco, exports from that site are not for the EU</w:t>
      </w:r>
      <w:r>
        <w:rPr>
          <w:rFonts w:ascii="Times New Roman" w:hAnsi="Times New Roman"/>
          <w:noProof/>
          <w:sz w:val="24"/>
          <w:vertAlign w:val="superscript"/>
        </w:rPr>
        <w:footnoteReference w:id="53"/>
      </w:r>
      <w:r>
        <w:rPr>
          <w:rFonts w:ascii="Times New Roman" w:hAnsi="Times New Roman"/>
          <w:noProof/>
          <w:sz w:val="24"/>
        </w:rPr>
        <w:t>.</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This suggests that </w:t>
      </w:r>
      <w:r>
        <w:rPr>
          <w:rFonts w:ascii="Times New Roman" w:hAnsi="Times New Roman"/>
          <w:b/>
          <w:noProof/>
          <w:sz w:val="24"/>
        </w:rPr>
        <w:t>not applying tariff preferences would have little or no effect on current phosphate production in Western Sahara and relevant customs duties</w:t>
      </w:r>
      <w:r>
        <w:rPr>
          <w:rFonts w:ascii="Times New Roman" w:hAnsi="Times New Roman"/>
          <w:noProof/>
          <w:sz w:val="24"/>
        </w:rPr>
        <w:t xml:space="preserve"> – or</w:t>
      </w:r>
      <w:r>
        <w:rPr>
          <w:rFonts w:ascii="Times New Roman" w:hAnsi="Times New Roman"/>
          <w:noProof/>
          <w:sz w:val="24"/>
        </w:rPr>
        <w:t>, conversely, that granting the tariff preferences established in the EU-Morocco Association Agreement would have no impact on current superphosphate imports from Western Sahara.</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However, </w:t>
      </w:r>
      <w:r>
        <w:rPr>
          <w:rFonts w:ascii="Times New Roman" w:hAnsi="Times New Roman"/>
          <w:b/>
          <w:noProof/>
          <w:sz w:val="24"/>
        </w:rPr>
        <w:t>there are certain phosphate products</w:t>
      </w:r>
      <w:r>
        <w:rPr>
          <w:rFonts w:ascii="Times New Roman" w:hAnsi="Times New Roman"/>
          <w:b/>
          <w:i/>
          <w:noProof/>
          <w:sz w:val="24"/>
          <w:vertAlign w:val="superscript"/>
        </w:rPr>
        <w:footnoteReference w:id="54"/>
      </w:r>
      <w:r>
        <w:rPr>
          <w:rFonts w:ascii="Times New Roman" w:hAnsi="Times New Roman"/>
          <w:b/>
          <w:noProof/>
          <w:sz w:val="24"/>
        </w:rPr>
        <w:t xml:space="preserve"> not currently produced in Wes</w:t>
      </w:r>
      <w:r>
        <w:rPr>
          <w:rFonts w:ascii="Times New Roman" w:hAnsi="Times New Roman"/>
          <w:b/>
          <w:noProof/>
          <w:sz w:val="24"/>
        </w:rPr>
        <w:t>tern Sahara</w:t>
      </w:r>
      <w:r>
        <w:rPr>
          <w:rFonts w:ascii="Times New Roman" w:hAnsi="Times New Roman"/>
          <w:noProof/>
          <w:sz w:val="24"/>
        </w:rPr>
        <w:t xml:space="preserve"> because there is no phosphate processing site in the territory, </w:t>
      </w:r>
      <w:r>
        <w:rPr>
          <w:rFonts w:ascii="Times New Roman" w:hAnsi="Times New Roman"/>
          <w:b/>
          <w:noProof/>
          <w:sz w:val="24"/>
        </w:rPr>
        <w:t>but which could be produced and would then enjoy preferences, as imports of such products to the EU is currently subject to customs duties</w:t>
      </w:r>
      <w:r>
        <w:rPr>
          <w:rFonts w:ascii="Times New Roman" w:hAnsi="Times New Roman"/>
          <w:noProof/>
          <w:sz w:val="24"/>
        </w:rPr>
        <w:t xml:space="preserve"> of 4.8 % to 6.5 % when coming from countr</w:t>
      </w:r>
      <w:r>
        <w:rPr>
          <w:rFonts w:ascii="Times New Roman" w:hAnsi="Times New Roman"/>
          <w:noProof/>
          <w:sz w:val="24"/>
        </w:rPr>
        <w:t>ies with which the EU has no preferential agreement. So we need to assess the impact of excluding Saharan products from the tariff preference established in the EU-Morocco Association Agreement; to do so, we need to analyse whether the processing of materi</w:t>
      </w:r>
      <w:r>
        <w:rPr>
          <w:rFonts w:ascii="Times New Roman" w:hAnsi="Times New Roman"/>
          <w:noProof/>
          <w:sz w:val="24"/>
        </w:rPr>
        <w:t xml:space="preserve">al from Western Sahara at other sites, in Morocco, has an effect on determining preferential origin. </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The rule of origin applied to these products under the Association Agreement is key to determining whether there would be a potential effect. This </w:t>
      </w:r>
      <w:r>
        <w:rPr>
          <w:rFonts w:ascii="Times New Roman" w:hAnsi="Times New Roman"/>
          <w:noProof/>
          <w:sz w:val="24"/>
        </w:rPr>
        <w:t>involves phosphoric acid and certain fertilisers:</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Times New Roman" w:hAnsi="Times New Roman" w:cs="Times New Roman"/>
          <w:noProof/>
          <w:sz w:val="24"/>
          <w:szCs w:val="20"/>
          <w:u w:val="single"/>
        </w:rPr>
      </w:pPr>
      <w:r>
        <w:rPr>
          <w:rFonts w:ascii="Times New Roman" w:hAnsi="Times New Roman"/>
          <w:noProof/>
          <w:sz w:val="24"/>
          <w:u w:val="single"/>
        </w:rPr>
        <w:t>Phosphoric acid (HS 29.19)</w:t>
      </w: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29.19 - Phosphoric esters and their salts, including lactophosphates; their halogenated, sulphonated, nitrated or nitrosated derivatives.</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regular customs duty (under the mos</w:t>
      </w:r>
      <w:r>
        <w:rPr>
          <w:rFonts w:ascii="Times New Roman" w:hAnsi="Times New Roman"/>
          <w:noProof/>
          <w:sz w:val="24"/>
        </w:rPr>
        <w:t>t-favoured nation clause) is 6.5 %.</w:t>
      </w: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preferential duty under the Association Agreement is zero.</w:t>
      </w: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rule of origin for preferential treatment is: change in tariff heading or value added rule (maximum 40 % non-originating materials).</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The rule of origin </w:t>
      </w:r>
      <w:r>
        <w:rPr>
          <w:rFonts w:ascii="Times New Roman" w:hAnsi="Times New Roman"/>
          <w:noProof/>
          <w:sz w:val="24"/>
        </w:rPr>
        <w:t>for this product is a change in tariff heading. Phosphates (potentially from Western Sahara) come under Chapter 31 of the Harmonised System, so the production of phosphoric acid, which comes under Chapter 29, involves a change in chapter and thus in tariff</w:t>
      </w:r>
      <w:r>
        <w:rPr>
          <w:rFonts w:ascii="Times New Roman" w:hAnsi="Times New Roman"/>
          <w:noProof/>
          <w:sz w:val="24"/>
        </w:rPr>
        <w:t xml:space="preserve"> heading. Therefore, processing is sufficient and </w:t>
      </w:r>
      <w:r>
        <w:rPr>
          <w:rFonts w:ascii="Times New Roman" w:hAnsi="Times New Roman"/>
          <w:i/>
          <w:noProof/>
          <w:sz w:val="24"/>
        </w:rPr>
        <w:t>the preferential origin of phosphoric acid does not depend on the origin of the unprocessed phosphate</w:t>
      </w:r>
      <w:r>
        <w:rPr>
          <w:rFonts w:ascii="Times New Roman" w:hAnsi="Times New Roman"/>
          <w:noProof/>
          <w:sz w:val="24"/>
        </w:rPr>
        <w:t>. The origin, which is key to setting the applicable rate of customs duty, depends on the country where t</w:t>
      </w:r>
      <w:r>
        <w:rPr>
          <w:rFonts w:ascii="Times New Roman" w:hAnsi="Times New Roman"/>
          <w:noProof/>
          <w:sz w:val="24"/>
        </w:rPr>
        <w:t xml:space="preserve">he phosphate was processed into phosphoric acid. So, regardless of the origin of the unprocessed phosphate, </w:t>
      </w:r>
      <w:r>
        <w:rPr>
          <w:rFonts w:ascii="Times New Roman" w:hAnsi="Times New Roman"/>
          <w:i/>
          <w:noProof/>
          <w:sz w:val="24"/>
        </w:rPr>
        <w:t>phosphoric acid produced in Morocco may enjoy preferential treatment when imported to the EU</w:t>
      </w:r>
      <w:r>
        <w:rPr>
          <w:rFonts w:ascii="Times New Roman" w:hAnsi="Times New Roman"/>
          <w:noProof/>
          <w:sz w:val="24"/>
        </w:rPr>
        <w:t>.</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rPr>
          <w:rFonts w:ascii="Times New Roman" w:eastAsia="MS Mincho" w:hAnsi="Times New Roman" w:cs="Times New Roman"/>
          <w:noProof/>
          <w:sz w:val="24"/>
          <w:szCs w:val="24"/>
          <w:u w:val="single"/>
        </w:rPr>
      </w:pPr>
      <w:r>
        <w:rPr>
          <w:rFonts w:ascii="Times New Roman" w:hAnsi="Times New Roman"/>
          <w:noProof/>
          <w:sz w:val="24"/>
          <w:u w:val="single"/>
        </w:rPr>
        <w:t>Fertilisers (HS 31.05)</w:t>
      </w: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Mineral or chemical fertiliser</w:t>
      </w:r>
      <w:r>
        <w:rPr>
          <w:rFonts w:ascii="Times New Roman" w:hAnsi="Times New Roman"/>
          <w:noProof/>
          <w:sz w:val="24"/>
        </w:rPr>
        <w:t>s containing two or three of the fertilising elements nitrogen, phosphorus and potassium; other fertilisers; products mentioned in this chapter, presented in tablets or similar forms or in packages of a gross weight not exceeding 10 kg.</w:t>
      </w:r>
    </w:p>
    <w:p w:rsidR="00010D35" w:rsidRDefault="00010D35">
      <w:pPr>
        <w:widowControl w:val="0"/>
        <w:spacing w:after="0" w:line="240" w:lineRule="auto"/>
        <w:jc w:val="both"/>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regular custom</w:t>
      </w:r>
      <w:r>
        <w:rPr>
          <w:rFonts w:ascii="Times New Roman" w:hAnsi="Times New Roman"/>
          <w:noProof/>
          <w:sz w:val="24"/>
        </w:rPr>
        <w:t>s duty (under the most-favoured nation clause) is 6.5 %.</w:t>
      </w: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preferential duty under the Association Agreement is zero.</w:t>
      </w: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rule of origin for preferential treatment is: change in tariff heading with a maximum of 50 % non-originating materials, or value ad</w:t>
      </w:r>
      <w:r>
        <w:rPr>
          <w:rFonts w:ascii="Times New Roman" w:hAnsi="Times New Roman"/>
          <w:noProof/>
          <w:sz w:val="24"/>
        </w:rPr>
        <w:t>ded rule (maximum 40 % non-originating materials).</w:t>
      </w:r>
    </w:p>
    <w:p w:rsidR="00010D35" w:rsidRDefault="00010D35">
      <w:pPr>
        <w:widowControl w:val="0"/>
        <w:spacing w:after="0" w:line="240" w:lineRule="auto"/>
        <w:rPr>
          <w:rFonts w:ascii="Times New Roman" w:eastAsia="Times New Roman" w:hAnsi="Times New Roman" w:cs="Times New Roman"/>
          <w:noProof/>
          <w:sz w:val="24"/>
          <w:szCs w:val="20"/>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If tariff preferences were applied to products from Western Sahara, phosphoric acid produced at Laâyoune would enjoy preferential treatment; so would fertilisers, where there would be a double gain, as re</w:t>
      </w:r>
      <w:r>
        <w:rPr>
          <w:rFonts w:ascii="Times New Roman" w:hAnsi="Times New Roman"/>
          <w:noProof/>
          <w:sz w:val="24"/>
        </w:rPr>
        <w:t>cognition of preferential origin would require at least 50 % originating raw material, which would benefit Phosboucraa. Plans by the OCP Group to develop an industrial complex producing fertilisers in Laâyoune (phosphoric acid and fertilisers), and to buil</w:t>
      </w:r>
      <w:r>
        <w:rPr>
          <w:rFonts w:ascii="Times New Roman" w:hAnsi="Times New Roman"/>
          <w:noProof/>
          <w:sz w:val="24"/>
        </w:rPr>
        <w:t>d a new quay in the port of Laâyoune, could thus be affected by non-preferential treatment for those products.</w:t>
      </w:r>
    </w:p>
    <w:p w:rsidR="00010D35" w:rsidRDefault="00010D35">
      <w:pPr>
        <w:widowControl w:val="0"/>
        <w:spacing w:after="0" w:line="240" w:lineRule="auto"/>
        <w:jc w:val="both"/>
        <w:rPr>
          <w:rFonts w:ascii="Times New Roman" w:eastAsia="MS Mincho" w:hAnsi="Times New Roman" w:cs="Times New Roman"/>
          <w:b/>
          <w:noProof/>
          <w:sz w:val="24"/>
          <w:szCs w:val="24"/>
          <w:u w:val="single"/>
        </w:rPr>
      </w:pPr>
    </w:p>
    <w:p w:rsidR="00010D35" w:rsidRDefault="009E6C92">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In fact, there have been announcements of future investment in producing a wider range of fertilisers as part of a development plan. The plan </w:t>
      </w:r>
      <w:r>
        <w:rPr>
          <w:rFonts w:ascii="Times New Roman" w:hAnsi="Times New Roman"/>
          <w:noProof/>
          <w:sz w:val="24"/>
        </w:rPr>
        <w:t>involves creating an integrated chemical complex in Phosboucraa, which would also make it possible to respond more flexibly to changes in market rates for raw phosphate ore (the investment is an estimated USD 1.2 billion).</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The details of the investment pl</w:t>
      </w:r>
      <w:r>
        <w:rPr>
          <w:rFonts w:ascii="Times New Roman" w:hAnsi="Times New Roman"/>
          <w:noProof/>
          <w:sz w:val="24"/>
        </w:rPr>
        <w:t>an presented by OCP show a total (including other, longer</w:t>
      </w:r>
      <w:r>
        <w:rPr>
          <w:rFonts w:ascii="Times New Roman" w:hAnsi="Times New Roman"/>
          <w:noProof/>
          <w:sz w:val="24"/>
        </w:rPr>
        <w:noBreakHyphen/>
        <w:t>term investment) of more than USD 2 billion</w:t>
      </w:r>
      <w:r>
        <w:rPr>
          <w:rFonts w:ascii="Times New Roman" w:hAnsi="Times New Roman"/>
          <w:noProof/>
          <w:sz w:val="24"/>
          <w:vertAlign w:val="superscript"/>
        </w:rPr>
        <w:footnoteReference w:id="55"/>
      </w:r>
      <w:r>
        <w:rPr>
          <w:rFonts w:ascii="Times New Roman" w:hAnsi="Times New Roman"/>
          <w:noProof/>
          <w:sz w:val="24"/>
        </w:rPr>
        <w:t>. Those projects would be compromised if preferential treatment was not granted to products from Western Sahara, with a knock-on effect on local employmen</w:t>
      </w:r>
      <w:r>
        <w:rPr>
          <w:rFonts w:ascii="Times New Roman" w:hAnsi="Times New Roman"/>
          <w:noProof/>
          <w:sz w:val="24"/>
        </w:rPr>
        <w:t>t.</w:t>
      </w:r>
    </w:p>
    <w:p w:rsidR="00010D35" w:rsidRDefault="00010D35">
      <w:pPr>
        <w:widowControl w:val="0"/>
        <w:spacing w:after="0" w:line="240" w:lineRule="auto"/>
        <w:jc w:val="both"/>
        <w:rPr>
          <w:rFonts w:ascii="Times New Roman" w:eastAsia="MS Mincho" w:hAnsi="Times New Roman" w:cs="Times New Roman"/>
          <w:b/>
          <w:noProof/>
          <w:sz w:val="24"/>
          <w:szCs w:val="24"/>
          <w:u w:val="single"/>
        </w:rPr>
      </w:pPr>
    </w:p>
    <w:p w:rsidR="00010D35" w:rsidRDefault="009E6C92">
      <w:pPr>
        <w:pStyle w:val="Heading4"/>
        <w:rPr>
          <w:rFonts w:eastAsia="MS Mincho"/>
          <w:noProof/>
        </w:rPr>
      </w:pPr>
      <w:r>
        <w:rPr>
          <w:noProof/>
        </w:rPr>
        <w:t>Conclusion</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Given its current state, </w:t>
      </w:r>
      <w:r>
        <w:rPr>
          <w:rFonts w:ascii="Times New Roman" w:hAnsi="Times New Roman"/>
          <w:b/>
          <w:noProof/>
          <w:sz w:val="24"/>
        </w:rPr>
        <w:t>the Western Saharan phosphate industry</w:t>
      </w:r>
      <w:r>
        <w:rPr>
          <w:rFonts w:ascii="Times New Roman" w:hAnsi="Times New Roman"/>
          <w:noProof/>
          <w:sz w:val="24"/>
        </w:rPr>
        <w:t xml:space="preserve"> – and therefore economic activity in the sector as well as employment and other socio-economic aspects – </w:t>
      </w:r>
      <w:r>
        <w:rPr>
          <w:rFonts w:ascii="Times New Roman" w:hAnsi="Times New Roman"/>
          <w:b/>
          <w:noProof/>
          <w:sz w:val="24"/>
        </w:rPr>
        <w:t xml:space="preserve">is not immediately and directly affected by the exclusion of Western </w:t>
      </w:r>
      <w:r>
        <w:rPr>
          <w:rFonts w:ascii="Times New Roman" w:hAnsi="Times New Roman"/>
          <w:b/>
          <w:noProof/>
          <w:sz w:val="24"/>
        </w:rPr>
        <w:t>Sahara from the Association Agreement</w:t>
      </w:r>
      <w:r>
        <w:rPr>
          <w:rFonts w:ascii="Times New Roman" w:hAnsi="Times New Roman"/>
          <w:noProof/>
          <w:sz w:val="24"/>
        </w:rPr>
        <w:t>. There are three main reasons for this: 1. Some (raw phosphate) products are subject to zero duty (under the most-favoured nation clause). 2. There is no EU market for phosphate production. 3. Processing in Morocco (or</w:t>
      </w:r>
      <w:r>
        <w:rPr>
          <w:rFonts w:ascii="Times New Roman" w:hAnsi="Times New Roman"/>
          <w:noProof/>
          <w:sz w:val="24"/>
        </w:rPr>
        <w:t xml:space="preserve"> in another country which has signed a preferential agreement with the EU) of some phosphates produced in Western Sahara would be sufficient for recognition of Moroccan preferential origin, so preferential treatment for those processed products does not de</w:t>
      </w:r>
      <w:r>
        <w:rPr>
          <w:rFonts w:ascii="Times New Roman" w:hAnsi="Times New Roman"/>
          <w:noProof/>
          <w:sz w:val="24"/>
        </w:rPr>
        <w:t>pend on the origin of the ores.</w:t>
      </w:r>
    </w:p>
    <w:p w:rsidR="00010D35" w:rsidRDefault="00010D35">
      <w:pPr>
        <w:widowControl w:val="0"/>
        <w:spacing w:after="0" w:line="240" w:lineRule="auto"/>
        <w:jc w:val="both"/>
        <w:rPr>
          <w:rFonts w:ascii="Times New Roman" w:eastAsia="MS Mincho" w:hAnsi="Times New Roman" w:cs="Times New Roman"/>
          <w:noProof/>
          <w:sz w:val="24"/>
          <w:szCs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At the same time, it seems that </w:t>
      </w:r>
      <w:r>
        <w:rPr>
          <w:rFonts w:ascii="Times New Roman" w:hAnsi="Times New Roman"/>
          <w:b/>
          <w:noProof/>
          <w:sz w:val="24"/>
        </w:rPr>
        <w:t>granting preferences to products originating in Western Sahara would have an impact on future increases in the production of some phosphates</w:t>
      </w:r>
      <w:r>
        <w:rPr>
          <w:rFonts w:ascii="Times New Roman" w:hAnsi="Times New Roman"/>
          <w:noProof/>
          <w:sz w:val="24"/>
        </w:rPr>
        <w:t xml:space="preserve">. In fact, </w:t>
      </w:r>
      <w:r>
        <w:rPr>
          <w:rFonts w:ascii="Times New Roman" w:hAnsi="Times New Roman"/>
          <w:b/>
          <w:noProof/>
          <w:sz w:val="24"/>
        </w:rPr>
        <w:t>major announced investment</w:t>
      </w:r>
      <w:r>
        <w:rPr>
          <w:rFonts w:ascii="Times New Roman" w:hAnsi="Times New Roman"/>
          <w:noProof/>
          <w:sz w:val="24"/>
        </w:rPr>
        <w:t xml:space="preserve"> (more than US</w:t>
      </w:r>
      <w:r>
        <w:rPr>
          <w:rFonts w:ascii="Times New Roman" w:hAnsi="Times New Roman"/>
          <w:noProof/>
          <w:sz w:val="24"/>
        </w:rPr>
        <w:t xml:space="preserve">D 2 billion) in the production of phosphate derivatives in Western Sahara (especially phosphoric acid and fertilisers) </w:t>
      </w:r>
      <w:r>
        <w:rPr>
          <w:rFonts w:ascii="Times New Roman" w:hAnsi="Times New Roman"/>
          <w:b/>
          <w:noProof/>
          <w:sz w:val="24"/>
        </w:rPr>
        <w:t>would be compromised if exports of those products to the EU did not enjoy preferential treatment</w:t>
      </w:r>
      <w:r>
        <w:rPr>
          <w:rFonts w:ascii="Times New Roman" w:hAnsi="Times New Roman"/>
          <w:noProof/>
          <w:sz w:val="24"/>
        </w:rPr>
        <w:t>. Without preferential treatment, investm</w:t>
      </w:r>
      <w:r>
        <w:rPr>
          <w:rFonts w:ascii="Times New Roman" w:hAnsi="Times New Roman"/>
          <w:noProof/>
          <w:sz w:val="24"/>
        </w:rPr>
        <w:t>ent in other places where production would have preferential treatment (such as Morocco) would be more attractive than in Western Sahara. Halting investment in Western Sahara could affect production capacity, product diversity and thus jobs in the region’s</w:t>
      </w:r>
      <w:r>
        <w:rPr>
          <w:rFonts w:ascii="Times New Roman" w:hAnsi="Times New Roman"/>
          <w:noProof/>
          <w:sz w:val="24"/>
        </w:rPr>
        <w:t xml:space="preserve"> phosphate sector.</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pStyle w:val="Heading1"/>
        <w:rPr>
          <w:rFonts w:eastAsia="Calibri"/>
          <w:noProof/>
        </w:rPr>
      </w:pPr>
      <w:bookmarkStart w:id="42" w:name="_Toc514257471"/>
      <w:bookmarkStart w:id="43" w:name="_Toc516249542"/>
      <w:r>
        <w:rPr>
          <w:noProof/>
        </w:rPr>
        <w:t>CONSULTATION OF THE PEOPLE CONCERNED BY THE AMENDMENTS TO PROTOCOLS 1 AND 4 OF THE ASSOCIATION AGREEMENT</w:t>
      </w:r>
      <w:bookmarkEnd w:id="42"/>
      <w:bookmarkEnd w:id="43"/>
      <w:r>
        <w:rPr>
          <w:noProof/>
        </w:rPr>
        <w:t xml:space="preserve"> </w:t>
      </w:r>
    </w:p>
    <w:p w:rsidR="00010D35" w:rsidRDefault="00010D35">
      <w:pPr>
        <w:widowControl w:val="0"/>
        <w:spacing w:after="0" w:line="240" w:lineRule="auto"/>
        <w:jc w:val="both"/>
        <w:outlineLvl w:val="0"/>
        <w:rPr>
          <w:rFonts w:ascii="Times New Roman" w:eastAsia="Calibri" w:hAnsi="Times New Roman" w:cs="Times New Roman"/>
          <w:smallCaps/>
          <w:noProof/>
          <w:sz w:val="24"/>
        </w:rPr>
      </w:pPr>
    </w:p>
    <w:p w:rsidR="00010D35" w:rsidRDefault="009E6C92">
      <w:pPr>
        <w:pStyle w:val="Heading2"/>
        <w:rPr>
          <w:rFonts w:eastAsia="Arial Unicode MS"/>
          <w:noProof/>
          <w:u w:color="000000"/>
          <w:bdr w:val="nil"/>
        </w:rPr>
      </w:pPr>
      <w:bookmarkStart w:id="44" w:name="_Toc512247851"/>
      <w:bookmarkStart w:id="45" w:name="_Toc30"/>
      <w:bookmarkStart w:id="46" w:name="_Toc514257472"/>
      <w:bookmarkStart w:id="47" w:name="_Toc516249543"/>
      <w:bookmarkEnd w:id="44"/>
      <w:r>
        <w:rPr>
          <w:noProof/>
        </w:rPr>
        <w:t>Aim and scope of consultation</w:t>
      </w:r>
      <w:bookmarkEnd w:id="45"/>
      <w:bookmarkEnd w:id="46"/>
      <w:bookmarkEnd w:id="47"/>
    </w:p>
    <w:p w:rsidR="00010D35" w:rsidRDefault="00010D35">
      <w:pPr>
        <w:pBdr>
          <w:top w:val="nil"/>
          <w:left w:val="nil"/>
          <w:bottom w:val="nil"/>
          <w:right w:val="nil"/>
          <w:between w:val="nil"/>
          <w:bar w:val="nil"/>
        </w:pBdr>
        <w:spacing w:after="0" w:line="240" w:lineRule="auto"/>
        <w:jc w:val="both"/>
        <w:rPr>
          <w:rFonts w:ascii="Times New Roman" w:eastAsia="Times New Roman" w:hAnsi="Times New Roman" w:cs="Times New Roman"/>
          <w:b/>
          <w:bCs/>
          <w:i/>
          <w:iCs/>
          <w:noProof/>
          <w:color w:val="000000"/>
          <w:sz w:val="24"/>
          <w:szCs w:val="24"/>
          <w:u w:val="single"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One of the aims of the negotiation was to fulfil the condition that ‘the people concerned by the EU-Morocco Association Agreement have been adequately involved’ in preparing to amend Protocols 1 and 4 of the Agreement. To that end, the Commission and the E</w:t>
      </w:r>
      <w:r>
        <w:rPr>
          <w:rFonts w:ascii="Times New Roman" w:hAnsi="Times New Roman"/>
          <w:noProof/>
          <w:color w:val="000000"/>
          <w:sz w:val="24"/>
          <w:u w:color="000000"/>
          <w:bdr w:val="nil"/>
        </w:rPr>
        <w:t>EAS endeavoured to ensure that their approach to designing the amendments and to consulting the people concerned respected the ECJ judgment of 21 December 2016, without in any way pre-empting the outcome or standing in the way of the UN-led process. Theref</w:t>
      </w:r>
      <w:r>
        <w:rPr>
          <w:rFonts w:ascii="Times New Roman" w:hAnsi="Times New Roman"/>
          <w:noProof/>
          <w:color w:val="000000"/>
          <w:sz w:val="24"/>
          <w:u w:color="000000"/>
          <w:bdr w:val="nil"/>
        </w:rPr>
        <w:t xml:space="preserve">ore, the fact that the process of self-determination for Western Sahara was still unresolved was a major consideration for the Commission and the EEAS. Moreover, and parallel to consultations in a highly complex and sensitive political context, </w:t>
      </w:r>
      <w:r>
        <w:rPr>
          <w:rFonts w:ascii="Times New Roman" w:hAnsi="Times New Roman"/>
          <w:b/>
          <w:noProof/>
          <w:color w:val="000000"/>
          <w:sz w:val="24"/>
          <w:u w:color="000000"/>
          <w:bdr w:val="nil"/>
        </w:rPr>
        <w:t>the questio</w:t>
      </w:r>
      <w:r>
        <w:rPr>
          <w:rFonts w:ascii="Times New Roman" w:hAnsi="Times New Roman"/>
          <w:b/>
          <w:noProof/>
          <w:color w:val="000000"/>
          <w:sz w:val="24"/>
          <w:u w:color="000000"/>
          <w:bdr w:val="nil"/>
        </w:rPr>
        <w:t>n was not so much the territory’s final status, as whether the EU should apply tariff preferences under the EU-Morocco Association Agreement to products from Western Sahara</w:t>
      </w:r>
      <w:r>
        <w:rPr>
          <w:rFonts w:ascii="Times New Roman" w:hAnsi="Times New Roman"/>
          <w:noProof/>
          <w:color w:val="000000"/>
          <w:sz w:val="24"/>
          <w:u w:color="000000"/>
          <w:bdr w:val="nil"/>
        </w:rPr>
        <w:t>. This perspective adopted by the Commission and the EEAS was based on the essential</w:t>
      </w:r>
      <w:r>
        <w:rPr>
          <w:rFonts w:ascii="Times New Roman" w:hAnsi="Times New Roman"/>
          <w:noProof/>
          <w:color w:val="000000"/>
          <w:sz w:val="24"/>
          <w:u w:color="000000"/>
          <w:bdr w:val="nil"/>
        </w:rPr>
        <w:t xml:space="preserve">ly economic nature of the Agreement, as well as the EU’s desire to avoid weakening traditional trade flows. </w:t>
      </w:r>
    </w:p>
    <w:p w:rsidR="00010D35" w:rsidRDefault="00010D35">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rsidR="00010D35" w:rsidRDefault="009E6C92">
      <w:pPr>
        <w:pStyle w:val="Heading2"/>
        <w:rPr>
          <w:rFonts w:eastAsia="Arial Unicode MS"/>
          <w:b w:val="0"/>
          <w:bCs w:val="0"/>
          <w:noProof/>
          <w:u w:color="000000"/>
          <w:bdr w:val="nil"/>
        </w:rPr>
      </w:pPr>
      <w:bookmarkStart w:id="48" w:name="_Toc31"/>
      <w:bookmarkStart w:id="49" w:name="_Toc514257473"/>
      <w:bookmarkStart w:id="50" w:name="_Toc516249544"/>
      <w:r>
        <w:rPr>
          <w:noProof/>
        </w:rPr>
        <w:t>Main results</w:t>
      </w:r>
      <w:bookmarkEnd w:id="48"/>
      <w:bookmarkEnd w:id="49"/>
      <w:bookmarkEnd w:id="50"/>
    </w:p>
    <w:p w:rsidR="00010D35" w:rsidRDefault="00010D35">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In this context, the consultation carried out by the Commission and the EEAS was threefold in nature. As a party to the negotiation, the Government of Morocco carried out a broad consultation of regional elected officials, under its own institutional rules</w:t>
      </w:r>
      <w:r>
        <w:rPr>
          <w:rFonts w:ascii="Times New Roman" w:hAnsi="Times New Roman"/>
          <w:noProof/>
          <w:color w:val="000000"/>
          <w:sz w:val="24"/>
          <w:u w:color="000000"/>
          <w:bdr w:val="nil"/>
        </w:rPr>
        <w:t xml:space="preserve">, sharing its conclusions with the Commission and the EEAS. In addition, the Commission and the EEAS wished to consult as broad a range as possible of political, socio-economic and civil society organisations likely to represent Western Sahara's local and </w:t>
      </w:r>
      <w:r>
        <w:rPr>
          <w:rFonts w:ascii="Times New Roman" w:hAnsi="Times New Roman"/>
          <w:noProof/>
          <w:color w:val="000000"/>
          <w:sz w:val="24"/>
          <w:u w:color="000000"/>
          <w:bdr w:val="nil"/>
        </w:rPr>
        <w:t xml:space="preserve">regional interests. Finally, there were discussions with the Polisario Front, which is one of the parties to the UN-led peace process.  </w:t>
      </w:r>
    </w:p>
    <w:p w:rsidR="00010D35" w:rsidRDefault="00010D35">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rsidR="00010D35" w:rsidRDefault="009E6C92">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rPr>
      </w:pPr>
      <w:r>
        <w:rPr>
          <w:rFonts w:ascii="Times New Roman" w:hAnsi="Times New Roman"/>
          <w:i/>
          <w:noProof/>
          <w:color w:val="000000"/>
          <w:sz w:val="24"/>
          <w:u w:color="000000"/>
          <w:bdr w:val="nil"/>
        </w:rPr>
        <w:t>Results of Moroccan consultations with elected representatives in national, regional and local constitutional bodies i</w:t>
      </w:r>
      <w:r>
        <w:rPr>
          <w:rFonts w:ascii="Times New Roman" w:hAnsi="Times New Roman"/>
          <w:i/>
          <w:noProof/>
          <w:color w:val="000000"/>
          <w:sz w:val="24"/>
          <w:u w:color="000000"/>
          <w:bdr w:val="nil"/>
        </w:rPr>
        <w:t>n Western Sahara</w:t>
      </w: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On 5 and 6 March 2018, the Moroccan authorities consulted elected representatives in national, regional and local constitutional bodies. Those consultations involved the four regional councils most directly concerned</w:t>
      </w:r>
      <w:r>
        <w:rPr>
          <w:rStyle w:val="FootnoteReference"/>
          <w:rFonts w:ascii="Times New Roman" w:hAnsi="Times New Roman"/>
          <w:noProof/>
          <w:color w:val="000000"/>
          <w:sz w:val="24"/>
          <w:u w:color="000000"/>
          <w:bdr w:val="nil"/>
        </w:rPr>
        <w:footnoteReference w:id="56"/>
      </w:r>
      <w:r>
        <w:rPr>
          <w:rFonts w:ascii="Times New Roman" w:hAnsi="Times New Roman"/>
          <w:noProof/>
          <w:color w:val="000000"/>
          <w:sz w:val="24"/>
          <w:u w:color="000000"/>
          <w:bdr w:val="nil"/>
        </w:rPr>
        <w:t xml:space="preserve">, their respective </w:t>
      </w:r>
      <w:r>
        <w:rPr>
          <w:rFonts w:ascii="Times New Roman" w:hAnsi="Times New Roman"/>
          <w:noProof/>
          <w:color w:val="000000"/>
          <w:sz w:val="24"/>
          <w:u w:color="000000"/>
          <w:bdr w:val="nil"/>
        </w:rPr>
        <w:t>regional professional Chambers of Agriculture and the Foreign Affairs Committee of the upper house of the Moroccan Parliament (the House of Representatives). Representatives of regional councils were elected in 2015, in the first regional elections with di</w:t>
      </w:r>
      <w:r>
        <w:rPr>
          <w:rFonts w:ascii="Times New Roman" w:hAnsi="Times New Roman"/>
          <w:noProof/>
          <w:color w:val="000000"/>
          <w:sz w:val="24"/>
          <w:u w:color="000000"/>
          <w:bdr w:val="nil"/>
        </w:rPr>
        <w:t>rect universal suffrage held in Morocco</w:t>
      </w:r>
      <w:r>
        <w:rPr>
          <w:rStyle w:val="FootnoteReference"/>
          <w:rFonts w:ascii="Times New Roman" w:hAnsi="Times New Roman"/>
          <w:noProof/>
          <w:color w:val="000000"/>
          <w:sz w:val="24"/>
          <w:u w:color="000000"/>
          <w:bdr w:val="nil"/>
        </w:rPr>
        <w:footnoteReference w:id="57"/>
      </w:r>
      <w:r>
        <w:rPr>
          <w:rFonts w:ascii="Times New Roman" w:hAnsi="Times New Roman"/>
          <w:noProof/>
          <w:color w:val="000000"/>
          <w:sz w:val="24"/>
          <w:u w:color="000000"/>
          <w:bdr w:val="nil"/>
        </w:rPr>
        <w:t>. As regards the origin of the representatives, the report by the Moroccan authorities states that all representatives of the regions of Laâyoune Sakia el Hamra and Dakhla-Oued ed Dahab, which together cover nearly a</w:t>
      </w:r>
      <w:r>
        <w:rPr>
          <w:rFonts w:ascii="Times New Roman" w:hAnsi="Times New Roman"/>
          <w:noProof/>
          <w:color w:val="000000"/>
          <w:sz w:val="24"/>
          <w:u w:color="000000"/>
          <w:bdr w:val="nil"/>
        </w:rPr>
        <w:t>ll of Western Sahara, as well as the members of their regional Chambers of Agriculture, came from local Sahrawi tribes. Half the members of the Foreign Affairs Committee are also of Sahrawi origin, including its Chair.</w:t>
      </w: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official Moroccan report on the r</w:t>
      </w:r>
      <w:r>
        <w:rPr>
          <w:rFonts w:ascii="Times New Roman" w:hAnsi="Times New Roman"/>
          <w:noProof/>
          <w:color w:val="000000"/>
          <w:sz w:val="24"/>
          <w:u w:color="000000"/>
          <w:bdr w:val="nil"/>
        </w:rPr>
        <w:t>esults from consulting Moroccan legal institutions stresses that local, regional and national representatives are all committed to the EU-Morocco agriculture and fisheries partnership, which they regard as completely consistent with national socio-economic</w:t>
      </w:r>
      <w:r>
        <w:rPr>
          <w:rFonts w:ascii="Times New Roman" w:hAnsi="Times New Roman"/>
          <w:noProof/>
          <w:color w:val="000000"/>
          <w:sz w:val="24"/>
          <w:u w:color="000000"/>
          <w:bdr w:val="nil"/>
        </w:rPr>
        <w:t xml:space="preserve"> development policy in those areas. The representatives were happy that negotiations had succeeded and stressed the socio-economic benefits that would result, especially in terms of promoting exports. For example, one member of a regional council mentioned</w:t>
      </w:r>
      <w:r>
        <w:rPr>
          <w:rFonts w:ascii="Times New Roman" w:hAnsi="Times New Roman"/>
          <w:noProof/>
          <w:color w:val="000000"/>
          <w:sz w:val="24"/>
          <w:u w:color="000000"/>
          <w:bdr w:val="nil"/>
        </w:rPr>
        <w:t xml:space="preserve"> citrus fruit and vegetable oils as promising export products to be encouraged, while one regional chamber of agriculture stressed the potential market for camel products and the need to work with the EU to bring Moroccan products into line with EU sanitar</w:t>
      </w:r>
      <w:r>
        <w:rPr>
          <w:rFonts w:ascii="Times New Roman" w:hAnsi="Times New Roman"/>
          <w:noProof/>
          <w:color w:val="000000"/>
          <w:sz w:val="24"/>
          <w:u w:color="000000"/>
          <w:bdr w:val="nil"/>
        </w:rPr>
        <w:t>y and phytosanitary standards. The representatives also expressed interest in developing appropriate facilitating mechanisms to ensure the exchange of information and follow-up needed to maximise the benefits of the EU-Morocco Association Agreement.</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rPr>
      </w:pPr>
      <w:r>
        <w:rPr>
          <w:rFonts w:ascii="Times New Roman" w:hAnsi="Times New Roman"/>
          <w:i/>
          <w:noProof/>
          <w:color w:val="000000"/>
          <w:sz w:val="24"/>
          <w:u w:color="000000"/>
          <w:bdr w:val="nil"/>
        </w:rPr>
        <w:t>Resul</w:t>
      </w:r>
      <w:r>
        <w:rPr>
          <w:rFonts w:ascii="Times New Roman" w:hAnsi="Times New Roman"/>
          <w:i/>
          <w:noProof/>
          <w:color w:val="000000"/>
          <w:sz w:val="24"/>
          <w:u w:color="000000"/>
          <w:bdr w:val="nil"/>
        </w:rPr>
        <w:t>ts of Commission and EEAS consultations with political, socio-economic and civil society organisations</w:t>
      </w: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second level of consultations, carried out directly by the Commission and the EEAS, involved the broadest possible range of stakeholders from Western</w:t>
      </w:r>
      <w:r>
        <w:rPr>
          <w:rFonts w:ascii="Times New Roman" w:hAnsi="Times New Roman"/>
          <w:noProof/>
          <w:color w:val="000000"/>
          <w:sz w:val="24"/>
          <w:u w:color="000000"/>
          <w:bdr w:val="nil"/>
        </w:rPr>
        <w:t xml:space="preserve"> Sahara. The aim was to gauge support for the EU-Morocco Association Agreement among organisations working in the field, in addition to institutional bodies.</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To that end, an invitation was sent to a broad regional range of local political actors, key econ</w:t>
      </w:r>
      <w:r>
        <w:rPr>
          <w:rFonts w:ascii="Times New Roman" w:hAnsi="Times New Roman"/>
          <w:noProof/>
          <w:color w:val="000000"/>
          <w:sz w:val="24"/>
          <w:u w:color="000000"/>
          <w:bdr w:val="nil"/>
        </w:rPr>
        <w:t>omic players and civil society organisations, especially in the field of human rights. Meetings were held from mid-February to mid-March 2018. A full list of the organisations consulted is attached.</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Five of the civil society organisations consulted by the</w:t>
      </w:r>
      <w:r>
        <w:rPr>
          <w:rFonts w:ascii="Times New Roman" w:hAnsi="Times New Roman"/>
          <w:noProof/>
          <w:color w:val="000000"/>
          <w:sz w:val="24"/>
          <w:u w:color="000000"/>
          <w:bdr w:val="nil"/>
        </w:rPr>
        <w:t xml:space="preserve"> Commission and the EEAS declined the invitation</w:t>
      </w:r>
      <w:r>
        <w:rPr>
          <w:rStyle w:val="FootnoteReference"/>
          <w:rFonts w:ascii="Times New Roman" w:hAnsi="Times New Roman"/>
          <w:noProof/>
          <w:color w:val="000000"/>
          <w:sz w:val="24"/>
          <w:u w:color="000000"/>
          <w:bdr w:val="nil"/>
        </w:rPr>
        <w:footnoteReference w:id="58"/>
      </w:r>
      <w:r>
        <w:rPr>
          <w:rFonts w:ascii="Times New Roman" w:hAnsi="Times New Roman"/>
          <w:noProof/>
          <w:color w:val="000000"/>
          <w:sz w:val="24"/>
          <w:u w:color="000000"/>
          <w:bdr w:val="nil"/>
        </w:rPr>
        <w:t>. Differing in terms of closeness to or sympathy for the Polisario Front, those organisations essentially argued that the Front should be consulted instead of them, that the consultation was incompatible wit</w:t>
      </w:r>
      <w:r>
        <w:rPr>
          <w:rFonts w:ascii="Times New Roman" w:hAnsi="Times New Roman"/>
          <w:noProof/>
          <w:color w:val="000000"/>
          <w:sz w:val="24"/>
          <w:u w:color="000000"/>
          <w:bdr w:val="nil"/>
        </w:rPr>
        <w:t>h international law or the ECJ judgment of 21 December 2016, and that no consultation on a trade agreement could take place in the presence of an ‘armed occupation’. In response, the Commission and the EEAS repeated their invitation to each organisation an</w:t>
      </w:r>
      <w:r>
        <w:rPr>
          <w:rFonts w:ascii="Times New Roman" w:hAnsi="Times New Roman"/>
          <w:noProof/>
          <w:color w:val="000000"/>
          <w:sz w:val="24"/>
          <w:u w:color="000000"/>
          <w:bdr w:val="nil"/>
        </w:rPr>
        <w:t>d their willingness for a dialogue with an open-ended agenda.</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other civil society organisations and a number of local political representatives accepted the invitation to express their views on the proposed amendment (cf. annex). In addition to reflec</w:t>
      </w:r>
      <w:r>
        <w:rPr>
          <w:rFonts w:ascii="Times New Roman" w:hAnsi="Times New Roman"/>
          <w:noProof/>
          <w:color w:val="000000"/>
          <w:sz w:val="24"/>
          <w:u w:color="000000"/>
          <w:bdr w:val="nil"/>
        </w:rPr>
        <w:t>ting the polarised political debate on Western Sahara, the consultations showed general recognition of socio-economic progress made in Western Sahara in recent years. In this light, agreements with the EU are seen as a powerful lever for further progress t</w:t>
      </w:r>
      <w:r>
        <w:rPr>
          <w:rFonts w:ascii="Times New Roman" w:hAnsi="Times New Roman"/>
          <w:noProof/>
          <w:color w:val="000000"/>
          <w:sz w:val="24"/>
          <w:u w:color="000000"/>
          <w:bdr w:val="nil"/>
        </w:rPr>
        <w:t>owards sustainable growth.</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Most of the political representatives consulted, all of whom were of Sahrawi origin, welcomed the pursuit of trade relations between the EU and the region in the context of EU</w:t>
      </w:r>
      <w:r>
        <w:rPr>
          <w:rFonts w:ascii="Times New Roman" w:hAnsi="Times New Roman"/>
          <w:noProof/>
          <w:color w:val="000000"/>
          <w:sz w:val="24"/>
          <w:u w:color="000000"/>
          <w:bdr w:val="nil"/>
        </w:rPr>
        <w:noBreakHyphen/>
        <w:t xml:space="preserve">Morocco relations. While strongly attached to their </w:t>
      </w:r>
      <w:r>
        <w:rPr>
          <w:rFonts w:ascii="Times New Roman" w:hAnsi="Times New Roman"/>
          <w:noProof/>
          <w:color w:val="000000"/>
          <w:sz w:val="24"/>
          <w:u w:color="000000"/>
          <w:bdr w:val="nil"/>
        </w:rPr>
        <w:t xml:space="preserve">Sahrawi identity and culture, they also acknowledged that prosperity and socio-economic growth in the region remained closely tied to Morocco’s development efforts and access to foreign markets. To show that they represented the people, local and regional </w:t>
      </w:r>
      <w:r>
        <w:rPr>
          <w:rFonts w:ascii="Times New Roman" w:hAnsi="Times New Roman"/>
          <w:noProof/>
          <w:color w:val="000000"/>
          <w:sz w:val="24"/>
          <w:u w:color="000000"/>
          <w:bdr w:val="nil"/>
        </w:rPr>
        <w:t>representatives from Western Sahara pointed out that they had been elected in the first regional and local elections ever held with direct suffrage, international observation and regional turnouts higher than the national average.</w:t>
      </w: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They considered the </w:t>
      </w:r>
      <w:r>
        <w:rPr>
          <w:rFonts w:ascii="Times New Roman" w:hAnsi="Times New Roman"/>
          <w:noProof/>
          <w:color w:val="000000"/>
          <w:sz w:val="24"/>
          <w:u w:color="000000"/>
          <w:bdr w:val="nil"/>
        </w:rPr>
        <w:t xml:space="preserve">promotion of trade relations with the EU an essential complement to the new development model pursued by Morocco in Western Sahara since 2015. That model aims to move the country from a statist-inspired economy overly reliant on state subsidies to a model </w:t>
      </w:r>
      <w:r>
        <w:rPr>
          <w:rFonts w:ascii="Times New Roman" w:hAnsi="Times New Roman"/>
          <w:noProof/>
          <w:color w:val="000000"/>
          <w:sz w:val="24"/>
          <w:u w:color="000000"/>
          <w:bdr w:val="nil"/>
        </w:rPr>
        <w:t>more open to the outside world and economically more operational, encouraging private investment through public-private partnerships. The possibility of trade relations with the EU, Morocco’s main trading partner, is thus seen as an lifeline. Without that,</w:t>
      </w:r>
      <w:r>
        <w:rPr>
          <w:rFonts w:ascii="Times New Roman" w:hAnsi="Times New Roman"/>
          <w:noProof/>
          <w:color w:val="000000"/>
          <w:sz w:val="24"/>
          <w:u w:color="000000"/>
          <w:bdr w:val="nil"/>
        </w:rPr>
        <w:t xml:space="preserve"> efforts at diversifying the economy beyond the traditional use of raw materials (such as phosphates) to agriculture and fisheries would soon stop.</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While recognising that the Moroccan government has invested heavily in developing regional infrastructure, </w:t>
      </w:r>
      <w:r>
        <w:rPr>
          <w:rFonts w:ascii="Times New Roman" w:hAnsi="Times New Roman"/>
          <w:noProof/>
          <w:color w:val="000000"/>
          <w:sz w:val="24"/>
          <w:u w:color="000000"/>
          <w:bdr w:val="nil"/>
        </w:rPr>
        <w:t>benefiting the population as a whole, Sahrawi political leaders stress that tariff preferences with the EU are equally necessary to ensure that such investment is fully effective. They expect such preferences to encourage business and EU direct investment,</w:t>
      </w:r>
      <w:r>
        <w:rPr>
          <w:rFonts w:ascii="Times New Roman" w:hAnsi="Times New Roman"/>
          <w:noProof/>
          <w:color w:val="000000"/>
          <w:sz w:val="24"/>
          <w:u w:color="000000"/>
          <w:bdr w:val="nil"/>
        </w:rPr>
        <w:t xml:space="preserve"> promoting the region’s new participatory and sustainable growth model. Continued legal uncertainty surrounding trade between the EU and Western Sahara would have a heavy socio</w:t>
      </w:r>
      <w:r>
        <w:rPr>
          <w:rFonts w:ascii="Times New Roman" w:hAnsi="Times New Roman"/>
          <w:noProof/>
          <w:color w:val="000000"/>
          <w:sz w:val="24"/>
          <w:u w:color="000000"/>
          <w:bdr w:val="nil"/>
        </w:rPr>
        <w:noBreakHyphen/>
        <w:t>economic cost, as already evidenced by the slowdown in trade between Western Sa</w:t>
      </w:r>
      <w:r>
        <w:rPr>
          <w:rFonts w:ascii="Times New Roman" w:hAnsi="Times New Roman"/>
          <w:noProof/>
          <w:color w:val="000000"/>
          <w:sz w:val="24"/>
          <w:u w:color="000000"/>
          <w:bdr w:val="nil"/>
        </w:rPr>
        <w:t>hara and certain European countries and in certain sectors. Cutting off access for Western Sahara to certain markets or investments would only increase its economic dependence on an outmoded system of ‘centre-periphery’ relations. That would hamper socio-e</w:t>
      </w:r>
      <w:r>
        <w:rPr>
          <w:rFonts w:ascii="Times New Roman" w:hAnsi="Times New Roman"/>
          <w:noProof/>
          <w:color w:val="000000"/>
          <w:sz w:val="24"/>
          <w:u w:color="000000"/>
          <w:bdr w:val="nil"/>
        </w:rPr>
        <w:t>conomic and political growth, just when economic growth in Western Sahara is finally taking off.</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Commission and the EEAS also consulted more than fifteen key socio-economic players, exporters, entrepreneurs, and environmental and human rights organisa</w:t>
      </w:r>
      <w:r>
        <w:rPr>
          <w:rFonts w:ascii="Times New Roman" w:hAnsi="Times New Roman"/>
          <w:noProof/>
          <w:color w:val="000000"/>
          <w:sz w:val="24"/>
          <w:u w:color="000000"/>
          <w:bdr w:val="nil"/>
        </w:rPr>
        <w:t>tions. Almost all said they were in favour of maintaining preferential trading relations with the EU. Such relations would be key to stable trading ties and investment, both of which were crucial for generating local employment. Yet some commented that ben</w:t>
      </w:r>
      <w:r>
        <w:rPr>
          <w:rFonts w:ascii="Times New Roman" w:hAnsi="Times New Roman"/>
          <w:noProof/>
          <w:color w:val="000000"/>
          <w:sz w:val="24"/>
          <w:u w:color="000000"/>
          <w:bdr w:val="nil"/>
        </w:rPr>
        <w:t>efits granted by the EU to Western Sahara should be more equitably distributed among the local population, especially given the lack of diversity of the regional economy. So they felt that the impact of tariff preferences on different parts of the populati</w:t>
      </w:r>
      <w:r>
        <w:rPr>
          <w:rFonts w:ascii="Times New Roman" w:hAnsi="Times New Roman"/>
          <w:noProof/>
          <w:color w:val="000000"/>
          <w:sz w:val="24"/>
          <w:u w:color="000000"/>
          <w:bdr w:val="nil"/>
        </w:rPr>
        <w:t>on should be monitored and accompanying measures considered, to maximise the benefits for disadvantaged groups, such as nomads. Shared values between the EU and Morocco would help cooperation towards establishing such monitoring and guidance mechanisms.</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S</w:t>
      </w:r>
      <w:r>
        <w:rPr>
          <w:rFonts w:ascii="Times New Roman" w:hAnsi="Times New Roman"/>
          <w:noProof/>
          <w:color w:val="000000"/>
          <w:sz w:val="24"/>
          <w:u w:color="000000"/>
          <w:bdr w:val="nil"/>
        </w:rPr>
        <w:t>ome concerns expressed by civil society stakeholders on socio-economic and political rights in Western Sahara were similar to concerns on the general human rights situation in Morocco. Mention was made of restrictions on freedom of expression, instances of</w:t>
      </w:r>
      <w:r>
        <w:rPr>
          <w:rFonts w:ascii="Times New Roman" w:hAnsi="Times New Roman"/>
          <w:noProof/>
          <w:color w:val="000000"/>
          <w:sz w:val="24"/>
          <w:u w:color="000000"/>
          <w:bdr w:val="nil"/>
        </w:rPr>
        <w:t xml:space="preserve"> corruption and lack of public accountability. But some of the gravest concerns in Western Sahara involved civil and political rights. Some organisations have trouble registering with the authorities; some human rights advocates face restrictions on their </w:t>
      </w:r>
      <w:r>
        <w:rPr>
          <w:rFonts w:ascii="Times New Roman" w:hAnsi="Times New Roman"/>
          <w:noProof/>
          <w:color w:val="000000"/>
          <w:sz w:val="24"/>
          <w:u w:color="000000"/>
          <w:bdr w:val="nil"/>
        </w:rPr>
        <w:t>activity; and some foreigners such as journalists, lawyers or human rights advocates are barred from entering Western Sahara. Though no policy of systematic ethnic discrimination in hiring or social benefits was reported, individual cases of administrative</w:t>
      </w:r>
      <w:r>
        <w:rPr>
          <w:rFonts w:ascii="Times New Roman" w:hAnsi="Times New Roman"/>
          <w:noProof/>
          <w:color w:val="000000"/>
          <w:sz w:val="24"/>
          <w:u w:color="000000"/>
          <w:bdr w:val="nil"/>
        </w:rPr>
        <w:t xml:space="preserve"> abuse or denial of rights were mentioned. While most of those interviewed agreed that the UN should continue to lead the political process in Western Sahara, many stressed that the people had a ‘right to development’ while that process moved forward. One </w:t>
      </w:r>
      <w:r>
        <w:rPr>
          <w:rFonts w:ascii="Times New Roman" w:hAnsi="Times New Roman"/>
          <w:noProof/>
          <w:color w:val="000000"/>
          <w:sz w:val="24"/>
          <w:u w:color="000000"/>
          <w:bdr w:val="nil"/>
        </w:rPr>
        <w:t>person interviewed summed up this feeling by saying that Sahrawi people were already penalised by being denied the right to develop; denying them access to EU markets because of disagreement on an EU-Morocco agreement would penalise them doubly. Many of th</w:t>
      </w:r>
      <w:r>
        <w:rPr>
          <w:rFonts w:ascii="Times New Roman" w:hAnsi="Times New Roman"/>
          <w:noProof/>
          <w:color w:val="000000"/>
          <w:sz w:val="24"/>
          <w:u w:color="000000"/>
          <w:bdr w:val="nil"/>
        </w:rPr>
        <w:t>ose interviewed also stressed that human rights included economic growth and that access to decent health care and education could not be ensured without economic resources. They said that resources from fishing and agriculture were essential for Western S</w:t>
      </w:r>
      <w:r>
        <w:rPr>
          <w:rFonts w:ascii="Times New Roman" w:hAnsi="Times New Roman"/>
          <w:noProof/>
          <w:color w:val="000000"/>
          <w:sz w:val="24"/>
          <w:u w:color="000000"/>
          <w:bdr w:val="nil"/>
        </w:rPr>
        <w:t>ahara, requiring an urgent solution to the question of the territory’s status. Pending a political solution, immediate socio-economic needs still required a quick response, and resources needed to be used to ensure that people had decent lives.</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Interconne</w:t>
      </w:r>
      <w:r>
        <w:rPr>
          <w:rFonts w:ascii="Times New Roman" w:hAnsi="Times New Roman"/>
          <w:noProof/>
          <w:color w:val="000000"/>
          <w:sz w:val="24"/>
          <w:u w:color="000000"/>
          <w:bdr w:val="nil"/>
        </w:rPr>
        <w:t>ctions and solidarity among regions were also a prime concern. For example, mention was made of the town of Smara, where the consequences of isolation in the event of a break in trade ties with Tan-Tan would be disastrous.</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Regarding the equitable distribu</w:t>
      </w:r>
      <w:r>
        <w:rPr>
          <w:rFonts w:ascii="Times New Roman" w:hAnsi="Times New Roman"/>
          <w:noProof/>
          <w:color w:val="000000"/>
          <w:sz w:val="24"/>
          <w:u w:color="000000"/>
          <w:bdr w:val="nil"/>
        </w:rPr>
        <w:t>tion of resources, the role of many Sahrawis in the economy was often mentioned, though no transparent monitoring system had been established to ensure that resources benefited the population as a whole. The role of civil society and associations was there</w:t>
      </w:r>
      <w:r>
        <w:rPr>
          <w:rFonts w:ascii="Times New Roman" w:hAnsi="Times New Roman"/>
          <w:noProof/>
          <w:color w:val="000000"/>
          <w:sz w:val="24"/>
          <w:u w:color="000000"/>
          <w:bdr w:val="nil"/>
        </w:rPr>
        <w:t>fore essential to ensuring proper management of resources and public accountability.</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Another issue mentioned was the diaspora and the rights of people who had decided to return to Western Sahara. There were no restrictions on Sahrawis returning from Tindo</w:t>
      </w:r>
      <w:r>
        <w:rPr>
          <w:rFonts w:ascii="Times New Roman" w:hAnsi="Times New Roman"/>
          <w:noProof/>
          <w:color w:val="000000"/>
          <w:sz w:val="24"/>
          <w:u w:color="000000"/>
          <w:bdr w:val="nil"/>
        </w:rPr>
        <w:t xml:space="preserve">uf (Algeria) to Western Sahara. But Morocco had established a policy of positive discrimination, offering jobs (sometimes in higher positions) and housing to ‘repatriates’. Still, some of those interviewed said that people in camps were living under tight </w:t>
      </w:r>
      <w:r>
        <w:rPr>
          <w:rFonts w:ascii="Times New Roman" w:hAnsi="Times New Roman"/>
          <w:noProof/>
          <w:color w:val="000000"/>
          <w:sz w:val="24"/>
          <w:u w:color="000000"/>
          <w:bdr w:val="nil"/>
        </w:rPr>
        <w:t>control and that anyone able to leave had already done so.</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i/>
          <w:noProof/>
          <w:color w:val="000000"/>
          <w:sz w:val="24"/>
          <w:szCs w:val="24"/>
          <w:u w:color="000000"/>
          <w:bdr w:val="nil"/>
        </w:rPr>
      </w:pPr>
      <w:r>
        <w:rPr>
          <w:rFonts w:ascii="Times New Roman" w:hAnsi="Times New Roman"/>
          <w:i/>
          <w:noProof/>
          <w:color w:val="000000"/>
          <w:sz w:val="24"/>
          <w:u w:color="000000"/>
          <w:bdr w:val="nil"/>
        </w:rPr>
        <w:t>Result of consultations with the Polisario Front</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The EEAS also carried out consultations with the Polisario Front, which is one of the parties to the UN-led peace process. Recalling that such </w:t>
      </w:r>
      <w:r>
        <w:rPr>
          <w:rFonts w:ascii="Times New Roman" w:hAnsi="Times New Roman"/>
          <w:noProof/>
          <w:color w:val="000000"/>
          <w:sz w:val="24"/>
          <w:u w:color="000000"/>
          <w:bdr w:val="nil"/>
        </w:rPr>
        <w:t>consultations were technical in nature, the EEAS pointed out that they did not compromise the EU policy of Member States not giving the Polisario Front diplomatic recognition.</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Without wishing to discuss anything directly relating to amendment of the Proto</w:t>
      </w:r>
      <w:r>
        <w:rPr>
          <w:rFonts w:ascii="Times New Roman" w:hAnsi="Times New Roman"/>
          <w:noProof/>
          <w:color w:val="000000"/>
          <w:sz w:val="24"/>
          <w:u w:color="000000"/>
          <w:bdr w:val="nil"/>
        </w:rPr>
        <w:t>cols to the Association Agreement, the Polisario Front regretted the fact that they had not been involved in the negotiation although they were entitled to representation under international law. For the Polisario Front, the EU approach amounted to circumv</w:t>
      </w:r>
      <w:r>
        <w:rPr>
          <w:rFonts w:ascii="Times New Roman" w:hAnsi="Times New Roman"/>
          <w:noProof/>
          <w:color w:val="000000"/>
          <w:sz w:val="24"/>
          <w:u w:color="000000"/>
          <w:bdr w:val="nil"/>
        </w:rPr>
        <w:t>enting the ECJ judgment of 21 December 2016 by adopting Morocco’s ‘fait accompli’ policy, thus undermining the peace process. The Polisario Front thus rejected the amendment, both in content (all benefits would be for Morocco) and in terms of the consultat</w:t>
      </w:r>
      <w:r>
        <w:rPr>
          <w:rFonts w:ascii="Times New Roman" w:hAnsi="Times New Roman"/>
          <w:noProof/>
          <w:color w:val="000000"/>
          <w:sz w:val="24"/>
          <w:u w:color="000000"/>
          <w:bdr w:val="nil"/>
        </w:rPr>
        <w:t>ion procedure followed, and say they would challenge it in court if it was adopted. In any event, all consultations had become invalid as the draft Agreement had already been signed. By making repeated concessions to Morocco, the EU ran the risk, according</w:t>
      </w:r>
      <w:r>
        <w:rPr>
          <w:rFonts w:ascii="Times New Roman" w:hAnsi="Times New Roman"/>
          <w:noProof/>
          <w:color w:val="000000"/>
          <w:sz w:val="24"/>
          <w:u w:color="000000"/>
          <w:bdr w:val="nil"/>
        </w:rPr>
        <w:t xml:space="preserve"> to the Polisario Front, of jeopardising the UN process.</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hAnsi="Times New Roman"/>
          <w:noProof/>
          <w:color w:val="000000"/>
          <w:sz w:val="24"/>
          <w:u w:color="000000"/>
          <w:bdr w:val="nil"/>
        </w:rPr>
      </w:pPr>
      <w:r>
        <w:rPr>
          <w:rFonts w:ascii="Times New Roman" w:hAnsi="Times New Roman"/>
          <w:noProof/>
          <w:color w:val="000000"/>
          <w:sz w:val="24"/>
          <w:u w:color="000000"/>
          <w:bdr w:val="nil"/>
        </w:rPr>
        <w:t>Under the circumstances, the question of whether the amendment to the Protocols of the Association Agreement was beneficial for the Sahrawi people had become secondary. These arguments are summarise</w:t>
      </w:r>
      <w:r>
        <w:rPr>
          <w:rFonts w:ascii="Times New Roman" w:hAnsi="Times New Roman"/>
          <w:noProof/>
          <w:color w:val="000000"/>
          <w:sz w:val="24"/>
          <w:u w:color="000000"/>
          <w:bdr w:val="nil"/>
        </w:rPr>
        <w:t xml:space="preserve">d in a press release published shortly afterwards by the Polisario Front (9 February 2018). </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Style w:val="Heading2"/>
        <w:rPr>
          <w:noProof/>
        </w:rPr>
      </w:pPr>
      <w:bookmarkStart w:id="51" w:name="_Toc514257474"/>
      <w:bookmarkStart w:id="52" w:name="_Toc516249545"/>
      <w:r>
        <w:rPr>
          <w:noProof/>
        </w:rPr>
        <w:t>Conclusion</w:t>
      </w:r>
      <w:bookmarkEnd w:id="51"/>
      <w:bookmarkEnd w:id="52"/>
      <w:r>
        <w:rPr>
          <w:noProof/>
        </w:rPr>
        <w:br/>
      </w: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consultation process carried out by the Commission and the EEAS shows that most people now living in Western Sahara are very much in favour of the</w:t>
      </w:r>
      <w:r>
        <w:rPr>
          <w:rFonts w:ascii="Times New Roman" w:hAnsi="Times New Roman"/>
          <w:noProof/>
          <w:color w:val="000000"/>
          <w:sz w:val="24"/>
          <w:u w:color="000000"/>
          <w:bdr w:val="nil"/>
        </w:rPr>
        <w:t xml:space="preserve"> extension of tariff preferences to products from Western Sahara under the EU-Morocco Association Agreement. A positive opinion was also expressed by Western Saharan elected representatives to national, regional and local bodies following the awareness and</w:t>
      </w:r>
      <w:r>
        <w:rPr>
          <w:rFonts w:ascii="Times New Roman" w:hAnsi="Times New Roman"/>
          <w:noProof/>
          <w:color w:val="000000"/>
          <w:sz w:val="24"/>
          <w:u w:color="000000"/>
          <w:bdr w:val="nil"/>
        </w:rPr>
        <w:t xml:space="preserve"> consultation exercise carried out by the authorities among Moroccan institutions. That opinion is shared by a large majority of grass</w:t>
      </w:r>
      <w:r>
        <w:rPr>
          <w:rFonts w:ascii="Times New Roman" w:hAnsi="Times New Roman"/>
          <w:noProof/>
          <w:color w:val="000000"/>
          <w:sz w:val="24"/>
          <w:u w:color="000000"/>
          <w:bdr w:val="nil"/>
        </w:rPr>
        <w:noBreakHyphen/>
        <w:t>roots socio-economic organisations in the region. EU tariff preferences and, more generally, a stable legal framework for</w:t>
      </w:r>
      <w:r>
        <w:rPr>
          <w:rFonts w:ascii="Times New Roman" w:hAnsi="Times New Roman"/>
          <w:noProof/>
          <w:color w:val="000000"/>
          <w:sz w:val="24"/>
          <w:u w:color="000000"/>
          <w:bdr w:val="nil"/>
        </w:rPr>
        <w:t xml:space="preserve"> trade with the EU are considered essential to ensuring sustainable growth in the territory and improving socio-economic conditions for its inhabitants. Despite some human rights concerns, extension of the EU-Morocco Association Agreement or other agreemen</w:t>
      </w:r>
      <w:r>
        <w:rPr>
          <w:rFonts w:ascii="Times New Roman" w:hAnsi="Times New Roman"/>
          <w:noProof/>
          <w:color w:val="000000"/>
          <w:sz w:val="24"/>
          <w:u w:color="000000"/>
          <w:bdr w:val="nil"/>
        </w:rPr>
        <w:t>ts to cover products from Western Sahara is seen as a lever for improving socio-economic and human rights standards in the region. This was a general perception, despite varying opinions as to the status of the territory, which everyone agreed could be set</w:t>
      </w:r>
      <w:r>
        <w:rPr>
          <w:rFonts w:ascii="Times New Roman" w:hAnsi="Times New Roman"/>
          <w:noProof/>
          <w:color w:val="000000"/>
          <w:sz w:val="24"/>
          <w:u w:color="000000"/>
          <w:bdr w:val="nil"/>
        </w:rPr>
        <w:t>tled only via the UN.</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Polisario Front rejects the amendment to the EU-Morocco Association Agreement extending tariff preferences to products from Western Sahara, not because doing so would hamper development for people living there, but essentially be</w:t>
      </w:r>
      <w:r>
        <w:rPr>
          <w:rFonts w:ascii="Times New Roman" w:hAnsi="Times New Roman"/>
          <w:noProof/>
          <w:color w:val="000000"/>
          <w:sz w:val="24"/>
          <w:u w:color="000000"/>
          <w:bdr w:val="nil"/>
        </w:rPr>
        <w:t>cause including Western Sahara in the Agreement is seen as consolidating Moroccan sovereignty over the territory.</w:t>
      </w:r>
    </w:p>
    <w:p w:rsidR="00010D35" w:rsidRDefault="00010D35">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In sum, the consultation process carried out by the Commission and the EEAS showed that most of those interviewed were in favour of extending</w:t>
      </w:r>
      <w:r>
        <w:rPr>
          <w:rFonts w:ascii="Times New Roman" w:hAnsi="Times New Roman"/>
          <w:noProof/>
          <w:color w:val="000000"/>
          <w:sz w:val="24"/>
          <w:u w:color="000000"/>
          <w:bdr w:val="nil"/>
        </w:rPr>
        <w:t xml:space="preserve"> the tariff preferences established in the EU-Morocco Association Agreement to products from Western Sahara. Most felt that the Agreement should be amended in such a way as to avoid jeopardising the UN-led process and that care should be taken to ensure th</w:t>
      </w:r>
      <w:r>
        <w:rPr>
          <w:rFonts w:ascii="Times New Roman" w:hAnsi="Times New Roman"/>
          <w:noProof/>
          <w:color w:val="000000"/>
          <w:sz w:val="24"/>
          <w:u w:color="000000"/>
          <w:bdr w:val="nil"/>
        </w:rPr>
        <w:t xml:space="preserve">at the amendment was not seen as an implicit recognition of Morocco’s claim to sovereignty over the territory of Western Sahara. There were also recommendations that the amendment should be accompanied by greater EU support for the UN-led process, as only </w:t>
      </w:r>
      <w:r>
        <w:rPr>
          <w:rFonts w:ascii="Times New Roman" w:hAnsi="Times New Roman"/>
          <w:noProof/>
          <w:color w:val="000000"/>
          <w:sz w:val="24"/>
          <w:u w:color="000000"/>
          <w:bdr w:val="nil"/>
        </w:rPr>
        <w:t>a lasting and mutually acceptable peace agreement would be capable of bolstering the Agreement politically and legally. Finally, most felt that mechanisms should be created to ensure that the benefits from tariff preferences were more equitably distributed</w:t>
      </w:r>
      <w:r>
        <w:rPr>
          <w:rFonts w:ascii="Times New Roman" w:hAnsi="Times New Roman"/>
          <w:noProof/>
          <w:color w:val="000000"/>
          <w:sz w:val="24"/>
          <w:u w:color="000000"/>
          <w:bdr w:val="nil"/>
        </w:rPr>
        <w:t xml:space="preserve">, especially among parts of the population living from traditional activities. </w:t>
      </w:r>
    </w:p>
    <w:p w:rsidR="00010D35" w:rsidRDefault="009E6C92">
      <w:pPr>
        <w:pStyle w:val="Heading1"/>
        <w:rPr>
          <w:rFonts w:eastAsia="Calibri"/>
          <w:noProof/>
        </w:rPr>
      </w:pPr>
      <w:bookmarkStart w:id="53" w:name="_Toc514257475"/>
      <w:bookmarkStart w:id="54" w:name="_Toc516249546"/>
      <w:r>
        <w:rPr>
          <w:noProof/>
        </w:rPr>
        <w:t>GENERAL CONCLUSION</w:t>
      </w:r>
      <w:bookmarkEnd w:id="53"/>
      <w:bookmarkEnd w:id="54"/>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Western Sahara is a small market economy based on a limited number of activities: fishing and processing of fishery products, phosphate mining, agriculture </w:t>
      </w:r>
      <w:r>
        <w:rPr>
          <w:rFonts w:ascii="Times New Roman" w:hAnsi="Times New Roman"/>
          <w:noProof/>
          <w:color w:val="000000" w:themeColor="text1"/>
          <w:sz w:val="24"/>
        </w:rPr>
        <w:t>(especially fruit and vegetables and pastoral nomadism), trade and craft industries. Other sectors, such as tourism and renewable energy, are still nascent.</w:t>
      </w:r>
    </w:p>
    <w:p w:rsidR="00010D35" w:rsidRDefault="00010D35">
      <w:pPr>
        <w:widowControl w:val="0"/>
        <w:spacing w:after="0" w:line="240" w:lineRule="auto"/>
        <w:jc w:val="both"/>
        <w:rPr>
          <w:rFonts w:ascii="Times New Roman" w:eastAsia="MS Mincho" w:hAnsi="Times New Roman" w:cs="Times New Roman"/>
          <w:noProof/>
          <w:color w:val="000000" w:themeColor="text1"/>
          <w:sz w:val="24"/>
          <w:szCs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color w:val="000000" w:themeColor="text1"/>
          <w:sz w:val="24"/>
        </w:rPr>
        <w:t>For Western Sahara’s economic potential to diversify, foreign investment needs to be encouraged, w</w:t>
      </w:r>
      <w:r>
        <w:rPr>
          <w:rFonts w:ascii="Times New Roman" w:hAnsi="Times New Roman"/>
          <w:noProof/>
          <w:color w:val="000000" w:themeColor="text1"/>
          <w:sz w:val="24"/>
        </w:rPr>
        <w:t xml:space="preserve">hich requires greater legal certainty, including clarification of the tariff conditions applicable to current and future exports from Western Sahara to the EU. </w:t>
      </w:r>
      <w:r>
        <w:rPr>
          <w:rFonts w:ascii="Times New Roman" w:hAnsi="Times New Roman"/>
          <w:b/>
          <w:noProof/>
          <w:color w:val="000000" w:themeColor="text1"/>
          <w:sz w:val="24"/>
        </w:rPr>
        <w:t>Extension of the benefits of tariff preferences to products from Western Sahara can provide secu</w:t>
      </w:r>
      <w:r>
        <w:rPr>
          <w:rFonts w:ascii="Times New Roman" w:hAnsi="Times New Roman"/>
          <w:b/>
          <w:noProof/>
          <w:color w:val="000000" w:themeColor="text1"/>
          <w:sz w:val="24"/>
        </w:rPr>
        <w:t>rity for investment and spur significant and rapid growth liable to generate local jobs,</w:t>
      </w:r>
      <w:r>
        <w:rPr>
          <w:rFonts w:ascii="Times New Roman" w:hAnsi="Times New Roman"/>
          <w:noProof/>
          <w:color w:val="000000" w:themeColor="text1"/>
          <w:sz w:val="24"/>
        </w:rPr>
        <w:t xml:space="preserve"> given the territory’s untapped economic potential and the current low level of foreign direct investment.</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Though accurate data can be hard to obtain, this study concl</w:t>
      </w:r>
      <w:r>
        <w:rPr>
          <w:rFonts w:ascii="Times New Roman" w:hAnsi="Times New Roman"/>
          <w:noProof/>
          <w:sz w:val="24"/>
        </w:rPr>
        <w:t xml:space="preserve">udes that </w:t>
      </w:r>
      <w:r>
        <w:rPr>
          <w:rFonts w:ascii="Times New Roman" w:hAnsi="Times New Roman"/>
          <w:b/>
          <w:noProof/>
          <w:sz w:val="24"/>
        </w:rPr>
        <w:t>certain areas of economic and production activity in Western Sahara would benefit greatly from enjoying the same tariff preferences</w:t>
      </w:r>
      <w:r>
        <w:rPr>
          <w:rFonts w:ascii="Times New Roman" w:hAnsi="Times New Roman"/>
          <w:noProof/>
          <w:sz w:val="24"/>
        </w:rPr>
        <w:t xml:space="preserve"> as those granted to the Kingdom of Morocco. Indeed, some production enjoyed such preferential treatment until 21 D</w:t>
      </w:r>
      <w:r>
        <w:rPr>
          <w:rFonts w:ascii="Times New Roman" w:hAnsi="Times New Roman"/>
          <w:noProof/>
          <w:sz w:val="24"/>
        </w:rPr>
        <w:t>ecember 2016, boosting economic activity and creating jobs in Western Sahara: this is especially true for fisheries and certain agricultural products. Extending EU tariff preferences to those products would make it possible to ensure the continuity of expo</w:t>
      </w:r>
      <w:r>
        <w:rPr>
          <w:rFonts w:ascii="Times New Roman" w:hAnsi="Times New Roman"/>
          <w:noProof/>
          <w:sz w:val="24"/>
        </w:rPr>
        <w:t>rts.</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Conversely, </w:t>
      </w:r>
      <w:r>
        <w:rPr>
          <w:rFonts w:ascii="Times New Roman" w:hAnsi="Times New Roman"/>
          <w:b/>
          <w:noProof/>
          <w:sz w:val="24"/>
        </w:rPr>
        <w:t>not granting tariff preferences would seriously jeopardise Western Saharan exports, especially exports of fishery and agricultural products</w:t>
      </w:r>
      <w:r>
        <w:rPr>
          <w:rFonts w:ascii="Times New Roman" w:hAnsi="Times New Roman"/>
          <w:noProof/>
          <w:sz w:val="24"/>
        </w:rPr>
        <w:t xml:space="preserve">. Its already limited production would thus be likely to shrink further, creating a great handicap </w:t>
      </w:r>
      <w:r>
        <w:rPr>
          <w:rFonts w:ascii="Times New Roman" w:hAnsi="Times New Roman"/>
          <w:noProof/>
          <w:sz w:val="24"/>
        </w:rPr>
        <w:t>for the region. In fact, without tariff preferences, Western Saharan products would be subject to normal customs tariffs (as applicable in the EU under the most-favoured nation clause), without privileged access to the EU market. Those products would not b</w:t>
      </w:r>
      <w:r>
        <w:rPr>
          <w:rFonts w:ascii="Times New Roman" w:hAnsi="Times New Roman"/>
          <w:noProof/>
          <w:sz w:val="24"/>
        </w:rPr>
        <w:t>e competitive on the EU market without preferential tariffs. Industrial products (phosphates) would scarcely be affected, but exports of fishery and agricultural products to the EU would suffer greatly.</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More generally, </w:t>
      </w:r>
      <w:r>
        <w:rPr>
          <w:rFonts w:ascii="Times New Roman" w:hAnsi="Times New Roman"/>
          <w:b/>
          <w:noProof/>
          <w:sz w:val="24"/>
        </w:rPr>
        <w:t>granting tariff preferences should p</w:t>
      </w:r>
      <w:r>
        <w:rPr>
          <w:rFonts w:ascii="Times New Roman" w:hAnsi="Times New Roman"/>
          <w:b/>
          <w:noProof/>
          <w:sz w:val="24"/>
        </w:rPr>
        <w:t>lay a major role in boosting the Saharan economy, by stimulating investment</w:t>
      </w:r>
      <w:r>
        <w:rPr>
          <w:rFonts w:ascii="Times New Roman" w:hAnsi="Times New Roman"/>
          <w:noProof/>
          <w:sz w:val="24"/>
        </w:rPr>
        <w:t xml:space="preserve"> in those sectors. This is true for certain phosphates (such as phosphoric acid and agricultural fertilisers), where investment has already been planned; for agriculture, where ther</w:t>
      </w:r>
      <w:r>
        <w:rPr>
          <w:rFonts w:ascii="Times New Roman" w:hAnsi="Times New Roman"/>
          <w:noProof/>
          <w:sz w:val="24"/>
        </w:rPr>
        <w:t>e are also development projects; and for fisheries. Conversely, if such preferences are not granted, investment, growth, diversification of economic activity and employment could suffer.</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rPr>
        <w:t>The Moroccan authorities have consulted all national, regional and l</w:t>
      </w:r>
      <w:r>
        <w:rPr>
          <w:rFonts w:ascii="Times New Roman" w:hAnsi="Times New Roman"/>
          <w:noProof/>
          <w:sz w:val="24"/>
        </w:rPr>
        <w:t>ocal institutions concerned, to raise awareness and obtain their approval and input. This has led to broad support for the planned amendment and to certain recommendations to maximise its effect. Following the involvement of the territory's elected represe</w:t>
      </w:r>
      <w:r>
        <w:rPr>
          <w:rFonts w:ascii="Times New Roman" w:hAnsi="Times New Roman"/>
          <w:noProof/>
          <w:sz w:val="24"/>
        </w:rPr>
        <w:t>ntatives, the consultation of public opinion carried out by the European Commission and the EEAS shows that a large majority is in favour of amending the EU-Morocco Association Agreement to extend tariff preferences to products from Western Sahara. Most of</w:t>
      </w:r>
      <w:r>
        <w:rPr>
          <w:rFonts w:ascii="Times New Roman" w:hAnsi="Times New Roman"/>
          <w:noProof/>
          <w:sz w:val="24"/>
        </w:rPr>
        <w:t xml:space="preserve"> those interviewed said this would help everyone, stressing the key role such preferences would play in spurring private investment. They said privileged access to EU markets would encourage business and EU direct investment, promoting Western Sahara’s new</w:t>
      </w:r>
      <w:r>
        <w:rPr>
          <w:rFonts w:ascii="Times New Roman" w:hAnsi="Times New Roman"/>
          <w:noProof/>
          <w:sz w:val="24"/>
        </w:rPr>
        <w:t xml:space="preserve"> participatory and sustainable development model. By contrast, continuing legal uncertainty surrounding trade with Western Sahara would seriously hamper socio-economic development, as already evidenced by the slowdown in trade between the territory and som</w:t>
      </w:r>
      <w:r>
        <w:rPr>
          <w:rFonts w:ascii="Times New Roman" w:hAnsi="Times New Roman"/>
          <w:noProof/>
          <w:sz w:val="24"/>
        </w:rPr>
        <w:t>e Member States and in certain sectors. Restricting access for Western Sahara to foreign markets and investment would put a brake on its economy and thwart socio-economic and political growth, just when development in the territory finally seems ready to t</w:t>
      </w:r>
      <w:r>
        <w:rPr>
          <w:rFonts w:ascii="Times New Roman" w:hAnsi="Times New Roman"/>
          <w:noProof/>
          <w:sz w:val="24"/>
        </w:rPr>
        <w:t xml:space="preserve">ake off. </w:t>
      </w:r>
    </w:p>
    <w:p w:rsidR="00010D35" w:rsidRDefault="00010D35">
      <w:pPr>
        <w:widowControl w:val="0"/>
        <w:spacing w:after="0" w:line="240" w:lineRule="auto"/>
        <w:jc w:val="both"/>
        <w:rPr>
          <w:rFonts w:ascii="Times New Roman" w:eastAsia="Arial Unicode MS" w:hAnsi="Times New Roman" w:cs="Times New Roman"/>
          <w:noProof/>
          <w:sz w:val="24"/>
          <w:szCs w:val="24"/>
          <w:bdr w:val="nil"/>
        </w:rPr>
      </w:pPr>
    </w:p>
    <w:p w:rsidR="00010D35" w:rsidRDefault="009E6C92">
      <w:pPr>
        <w:widowControl w:val="0"/>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Technical discussions with the Polisario Front showed that they were opposed in principle to amending the agreement, largely for general political reasons unrelated to the amendment itself.</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The amendment to Protocols 1 and 4 of the Association </w:t>
      </w:r>
      <w:r>
        <w:rPr>
          <w:rFonts w:ascii="Times New Roman" w:hAnsi="Times New Roman"/>
          <w:noProof/>
          <w:sz w:val="24"/>
        </w:rPr>
        <w:t>Agreement as suggested by the Commission thus aims to consolidate and facilitate Western Saharan exports to the EU, promoting economic growth and diversification in the region.</w:t>
      </w:r>
    </w:p>
    <w:p w:rsidR="00010D35" w:rsidRDefault="00010D35">
      <w:pPr>
        <w:widowControl w:val="0"/>
        <w:spacing w:after="0" w:line="240" w:lineRule="auto"/>
        <w:jc w:val="both"/>
        <w:rPr>
          <w:rFonts w:ascii="Times New Roman" w:eastAsia="Calibri" w:hAnsi="Times New Roman" w:cs="Times New Roman"/>
          <w:noProof/>
          <w:sz w:val="24"/>
        </w:rPr>
      </w:pPr>
    </w:p>
    <w:p w:rsidR="00010D35" w:rsidRDefault="009E6C92">
      <w:pPr>
        <w:widowControl w:val="0"/>
        <w:spacing w:after="0" w:line="240" w:lineRule="auto"/>
        <w:jc w:val="center"/>
        <w:rPr>
          <w:noProof/>
        </w:rPr>
      </w:pPr>
      <w:r>
        <w:rPr>
          <w:rFonts w:ascii="Times New Roman" w:hAnsi="Times New Roman"/>
          <w:noProof/>
          <w:sz w:val="24"/>
        </w:rPr>
        <w:t>* * *</w:t>
      </w:r>
    </w:p>
    <w:p w:rsidR="00010D35" w:rsidRDefault="009E6C92">
      <w:pPr>
        <w:rPr>
          <w:rFonts w:ascii="Times New Roman" w:eastAsia="Arial Unicode MS" w:hAnsi="Times New Roman" w:cs="Arial Unicode MS"/>
          <w:noProof/>
          <w:color w:val="000000"/>
          <w:sz w:val="24"/>
          <w:szCs w:val="24"/>
          <w:u w:color="000000"/>
          <w:bdr w:val="nil"/>
        </w:rPr>
      </w:pPr>
      <w:r>
        <w:rPr>
          <w:noProof/>
        </w:rPr>
        <w:br w:type="page"/>
      </w:r>
    </w:p>
    <w:p w:rsidR="00010D35" w:rsidRDefault="009E6C92">
      <w:pPr>
        <w:pStyle w:val="Heading2"/>
        <w:numPr>
          <w:ilvl w:val="0"/>
          <w:numId w:val="0"/>
        </w:numPr>
        <w:ind w:left="576" w:hanging="576"/>
        <w:jc w:val="center"/>
        <w:rPr>
          <w:rFonts w:eastAsia="Arial Unicode MS"/>
          <w:noProof/>
          <w:u w:color="000000"/>
          <w:bdr w:val="nil"/>
        </w:rPr>
      </w:pPr>
      <w:bookmarkStart w:id="55" w:name="_Toc514257476"/>
      <w:bookmarkStart w:id="56" w:name="_Toc516249547"/>
      <w:r>
        <w:rPr>
          <w:noProof/>
        </w:rPr>
        <w:t>Annex</w:t>
      </w:r>
      <w:bookmarkEnd w:id="55"/>
      <w:bookmarkEnd w:id="56"/>
    </w:p>
    <w:p w:rsidR="00010D35" w:rsidRDefault="00010D35">
      <w:pPr>
        <w:pBdr>
          <w:top w:val="nil"/>
          <w:left w:val="nil"/>
          <w:bottom w:val="nil"/>
          <w:right w:val="nil"/>
          <w:between w:val="nil"/>
          <w:bar w:val="nil"/>
        </w:pBdr>
        <w:spacing w:after="0" w:line="240" w:lineRule="auto"/>
        <w:rPr>
          <w:rFonts w:ascii="Times New Roman" w:eastAsia="Arial Unicode MS" w:hAnsi="Times New Roman" w:cs="Arial Unicode MS"/>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jc w:val="both"/>
        <w:rPr>
          <w:rFonts w:ascii="Arial" w:eastAsia="Arial" w:hAnsi="Arial" w:cs="Arial"/>
          <w:b/>
          <w:bCs/>
          <w:noProof/>
          <w:color w:val="000000"/>
          <w:sz w:val="28"/>
          <w:szCs w:val="28"/>
          <w:u w:val="single" w:color="000000"/>
          <w:bdr w:val="nil"/>
        </w:rPr>
      </w:pPr>
      <w:r>
        <w:rPr>
          <w:rFonts w:ascii="Arial" w:hAnsi="Arial"/>
          <w:b/>
          <w:noProof/>
          <w:color w:val="222222"/>
          <w:sz w:val="28"/>
          <w:u w:val="single" w:color="222222"/>
          <w:bdr w:val="nil"/>
        </w:rPr>
        <w:t xml:space="preserve">List of stakeholders consulted on the amendment to Protocols 1 </w:t>
      </w:r>
      <w:r>
        <w:rPr>
          <w:rFonts w:ascii="Arial" w:hAnsi="Arial"/>
          <w:b/>
          <w:noProof/>
          <w:color w:val="222222"/>
          <w:sz w:val="28"/>
          <w:u w:val="single" w:color="222222"/>
          <w:bdr w:val="nil"/>
        </w:rPr>
        <w:t>and 4 of the Association Agreement</w:t>
      </w:r>
    </w:p>
    <w:p w:rsidR="00010D35" w:rsidRDefault="00010D35">
      <w:pPr>
        <w:pBdr>
          <w:top w:val="nil"/>
          <w:left w:val="nil"/>
          <w:bottom w:val="nil"/>
          <w:right w:val="nil"/>
          <w:between w:val="nil"/>
          <w:bar w:val="nil"/>
        </w:pBdr>
        <w:spacing w:after="120" w:line="240" w:lineRule="auto"/>
        <w:jc w:val="both"/>
        <w:rPr>
          <w:rFonts w:ascii="Arial" w:eastAsia="Arial" w:hAnsi="Arial" w:cs="Arial"/>
          <w:b/>
          <w:bCs/>
          <w:noProof/>
          <w:color w:val="000000"/>
          <w:sz w:val="24"/>
          <w:szCs w:val="24"/>
          <w:u w:val="single" w:color="000000"/>
          <w:bdr w:val="nil"/>
        </w:rPr>
      </w:pPr>
    </w:p>
    <w:p w:rsidR="00010D35" w:rsidRDefault="009E6C92">
      <w:pPr>
        <w:pBdr>
          <w:top w:val="nil"/>
          <w:left w:val="nil"/>
          <w:bottom w:val="nil"/>
          <w:right w:val="nil"/>
          <w:between w:val="nil"/>
          <w:bar w:val="nil"/>
        </w:pBdr>
        <w:spacing w:after="120" w:line="240" w:lineRule="auto"/>
        <w:jc w:val="both"/>
        <w:rPr>
          <w:rFonts w:ascii="Arial" w:eastAsia="Arial Unicode MS" w:hAnsi="Arial" w:cs="Arial"/>
          <w:b/>
          <w:noProof/>
          <w:sz w:val="24"/>
          <w:szCs w:val="24"/>
          <w:u w:val="single"/>
          <w:bdr w:val="nil"/>
        </w:rPr>
      </w:pPr>
      <w:r>
        <w:rPr>
          <w:rFonts w:ascii="Arial" w:hAnsi="Arial"/>
          <w:b/>
          <w:noProof/>
          <w:sz w:val="24"/>
          <w:u w:val="single"/>
          <w:bdr w:val="nil"/>
        </w:rPr>
        <w:t>1. Political actors</w:t>
      </w:r>
    </w:p>
    <w:p w:rsidR="00010D35" w:rsidRDefault="009E6C92">
      <w:pPr>
        <w:pBdr>
          <w:top w:val="nil"/>
          <w:left w:val="nil"/>
          <w:bottom w:val="nil"/>
          <w:right w:val="nil"/>
          <w:between w:val="nil"/>
          <w:bar w:val="nil"/>
        </w:pBdr>
        <w:spacing w:after="120" w:line="240" w:lineRule="auto"/>
        <w:jc w:val="both"/>
        <w:rPr>
          <w:rFonts w:ascii="Arial" w:eastAsia="Arial Unicode MS" w:hAnsi="Arial" w:cs="Arial"/>
          <w:noProof/>
          <w:sz w:val="24"/>
          <w:szCs w:val="24"/>
          <w:bdr w:val="nil"/>
        </w:rPr>
      </w:pPr>
      <w:r>
        <w:rPr>
          <w:rFonts w:ascii="Arial" w:hAnsi="Arial"/>
          <w:noProof/>
          <w:sz w:val="24"/>
          <w:bdr w:val="nil"/>
        </w:rPr>
        <w:t>Presidents of two Regional Councils:</w:t>
      </w:r>
    </w:p>
    <w:p w:rsidR="00010D35" w:rsidRDefault="009E6C92">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President of the Regional Council of Dakhla-Oued ed Dahab: Mr Yanja El Khattat</w:t>
      </w:r>
    </w:p>
    <w:p w:rsidR="00010D35" w:rsidRDefault="009E6C92">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President of the Regional Council of Laâyoune-Sakia el Hamra: Mr Sidi Hamdi Ould </w:t>
      </w:r>
      <w:r>
        <w:rPr>
          <w:rFonts w:ascii="Arial" w:hAnsi="Arial"/>
          <w:noProof/>
          <w:color w:val="000000"/>
          <w:sz w:val="24"/>
          <w:u w:color="000000"/>
          <w:bdr w:val="nil"/>
        </w:rPr>
        <w:t>Errachid</w:t>
      </w:r>
    </w:p>
    <w:p w:rsidR="00010D35" w:rsidRDefault="009E6C92">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 xml:space="preserve">MPs from Western Sahara: </w:t>
      </w:r>
    </w:p>
    <w:p w:rsidR="00010D35" w:rsidRDefault="009E6C92">
      <w:pPr>
        <w:numPr>
          <w:ilvl w:val="0"/>
          <w:numId w:val="30"/>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Justice and Development Party (PJD): Mr Brahim Daaif</w:t>
      </w:r>
    </w:p>
    <w:p w:rsidR="00010D35" w:rsidRDefault="009E6C92">
      <w:pPr>
        <w:numPr>
          <w:ilvl w:val="0"/>
          <w:numId w:val="30"/>
        </w:numPr>
        <w:pBdr>
          <w:top w:val="nil"/>
          <w:left w:val="nil"/>
          <w:bottom w:val="nil"/>
          <w:right w:val="nil"/>
          <w:between w:val="nil"/>
          <w:bar w:val="nil"/>
        </w:pBdr>
        <w:spacing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Authenticity and Modernity Party (PAM): Mr Moulay Zoubeir Habbadi</w:t>
      </w:r>
    </w:p>
    <w:p w:rsidR="00010D35" w:rsidRDefault="00010D35">
      <w:pPr>
        <w:pBdr>
          <w:top w:val="nil"/>
          <w:left w:val="nil"/>
          <w:bottom w:val="nil"/>
          <w:right w:val="nil"/>
          <w:between w:val="nil"/>
          <w:bar w:val="nil"/>
        </w:pBdr>
        <w:spacing w:after="0" w:line="240" w:lineRule="auto"/>
        <w:jc w:val="both"/>
        <w:rPr>
          <w:rFonts w:ascii="Arial" w:eastAsia="Arial Unicode MS" w:hAnsi="Arial" w:cs="Arial"/>
          <w:noProof/>
          <w:sz w:val="24"/>
          <w:szCs w:val="24"/>
          <w:bdr w:val="nil"/>
        </w:rPr>
      </w:pPr>
    </w:p>
    <w:p w:rsidR="00010D35" w:rsidRDefault="009E6C92">
      <w:pPr>
        <w:pBdr>
          <w:top w:val="nil"/>
          <w:left w:val="nil"/>
          <w:bottom w:val="nil"/>
          <w:right w:val="nil"/>
          <w:between w:val="nil"/>
          <w:bar w:val="nil"/>
        </w:pBdr>
        <w:spacing w:after="0" w:line="240" w:lineRule="auto"/>
        <w:jc w:val="both"/>
        <w:rPr>
          <w:rFonts w:ascii="Arial" w:eastAsia="Arial Unicode MS" w:hAnsi="Arial" w:cs="Arial"/>
          <w:noProof/>
          <w:sz w:val="24"/>
          <w:szCs w:val="24"/>
          <w:bdr w:val="nil"/>
        </w:rPr>
      </w:pPr>
      <w:r>
        <w:rPr>
          <w:rFonts w:ascii="Arial" w:hAnsi="Arial"/>
          <w:noProof/>
          <w:sz w:val="24"/>
          <w:bdr w:val="nil"/>
        </w:rPr>
        <w:t>Representative of the Polisario Front:</w:t>
      </w:r>
    </w:p>
    <w:p w:rsidR="00010D35" w:rsidRDefault="009E6C92">
      <w:pPr>
        <w:numPr>
          <w:ilvl w:val="0"/>
          <w:numId w:val="31"/>
        </w:numPr>
        <w:pBdr>
          <w:top w:val="nil"/>
          <w:left w:val="nil"/>
          <w:bottom w:val="nil"/>
          <w:right w:val="nil"/>
          <w:between w:val="nil"/>
          <w:bar w:val="nil"/>
        </w:pBdr>
        <w:spacing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Mr Mohamed Sidati</w:t>
      </w:r>
    </w:p>
    <w:p w:rsidR="00010D35" w:rsidRDefault="00010D35">
      <w:pPr>
        <w:pBdr>
          <w:top w:val="nil"/>
          <w:left w:val="nil"/>
          <w:bottom w:val="nil"/>
          <w:right w:val="nil"/>
          <w:between w:val="nil"/>
          <w:bar w:val="nil"/>
        </w:pBdr>
        <w:spacing w:after="0" w:line="240" w:lineRule="auto"/>
        <w:ind w:left="720"/>
        <w:contextualSpacing/>
        <w:jc w:val="both"/>
        <w:rPr>
          <w:rFonts w:ascii="Arial" w:eastAsia="Arial Unicode MS" w:hAnsi="Arial" w:cs="Arial"/>
          <w:noProof/>
          <w:color w:val="000000"/>
          <w:sz w:val="24"/>
          <w:szCs w:val="24"/>
          <w:u w:color="000000"/>
          <w:bdr w:val="nil"/>
        </w:rPr>
      </w:pPr>
    </w:p>
    <w:p w:rsidR="00010D35" w:rsidRDefault="009E6C92">
      <w:pPr>
        <w:pBdr>
          <w:top w:val="nil"/>
          <w:left w:val="nil"/>
          <w:bottom w:val="nil"/>
          <w:right w:val="nil"/>
          <w:between w:val="nil"/>
          <w:bar w:val="nil"/>
        </w:pBdr>
        <w:spacing w:after="0" w:line="240" w:lineRule="auto"/>
        <w:rPr>
          <w:rFonts w:ascii="Arial" w:eastAsia="Arial Unicode MS" w:hAnsi="Arial" w:cs="Arial"/>
          <w:b/>
          <w:noProof/>
          <w:sz w:val="24"/>
          <w:szCs w:val="24"/>
          <w:u w:val="single"/>
          <w:bdr w:val="nil"/>
        </w:rPr>
      </w:pPr>
      <w:r>
        <w:rPr>
          <w:rFonts w:ascii="Arial" w:hAnsi="Arial"/>
          <w:b/>
          <w:noProof/>
          <w:sz w:val="24"/>
          <w:u w:val="single"/>
          <w:bdr w:val="nil"/>
        </w:rPr>
        <w:t>2. Economic operators</w:t>
      </w:r>
    </w:p>
    <w:p w:rsidR="00010D35" w:rsidRDefault="009E6C92">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2.1. Agriculture</w:t>
      </w:r>
    </w:p>
    <w:p w:rsidR="00010D35" w:rsidRDefault="009E6C92">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Sahrawi Development and Investment Association</w:t>
      </w:r>
    </w:p>
    <w:p w:rsidR="00010D35" w:rsidRDefault="009E6C92">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rPr>
      </w:pPr>
      <w:r>
        <w:rPr>
          <w:rFonts w:ascii="Arial" w:hAnsi="Arial"/>
          <w:noProof/>
          <w:color w:val="000000"/>
          <w:sz w:val="24"/>
          <w:u w:color="000000"/>
          <w:bdr w:val="nil"/>
        </w:rPr>
        <w:t>Chamber of Agriculture of the region of Dakhla-Oued ed Dahab </w:t>
      </w:r>
    </w:p>
    <w:p w:rsidR="00010D35" w:rsidRDefault="009E6C92">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rPr>
      </w:pPr>
      <w:r>
        <w:rPr>
          <w:rFonts w:ascii="Arial" w:hAnsi="Arial"/>
          <w:noProof/>
          <w:color w:val="000000"/>
          <w:sz w:val="24"/>
          <w:u w:color="000000"/>
          <w:bdr w:val="nil"/>
        </w:rPr>
        <w:t>EIG Agida Dakhla </w:t>
      </w:r>
    </w:p>
    <w:p w:rsidR="00010D35" w:rsidRDefault="009E6C92">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Ajban Dakhla Cooperative </w:t>
      </w:r>
    </w:p>
    <w:p w:rsidR="00010D35" w:rsidRDefault="009E6C92">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Halib Sakia El Hamra Cooperative </w:t>
      </w:r>
    </w:p>
    <w:p w:rsidR="00010D35" w:rsidRDefault="009E6C92">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Al Joud Cooperative </w:t>
      </w:r>
    </w:p>
    <w:p w:rsidR="00010D35" w:rsidRDefault="00010D35">
      <w:pPr>
        <w:pBdr>
          <w:top w:val="nil"/>
          <w:left w:val="nil"/>
          <w:bottom w:val="nil"/>
          <w:right w:val="nil"/>
          <w:between w:val="nil"/>
          <w:bar w:val="nil"/>
        </w:pBdr>
        <w:spacing w:after="0" w:line="240" w:lineRule="auto"/>
        <w:rPr>
          <w:rFonts w:ascii="Arial" w:eastAsia="Arial Unicode MS" w:hAnsi="Arial" w:cs="Arial"/>
          <w:noProof/>
          <w:sz w:val="24"/>
          <w:szCs w:val="24"/>
          <w:bdr w:val="nil"/>
        </w:rPr>
      </w:pPr>
    </w:p>
    <w:p w:rsidR="00010D35" w:rsidRDefault="009E6C92">
      <w:pPr>
        <w:pBdr>
          <w:top w:val="nil"/>
          <w:left w:val="nil"/>
          <w:bottom w:val="nil"/>
          <w:right w:val="nil"/>
          <w:between w:val="nil"/>
          <w:bar w:val="nil"/>
        </w:pBdr>
        <w:spacing w:after="0" w:line="240" w:lineRule="auto"/>
        <w:rPr>
          <w:rFonts w:ascii="Arial" w:eastAsia="Arial Unicode MS" w:hAnsi="Arial" w:cs="Arial"/>
          <w:noProof/>
          <w:sz w:val="24"/>
          <w:szCs w:val="24"/>
          <w:bdr w:val="nil"/>
        </w:rPr>
      </w:pPr>
      <w:r>
        <w:rPr>
          <w:rFonts w:ascii="Arial" w:hAnsi="Arial"/>
          <w:noProof/>
          <w:sz w:val="24"/>
          <w:bdr w:val="nil"/>
        </w:rPr>
        <w:t>2.2. Fisheries</w:t>
      </w:r>
    </w:p>
    <w:p w:rsidR="00010D35" w:rsidRDefault="009E6C92">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National Fisheries Research Institute </w:t>
      </w:r>
    </w:p>
    <w:p w:rsidR="00010D35" w:rsidRDefault="009E6C92">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Chamber of Maritime Fisheries</w:t>
      </w:r>
    </w:p>
    <w:p w:rsidR="00010D35" w:rsidRDefault="009E6C92">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 xml:space="preserve">2.3. Miscellaneous economic actors </w:t>
      </w:r>
    </w:p>
    <w:p w:rsidR="00010D35" w:rsidRDefault="009E6C92">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OCP Group (and Phosboucraa Foundation) </w:t>
      </w:r>
    </w:p>
    <w:p w:rsidR="00010D35" w:rsidRDefault="009E6C92">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Agency for the Development of the Southern Provinces (Agence du Sud)</w:t>
      </w:r>
    </w:p>
    <w:p w:rsidR="00010D35" w:rsidRDefault="009E6C92">
      <w:pPr>
        <w:pBdr>
          <w:top w:val="nil"/>
          <w:left w:val="nil"/>
          <w:bottom w:val="nil"/>
          <w:right w:val="nil"/>
          <w:between w:val="nil"/>
          <w:bar w:val="nil"/>
        </w:pBdr>
        <w:spacing w:before="240" w:after="0" w:line="240" w:lineRule="auto"/>
        <w:jc w:val="both"/>
        <w:rPr>
          <w:rFonts w:ascii="Arial" w:eastAsia="Arial Unicode MS" w:hAnsi="Arial" w:cs="Arial"/>
          <w:b/>
          <w:noProof/>
          <w:sz w:val="24"/>
          <w:szCs w:val="24"/>
          <w:u w:val="single"/>
          <w:bdr w:val="nil"/>
        </w:rPr>
      </w:pPr>
      <w:r>
        <w:rPr>
          <w:rFonts w:ascii="Arial" w:hAnsi="Arial"/>
          <w:b/>
          <w:noProof/>
          <w:sz w:val="24"/>
          <w:u w:val="single"/>
          <w:bdr w:val="nil"/>
        </w:rPr>
        <w:t xml:space="preserve">3. Human rights associations </w:t>
      </w:r>
    </w:p>
    <w:p w:rsidR="00010D35" w:rsidRDefault="009E6C92">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National Human Rights Council </w:t>
      </w:r>
    </w:p>
    <w:p w:rsidR="00010D35" w:rsidRDefault="009E6C92">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Sahara Observatory for Peace, Democracy and Human Rights</w:t>
      </w:r>
    </w:p>
    <w:p w:rsidR="00010D35" w:rsidRDefault="009E6C92">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Independent Human Rights Commission </w:t>
      </w:r>
    </w:p>
    <w:p w:rsidR="00010D35" w:rsidRDefault="009E6C92">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Moroccan Human Rights Association</w:t>
      </w:r>
    </w:p>
    <w:p w:rsidR="00010D35" w:rsidRDefault="009E6C92">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Sahrawi Association of Victims of Serious Human Rights Violations</w:t>
      </w:r>
    </w:p>
    <w:p w:rsidR="00010D35" w:rsidRDefault="009E6C92">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Al Ghad Human Rights </w:t>
      </w:r>
      <w:r>
        <w:rPr>
          <w:rFonts w:ascii="Arial" w:hAnsi="Arial"/>
          <w:noProof/>
          <w:color w:val="000000"/>
          <w:sz w:val="24"/>
          <w:u w:color="000000"/>
          <w:bdr w:val="nil"/>
        </w:rPr>
        <w:t>Association</w:t>
      </w:r>
    </w:p>
    <w:p w:rsidR="00010D35" w:rsidRDefault="009E6C92">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Western Sahara Campaign </w:t>
      </w:r>
    </w:p>
    <w:p w:rsidR="00010D35" w:rsidRDefault="009E6C92">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Western Sahara Resource Watch </w:t>
      </w:r>
    </w:p>
    <w:p w:rsidR="00010D35" w:rsidRDefault="009E6C92">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Independent Diplomat</w:t>
      </w:r>
    </w:p>
    <w:p w:rsidR="00010D35" w:rsidRDefault="009E6C92">
      <w:pPr>
        <w:widowControl w:val="0"/>
        <w:numPr>
          <w:ilvl w:val="0"/>
          <w:numId w:val="34"/>
        </w:numPr>
        <w:pBdr>
          <w:top w:val="nil"/>
          <w:left w:val="nil"/>
          <w:bottom w:val="nil"/>
          <w:right w:val="nil"/>
          <w:between w:val="nil"/>
          <w:bar w:val="nil"/>
        </w:pBdr>
        <w:spacing w:before="240" w:after="0" w:line="240" w:lineRule="auto"/>
        <w:contextualSpacing/>
        <w:jc w:val="both"/>
        <w:outlineLvl w:val="0"/>
        <w:rPr>
          <w:rFonts w:ascii="Times New Roman" w:eastAsia="Calibri" w:hAnsi="Times New Roman" w:cs="Times New Roman"/>
          <w:smallCaps/>
          <w:noProof/>
          <w:sz w:val="24"/>
        </w:rPr>
      </w:pPr>
      <w:bookmarkStart w:id="57" w:name="_Toc516249548"/>
      <w:r>
        <w:rPr>
          <w:rFonts w:ascii="Arial" w:hAnsi="Arial"/>
          <w:noProof/>
          <w:color w:val="000000"/>
          <w:sz w:val="24"/>
          <w:u w:color="000000"/>
          <w:bdr w:val="nil"/>
        </w:rPr>
        <w:t>Delegation of 85 associations jointly signing a letter to the European Commission and the EEAS on 3 February 2018 on amending the Protocols</w:t>
      </w:r>
      <w:bookmarkEnd w:id="57"/>
    </w:p>
    <w:sectPr w:rsidR="00010D35">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35" w:rsidRDefault="009E6C92">
      <w:pPr>
        <w:spacing w:after="0" w:line="240" w:lineRule="auto"/>
      </w:pPr>
      <w:r>
        <w:separator/>
      </w:r>
    </w:p>
  </w:endnote>
  <w:endnote w:type="continuationSeparator" w:id="0">
    <w:p w:rsidR="00010D35" w:rsidRDefault="009E6C92">
      <w:pPr>
        <w:spacing w:after="0" w:line="240" w:lineRule="auto"/>
      </w:pPr>
      <w:r>
        <w:continuationSeparator/>
      </w:r>
    </w:p>
  </w:endnote>
  <w:endnote w:type="continuationNotice" w:id="1">
    <w:p w:rsidR="00010D35" w:rsidRDefault="00010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92" w:rsidRPr="009E6C92" w:rsidRDefault="009E6C92" w:rsidP="009E6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92" w:rsidRPr="009E6C92" w:rsidRDefault="009E6C92" w:rsidP="009E6C92">
    <w:pPr>
      <w:pStyle w:val="FooterCoverPage"/>
      <w:rPr>
        <w:rFonts w:ascii="Arial" w:hAnsi="Arial" w:cs="Arial"/>
        <w:b/>
        <w:sz w:val="48"/>
      </w:rPr>
    </w:pPr>
    <w:r w:rsidRPr="009E6C92">
      <w:rPr>
        <w:rFonts w:ascii="Arial" w:hAnsi="Arial" w:cs="Arial"/>
        <w:b/>
        <w:sz w:val="48"/>
      </w:rPr>
      <w:t>EN</w:t>
    </w:r>
    <w:r w:rsidRPr="009E6C92">
      <w:rPr>
        <w:rFonts w:ascii="Arial" w:hAnsi="Arial" w:cs="Arial"/>
        <w:b/>
        <w:sz w:val="48"/>
      </w:rPr>
      <w:tab/>
    </w:r>
    <w:r w:rsidRPr="009E6C92">
      <w:rPr>
        <w:rFonts w:ascii="Arial" w:hAnsi="Arial" w:cs="Arial"/>
        <w:b/>
        <w:sz w:val="48"/>
      </w:rPr>
      <w:tab/>
    </w:r>
    <w:r w:rsidRPr="009E6C92">
      <w:tab/>
    </w:r>
    <w:r w:rsidRPr="009E6C92">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92" w:rsidRPr="009E6C92" w:rsidRDefault="009E6C92" w:rsidP="009E6C9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35" w:rsidRDefault="00010D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97496"/>
      <w:docPartObj>
        <w:docPartGallery w:val="Page Numbers (Bottom of Page)"/>
        <w:docPartUnique/>
      </w:docPartObj>
    </w:sdtPr>
    <w:sdtEndPr>
      <w:rPr>
        <w:noProof/>
      </w:rPr>
    </w:sdtEndPr>
    <w:sdtContent>
      <w:p w:rsidR="00010D35" w:rsidRDefault="009E6C92">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35" w:rsidRDefault="00010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35" w:rsidRDefault="009E6C92">
      <w:pPr>
        <w:spacing w:after="0" w:line="240" w:lineRule="auto"/>
      </w:pPr>
      <w:r>
        <w:separator/>
      </w:r>
    </w:p>
  </w:footnote>
  <w:footnote w:type="continuationSeparator" w:id="0">
    <w:p w:rsidR="00010D35" w:rsidRDefault="009E6C92">
      <w:pPr>
        <w:spacing w:after="0" w:line="240" w:lineRule="auto"/>
      </w:pPr>
      <w:r>
        <w:continuationSeparator/>
      </w:r>
    </w:p>
  </w:footnote>
  <w:footnote w:type="continuationNotice" w:id="1">
    <w:p w:rsidR="00010D35" w:rsidRDefault="00010D35">
      <w:pPr>
        <w:spacing w:after="0" w:line="240" w:lineRule="auto"/>
      </w:pPr>
    </w:p>
  </w:footnote>
  <w:footnote w:id="2">
    <w:p w:rsidR="00010D35" w:rsidRDefault="009E6C92">
      <w:pPr>
        <w:pStyle w:val="FootnoteText"/>
        <w:jc w:val="both"/>
      </w:pPr>
      <w:r>
        <w:rPr>
          <w:rStyle w:val="FootnoteReference"/>
        </w:rPr>
        <w:footnoteRef/>
      </w:r>
      <w:r>
        <w:t xml:space="preserve"> The EU supports the Sahrawi people through the European Instrument for Democracy and Human Rights and by providing humanitarian aid for refugees. See Report on EU-Algeria Cooperation – 2016 Edition: </w:t>
      </w:r>
      <w:hyperlink r:id="rId1">
        <w:r>
          <w:rPr>
            <w:rStyle w:val="Hyperlink"/>
          </w:rPr>
          <w:t>https://eeas.europa.eu/sites/eeas/files/rapport_de_coorperation_2016_v.numerique.pdf</w:t>
        </w:r>
      </w:hyperlink>
    </w:p>
  </w:footnote>
  <w:footnote w:id="3">
    <w:p w:rsidR="00010D35" w:rsidRDefault="009E6C92">
      <w:pPr>
        <w:pStyle w:val="FootnoteText"/>
      </w:pPr>
      <w:r>
        <w:rPr>
          <w:rStyle w:val="FootnoteReference"/>
        </w:rPr>
        <w:footnoteRef/>
      </w:r>
      <w:r>
        <w:t xml:space="preserve"> </w:t>
      </w:r>
      <w:r>
        <w:tab/>
        <w:t>OJ L 70, 18.3.2000, p. 2.</w:t>
      </w:r>
    </w:p>
  </w:footnote>
  <w:footnote w:id="4">
    <w:p w:rsidR="00010D35" w:rsidRDefault="009E6C92">
      <w:pPr>
        <w:pStyle w:val="FootnoteText"/>
        <w:jc w:val="both"/>
      </w:pPr>
      <w:r>
        <w:rPr>
          <w:rStyle w:val="FootnoteReference"/>
        </w:rPr>
        <w:footnoteRef/>
      </w:r>
      <w:r>
        <w:t xml:space="preserve"> </w:t>
      </w:r>
      <w:r>
        <w:tab/>
        <w:t xml:space="preserve">ECJ Judgment of 21 December 2016, </w:t>
      </w:r>
      <w:r>
        <w:rPr>
          <w:i/>
        </w:rPr>
        <w:t>Council v Front Polisario</w:t>
      </w:r>
      <w:r>
        <w:t>, C-104/16 P, ECL</w:t>
      </w:r>
      <w:r>
        <w:t>I:EU:C:2016:973.</w:t>
      </w:r>
    </w:p>
  </w:footnote>
  <w:footnote w:id="5">
    <w:p w:rsidR="00010D35" w:rsidRDefault="009E6C92">
      <w:pPr>
        <w:pStyle w:val="FootnoteText"/>
        <w:jc w:val="both"/>
      </w:pPr>
      <w:r>
        <w:rPr>
          <w:rStyle w:val="FootnoteReference"/>
        </w:rPr>
        <w:footnoteRef/>
      </w:r>
      <w:r>
        <w:tab/>
        <w:t xml:space="preserve">According to the above judgment of 21 December 2016, the territory of Western Sahara has a ‘separate and distinct status’, by virtue of the principle of self-determination (par. 92). In its judgment of 27 February 2018 (C-266/16, </w:t>
      </w:r>
      <w:r>
        <w:rPr>
          <w:i/>
        </w:rPr>
        <w:t>Western</w:t>
      </w:r>
      <w:r>
        <w:rPr>
          <w:i/>
        </w:rPr>
        <w:t xml:space="preserve"> Sahara Campaign</w:t>
      </w:r>
      <w:r>
        <w:t>) on the EU-Morocco Fisheries Agreement, the ECJ states: ‘the territory of Western Sahara is not covered by the concept of “territory of Morocco” ’ (par. 64), and ‘the waters adjacent to the territory of Western Sahara are not part of the M</w:t>
      </w:r>
      <w:r>
        <w:t>oroccan fishing zone’ (par. 69).</w:t>
      </w:r>
    </w:p>
  </w:footnote>
  <w:footnote w:id="6">
    <w:p w:rsidR="00010D35" w:rsidRDefault="009E6C92">
      <w:pPr>
        <w:pStyle w:val="FootnoteText"/>
      </w:pPr>
      <w:r>
        <w:rPr>
          <w:rStyle w:val="FootnoteReference"/>
        </w:rPr>
        <w:footnoteRef/>
      </w:r>
      <w:r>
        <w:t xml:space="preserve"> </w:t>
      </w:r>
      <w:r>
        <w:tab/>
        <w:t>See point 1.2.2, third paragraph.</w:t>
      </w:r>
    </w:p>
  </w:footnote>
  <w:footnote w:id="7">
    <w:p w:rsidR="00010D35" w:rsidRDefault="009E6C92">
      <w:pPr>
        <w:pStyle w:val="FootnoteText"/>
        <w:jc w:val="both"/>
      </w:pPr>
      <w:r>
        <w:rPr>
          <w:rStyle w:val="FootnoteReference"/>
        </w:rPr>
        <w:footnoteRef/>
      </w:r>
      <w:r>
        <w:t xml:space="preserve"> </w:t>
      </w:r>
      <w:r>
        <w:tab/>
        <w:t>General Assembly Resolution of 7 December 2017 on Economic and other activities which affect the interests of the peoples of the Non-Self-Governing Territories (document A/RES/72/94 o</w:t>
      </w:r>
      <w:r>
        <w:t>f 14 December 2017).</w:t>
      </w:r>
    </w:p>
  </w:footnote>
  <w:footnote w:id="8">
    <w:p w:rsidR="00010D35" w:rsidRDefault="009E6C92">
      <w:pPr>
        <w:pStyle w:val="FootnoteText"/>
      </w:pPr>
      <w:r>
        <w:rPr>
          <w:rStyle w:val="FootnoteReference"/>
        </w:rPr>
        <w:footnoteRef/>
      </w:r>
      <w:r>
        <w:t xml:space="preserve"> </w:t>
      </w:r>
      <w:r>
        <w:tab/>
      </w:r>
      <w:hyperlink r:id="rId2">
        <w:r>
          <w:rPr>
            <w:rStyle w:val="Hyperlink"/>
          </w:rPr>
          <w:t>https://minurso.unmissions.org/</w:t>
        </w:r>
      </w:hyperlink>
      <w:r>
        <w:t xml:space="preserve"> </w:t>
      </w:r>
    </w:p>
    <w:p w:rsidR="00010D35" w:rsidRDefault="009E6C92">
      <w:pPr>
        <w:pStyle w:val="FootnoteText"/>
        <w:ind w:firstLine="720"/>
      </w:pPr>
      <w:hyperlink r:id="rId3">
        <w:r>
          <w:rPr>
            <w:rStyle w:val="Hyperlink"/>
          </w:rPr>
          <w:t>https://minurso.unmissions.org/secretary-general-reports</w:t>
        </w:r>
      </w:hyperlink>
      <w:r>
        <w:t xml:space="preserve"> </w:t>
      </w:r>
    </w:p>
  </w:footnote>
  <w:footnote w:id="9">
    <w:p w:rsidR="00010D35" w:rsidRDefault="009E6C92">
      <w:pPr>
        <w:pStyle w:val="FootnoteText"/>
        <w:jc w:val="both"/>
      </w:pPr>
      <w:r>
        <w:rPr>
          <w:rStyle w:val="FootnoteReference"/>
        </w:rPr>
        <w:footnoteRef/>
      </w:r>
      <w:r>
        <w:t xml:space="preserve"> Reference is to the nomenclature governed by the Convention on the Harmonised Commodity Description and Coding System (the ‘Harmonised System’). </w:t>
      </w:r>
    </w:p>
  </w:footnote>
  <w:footnote w:id="10">
    <w:p w:rsidR="00010D35" w:rsidRDefault="009E6C92">
      <w:pPr>
        <w:pStyle w:val="FootnoteText"/>
        <w:jc w:val="both"/>
      </w:pPr>
      <w:r>
        <w:rPr>
          <w:rStyle w:val="FootnoteReference"/>
        </w:rPr>
        <w:footnoteRef/>
      </w:r>
      <w:r>
        <w:t xml:space="preserve"> For example, the French language version of the negotiating directives uses the word ‘populations’, while t</w:t>
      </w:r>
      <w:r>
        <w:t>he English version uses the word ‘people’. This shows a varying use of words even in UN documents. For example, the conclusion to the ICJ opinion of 16 October 2074 says ‘populations’ in the French version and ‘people’ in the English version.</w:t>
      </w:r>
    </w:p>
  </w:footnote>
  <w:footnote w:id="11">
    <w:p w:rsidR="00010D35" w:rsidRDefault="009E6C92">
      <w:pPr>
        <w:pStyle w:val="FootnoteText"/>
      </w:pPr>
      <w:r>
        <w:rPr>
          <w:rStyle w:val="FootnoteReference"/>
        </w:rPr>
        <w:footnoteRef/>
      </w:r>
      <w:r>
        <w:t xml:space="preserve"> See reports</w:t>
      </w:r>
      <w:r>
        <w:t xml:space="preserve"> by Amnesty International and Human Rights Watch:</w:t>
      </w:r>
    </w:p>
    <w:p w:rsidR="00010D35" w:rsidRDefault="009E6C92">
      <w:pPr>
        <w:pStyle w:val="FootnoteText"/>
      </w:pPr>
      <w:hyperlink r:id="rId4">
        <w:r>
          <w:rPr>
            <w:rStyle w:val="Hyperlink"/>
          </w:rPr>
          <w:t>https://www.amnesty.org/fr/countries/middle-east-and-north-africa/morocco/report-morocco/</w:t>
        </w:r>
      </w:hyperlink>
      <w:r>
        <w:t xml:space="preserve"> (viewed</w:t>
      </w:r>
      <w:r>
        <w:t xml:space="preserve"> on 23/4/2018)</w:t>
      </w:r>
    </w:p>
    <w:p w:rsidR="00010D35" w:rsidRDefault="009E6C92">
      <w:pPr>
        <w:pStyle w:val="FootnoteText"/>
      </w:pPr>
      <w:hyperlink r:id="rId5">
        <w:r>
          <w:rPr>
            <w:rStyle w:val="Hyperlink"/>
          </w:rPr>
          <w:t>https://www.hrw.org/fr/middle-east/n-africa/morocco/western-sahara</w:t>
        </w:r>
      </w:hyperlink>
      <w:r>
        <w:t xml:space="preserve"> (viewed on 23/4/2018).</w:t>
      </w:r>
    </w:p>
  </w:footnote>
  <w:footnote w:id="12">
    <w:p w:rsidR="00010D35" w:rsidRDefault="009E6C92">
      <w:pPr>
        <w:pStyle w:val="FootnoteText"/>
      </w:pPr>
      <w:r>
        <w:rPr>
          <w:rStyle w:val="FootnoteReference"/>
        </w:rPr>
        <w:footnoteRef/>
      </w:r>
      <w:r>
        <w:t xml:space="preserve"> Secretary-General’s report on the situation in Western Sahara. </w:t>
      </w:r>
      <w:r>
        <w:t>UN Security Council Document No S/2018/277. See points 65-73.</w:t>
      </w:r>
    </w:p>
  </w:footnote>
  <w:footnote w:id="13">
    <w:p w:rsidR="00010D35" w:rsidRDefault="009E6C92">
      <w:pPr>
        <w:pStyle w:val="FootnoteText"/>
        <w:jc w:val="both"/>
      </w:pPr>
      <w:r>
        <w:rPr>
          <w:rStyle w:val="FootnoteReference"/>
        </w:rPr>
        <w:footnoteRef/>
      </w:r>
      <w:r>
        <w:t xml:space="preserve"> Decision No 1/2006 of the EU-Morocco Association Council of 26 September 2006 creating the Sub</w:t>
      </w:r>
      <w:r>
        <w:noBreakHyphen/>
        <w:t>Committee on Human Rights, Democracy and Governance (OJ L 276 of 7.10.2006, p. 73).</w:t>
      </w:r>
    </w:p>
  </w:footnote>
  <w:footnote w:id="14">
    <w:p w:rsidR="00010D35" w:rsidRDefault="009E6C92">
      <w:pPr>
        <w:pStyle w:val="FootnoteText"/>
        <w:jc w:val="both"/>
        <w:rPr>
          <w:sz w:val="18"/>
          <w:szCs w:val="18"/>
        </w:rPr>
      </w:pPr>
      <w:r>
        <w:rPr>
          <w:rStyle w:val="FootnoteReference"/>
        </w:rPr>
        <w:footnoteRef/>
      </w:r>
      <w:r>
        <w:t xml:space="preserve"> </w:t>
      </w:r>
      <w:hyperlink r:id="rId6">
        <w:r>
          <w:rPr>
            <w:rStyle w:val="Hyperlink"/>
          </w:rPr>
          <w:t>http</w:t>
        </w:r>
        <w:r>
          <w:rPr>
            <w:rStyle w:val="Hyperlink"/>
            <w:sz w:val="18"/>
          </w:rPr>
          <w:t>://www.un.org/en/decolonization/pdf/Western-Sahara2017.pdf</w:t>
        </w:r>
      </w:hyperlink>
      <w:r>
        <w:rPr>
          <w:sz w:val="18"/>
        </w:rPr>
        <w:t xml:space="preserve"> (viewed on 23/4/2018)</w:t>
      </w:r>
    </w:p>
  </w:footnote>
  <w:footnote w:id="15">
    <w:p w:rsidR="00010D35" w:rsidRDefault="009E6C92">
      <w:pPr>
        <w:pStyle w:val="FootnoteText"/>
        <w:jc w:val="both"/>
        <w:rPr>
          <w:sz w:val="18"/>
          <w:szCs w:val="18"/>
        </w:rPr>
      </w:pPr>
      <w:r>
        <w:rPr>
          <w:rStyle w:val="FootnoteReference"/>
          <w:sz w:val="18"/>
        </w:rPr>
        <w:footnoteRef/>
      </w:r>
      <w:r>
        <w:rPr>
          <w:sz w:val="18"/>
        </w:rPr>
        <w:t xml:space="preserve"> Department of Studies and Financial Forecasts. Studies, June 2017: Economic Growth Profile of Regi</w:t>
      </w:r>
      <w:r>
        <w:rPr>
          <w:sz w:val="18"/>
        </w:rPr>
        <w:t xml:space="preserve">ons (viewed on 23/4/2018). </w:t>
      </w:r>
    </w:p>
    <w:p w:rsidR="00010D35" w:rsidRDefault="009E6C92">
      <w:pPr>
        <w:pStyle w:val="FootnoteText"/>
        <w:jc w:val="both"/>
        <w:rPr>
          <w:sz w:val="18"/>
          <w:szCs w:val="18"/>
        </w:rPr>
      </w:pPr>
      <w:hyperlink r:id="rId7">
        <w:r>
          <w:rPr>
            <w:rStyle w:val="Hyperlink"/>
            <w:sz w:val="18"/>
          </w:rPr>
          <w:t>https://www.finances.gov.ma/depf/SitePages/publications/en_catalogue/etudes/2017/croissance_des_regio</w:t>
        </w:r>
        <w:r>
          <w:rPr>
            <w:rStyle w:val="Hyperlink"/>
            <w:sz w:val="18"/>
          </w:rPr>
          <w:t>ns.pdf</w:t>
        </w:r>
      </w:hyperlink>
    </w:p>
  </w:footnote>
  <w:footnote w:id="16">
    <w:p w:rsidR="00010D35" w:rsidRDefault="009E6C92">
      <w:pPr>
        <w:pStyle w:val="FootnoteText"/>
        <w:jc w:val="both"/>
        <w:rPr>
          <w:sz w:val="18"/>
          <w:szCs w:val="18"/>
        </w:rPr>
      </w:pPr>
      <w:r>
        <w:rPr>
          <w:rStyle w:val="FootnoteReference"/>
          <w:sz w:val="18"/>
        </w:rPr>
        <w:footnoteRef/>
      </w:r>
      <w:r>
        <w:rPr>
          <w:sz w:val="18"/>
        </w:rPr>
        <w:t xml:space="preserve"> Economic, Social and Environmental Council – Regional Development Model for the Southern Provinces – Evaluation of Respect for Fundamental Human Rights in the Southern Provinces (viewed on 23/4/2018)  </w:t>
      </w:r>
      <w:hyperlink r:id="rId8">
        <w:r>
          <w:rPr>
            <w:rStyle w:val="Hyperlink"/>
            <w:sz w:val="18"/>
          </w:rPr>
          <w:t>http://www.cese.ma/Documents/PDF/Web%20Rapport%20Effectivite%20des%20droits%20VF%2011042013.pdf</w:t>
        </w:r>
      </w:hyperlink>
    </w:p>
  </w:footnote>
  <w:footnote w:id="17">
    <w:p w:rsidR="00010D35" w:rsidRDefault="009E6C92">
      <w:pPr>
        <w:pStyle w:val="FootnoteText"/>
        <w:jc w:val="both"/>
      </w:pPr>
      <w:r>
        <w:rPr>
          <w:rStyle w:val="FootnoteReference"/>
        </w:rPr>
        <w:footnoteRef/>
      </w:r>
      <w:r>
        <w:t xml:space="preserve"> See in particular the report prepared by the Polisario Front in case T-512/12: Western Sa</w:t>
      </w:r>
      <w:r>
        <w:t>hara – Status and Economic Exploitation – Legal study commissioned by the Polisario Front – May 2012.</w:t>
      </w:r>
    </w:p>
  </w:footnote>
  <w:footnote w:id="18">
    <w:p w:rsidR="00010D35" w:rsidRDefault="009E6C92">
      <w:pPr>
        <w:pStyle w:val="FootnoteText"/>
        <w:jc w:val="both"/>
      </w:pPr>
      <w:r>
        <w:rPr>
          <w:rStyle w:val="FootnoteReference"/>
        </w:rPr>
        <w:footnoteRef/>
      </w:r>
      <w:r>
        <w:t xml:space="preserve"> See point 242 of judgment in case T-512/12.</w:t>
      </w:r>
    </w:p>
  </w:footnote>
  <w:footnote w:id="19">
    <w:p w:rsidR="00010D35" w:rsidRDefault="009E6C92">
      <w:pPr>
        <w:pStyle w:val="FootnoteText"/>
        <w:jc w:val="both"/>
      </w:pPr>
      <w:r>
        <w:rPr>
          <w:rStyle w:val="FootnoteReference"/>
        </w:rPr>
        <w:footnoteRef/>
      </w:r>
      <w:r>
        <w:t xml:space="preserve"> See Second Witness Statement by John Gurr in the national dispute which led to case C-266/16.</w:t>
      </w:r>
    </w:p>
  </w:footnote>
  <w:footnote w:id="20">
    <w:p w:rsidR="00010D35" w:rsidRDefault="009E6C92">
      <w:pPr>
        <w:pStyle w:val="FootnoteText"/>
        <w:jc w:val="both"/>
      </w:pPr>
      <w:r>
        <w:rPr>
          <w:rStyle w:val="FootnoteReference"/>
        </w:rPr>
        <w:footnoteRef/>
      </w:r>
      <w:r>
        <w:t xml:space="preserve"> This part of the population could not be quantified as there are no census records for the refugee camps in Tindouf (Algeria). According to various sources, this is between 20 % (according to ‘pro-Moroccan’ Sahrawis) and 50 % (according to the Polisario F</w:t>
      </w:r>
      <w:r>
        <w:t>ront) of the total Sahrawi population.</w:t>
      </w:r>
    </w:p>
  </w:footnote>
  <w:footnote w:id="21">
    <w:p w:rsidR="00010D35" w:rsidRDefault="009E6C92">
      <w:pPr>
        <w:pStyle w:val="FootnoteText"/>
        <w:jc w:val="both"/>
      </w:pPr>
      <w:r>
        <w:rPr>
          <w:vertAlign w:val="superscript"/>
        </w:rPr>
        <w:footnoteRef/>
      </w:r>
      <w:r>
        <w:rPr>
          <w:vertAlign w:val="superscript"/>
        </w:rPr>
        <w:t xml:space="preserve"> </w:t>
      </w:r>
      <w:r>
        <w:t>The consultations in February 2018 found that animal – especially camel – herding is particularly common. Several of those interviewed said that Sahrawis were traditionally nomadic herders and engaged largely in her</w:t>
      </w:r>
      <w:r>
        <w:t>ding. This shows that a limited study assessing the direct impact of the Agreement cannot grasp the full complexity of Western Saharan society.</w:t>
      </w:r>
    </w:p>
  </w:footnote>
  <w:footnote w:id="22">
    <w:p w:rsidR="00010D35" w:rsidRDefault="009E6C92">
      <w:pPr>
        <w:pStyle w:val="FootnoteText"/>
        <w:jc w:val="both"/>
      </w:pPr>
      <w:r>
        <w:rPr>
          <w:rStyle w:val="FootnoteReference"/>
        </w:rPr>
        <w:footnoteRef/>
      </w:r>
      <w:r>
        <w:t xml:space="preserve"> To place Western Saharan agricultural production in a broader context, note that Morocco is traditionally a na</w:t>
      </w:r>
      <w:r>
        <w:t xml:space="preserve">tion of farmers. In 2016, the share of agriculture in the economy was an estimated 12 % of GDP for the country as a whole. The utilised agricultural area (UAA) is 8.7 million hectares, of which 52 % is used for cereals and 3 % for early-growing crops. The </w:t>
      </w:r>
      <w:r>
        <w:t>main agricultural exports from Morocco to the EU are vegetables (EUR 951 million in 2016), followed by non-citrus fruit (EUR 347 million) and citrus fruit (EUR 175 million). The portion of the active population employed in agriculture is 39 % nationally, a</w:t>
      </w:r>
      <w:r>
        <w:t>nd as much as twice that in rural areas.</w:t>
      </w:r>
    </w:p>
  </w:footnote>
  <w:footnote w:id="23">
    <w:p w:rsidR="00010D35" w:rsidRDefault="009E6C92">
      <w:pPr>
        <w:pStyle w:val="FootnoteText"/>
      </w:pPr>
      <w:r>
        <w:rPr>
          <w:rStyle w:val="FootnoteReference"/>
        </w:rPr>
        <w:footnoteRef/>
      </w:r>
      <w:r>
        <w:t xml:space="preserve"> The area used for early-growing crops in Western Sahara is less than 0.4 % of the total for Morocco.</w:t>
      </w:r>
    </w:p>
  </w:footnote>
  <w:footnote w:id="24">
    <w:p w:rsidR="00010D35" w:rsidRDefault="009E6C92">
      <w:pPr>
        <w:pStyle w:val="FootnoteText"/>
        <w:jc w:val="both"/>
      </w:pPr>
      <w:r>
        <w:rPr>
          <w:rStyle w:val="FootnoteReference"/>
        </w:rPr>
        <w:footnoteRef/>
      </w:r>
      <w:r>
        <w:t xml:space="preserve"> No preference is granted for ‘sugar’ (products falling within CN codes 1701 and 1702, with the exception of so</w:t>
      </w:r>
      <w:r>
        <w:t>me tariff subheadings).</w:t>
      </w:r>
    </w:p>
  </w:footnote>
  <w:footnote w:id="25">
    <w:p w:rsidR="00010D35" w:rsidRDefault="009E6C92">
      <w:pPr>
        <w:pStyle w:val="FootnoteText"/>
        <w:jc w:val="both"/>
      </w:pPr>
      <w:r>
        <w:rPr>
          <w:rStyle w:val="FootnoteReference"/>
        </w:rPr>
        <w:footnoteRef/>
      </w:r>
      <w:r>
        <w:t xml:space="preserve"> For this calculation, the unit price for 2016 was set at EUR 1 066 per tonne for melons (45 million tonnes imported, at a customs value of EUR 48 million), with a regular customs duty (applicable in the EU under the most-favoured </w:t>
      </w:r>
      <w:r>
        <w:t>nation clause) of 8.8 %. For tomatoes, the unit price is set at EUR 1 059 per tonne (417.14 million tonnes imported, at a customs value of EUR 393.75 million), with a regular customs duty of 8.8 to 14.4 % depending on the time of year, with some 80 % of ex</w:t>
      </w:r>
      <w:r>
        <w:t>ports taking place between early November and late April (8.8 % duty).</w:t>
      </w:r>
    </w:p>
  </w:footnote>
  <w:footnote w:id="26">
    <w:p w:rsidR="00010D35" w:rsidRDefault="009E6C92">
      <w:pPr>
        <w:pStyle w:val="FootnoteText"/>
        <w:jc w:val="both"/>
      </w:pPr>
      <w:r>
        <w:rPr>
          <w:rStyle w:val="FootnoteReference"/>
        </w:rPr>
        <w:footnoteRef/>
      </w:r>
      <w:r>
        <w:t xml:space="preserve"> The same application stated that 6 480 people were employed in the Moroccan agriculture industry in Western Sahara in 2010. According to the Moroccan Ministry of Agriculture, that fig</w:t>
      </w:r>
      <w:r>
        <w:t>ure is set to triple by 2020; 2 000 hectares is expected to be under cultivation by then and production for export is expected to grow to 160 000 tonnes. The application also stated that 95 % of agricultural production, including tomatoes, melons and cucum</w:t>
      </w:r>
      <w:r>
        <w:t>bers, was exported, but that the savings from the preferential arrangements were not invested in infrastructure benefiting the Sahrawi people (see national dispute which led to case C-266/16: Second Witness Statement of John Gurr – pp. C-74-75). It would b</w:t>
      </w:r>
      <w:r>
        <w:t>e very restrictive to assess whether an agreement was beneficial for a given population by determining whether all profits from products sold returned to that population. It is more appropriate to consider whether people receive benefits in general or suff</w:t>
      </w:r>
      <w:r>
        <w:t>er discrimination in hiring. Again, the consultations in February 2018 found no indication of current discrimination in hiring. This was confirmed by several of those interviewed, including Sahrawis.</w:t>
      </w:r>
    </w:p>
  </w:footnote>
  <w:footnote w:id="27">
    <w:p w:rsidR="00010D35" w:rsidRDefault="009E6C92">
      <w:pPr>
        <w:pStyle w:val="FootnoteText"/>
        <w:jc w:val="both"/>
      </w:pPr>
      <w:r>
        <w:rPr>
          <w:rStyle w:val="FootnoteReference"/>
        </w:rPr>
        <w:footnoteRef/>
      </w:r>
      <w:r>
        <w:t xml:space="preserve"> See General Monograph of the Region of Dakhla-Oued ed </w:t>
      </w:r>
      <w:r>
        <w:t>Dahab, produced by the Directorate-General for Local Authorities of the Moroccan Ministry of the Interior – 2015, pp. 25-26.</w:t>
      </w:r>
    </w:p>
  </w:footnote>
  <w:footnote w:id="28">
    <w:p w:rsidR="00010D35" w:rsidRDefault="009E6C92">
      <w:pPr>
        <w:pStyle w:val="FootnoteText"/>
      </w:pPr>
      <w:r>
        <w:rPr>
          <w:rStyle w:val="FootnoteReference"/>
        </w:rPr>
        <w:footnoteRef/>
      </w:r>
      <w:hyperlink r:id="rId9">
        <w:r>
          <w:rPr>
            <w:rStyle w:val="Hyperlink"/>
          </w:rPr>
          <w:t>http://www.cese</w:t>
        </w:r>
        <w:r>
          <w:rPr>
            <w:rStyle w:val="Hyperlink"/>
          </w:rPr>
          <w:t>.ma/Documents/PDF/Web%20Rapport%20Effectivite%20des%20droits%20VF%2011042013.pdf</w:t>
        </w:r>
      </w:hyperlink>
      <w:r>
        <w:rPr>
          <w:rStyle w:val="Hyperlink"/>
        </w:rPr>
        <w:t xml:space="preserve"> (viewed on 23/4/2018)</w:t>
      </w:r>
    </w:p>
  </w:footnote>
  <w:footnote w:id="29">
    <w:p w:rsidR="00010D35" w:rsidRDefault="009E6C92">
      <w:pPr>
        <w:pStyle w:val="FootnoteText"/>
        <w:jc w:val="both"/>
      </w:pPr>
      <w:r>
        <w:rPr>
          <w:rStyle w:val="FootnoteReference"/>
        </w:rPr>
        <w:footnoteRef/>
      </w:r>
      <w:r>
        <w:t xml:space="preserve"> Products sufficiently processed from originating material are regarded as being of preferential origin under Protocol 4 of the Association Agreement.</w:t>
      </w:r>
    </w:p>
  </w:footnote>
  <w:footnote w:id="30">
    <w:p w:rsidR="00010D35" w:rsidRDefault="009E6C92">
      <w:pPr>
        <w:pStyle w:val="FootnoteText"/>
      </w:pPr>
      <w:r>
        <w:rPr>
          <w:rStyle w:val="FootnoteReference"/>
        </w:rPr>
        <w:footnoteRef/>
      </w:r>
      <w:r>
        <w:t xml:space="preserve"> In 2012, the territory provided 78 % of catches in the combined area of Morocco and Western Sahara in terms of volume and 79 % in terms of value.</w:t>
      </w:r>
    </w:p>
  </w:footnote>
  <w:footnote w:id="31">
    <w:p w:rsidR="00010D35" w:rsidRDefault="009E6C92">
      <w:pPr>
        <w:pStyle w:val="FootnoteText"/>
      </w:pPr>
      <w:r>
        <w:rPr>
          <w:rStyle w:val="FootnoteReference"/>
        </w:rPr>
        <w:footnoteRef/>
      </w:r>
      <w:r>
        <w:t xml:space="preserve">  See Economic, Social and Environmental Council report: New Development Model for the Southern Provinces – </w:t>
      </w:r>
      <w:r>
        <w:t xml:space="preserve">October 2013, p. 44. </w:t>
      </w:r>
    </w:p>
    <w:p w:rsidR="00010D35" w:rsidRDefault="009E6C92">
      <w:pPr>
        <w:pStyle w:val="FootnoteText"/>
      </w:pPr>
      <w:hyperlink r:id="rId10">
        <w:r>
          <w:rPr>
            <w:rStyle w:val="Hyperlink"/>
          </w:rPr>
          <w:t>http://www.ces.ma/Documents/PDF/Web-Rapport-NMDPSR-FR.pdf</w:t>
        </w:r>
      </w:hyperlink>
      <w:r>
        <w:t xml:space="preserve"> (viewed on 23/4/2018)</w:t>
      </w:r>
    </w:p>
  </w:footnote>
  <w:footnote w:id="32">
    <w:p w:rsidR="00010D35" w:rsidRDefault="009E6C92">
      <w:pPr>
        <w:pStyle w:val="FootnoteText"/>
        <w:jc w:val="both"/>
      </w:pPr>
      <w:r>
        <w:rPr>
          <w:rStyle w:val="FootnoteReference"/>
        </w:rPr>
        <w:footnoteRef/>
      </w:r>
      <w:r>
        <w:t xml:space="preserve"> The fishery products included here are those mentioned in Chapter 3 of the Tariff Nomenclature (fish and crustaceans, molluscs and other aquatic invertebrates) and under headings 1504 (fats and oils and their fractions, of fish or marine mammals, whether </w:t>
      </w:r>
      <w:r>
        <w:t>or not refined, but not chemically modified), 1603 (extracts and juices of meat, fish or crustaceans, molluscs or other aquatic invertebrates), 1604 (prepared or preserved fish; caviar and caviar substitutes prepared from fish eggs) and 2301 (flours, meals</w:t>
      </w:r>
      <w:r>
        <w:t xml:space="preserve"> and pellets, of meat or meat offal, of fish or of crustaceans, molluscs or other aquatic invertebrates, unfit for human consumption; greaves).</w:t>
      </w:r>
    </w:p>
  </w:footnote>
  <w:footnote w:id="33">
    <w:p w:rsidR="00010D35" w:rsidRDefault="009E6C92">
      <w:pPr>
        <w:pStyle w:val="FootnoteText"/>
        <w:jc w:val="both"/>
      </w:pPr>
      <w:r>
        <w:rPr>
          <w:rStyle w:val="FootnoteReference"/>
        </w:rPr>
        <w:footnoteRef/>
      </w:r>
      <w:r>
        <w:t xml:space="preserve"> All these imports entered the EU with tariff preferences (zero duty) under the rules on origin in Protocol 4 o</w:t>
      </w:r>
      <w:r>
        <w:t>f the EU-Morocco Association Agreement.</w:t>
      </w:r>
    </w:p>
  </w:footnote>
  <w:footnote w:id="34">
    <w:p w:rsidR="00010D35" w:rsidRDefault="009E6C92">
      <w:pPr>
        <w:pStyle w:val="FootnoteText"/>
        <w:jc w:val="both"/>
      </w:pPr>
      <w:r>
        <w:rPr>
          <w:rStyle w:val="FootnoteReference"/>
        </w:rPr>
        <w:footnoteRef/>
      </w:r>
      <w:r>
        <w:t xml:space="preserve"> According to EU figures (estimates from Traces database and Eurostat), imports to the EU of fishery products from approved sites in Western Sahara amounted to an estimated 69 350 tonnes in 2015 and 58 436 tonnes in</w:t>
      </w:r>
      <w:r>
        <w:t xml:space="preserve"> 2016. These figures represent 30.9 % and 23.9 % respectively of the total volume of imports of fishery products from Morocco (and Western Sahara) for the years in question. Differences between these figures and Moroccan data may be due to the method of ca</w:t>
      </w:r>
      <w:r>
        <w:t>lculating exports of products from Western Sahara.</w:t>
      </w:r>
    </w:p>
  </w:footnote>
  <w:footnote w:id="35">
    <w:p w:rsidR="00010D35" w:rsidRDefault="009E6C92">
      <w:pPr>
        <w:pStyle w:val="FootnoteText"/>
        <w:jc w:val="both"/>
      </w:pPr>
      <w:r>
        <w:rPr>
          <w:rStyle w:val="FootnoteReference"/>
        </w:rPr>
        <w:footnoteRef/>
      </w:r>
      <w:r>
        <w:t xml:space="preserve"> According to Commission estimates, imports from Western Sahara amounted to 21.2 % of the total value of imports from Morocco and Western Sahara in 2015, and 10.6 % in 2016: imports of fishery products fr</w:t>
      </w:r>
      <w:r>
        <w:t>om Western Sahara to the EU amounted to EUR 215 million in 2015 and EUR 122 million in 2016 (corresponding official Eurostat figures for total exports from Morocco and Western Sahara amounted to EUR 1.01 billion in 2015 and EUR 1.14 billion in 2016). Accor</w:t>
      </w:r>
      <w:r>
        <w:t xml:space="preserve">ding to Morocco, exports of fishery products from Western Sahara amounted to EUR 121 million in 2015 and EUR 134 million in 2016. These differences may be due to the fact that the EU figures refer to imports to the EU and are expressed in EUR, while those </w:t>
      </w:r>
      <w:r>
        <w:t>from Morocco refer to exports and are expressed in MAD converted to EUR.</w:t>
      </w:r>
    </w:p>
  </w:footnote>
  <w:footnote w:id="36">
    <w:p w:rsidR="00010D35" w:rsidRDefault="009E6C92">
      <w:pPr>
        <w:pStyle w:val="FootnoteText"/>
      </w:pPr>
      <w:r>
        <w:rPr>
          <w:rStyle w:val="FootnoteReference"/>
        </w:rPr>
        <w:footnoteRef/>
      </w:r>
      <w:r>
        <w:t xml:space="preserve"> </w:t>
      </w:r>
      <w:hyperlink r:id="rId11">
        <w:r>
          <w:rPr>
            <w:rStyle w:val="Hyperlink"/>
          </w:rPr>
          <w:t>https://webgate.ec.europa.eu/sanco/traces/output/MA/FFP_MA_en.pdf</w:t>
        </w:r>
      </w:hyperlink>
    </w:p>
  </w:footnote>
  <w:footnote w:id="37">
    <w:p w:rsidR="00010D35" w:rsidRDefault="009E6C92">
      <w:pPr>
        <w:pStyle w:val="FootnoteText"/>
      </w:pPr>
      <w:r>
        <w:rPr>
          <w:rStyle w:val="FootnoteReference"/>
        </w:rPr>
        <w:footnoteRef/>
      </w:r>
      <w:r>
        <w:t xml:space="preserve"> Includes jobs mentioned in t</w:t>
      </w:r>
      <w:r>
        <w:t>he preceding table.</w:t>
      </w:r>
    </w:p>
  </w:footnote>
  <w:footnote w:id="38">
    <w:p w:rsidR="00010D35" w:rsidRDefault="009E6C92">
      <w:pPr>
        <w:pStyle w:val="FootnoteText"/>
        <w:jc w:val="both"/>
      </w:pPr>
      <w:r>
        <w:rPr>
          <w:rStyle w:val="FootnoteReference"/>
        </w:rPr>
        <w:footnoteRef/>
      </w:r>
      <w:r>
        <w:t xml:space="preserve"> Under current legislation and the terms of the EU-Morocco Association Agreement, fish processed in Morocco receive preferential treatment in the EU as long as they have been caught outside Western Saharan territorial waters (12 miles)</w:t>
      </w:r>
      <w:r>
        <w:t xml:space="preserve"> by a vessel of either party.</w:t>
      </w:r>
    </w:p>
  </w:footnote>
  <w:footnote w:id="39">
    <w:p w:rsidR="00010D35" w:rsidRDefault="009E6C92">
      <w:pPr>
        <w:pStyle w:val="FootnoteText"/>
      </w:pPr>
      <w:r>
        <w:rPr>
          <w:rStyle w:val="FootnoteReference"/>
        </w:rPr>
        <w:footnoteRef/>
      </w:r>
      <w:r>
        <w:t xml:space="preserve"> </w:t>
      </w:r>
      <w:hyperlink r:id="rId12">
        <w:r>
          <w:rPr>
            <w:rStyle w:val="Hyperlink"/>
          </w:rPr>
          <w:t>http://www.wsrw.org/a214x2342</w:t>
        </w:r>
      </w:hyperlink>
      <w:r>
        <w:rPr>
          <w:rStyle w:val="Hyperlink"/>
        </w:rPr>
        <w:t xml:space="preserve"> (viewed on 23/4/2018).</w:t>
      </w:r>
    </w:p>
  </w:footnote>
  <w:footnote w:id="40">
    <w:p w:rsidR="00010D35" w:rsidRDefault="009E6C92">
      <w:pPr>
        <w:pStyle w:val="FootnoteText"/>
      </w:pPr>
      <w:r>
        <w:rPr>
          <w:rStyle w:val="FootnoteReference"/>
        </w:rPr>
        <w:footnoteRef/>
      </w:r>
      <w:r>
        <w:t xml:space="preserve"> </w:t>
      </w:r>
      <w:hyperlink r:id="rId13">
        <w:r>
          <w:rPr>
            <w:rStyle w:val="Hyperlink"/>
          </w:rPr>
          <w:t>http://www.wsrw.org/a204x2048</w:t>
        </w:r>
      </w:hyperlink>
      <w:r>
        <w:rPr>
          <w:rStyle w:val="Hyperlink"/>
        </w:rPr>
        <w:t xml:space="preserve"> (viewed on 23/4/2018).</w:t>
      </w:r>
    </w:p>
  </w:footnote>
  <w:footnote w:id="41">
    <w:p w:rsidR="00010D35" w:rsidRDefault="009E6C92">
      <w:pPr>
        <w:pStyle w:val="FootnoteText"/>
      </w:pPr>
      <w:r>
        <w:rPr>
          <w:rStyle w:val="FootnoteReference"/>
        </w:rPr>
        <w:footnoteRef/>
      </w:r>
      <w:r>
        <w:t xml:space="preserve"> </w:t>
      </w:r>
      <w:hyperlink r:id="rId14">
        <w:r>
          <w:rPr>
            <w:rStyle w:val="Hyperlink"/>
          </w:rPr>
          <w:t>http://www.wsrw.org/a217x2479</w:t>
        </w:r>
      </w:hyperlink>
      <w:r>
        <w:rPr>
          <w:rStyle w:val="Hyperlink"/>
        </w:rPr>
        <w:t xml:space="preserve"> (viewed on 23/4/2018). Those demonstrations seem to have mainly involved Russian vessels.</w:t>
      </w:r>
    </w:p>
  </w:footnote>
  <w:footnote w:id="42">
    <w:p w:rsidR="00010D35" w:rsidRDefault="009E6C92">
      <w:pPr>
        <w:pStyle w:val="FootnoteText"/>
      </w:pPr>
      <w:r>
        <w:rPr>
          <w:rStyle w:val="FootnoteReference"/>
        </w:rPr>
        <w:footnoteRef/>
      </w:r>
      <w:r>
        <w:t xml:space="preserve"> </w:t>
      </w:r>
      <w:hyperlink r:id="rId15">
        <w:r>
          <w:rPr>
            <w:rStyle w:val="Hyperlink"/>
          </w:rPr>
          <w:t>https://minerals.usgs.gov/minerals/pubs/commodity/phosphate_rock/mcs-2017-phosp.pdf</w:t>
        </w:r>
      </w:hyperlink>
      <w:r>
        <w:rPr>
          <w:rStyle w:val="Hyperlink"/>
        </w:rPr>
        <w:t xml:space="preserve"> (viewed on 23/4/2018).</w:t>
      </w:r>
    </w:p>
  </w:footnote>
  <w:footnote w:id="43">
    <w:p w:rsidR="00010D35" w:rsidRDefault="009E6C92">
      <w:pPr>
        <w:pStyle w:val="FootnoteText"/>
      </w:pPr>
      <w:r>
        <w:rPr>
          <w:rStyle w:val="FootnoteReference"/>
        </w:rPr>
        <w:footnoteRef/>
      </w:r>
      <w:r>
        <w:t xml:space="preserve"> </w:t>
      </w:r>
      <w:hyperlink r:id="rId16">
        <w:r>
          <w:rPr>
            <w:rStyle w:val="Hyperlink"/>
          </w:rPr>
          <w:t>htt</w:t>
        </w:r>
        <w:r>
          <w:rPr>
            <w:rStyle w:val="Hyperlink"/>
          </w:rPr>
          <w:t>p://www.ocpgroup.ma/</w:t>
        </w:r>
      </w:hyperlink>
      <w:r>
        <w:t xml:space="preserve"> </w:t>
      </w:r>
    </w:p>
  </w:footnote>
  <w:footnote w:id="44">
    <w:p w:rsidR="00010D35" w:rsidRDefault="009E6C92">
      <w:pPr>
        <w:pStyle w:val="FootnoteText"/>
      </w:pPr>
      <w:r>
        <w:rPr>
          <w:rStyle w:val="FootnoteReference"/>
        </w:rPr>
        <w:footnoteRef/>
      </w:r>
      <w:r>
        <w:t xml:space="preserve"> The OCP site in Phosboucraa has a website: </w:t>
      </w:r>
      <w:hyperlink r:id="rId17">
        <w:r>
          <w:rPr>
            <w:rStyle w:val="Hyperlink"/>
          </w:rPr>
          <w:t>http://www.phosboucraa.ma/</w:t>
        </w:r>
      </w:hyperlink>
      <w:r>
        <w:t xml:space="preserve"> (viewed on 23/4/2018)</w:t>
      </w:r>
    </w:p>
  </w:footnote>
  <w:footnote w:id="45">
    <w:p w:rsidR="00010D35" w:rsidRDefault="009E6C92">
      <w:pPr>
        <w:pStyle w:val="FootnoteText"/>
      </w:pPr>
      <w:r>
        <w:rPr>
          <w:rStyle w:val="FootnoteReference"/>
        </w:rPr>
        <w:footnoteRef/>
      </w:r>
      <w:r>
        <w:t xml:space="preserve"> According to Western Sahara Resource Watch, phosphate production at the Boucraa site amounts</w:t>
      </w:r>
      <w:r>
        <w:t xml:space="preserve"> to some 3 million tonnes per year, accounting for 10 % of total Moroccan production. </w:t>
      </w:r>
      <w:hyperlink r:id="rId18">
        <w:r>
          <w:rPr>
            <w:rStyle w:val="Hyperlink"/>
          </w:rPr>
          <w:t>http://www.wsrw.org/a117x521</w:t>
        </w:r>
      </w:hyperlink>
      <w:r>
        <w:t xml:space="preserve"> (viewed on 23/4/2018)</w:t>
      </w:r>
    </w:p>
  </w:footnote>
  <w:footnote w:id="46">
    <w:p w:rsidR="00010D35" w:rsidRDefault="009E6C92">
      <w:pPr>
        <w:pStyle w:val="FootnoteText"/>
      </w:pPr>
      <w:r>
        <w:rPr>
          <w:rStyle w:val="FootnoteReference"/>
        </w:rPr>
        <w:footnoteRef/>
      </w:r>
      <w:r>
        <w:t xml:space="preserve"> </w:t>
      </w:r>
      <w:hyperlink r:id="rId19">
        <w:r>
          <w:rPr>
            <w:rStyle w:val="Hyperlink"/>
          </w:rPr>
          <w:t>http</w:t>
        </w:r>
        <w:r>
          <w:rPr>
            <w:rStyle w:val="Hyperlink"/>
          </w:rPr>
          <w:t>://www.phosboucraa.ma/company/key-figures</w:t>
        </w:r>
      </w:hyperlink>
      <w:r>
        <w:t xml:space="preserve"> (viewed on 23/4/2018).</w:t>
      </w:r>
    </w:p>
  </w:footnote>
  <w:footnote w:id="47">
    <w:p w:rsidR="00010D35" w:rsidRDefault="009E6C92">
      <w:pPr>
        <w:pStyle w:val="FootnoteText"/>
        <w:jc w:val="both"/>
      </w:pPr>
      <w:r>
        <w:rPr>
          <w:rStyle w:val="FootnoteReference"/>
        </w:rPr>
        <w:footnoteRef/>
      </w:r>
      <w:r>
        <w:t xml:space="preserve"> Relevant figures are sometimes contradictory: see report by French Association of Friendship and Solidarity with the Peoples of Africa on challenges to contractual rights of Phosboucrâa wor</w:t>
      </w:r>
      <w:r>
        <w:t>kers in Western Sahara:</w:t>
      </w:r>
    </w:p>
    <w:p w:rsidR="00010D35" w:rsidRDefault="009E6C92">
      <w:pPr>
        <w:pStyle w:val="FootnoteText"/>
      </w:pPr>
      <w:hyperlink r:id="rId20">
        <w:r>
          <w:rPr>
            <w:rStyle w:val="Hyperlink"/>
          </w:rPr>
          <w:t>http://www.afaspa.com/IMG/pdf/RAPPORT_PHOSBOUCRAA.pdf</w:t>
        </w:r>
      </w:hyperlink>
      <w:r>
        <w:t xml:space="preserve"> (viewed on 14/5/2018)</w:t>
      </w:r>
    </w:p>
  </w:footnote>
  <w:footnote w:id="48">
    <w:p w:rsidR="00010D35" w:rsidRDefault="009E6C92">
      <w:pPr>
        <w:pStyle w:val="FootnoteText"/>
      </w:pPr>
      <w:r>
        <w:rPr>
          <w:rStyle w:val="FootnoteReference"/>
        </w:rPr>
        <w:footnoteRef/>
      </w:r>
      <w:r>
        <w:t xml:space="preserve"> </w:t>
      </w:r>
      <w:hyperlink r:id="rId21">
        <w:r>
          <w:rPr>
            <w:rStyle w:val="Hyperlink"/>
          </w:rPr>
          <w:t>http://www.wsrw.org/a112x576</w:t>
        </w:r>
      </w:hyperlink>
      <w:r>
        <w:rPr>
          <w:rStyle w:val="Hyperlink"/>
        </w:rPr>
        <w:t xml:space="preserve"> (vie</w:t>
      </w:r>
      <w:r>
        <w:rPr>
          <w:rStyle w:val="Hyperlink"/>
        </w:rPr>
        <w:t>wed on 23/4/2018).</w:t>
      </w:r>
    </w:p>
  </w:footnote>
  <w:footnote w:id="49">
    <w:p w:rsidR="00010D35" w:rsidRDefault="009E6C92">
      <w:pPr>
        <w:pStyle w:val="FootnoteText"/>
      </w:pPr>
      <w:r>
        <w:rPr>
          <w:rStyle w:val="FootnoteReference"/>
        </w:rPr>
        <w:footnoteRef/>
      </w:r>
      <w:r>
        <w:t xml:space="preserve"> See: </w:t>
      </w:r>
      <w:hyperlink r:id="rId22">
        <w:r>
          <w:rPr>
            <w:rStyle w:val="Hyperlink"/>
          </w:rPr>
          <w:t>https://www.amnesty.org/fr/countries/middle-east-and-north-africa/morocco/report-morocco/</w:t>
        </w:r>
      </w:hyperlink>
      <w:r>
        <w:t xml:space="preserve"> (viewed o</w:t>
      </w:r>
      <w:r>
        <w:t>n 14 May 2018)</w:t>
      </w:r>
    </w:p>
  </w:footnote>
  <w:footnote w:id="50">
    <w:p w:rsidR="00010D35" w:rsidRDefault="009E6C92">
      <w:pPr>
        <w:pStyle w:val="FootnoteText"/>
      </w:pPr>
      <w:r>
        <w:rPr>
          <w:rStyle w:val="FootnoteReference"/>
        </w:rPr>
        <w:footnoteRef/>
      </w:r>
      <w:r>
        <w:t xml:space="preserve"> Superphosphates are mineral phosphate fertilisers.</w:t>
      </w:r>
    </w:p>
  </w:footnote>
  <w:footnote w:id="51">
    <w:p w:rsidR="00010D35" w:rsidRDefault="009E6C92">
      <w:pPr>
        <w:pStyle w:val="FootnoteText"/>
        <w:jc w:val="both"/>
      </w:pPr>
      <w:r>
        <w:rPr>
          <w:rStyle w:val="FootnoteReference"/>
        </w:rPr>
        <w:footnoteRef/>
      </w:r>
      <w:r>
        <w:t xml:space="preserve"> These are largely ‘natural calcium phosphates, natural aluminium calcium phosphates and phosphatic chalk’, coming under heading 25.10 in the Harmonised Commodity Description and Coding S</w:t>
      </w:r>
      <w:r>
        <w:t xml:space="preserve">ystem (the Harmonised System).  </w:t>
      </w:r>
    </w:p>
  </w:footnote>
  <w:footnote w:id="52">
    <w:p w:rsidR="00010D35" w:rsidRDefault="009E6C92">
      <w:pPr>
        <w:pStyle w:val="FootnoteText"/>
        <w:jc w:val="both"/>
      </w:pPr>
      <w:r>
        <w:rPr>
          <w:rStyle w:val="FootnoteReference"/>
        </w:rPr>
        <w:footnoteRef/>
      </w:r>
      <w:r>
        <w:t xml:space="preserve"> They come under heading 28.35 in the Harmonised System. </w:t>
      </w:r>
    </w:p>
  </w:footnote>
  <w:footnote w:id="53">
    <w:p w:rsidR="00010D35" w:rsidRDefault="009E6C92">
      <w:pPr>
        <w:pStyle w:val="FootnoteText"/>
        <w:jc w:val="both"/>
      </w:pPr>
      <w:r>
        <w:rPr>
          <w:rStyle w:val="FootnoteReference"/>
        </w:rPr>
        <w:footnoteRef/>
      </w:r>
      <w:r>
        <w:t xml:space="preserve"> Contradictory observations by the NGO Western Sahara Resource Watch (2014 report ‘P for Plunder’ </w:t>
      </w:r>
      <w:hyperlink r:id="rId23">
        <w:r>
          <w:rPr>
            <w:rStyle w:val="Hyperlink"/>
          </w:rPr>
          <w:t>http://www.wsrw.</w:t>
        </w:r>
        <w:r>
          <w:rPr>
            <w:rStyle w:val="Hyperlink"/>
          </w:rPr>
          <w:t>org/a105x3185</w:t>
        </w:r>
      </w:hyperlink>
      <w:r>
        <w:t>) mention some 400 000 tonnes of exports to Lithuania in 2014 (company AB LIFOSA). As available EU statistics show no similar imports, it is unlikely that the commodity in question is classified as a phosphate under HS 31.03 or is for the EU m</w:t>
      </w:r>
      <w:r>
        <w:t>arket in that form; it is also possible that the commodity was only in transit to a destination outside the EU. In any event, a more recent report by Western Sahara Resource Watch no longer mentions any exports to the EU (</w:t>
      </w:r>
      <w:hyperlink r:id="rId24">
        <w:r>
          <w:rPr>
            <w:rStyle w:val="Hyperlink"/>
          </w:rPr>
          <w:t>http://www.wsrw.org/a111x4160</w:t>
        </w:r>
      </w:hyperlink>
      <w:r>
        <w:t xml:space="preserve">, dated 24 April 2018 and viewed on 13/5/2018). </w:t>
      </w:r>
    </w:p>
  </w:footnote>
  <w:footnote w:id="54">
    <w:p w:rsidR="00010D35" w:rsidRDefault="009E6C92">
      <w:pPr>
        <w:pStyle w:val="FootnoteText"/>
        <w:jc w:val="both"/>
      </w:pPr>
      <w:r>
        <w:rPr>
          <w:rStyle w:val="FootnoteReference"/>
        </w:rPr>
        <w:footnoteRef/>
      </w:r>
      <w:r>
        <w:t xml:space="preserve"> Statistics on EU-Morocco trade (in particular data from the Moroccan Exchange Office) include: natural and chemical fertilisers, phosphoric acid and phosphates, </w:t>
      </w:r>
      <w:r>
        <w:t xml:space="preserve">and in particular the following tariff headings: </w:t>
      </w:r>
    </w:p>
    <w:p w:rsidR="00010D35" w:rsidRDefault="009E6C92">
      <w:pPr>
        <w:pStyle w:val="FootnoteText"/>
        <w:jc w:val="both"/>
      </w:pPr>
      <w:r>
        <w:t>- Phosphoric acid – HS 29.19</w:t>
      </w:r>
    </w:p>
    <w:p w:rsidR="00010D35" w:rsidRDefault="009E6C92">
      <w:pPr>
        <w:pStyle w:val="FootnoteText"/>
        <w:jc w:val="both"/>
      </w:pPr>
      <w:r>
        <w:t xml:space="preserve">- Mineral or chemical phosphate fertilisers (including superphosphates) – HS 31.03 </w:t>
      </w:r>
    </w:p>
    <w:p w:rsidR="00010D35" w:rsidRDefault="009E6C92">
      <w:pPr>
        <w:pStyle w:val="FootnoteText"/>
        <w:jc w:val="both"/>
      </w:pPr>
      <w:r>
        <w:t>- Mineral or chemical fertilisers containing two or three of the fertilising elements nitroge</w:t>
      </w:r>
      <w:r>
        <w:t>n, phosphorus and potassium; other fertilisers – HS 31.05.</w:t>
      </w:r>
    </w:p>
  </w:footnote>
  <w:footnote w:id="55">
    <w:p w:rsidR="00010D35" w:rsidRDefault="009E6C92">
      <w:pPr>
        <w:pStyle w:val="FootnoteText"/>
        <w:jc w:val="both"/>
      </w:pPr>
      <w:r>
        <w:rPr>
          <w:rStyle w:val="FootnoteReference"/>
        </w:rPr>
        <w:footnoteRef/>
      </w:r>
      <w:r>
        <w:t xml:space="preserve"> The investment is planned in several stages. </w:t>
      </w:r>
      <w:hyperlink r:id="rId25">
        <w:r>
          <w:rPr>
            <w:rStyle w:val="Hyperlink"/>
          </w:rPr>
          <w:t>http://www.ocpgroup.ma/sites/default/files/filiales/document/presentation_phosboucraa_fr.pdf</w:t>
        </w:r>
      </w:hyperlink>
      <w:r>
        <w:t xml:space="preserve"> (viewed on 23/4/2018).</w:t>
      </w:r>
    </w:p>
  </w:footnote>
  <w:footnote w:id="56">
    <w:p w:rsidR="00010D35" w:rsidRDefault="009E6C92">
      <w:pPr>
        <w:pStyle w:val="FootnoteText"/>
      </w:pPr>
      <w:r>
        <w:rPr>
          <w:rStyle w:val="FootnoteReference"/>
        </w:rPr>
        <w:footnoteRef/>
      </w:r>
      <w:r>
        <w:t xml:space="preserve"> </w:t>
      </w:r>
      <w:r>
        <w:rPr>
          <w:rStyle w:val="None"/>
        </w:rPr>
        <w:t>Laâyoune Sakia el Hamra, Dakhla Oued Eddahab, Souss-Massa and L'Oriental.</w:t>
      </w:r>
    </w:p>
  </w:footnote>
  <w:footnote w:id="57">
    <w:p w:rsidR="00010D35" w:rsidRDefault="009E6C92">
      <w:pPr>
        <w:pStyle w:val="FootnoteText"/>
        <w:jc w:val="both"/>
      </w:pPr>
      <w:r>
        <w:rPr>
          <w:rStyle w:val="FootnoteReference"/>
        </w:rPr>
        <w:footnoteRef/>
      </w:r>
      <w:r>
        <w:t xml:space="preserve"> </w:t>
      </w:r>
      <w:r>
        <w:rPr>
          <w:rStyle w:val="None"/>
        </w:rPr>
        <w:t xml:space="preserve">57.66 % turnout in the region of Laâyoune and 52.14 % in the </w:t>
      </w:r>
      <w:r>
        <w:rPr>
          <w:rStyle w:val="None"/>
        </w:rPr>
        <w:t>region of Dakhla, higher than the national average.</w:t>
      </w:r>
    </w:p>
  </w:footnote>
  <w:footnote w:id="58">
    <w:p w:rsidR="00010D35" w:rsidRDefault="009E6C92">
      <w:pPr>
        <w:pStyle w:val="FootnoteText"/>
      </w:pPr>
      <w:r>
        <w:rPr>
          <w:rStyle w:val="FootnoteReference"/>
        </w:rPr>
        <w:footnoteRef/>
      </w:r>
      <w:r>
        <w:t xml:space="preserve"> </w:t>
      </w:r>
      <w:r>
        <w:rPr>
          <w:rStyle w:val="None"/>
        </w:rPr>
        <w:t>Sahrawi Association of Victims of Human Rights Violations, Al Ghad Human Rights Association, Western Sahara Campaign, Western Sahara Resource Watch, Independent Diplomat.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92" w:rsidRPr="009E6C92" w:rsidRDefault="009E6C92" w:rsidP="009E6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92" w:rsidRPr="009E6C92" w:rsidRDefault="009E6C92" w:rsidP="009E6C9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92" w:rsidRPr="009E6C92" w:rsidRDefault="009E6C92" w:rsidP="009E6C9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35" w:rsidRDefault="00010D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35" w:rsidRDefault="00010D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D35" w:rsidRDefault="00010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FB"/>
    <w:multiLevelType w:val="hybridMultilevel"/>
    <w:tmpl w:val="8A72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70146"/>
    <w:multiLevelType w:val="hybridMultilevel"/>
    <w:tmpl w:val="818A0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E71DE"/>
    <w:multiLevelType w:val="hybridMultilevel"/>
    <w:tmpl w:val="B7A83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476A1"/>
    <w:multiLevelType w:val="hybridMultilevel"/>
    <w:tmpl w:val="B5D0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B6D5C"/>
    <w:multiLevelType w:val="hybridMultilevel"/>
    <w:tmpl w:val="C820FF54"/>
    <w:lvl w:ilvl="0" w:tplc="6B9257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45008"/>
    <w:multiLevelType w:val="hybridMultilevel"/>
    <w:tmpl w:val="E150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512490"/>
    <w:multiLevelType w:val="hybridMultilevel"/>
    <w:tmpl w:val="EF58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9C35D5"/>
    <w:multiLevelType w:val="hybridMultilevel"/>
    <w:tmpl w:val="E9C27948"/>
    <w:numStyleLink w:val="ImportedStyle8"/>
  </w:abstractNum>
  <w:abstractNum w:abstractNumId="8">
    <w:nsid w:val="23012159"/>
    <w:multiLevelType w:val="multilevel"/>
    <w:tmpl w:val="FBF0E4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24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4D00A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661C9"/>
    <w:multiLevelType w:val="hybridMultilevel"/>
    <w:tmpl w:val="457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1F5143"/>
    <w:multiLevelType w:val="hybridMultilevel"/>
    <w:tmpl w:val="46A0D1F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A718F2"/>
    <w:multiLevelType w:val="hybridMultilevel"/>
    <w:tmpl w:val="546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6736B"/>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A876B7"/>
    <w:multiLevelType w:val="multilevel"/>
    <w:tmpl w:val="35A08154"/>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340" w:hanging="1100"/>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1257" w:hanging="1257"/>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414" w:hanging="1414"/>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ind w:left="1571" w:hanging="1571"/>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1728" w:hanging="172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5">
    <w:nsid w:val="2FD52A1E"/>
    <w:multiLevelType w:val="multilevel"/>
    <w:tmpl w:val="4B3CB5A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537EEF"/>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FC3738"/>
    <w:multiLevelType w:val="hybridMultilevel"/>
    <w:tmpl w:val="883E3DDE"/>
    <w:lvl w:ilvl="0" w:tplc="325C7DBE">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50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5D0A9F"/>
    <w:multiLevelType w:val="hybridMultilevel"/>
    <w:tmpl w:val="71E83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D30207C"/>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9F326F5"/>
    <w:multiLevelType w:val="multilevel"/>
    <w:tmpl w:val="98404342"/>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IV%2.%3."/>
      <w:lvlJc w:val="left"/>
      <w:pPr>
        <w:ind w:left="1080" w:hanging="720"/>
      </w:pPr>
      <w:rPr>
        <w:rFonts w:hint="default"/>
      </w:rPr>
    </w:lvl>
    <w:lvl w:ilvl="3">
      <w:start w:val="1"/>
      <w:numFmt w:val="decimal"/>
      <w:isLgl/>
      <w:lvlText w:val="IV%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1001D0"/>
    <w:multiLevelType w:val="hybridMultilevel"/>
    <w:tmpl w:val="313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3F1FDE"/>
    <w:multiLevelType w:val="hybridMultilevel"/>
    <w:tmpl w:val="C39A64E2"/>
    <w:numStyleLink w:val="ImportedStyle3"/>
  </w:abstractNum>
  <w:abstractNum w:abstractNumId="24">
    <w:nsid w:val="54F73E59"/>
    <w:multiLevelType w:val="hybridMultilevel"/>
    <w:tmpl w:val="4FD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B326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5E2294"/>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8017C0"/>
    <w:multiLevelType w:val="multilevel"/>
    <w:tmpl w:val="35A08154"/>
    <w:numStyleLink w:val="ImportedStyle1"/>
  </w:abstractNum>
  <w:abstractNum w:abstractNumId="28">
    <w:nsid w:val="5DD756F0"/>
    <w:multiLevelType w:val="hybridMultilevel"/>
    <w:tmpl w:val="D91CA15C"/>
    <w:lvl w:ilvl="0" w:tplc="08090001">
      <w:start w:val="1"/>
      <w:numFmt w:val="bullet"/>
      <w:lvlText w:val=""/>
      <w:lvlJc w:val="left"/>
      <w:pPr>
        <w:ind w:left="720" w:hanging="360"/>
      </w:pPr>
      <w:rPr>
        <w:rFonts w:ascii="Symbol" w:hAnsi="Symbol" w:hint="default"/>
      </w:rPr>
    </w:lvl>
    <w:lvl w:ilvl="1" w:tplc="C04EF226">
      <w:start w:val="13"/>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56393A"/>
    <w:multiLevelType w:val="hybridMultilevel"/>
    <w:tmpl w:val="42A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025AF3"/>
    <w:multiLevelType w:val="hybridMultilevel"/>
    <w:tmpl w:val="C39A64E2"/>
    <w:styleLink w:val="ImportedStyle3"/>
    <w:lvl w:ilvl="0" w:tplc="BBCC1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A4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A75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EE5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62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0FB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27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B46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5332D14"/>
    <w:multiLevelType w:val="hybridMultilevel"/>
    <w:tmpl w:val="01D0E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3600D7"/>
    <w:multiLevelType w:val="hybridMultilevel"/>
    <w:tmpl w:val="28C68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C11DCE"/>
    <w:multiLevelType w:val="hybridMultilevel"/>
    <w:tmpl w:val="311A3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C665A08"/>
    <w:multiLevelType w:val="hybridMultilevel"/>
    <w:tmpl w:val="5C9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7266C7"/>
    <w:multiLevelType w:val="hybridMultilevel"/>
    <w:tmpl w:val="94B67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052E8B"/>
    <w:multiLevelType w:val="hybridMultilevel"/>
    <w:tmpl w:val="95627122"/>
    <w:lvl w:ilvl="0" w:tplc="6B9257E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2BB3B3A"/>
    <w:multiLevelType w:val="hybridMultilevel"/>
    <w:tmpl w:val="F848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283329"/>
    <w:multiLevelType w:val="hybridMultilevel"/>
    <w:tmpl w:val="6652D64C"/>
    <w:lvl w:ilvl="0" w:tplc="69EAAF1C">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6A2F2C"/>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7B5837"/>
    <w:multiLevelType w:val="hybridMultilevel"/>
    <w:tmpl w:val="E9C27948"/>
    <w:styleLink w:val="ImportedStyle8"/>
    <w:lvl w:ilvl="0" w:tplc="42D207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A21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C0D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9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AAB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A4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289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AA0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23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34"/>
  </w:num>
  <w:num w:numId="6">
    <w:abstractNumId w:val="38"/>
  </w:num>
  <w:num w:numId="7">
    <w:abstractNumId w:val="6"/>
  </w:num>
  <w:num w:numId="8">
    <w:abstractNumId w:val="11"/>
  </w:num>
  <w:num w:numId="9">
    <w:abstractNumId w:val="32"/>
  </w:num>
  <w:num w:numId="10">
    <w:abstractNumId w:val="29"/>
  </w:num>
  <w:num w:numId="11">
    <w:abstractNumId w:val="35"/>
  </w:num>
  <w:num w:numId="12">
    <w:abstractNumId w:val="20"/>
  </w:num>
  <w:num w:numId="13">
    <w:abstractNumId w:val="24"/>
  </w:num>
  <w:num w:numId="14">
    <w:abstractNumId w:val="31"/>
  </w:num>
  <w:num w:numId="15">
    <w:abstractNumId w:val="16"/>
  </w:num>
  <w:num w:numId="16">
    <w:abstractNumId w:val="12"/>
  </w:num>
  <w:num w:numId="17">
    <w:abstractNumId w:val="26"/>
  </w:num>
  <w:num w:numId="18">
    <w:abstractNumId w:val="17"/>
  </w:num>
  <w:num w:numId="19">
    <w:abstractNumId w:val="15"/>
  </w:num>
  <w:num w:numId="20">
    <w:abstractNumId w:val="9"/>
  </w:num>
  <w:num w:numId="21">
    <w:abstractNumId w:val="2"/>
  </w:num>
  <w:num w:numId="22">
    <w:abstractNumId w:val="18"/>
  </w:num>
  <w:num w:numId="23">
    <w:abstractNumId w:val="8"/>
  </w:num>
  <w:num w:numId="24">
    <w:abstractNumId w:val="21"/>
  </w:num>
  <w:num w:numId="25">
    <w:abstractNumId w:val="13"/>
  </w:num>
  <w:num w:numId="26">
    <w:abstractNumId w:val="3"/>
  </w:num>
  <w:num w:numId="27">
    <w:abstractNumId w:val="4"/>
  </w:num>
  <w:num w:numId="28">
    <w:abstractNumId w:val="36"/>
  </w:num>
  <w:num w:numId="29">
    <w:abstractNumId w:val="5"/>
  </w:num>
  <w:num w:numId="30">
    <w:abstractNumId w:val="37"/>
  </w:num>
  <w:num w:numId="31">
    <w:abstractNumId w:val="22"/>
  </w:num>
  <w:num w:numId="32">
    <w:abstractNumId w:val="10"/>
  </w:num>
  <w:num w:numId="33">
    <w:abstractNumId w:val="0"/>
  </w:num>
  <w:num w:numId="34">
    <w:abstractNumId w:val="28"/>
  </w:num>
  <w:num w:numId="35">
    <w:abstractNumId w:val="19"/>
  </w:num>
  <w:num w:numId="36">
    <w:abstractNumId w:val="14"/>
  </w:num>
  <w:num w:numId="37">
    <w:abstractNumId w:val="27"/>
  </w:num>
  <w:num w:numId="38">
    <w:abstractNumId w:val="27"/>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4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8"/>
  </w:num>
  <w:num w:numId="40">
    <w:abstractNumId w:val="8"/>
  </w:num>
  <w:num w:numId="41">
    <w:abstractNumId w:val="8"/>
  </w:num>
  <w:num w:numId="42">
    <w:abstractNumId w:val="30"/>
  </w:num>
  <w:num w:numId="43">
    <w:abstractNumId w:val="23"/>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_x000b_This document corrects document SWD(2018) 346 final of 11.6.2018._x000b_Concerns the English language version._x000b_On the cover page, the SWD title was omitted and has been added._x000b_The text shall read as follows:_x000b_"/>
    <w:docVar w:name="LW_COVERPAGE_EXISTS" w:val="True"/>
    <w:docVar w:name="LW_COVERPAGE_GUID" w:val="923533A8-3926-4130-BE37-95AAB6C9EAB9"/>
    <w:docVar w:name="LW_COVERPAGE_TYPE" w:val="1"/>
    <w:docVar w:name="LW_CROSSREFERENCE" w:val="{COM(2018) 481 final}"/>
    <w:docVar w:name="LW_DocType" w:val="NORMAL"/>
    <w:docVar w:name="LW_EMISSION" w:val="15.6.2018"/>
    <w:docVar w:name="LW_EMISSION_ISODATE" w:val="2018-06-15"/>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conclusion of an agreement in the form of an exchange of letters between the European Union and the Kingdom of Morocco on amending Protocols 1 and 4 of the Euro-Mediterranean Agreement establishing an association between the European Communities and their Member States, of the one part, and the Kingdom of Morocco, of the other part"/>
    <w:docVar w:name="LW_PART_NBR" w:val="1"/>
    <w:docVar w:name="LW_PART_NBR_TOTAL" w:val="1"/>
    <w:docVar w:name="LW_REF.INST.NEW" w:val="SWD"/>
    <w:docVar w:name="LW_REF.INST.NEW_ADOPTED" w:val="final/2"/>
    <w:docVar w:name="LW_REF.INST.NEW_TEXT" w:val="(2018)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eport on benefits for the people of Western Sahara and public consultation on extending tariff preferences to products from Western Sahara&lt;/FMT&gt;_x000b_"/>
    <w:docVar w:name="LW_TYPE.DOC.CP" w:val="COMMISSION STAFF WORKING DOCUMENT"/>
    <w:docVar w:name="LW_TYPEACTEPRINCIPAL.CP" w:val="Proposal for a Council decision"/>
  </w:docVars>
  <w:rsids>
    <w:rsidRoot w:val="00010D35"/>
    <w:rsid w:val="00010D35"/>
    <w:rsid w:val="009E6C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5423">
      <w:bodyDiv w:val="1"/>
      <w:marLeft w:val="0"/>
      <w:marRight w:val="0"/>
      <w:marTop w:val="0"/>
      <w:marBottom w:val="0"/>
      <w:divBdr>
        <w:top w:val="none" w:sz="0" w:space="0" w:color="auto"/>
        <w:left w:val="none" w:sz="0" w:space="0" w:color="auto"/>
        <w:bottom w:val="none" w:sz="0" w:space="0" w:color="auto"/>
        <w:right w:val="none" w:sz="0" w:space="0" w:color="auto"/>
      </w:divBdr>
    </w:div>
    <w:div w:id="719325830">
      <w:bodyDiv w:val="1"/>
      <w:marLeft w:val="0"/>
      <w:marRight w:val="0"/>
      <w:marTop w:val="0"/>
      <w:marBottom w:val="0"/>
      <w:divBdr>
        <w:top w:val="none" w:sz="0" w:space="0" w:color="auto"/>
        <w:left w:val="none" w:sz="0" w:space="0" w:color="auto"/>
        <w:bottom w:val="none" w:sz="0" w:space="0" w:color="auto"/>
        <w:right w:val="none" w:sz="0" w:space="0" w:color="auto"/>
      </w:divBdr>
    </w:div>
    <w:div w:id="1691568347">
      <w:bodyDiv w:val="1"/>
      <w:marLeft w:val="0"/>
      <w:marRight w:val="0"/>
      <w:marTop w:val="0"/>
      <w:marBottom w:val="0"/>
      <w:divBdr>
        <w:top w:val="none" w:sz="0" w:space="0" w:color="auto"/>
        <w:left w:val="none" w:sz="0" w:space="0" w:color="auto"/>
        <w:bottom w:val="none" w:sz="0" w:space="0" w:color="auto"/>
        <w:right w:val="none" w:sz="0" w:space="0" w:color="auto"/>
      </w:divBdr>
    </w:div>
    <w:div w:id="20289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cese.ma/Documents/PDF/Web%20Rapport%20Effectivite%20des%20droits%20VF%2011042013.pdf" TargetMode="External"/><Relationship Id="rId13" Type="http://schemas.openxmlformats.org/officeDocument/2006/relationships/hyperlink" Target="http://www.wsrw.org/a204x2048" TargetMode="External"/><Relationship Id="rId18" Type="http://schemas.openxmlformats.org/officeDocument/2006/relationships/hyperlink" Target="http://www.wsrw.org/a117x521" TargetMode="External"/><Relationship Id="rId3" Type="http://schemas.openxmlformats.org/officeDocument/2006/relationships/hyperlink" Target="https://minurso.unmissions.org/secretary-general-reports" TargetMode="External"/><Relationship Id="rId21" Type="http://schemas.openxmlformats.org/officeDocument/2006/relationships/hyperlink" Target="http://www.wsrw.org/a112x576" TargetMode="External"/><Relationship Id="rId7" Type="http://schemas.openxmlformats.org/officeDocument/2006/relationships/hyperlink" Target="https://www.finances.gov.ma/depf/SitePages/publications/en_catalogue/etudes/2017/croissance_des_regions.pdf" TargetMode="External"/><Relationship Id="rId12" Type="http://schemas.openxmlformats.org/officeDocument/2006/relationships/hyperlink" Target="http://www.wsrw.org/a214x2342" TargetMode="External"/><Relationship Id="rId17" Type="http://schemas.openxmlformats.org/officeDocument/2006/relationships/hyperlink" Target="http://www.phosboucraa.ma/" TargetMode="External"/><Relationship Id="rId25" Type="http://schemas.openxmlformats.org/officeDocument/2006/relationships/hyperlink" Target="http://www.ocpgroup.ma/sites/default/files/filiales/document/presentation_phosboucraa_fr.pdf" TargetMode="External"/><Relationship Id="rId2" Type="http://schemas.openxmlformats.org/officeDocument/2006/relationships/hyperlink" Target="https://minurso.unmissions.org/" TargetMode="External"/><Relationship Id="rId16" Type="http://schemas.openxmlformats.org/officeDocument/2006/relationships/hyperlink" Target="http://www.ocpgroup.ma/" TargetMode="External"/><Relationship Id="rId20" Type="http://schemas.openxmlformats.org/officeDocument/2006/relationships/hyperlink" Target="http://www.afaspa.com/IMG/pdf/RAPPORT_PHOSBOUCRAA.pdf" TargetMode="External"/><Relationship Id="rId1" Type="http://schemas.openxmlformats.org/officeDocument/2006/relationships/hyperlink" Target="https://eeas.europa.eu/sites/eeas/files/rapport_de_coorperation_2016_v.numerique.pdf" TargetMode="External"/><Relationship Id="rId6" Type="http://schemas.openxmlformats.org/officeDocument/2006/relationships/hyperlink" Target="http://www.un.org/en/decolonization/pdf/Western-Sahara2017.pdf" TargetMode="External"/><Relationship Id="rId11" Type="http://schemas.openxmlformats.org/officeDocument/2006/relationships/hyperlink" Target="https://webgate.ec.europa.eu/sanco/traces/output/MA/FFP_MA_en.pdf" TargetMode="External"/><Relationship Id="rId24" Type="http://schemas.openxmlformats.org/officeDocument/2006/relationships/hyperlink" Target="http://www.wsrw.org/a111x4160" TargetMode="External"/><Relationship Id="rId5" Type="http://schemas.openxmlformats.org/officeDocument/2006/relationships/hyperlink" Target="https://www.hrw.org/fr/middle-east/n-africa/morocco/western-sahara" TargetMode="External"/><Relationship Id="rId15" Type="http://schemas.openxmlformats.org/officeDocument/2006/relationships/hyperlink" Target="https://minerals.usgs.gov/minerals/pubs/commodity/phosphate_rock/mcs-2017-phosp.pdf" TargetMode="External"/><Relationship Id="rId23" Type="http://schemas.openxmlformats.org/officeDocument/2006/relationships/hyperlink" Target="http://www.wsrw.org/a105x3185" TargetMode="External"/><Relationship Id="rId10" Type="http://schemas.openxmlformats.org/officeDocument/2006/relationships/hyperlink" Target="http://www.ces.ma/Documents/PDF/Web-Rapport-NMDPSR-FR.pdf" TargetMode="External"/><Relationship Id="rId19" Type="http://schemas.openxmlformats.org/officeDocument/2006/relationships/hyperlink" Target="http://www.phosboucraa.ma/company/key-figures" TargetMode="External"/><Relationship Id="rId4" Type="http://schemas.openxmlformats.org/officeDocument/2006/relationships/hyperlink" Target="https://www.amnesty.org/fr/countries/middle-east-and-north-africa/morocco/report-morocco/" TargetMode="External"/><Relationship Id="rId9" Type="http://schemas.openxmlformats.org/officeDocument/2006/relationships/hyperlink" Target="http://www.cese.ma/Documents/PDF/Web%20Rapport%20Effectivite%20des%20droits%20VF%2011042013.pdf" TargetMode="External"/><Relationship Id="rId14" Type="http://schemas.openxmlformats.org/officeDocument/2006/relationships/hyperlink" Target="http://www.wsrw.org/a217x2479" TargetMode="External"/><Relationship Id="rId22" Type="http://schemas.openxmlformats.org/officeDocument/2006/relationships/hyperlink" Target="https://www.nutrien.com/sites/default/files/uploads/2018-01/NRF_Human%20Rights%20Assessment%20Report%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2DE8B-FB7D-4B08-876C-45F221A5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14017</Words>
  <Characters>75721</Characters>
  <Application>Microsoft Office Word</Application>
  <DocSecurity>0</DocSecurity>
  <Lines>1587</Lines>
  <Paragraphs>451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2018-06-14T16:27:00Z</dcterms:created>
  <dcterms:modified xsi:type="dcterms:W3CDTF">2018-06-15T10:23:00Z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