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176B1CC-DD19-415A-90FC-FBAC462033F3"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w:t>
      </w:r>
    </w:p>
    <w:p>
      <w:pPr>
        <w:pStyle w:val="ChapterTitle"/>
        <w:rPr>
          <w:noProof/>
        </w:rPr>
      </w:pPr>
      <w:r>
        <w:rPr>
          <w:noProof/>
        </w:rPr>
        <w:t>Бенчмаркове за ниски въглеродни емисии и за положително въздействие в областта на въглеродните емисии</w:t>
      </w:r>
    </w:p>
    <w:p>
      <w:pPr>
        <w:pStyle w:val="SectionTitle"/>
        <w:rPr>
          <w:noProof/>
        </w:rPr>
      </w:pPr>
      <w:r>
        <w:rPr>
          <w:noProof/>
        </w:rPr>
        <w:t xml:space="preserve">Методика на бенчмарковете за ниски въглеродни емисии </w:t>
      </w:r>
    </w:p>
    <w:p>
      <w:pPr>
        <w:pStyle w:val="NumPar1"/>
        <w:numPr>
          <w:ilvl w:val="0"/>
          <w:numId w:val="1"/>
        </w:numPr>
        <w:rPr>
          <w:noProof/>
        </w:rPr>
      </w:pPr>
      <w:r>
        <w:rPr>
          <w:noProof/>
        </w:rPr>
        <w:t>Администраторът на бенчмарк за ниски въглеродни емисии приема официално, документира и оповестява методиката, използвана за изчисляването на бенчмарковете за ниски въглеродни емисии, като описва следното:</w:t>
      </w:r>
    </w:p>
    <w:p>
      <w:pPr>
        <w:pStyle w:val="Point1"/>
        <w:rPr>
          <w:noProof/>
        </w:rPr>
      </w:pPr>
      <w:r>
        <w:rPr>
          <w:noProof/>
        </w:rPr>
        <w:t>а)</w:t>
      </w:r>
      <w:r>
        <w:rPr>
          <w:noProof/>
        </w:rPr>
        <w:tab/>
      </w:r>
      <w:r>
        <w:rPr>
          <w:noProof/>
        </w:rPr>
        <w:tab/>
        <w:t>списък на базовите активи, използвани за изчисляването на бенчмарка за ниски въглеродни емисии;</w:t>
      </w:r>
    </w:p>
    <w:p>
      <w:pPr>
        <w:pStyle w:val="Point1"/>
        <w:rPr>
          <w:noProof/>
        </w:rPr>
      </w:pPr>
      <w:r>
        <w:rPr>
          <w:noProof/>
        </w:rPr>
        <w:t>б)</w:t>
      </w:r>
      <w:r>
        <w:rPr>
          <w:noProof/>
        </w:rPr>
        <w:tab/>
        <w:t>всички критерии и методи, включително факторите за подбор и определяне на тежестта, метрика и приближения, използвани за изчисляването на бенчмарка;</w:t>
      </w:r>
    </w:p>
    <w:p>
      <w:pPr>
        <w:pStyle w:val="Point1"/>
        <w:rPr>
          <w:rFonts w:eastAsia="Arial Unicode MS"/>
          <w:noProof/>
        </w:rPr>
      </w:pPr>
      <w:r>
        <w:rPr>
          <w:noProof/>
        </w:rPr>
        <w:t>в)</w:t>
      </w:r>
      <w:r>
        <w:rPr>
          <w:noProof/>
        </w:rPr>
        <w:tab/>
        <w:t>критериите, приложими за изключването на активи или дружества, които съответстват на дадено ниво на въглероден отпечатък или ниво на изкопаеми ресурси, което е несъвместимо с включване в бенчмарка за ниски въглеродни емисии;</w:t>
      </w:r>
    </w:p>
    <w:p>
      <w:pPr>
        <w:pStyle w:val="Point1"/>
        <w:rPr>
          <w:rFonts w:eastAsia="Arial Unicode MS"/>
          <w:noProof/>
        </w:rPr>
      </w:pPr>
      <w:r>
        <w:rPr>
          <w:noProof/>
        </w:rPr>
        <w:t>г)</w:t>
      </w:r>
      <w:r>
        <w:rPr>
          <w:noProof/>
        </w:rPr>
        <w:tab/>
        <w:t>критерии и методи за начина на измерване на въглеродния отпечатък с бенчмарка за ниски въглеродни емисии, както и на икономиите на въглеродни емисии, свързани с базовите активи в портфейла на индекса;</w:t>
      </w:r>
    </w:p>
    <w:p>
      <w:pPr>
        <w:pStyle w:val="Point1"/>
        <w:rPr>
          <w:rFonts w:eastAsia="Arial Unicode MS"/>
          <w:noProof/>
        </w:rPr>
      </w:pPr>
      <w:r>
        <w:rPr>
          <w:noProof/>
        </w:rPr>
        <w:t>д)</w:t>
      </w:r>
      <w:r>
        <w:rPr>
          <w:noProof/>
        </w:rPr>
        <w:tab/>
        <w:t>разликата между резултатите на  бенчмарка за ниски въглеродни емисии и индекса „майка“;</w:t>
      </w:r>
    </w:p>
    <w:p>
      <w:pPr>
        <w:pStyle w:val="Point1"/>
        <w:rPr>
          <w:rFonts w:eastAsia="Arial Unicode MS"/>
          <w:noProof/>
        </w:rPr>
      </w:pPr>
      <w:r>
        <w:rPr>
          <w:noProof/>
        </w:rPr>
        <w:t>е)</w:t>
      </w:r>
      <w:r>
        <w:rPr>
          <w:noProof/>
        </w:rPr>
        <w:tab/>
        <w:t>положителното повторно определяне на тежестта на активите с ниски въглеродни емисии в бенчмарка за ниски въглеродни емисии спрямо индекса „майка“ и обяснението защо е необходимо това повторно определяне на тежестта, за да се отразят избраните цели на бенчмарка за ниски въглеродни емисии;</w:t>
      </w:r>
    </w:p>
    <w:p>
      <w:pPr>
        <w:pStyle w:val="Point1"/>
        <w:rPr>
          <w:noProof/>
        </w:rPr>
      </w:pPr>
      <w:r>
        <w:rPr>
          <w:noProof/>
        </w:rPr>
        <w:t>ж)</w:t>
      </w:r>
      <w:r>
        <w:rPr>
          <w:noProof/>
        </w:rPr>
        <w:tab/>
        <w:t>отношението между пазарната стойност на ценните книжа, включени в бенчмарка за ниски въглеродни емисии, и пазарната стойност на ценните книжа в индекса „майка“;</w:t>
      </w:r>
    </w:p>
    <w:p>
      <w:pPr>
        <w:pStyle w:val="Point1"/>
        <w:rPr>
          <w:rFonts w:eastAsia="Arial Unicode MS"/>
          <w:noProof/>
        </w:rPr>
      </w:pPr>
      <w:r>
        <w:rPr>
          <w:noProof/>
        </w:rPr>
        <w:t>з)</w:t>
      </w:r>
      <w:r>
        <w:rPr>
          <w:noProof/>
        </w:rPr>
        <w:tab/>
        <w:t>вида и източника на входящите данни, използвани за подбора на активите или дружествата, които са допустими за бенчмарка за ниски въглеродни емисии, в това число:</w:t>
      </w:r>
    </w:p>
    <w:p>
      <w:pPr>
        <w:pStyle w:val="Point0"/>
        <w:ind w:left="1843" w:hanging="425"/>
        <w:rPr>
          <w:noProof/>
        </w:rPr>
      </w:pPr>
      <w:r>
        <w:rPr>
          <w:noProof/>
        </w:rPr>
        <w:t>i)</w:t>
      </w:r>
      <w:r>
        <w:rPr>
          <w:noProof/>
        </w:rPr>
        <w:tab/>
        <w:t>емисии от източници, които се контролират от дружеството;</w:t>
      </w:r>
    </w:p>
    <w:p>
      <w:pPr>
        <w:pStyle w:val="Point0"/>
        <w:ind w:left="1843" w:hanging="425"/>
        <w:rPr>
          <w:noProof/>
        </w:rPr>
      </w:pPr>
      <w:r>
        <w:rPr>
          <w:noProof/>
        </w:rPr>
        <w:t>ii)</w:t>
      </w:r>
      <w:r>
        <w:rPr>
          <w:noProof/>
        </w:rPr>
        <w:tab/>
        <w:t>емисии от потреблението на закупена електроенергия, пара или други източници на енергия, генерирана нагоре по веригата спрямо дружеството;</w:t>
      </w:r>
    </w:p>
    <w:p>
      <w:pPr>
        <w:pStyle w:val="Point0"/>
        <w:ind w:left="1843" w:hanging="425"/>
        <w:rPr>
          <w:noProof/>
        </w:rPr>
      </w:pPr>
      <w:r>
        <w:rPr>
          <w:noProof/>
        </w:rPr>
        <w:t>ii)</w:t>
      </w:r>
      <w:r>
        <w:rPr>
          <w:noProof/>
        </w:rPr>
        <w:tab/>
        <w:t>емисии, които са следствие от дейността на дружеството, но не се контролират пряко от дружеството;</w:t>
      </w:r>
    </w:p>
    <w:p>
      <w:pPr>
        <w:pStyle w:val="Point0"/>
        <w:ind w:left="1843" w:hanging="425"/>
        <w:rPr>
          <w:noProof/>
        </w:rPr>
      </w:pPr>
      <w:r>
        <w:rPr>
          <w:noProof/>
        </w:rPr>
        <w:t>iv)</w:t>
      </w:r>
      <w:r>
        <w:rPr>
          <w:noProof/>
        </w:rPr>
        <w:tab/>
        <w:t>емисии, които биха продължили да съществуват, ако продуктите или услугите на дружеството биха били заменени със заместители с по-ниски въглеродни емисии („икономии на емисии“);</w:t>
      </w:r>
    </w:p>
    <w:p>
      <w:pPr>
        <w:pStyle w:val="Point0"/>
        <w:ind w:left="1843" w:hanging="425"/>
        <w:rPr>
          <w:noProof/>
        </w:rPr>
      </w:pPr>
      <w:r>
        <w:rPr>
          <w:noProof/>
        </w:rPr>
        <w:t>v)</w:t>
      </w:r>
      <w:r>
        <w:rPr>
          <w:noProof/>
        </w:rPr>
        <w:tab/>
        <w:t>дали за входящите данни се използват методите за определяне на продуктовия отпечатък и на организационния отпечатък върху околната среда, както са определени в точка 2, букви а) и б) от Препоръка 2013/179/ЕС на Комисията;</w:t>
      </w:r>
    </w:p>
    <w:p>
      <w:pPr>
        <w:pStyle w:val="Point1"/>
        <w:rPr>
          <w:rFonts w:eastAsia="Arial Unicode MS"/>
          <w:noProof/>
        </w:rPr>
      </w:pPr>
      <w:r>
        <w:rPr>
          <w:noProof/>
        </w:rPr>
        <w:t>и)</w:t>
      </w:r>
      <w:r>
        <w:rPr>
          <w:noProof/>
        </w:rPr>
        <w:tab/>
        <w:t xml:space="preserve">общата експозиция на въглеродния отпечатък на индекса на портфейла и очакваното въздействие върху смекчаването на последиците от изменението на климата от стратегията за ниски въглеродни емисии, която изпълнява бенчмаркът; </w:t>
      </w:r>
    </w:p>
    <w:p>
      <w:pPr>
        <w:pStyle w:val="Point1"/>
        <w:rPr>
          <w:rFonts w:eastAsia="Arial Unicode MS"/>
          <w:noProof/>
        </w:rPr>
      </w:pPr>
      <w:r>
        <w:rPr>
          <w:noProof/>
        </w:rPr>
        <w:t>й)</w:t>
      </w:r>
      <w:r>
        <w:rPr>
          <w:noProof/>
        </w:rPr>
        <w:tab/>
        <w:t xml:space="preserve">мотивите за приемането на конкретна стратегия или цел по отношение на методиката за ниски въглеродни емисии и обяснение защо методиката е подходяща за изчисляването на целите за ниски въглеродни емисии на бенчмарка; </w:t>
      </w:r>
    </w:p>
    <w:p>
      <w:pPr>
        <w:pStyle w:val="Point1"/>
        <w:rPr>
          <w:rFonts w:eastAsia="Arial Unicode MS"/>
          <w:noProof/>
        </w:rPr>
      </w:pPr>
      <w:r>
        <w:rPr>
          <w:noProof/>
        </w:rPr>
        <w:t>к)</w:t>
      </w:r>
      <w:r>
        <w:rPr>
          <w:noProof/>
        </w:rPr>
        <w:tab/>
        <w:t>процедурата за вътрешен преглед и одобрение на дадена методика, както и честотата на този вътрешен преглед;</w:t>
      </w:r>
    </w:p>
    <w:p>
      <w:pPr>
        <w:adjustRightInd w:val="0"/>
        <w:spacing w:before="480"/>
        <w:rPr>
          <w:b/>
          <w:i/>
          <w:noProof/>
          <w:szCs w:val="24"/>
        </w:rPr>
      </w:pPr>
      <w:r>
        <w:rPr>
          <w:b/>
          <w:i/>
          <w:noProof/>
        </w:rPr>
        <w:t>Методика на бенчмаркове за положително въздействие в областта на въглеродните емисии</w:t>
      </w:r>
    </w:p>
    <w:p>
      <w:pPr>
        <w:pStyle w:val="NumPar1"/>
        <w:numPr>
          <w:ilvl w:val="0"/>
          <w:numId w:val="11"/>
        </w:numPr>
        <w:rPr>
          <w:noProof/>
        </w:rPr>
      </w:pPr>
      <w:r>
        <w:rPr>
          <w:noProof/>
        </w:rPr>
        <w:t>Администраторът на бенчмарк за положително въздействие в областта на въглеродните емисии, в допълнение към задълженията на администратора на бенчмарк за ниски въглеродни емисии, оповестява положителното въздействие на въглеродните емисии на всеки базов актив, включен в бенчмарка, и посочва формулата или начина на изчисляване, използвани за определяне дали икономиите на емисии надвишават въглеродния отпечатък на инвестиционния актив или на дружеството („коефициент на положително въздействие в областта на въглеродните емисии“).</w:t>
      </w:r>
    </w:p>
    <w:p>
      <w:pPr>
        <w:adjustRightInd w:val="0"/>
        <w:rPr>
          <w:b/>
          <w:i/>
          <w:noProof/>
          <w:szCs w:val="24"/>
        </w:rPr>
      </w:pPr>
      <w:r>
        <w:rPr>
          <w:b/>
          <w:i/>
          <w:noProof/>
        </w:rPr>
        <w:t>Промени в методиката</w:t>
      </w:r>
    </w:p>
    <w:p>
      <w:pPr>
        <w:pStyle w:val="NumPar1"/>
        <w:numPr>
          <w:ilvl w:val="0"/>
          <w:numId w:val="10"/>
        </w:numPr>
        <w:rPr>
          <w:noProof/>
        </w:rPr>
      </w:pPr>
      <w:r>
        <w:rPr>
          <w:noProof/>
        </w:rPr>
        <w:t>Администраторите на бенчмаркове за ниски въглеродни емисии и за положително въздействие в областта на въглеродните емисии приемат и оповестяват пред ползвателите процедурите и мотивите за всяка предложена съществена промяна в тяхната методика. Тези процедури трябва да съответстват на приоритетната цел изчисленията на бенчмарковете непрекъснато да се придържат към целите за ниски въглеродни емисии или положително въздействие в областта на въглеродните емисии. Тези процедури предвиждат:</w:t>
      </w:r>
    </w:p>
    <w:p>
      <w:pPr>
        <w:pStyle w:val="Point1"/>
        <w:rPr>
          <w:noProof/>
        </w:rPr>
      </w:pPr>
      <w:r>
        <w:rPr>
          <w:noProof/>
        </w:rPr>
        <w:t>а)</w:t>
      </w:r>
      <w:r>
        <w:rPr>
          <w:noProof/>
        </w:rPr>
        <w:tab/>
        <w:t>предварително известие в ясни срокове, което позволява на ползвателите да анализират и коментират въздействието на предложените промени, като се вземе предвид изчислението на всички обстоятелства, направено от администраторите;</w:t>
      </w:r>
    </w:p>
    <w:p>
      <w:pPr>
        <w:pStyle w:val="Point1"/>
        <w:rPr>
          <w:noProof/>
        </w:rPr>
      </w:pPr>
      <w:r>
        <w:rPr>
          <w:noProof/>
        </w:rPr>
        <w:t>б)</w:t>
      </w:r>
      <w:r>
        <w:rPr>
          <w:noProof/>
        </w:rPr>
        <w:tab/>
        <w:t>възможността ползвателите да представят мненията си за тези промени и администраторите да отговорят на тези мнения, когато въпросните мнения следва да са на разположение на всички потребители на пазара след даден период на консултиране, освен когато лицето, което предоставя мнението си, е поискало поверителност.</w:t>
      </w:r>
    </w:p>
    <w:p>
      <w:pPr>
        <w:pStyle w:val="NumPar1"/>
        <w:numPr>
          <w:ilvl w:val="0"/>
          <w:numId w:val="1"/>
        </w:numPr>
        <w:rPr>
          <w:noProof/>
        </w:rPr>
      </w:pPr>
      <w:r>
        <w:rPr>
          <w:noProof/>
        </w:rPr>
        <w:t>Администраторите на бенчмаркове за ниски въглеродни емисии и за положително въздействие в областта на въглеродните емисии редовно правят преглед на своите методики, за да се уверят, че те отразяват надеждно съответните цели за ниски въглеродни емисии и за положително въздействие в областта на въглеродните емисии, и следва да разполагат с процес, чрез който да вземат предвид мненията на съответните ползватели.“.</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4022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F441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4C40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ECC4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EEB7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2AD5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D0320C"/>
    <w:lvl w:ilvl="0">
      <w:start w:val="1"/>
      <w:numFmt w:val="decimal"/>
      <w:pStyle w:val="ListNumber"/>
      <w:lvlText w:val="%1."/>
      <w:lvlJc w:val="left"/>
      <w:pPr>
        <w:tabs>
          <w:tab w:val="num" w:pos="360"/>
        </w:tabs>
        <w:ind w:left="360" w:hanging="360"/>
      </w:pPr>
    </w:lvl>
  </w:abstractNum>
  <w:abstractNum w:abstractNumId="7">
    <w:nsid w:val="FFFFFF89"/>
    <w:multiLevelType w:val="singleLevel"/>
    <w:tmpl w:val="66064D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7 14:51: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176B1CC-DD19-415A-90FC-FBAC462033F3"/>
    <w:docVar w:name="LW_COVERPAGE_TYPE" w:val="1"/>
    <w:docVar w:name="LW_CROSSREFERENCE" w:val="{SEC(2018) 257 final}_x000a_{SWD(2018) 264 final}_x000a_{SWD(2018) 265 final}"/>
    <w:docVar w:name="LW_DocType" w:val="ANNEX"/>
    <w:docVar w:name="LW_EMISSION" w:val="24.5.2018"/>
    <w:docVar w:name="LW_EMISSION_ISODATE" w:val="2018-05-24"/>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0?\u1079?\u1084?\u1077?\u1085?\u1077?\u1085?\u1080?\u1077? \u1085?\u1072? \u1056?\u1077?\u1075?\u1083?\u1072?\u1084?\u1077?\u1085?\u1090?&lt;LWCR:NBS&gt;(\u1045?\u1057?)&lt;LWCR:NBS&gt;2016/1011 \u1087?\u1086? \u1086?\u1090?\u1085?\u1086?\u1096?\u1077?\u1085?\u1080?\u1077? \u1085?\u1072? \u1073?\u1077?\u1085?\u1095?\u1084?\u1072?\u1088?\u1082?\u1086?\u1074?\u1077?\u1090?\u1077? \u1079?\u1072? \u1085?\u1080?\u1089?\u1082?\u1080? \u1074?\u1098?\u1075?\u1083?\u1077?\u1088?\u1086?\u1076?\u1085?\u1080? \u1077?\u1084?\u1080?\u1089?\u1080?\u1080? \u1080? \u1073?\u1077?\u1085?\u1095?\u1084?\u1072?\u1088?\u1082?\u1086?\u1074?\u1077?\u1090?\u1077? \u1079?\u1072? \u1087?\u1086?\u1083?\u1086?\u1078?\u1080?\u1090?\u1077?\u1083?\u1085?\u1086? \u1074?\u1098?\u1079?\u1076?\u1077?\u1081?\u1089?\u1090?\u1074?\u1080?\u1077? \u1074? \u1086?\u1073?\u1083?\u1072?\u1089?\u1090?\u1090?\u1072? \u1085?\u1072? \u1074?\u1098?\u1075?\u1083?\u1077?\u1088?\u1086?\u1076?\u1085?\u1080?\u1090?\u1077? \u1077?\u1084?\u1080?\u1089?\u1080?\u1080?"/>
    <w:docVar w:name="LW_OBJETACTEPRINCIPAL.CP" w:val="\u1079?\u1072? \u1080?\u1079?\u1084?\u1077?\u1085?\u1077?\u1085?\u1080?\u1077? \u1085?\u1072? \u1056?\u1077?\u1075?\u1083?\u1072?\u1084?\u1077?\u1085?\u1090? (\u1045?\u1057?) 2016/1011 \u1087?\u1086? \u1086?\u1090?\u1085?\u1086?\u1096?\u1077?\u1085?\u1080?\u1077? \u1085?\u1072? \u1073?\u1077?\u1085?\u1095?\u1084?\u1072?\u1088?\u1082?\u1086?\u1074?\u1077?\u1090?\u1077? \u1079?\u1072? \u1085?\u1080?\u1089?\u1082?\u1080? \u1074?\u1098?\u1075?\u1083?\u1077?\u1088?\u1086?\u1076?\u1085?\u1080? \u1077?\u1084?\u1080?\u1089?\u1080?\u1080? \u1080? \u1073?\u1077?\u1085?\u1095?\u1084?\u1072?\u1088?\u1082?\u1086?\u1074?\u1077?\u1090?\u1077? \u1079?\u1072? \u1087?\u1086?\u1083?\u1086?\u1078?\u1080?\u1090?\u1077?\u1083?\u1085?\u1086? \u1074?\u1098?\u1079?\u1076?\u1077?\u1081?\u1089?\u1090?\u1074?\u1080?\u1077? \u1074? \u1086?\u1073?\u1083?\u1072?\u1089?\u1090?\u1090?\u1072? \u1085?\u1072? \u1074?\u1098?\u1075?\u1083?\u1077?\u1088?\u1086?\u1076?\u1085?\u1080?\u1090?\u1077? \u1077?\u1084?\u1080?\u1089?\u1080?\u1080?"/>
    <w:docVar w:name="LW_PART_NBR" w:val="1"/>
    <w:docVar w:name="LW_PART_NBR_TOTAL" w:val="1"/>
    <w:docVar w:name="LW_REF.INST.NEW" w:val="COM"/>
    <w:docVar w:name="LW_REF.INST.NEW_ADOPTED" w:val="final"/>
    <w:docVar w:name="LW_REF.INST.NEW_TEXT" w:val="(2018)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43?\u1051?\u1040?\u1052?\u1045?\u1053?\u1058? \u1053?\u1040? \u1045?\u1042?\u1056?\u1054?\u1055?\u1045?\u1049?\u1057?\u1050?\u1048?\u1071? \u1055?\u1040?\u1056?\u1051?\u1040?\u1052?\u1045?\u1053?\u1058? \u1048? \u1053?\u1040? \u1057?\u1066?\u1042?\u1045?\u1058?\u1040?"/>
    <w:docVar w:name="LW_TYPE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720</Words>
  <Characters>4413</Characters>
  <Application>Microsoft Office Word</Application>
  <DocSecurity>0</DocSecurity>
  <Lines>91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SCHILTZ Priscille (FISMA)</dc:creator>
  <cp:lastModifiedBy>DIGIT/A3</cp:lastModifiedBy>
  <cp:revision>7</cp:revision>
  <cp:lastPrinted>2018-05-24T08:44:00Z</cp:lastPrinted>
  <dcterms:created xsi:type="dcterms:W3CDTF">2018-06-27T09:44:00Z</dcterms:created>
  <dcterms:modified xsi:type="dcterms:W3CDTF">2018-06-27T12:51:00Z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