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58591008-70E8-4F4E-93CA-918C71A97CE8" style="width:450.4pt;height:361.6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80"/>
          <w:szCs w:val="8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80"/>
        </w:rPr>
        <w:lastRenderedPageBreak/>
        <w:t>DOCUMENTS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1800"/>
                <w:tab w:val="left" w:pos="225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</w:tc>
      </w:tr>
    </w:tbl>
    <w:p>
      <w:pPr>
        <w:spacing w:after="0" w:line="240" w:lineRule="auto"/>
        <w:ind w:right="972"/>
        <w:rPr>
          <w:rFonts w:ascii="Times New Roman" w:eastAsia="Times New Roman" w:hAnsi="Times New Roman"/>
          <w:b/>
          <w:noProof/>
          <w:sz w:val="44"/>
          <w:szCs w:val="44"/>
        </w:rPr>
      </w:pPr>
      <w:r>
        <w:rPr>
          <w:rFonts w:ascii="Times New Roman" w:hAnsi="Times New Roman"/>
          <w:b/>
          <w:noProof/>
          <w:sz w:val="44"/>
        </w:rPr>
        <w:t>PROJET de budget général</w:t>
      </w:r>
      <w:r>
        <w:rPr>
          <w:rFonts w:ascii="Times New Roman" w:eastAsia="Times New Roman" w:hAnsi="Times New Roman"/>
          <w:b/>
          <w:noProof/>
          <w:sz w:val="44"/>
          <w:szCs w:val="44"/>
        </w:rPr>
        <w:br/>
      </w:r>
      <w:r>
        <w:rPr>
          <w:rFonts w:ascii="Times New Roman" w:hAnsi="Times New Roman"/>
          <w:b/>
          <w:noProof/>
          <w:sz w:val="44"/>
        </w:rPr>
        <w:t>de l’Union européenne</w:t>
      </w:r>
      <w:r>
        <w:rPr>
          <w:rFonts w:ascii="Times New Roman" w:eastAsia="Times New Roman" w:hAnsi="Times New Roman"/>
          <w:b/>
          <w:noProof/>
          <w:sz w:val="44"/>
          <w:szCs w:val="44"/>
        </w:rPr>
        <w:br/>
      </w:r>
      <w:r>
        <w:rPr>
          <w:rFonts w:ascii="Times New Roman" w:hAnsi="Times New Roman"/>
          <w:b/>
          <w:noProof/>
          <w:sz w:val="44"/>
        </w:rPr>
        <w:t>pour l’exercice 2019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44"/>
          <w:szCs w:val="44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noProof/>
          <w:sz w:val="44"/>
          <w:szCs w:val="44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Introduction générale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État général des recettes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État des recettes et des dépenses par section: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1:   Parlement européen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2:   Conseil européen et Conseil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3:   Commission européenne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4:   Cour de justice de l'Union européenne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5:   Cour des comptes</w:t>
      </w:r>
    </w:p>
    <w:p>
      <w:pPr>
        <w:spacing w:after="0" w:line="360" w:lineRule="auto"/>
        <w:ind w:right="1134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6:   Comité économique et social européen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7:   Comité des régions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8:   Médiateur européen</w:t>
      </w:r>
    </w:p>
    <w:p>
      <w:pPr>
        <w:spacing w:after="0" w:line="360" w:lineRule="auto"/>
        <w:ind w:right="1463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9:   Contrôleur européen de la protection des données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Section 10: Service européen pour l’action extérieure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r:id="rId14">
        <w:r>
          <w:rPr>
            <w:rStyle w:val="Hyperlink"/>
            <w:rFonts w:ascii="Times New Roman" w:hAnsi="Times New Roman"/>
            <w:noProof/>
            <w:sz w:val="24"/>
          </w:rPr>
          <w:t>http://eur-lex.europa.eu/budget/www/index-fr.htm</w:t>
        </w:r>
      </w:hyperlink>
    </w:p>
    <w:p>
      <w:pPr>
        <w:tabs>
          <w:tab w:val="left" w:pos="7560"/>
          <w:tab w:val="right" w:pos="9000"/>
        </w:tabs>
        <w:spacing w:after="0" w:line="240" w:lineRule="auto"/>
        <w:ind w:right="23"/>
        <w:jc w:val="right"/>
        <w:rPr>
          <w:rFonts w:ascii="Times New Roman" w:eastAsia="Times New Roman" w:hAnsi="Times New Roman"/>
          <w:noProof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5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58591008-70E8-4F4E-93CA-918C71A97CE8"/>
    <w:docVar w:name="LW_COVERPAGE_TYPE" w:val="1"/>
    <w:docVar w:name="LW_CROSSREFERENCE" w:val="&lt;UNUSED&gt;"/>
    <w:docVar w:name="LW_DocType" w:val="NORMAL"/>
    <w:docVar w:name="LW_EMISSION" w:val="21.6.2018"/>
    <w:docVar w:name="LW_EMISSION_ISODATE" w:val="2018-06-21"/>
    <w:docVar w:name="LW_EMISSION_LOCATION" w:val="BRX"/>
    <w:docVar w:name="LW_EMISSION_PREFIX" w:val="Bruxelles, le "/>
    <w:docVar w:name="LW_EMISSION_SUFFIX" w:val="&lt;EMPTY&gt;"/>
    <w:docVar w:name="LW_ID_DOCTYPE_NONLW" w:val="CP-035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8"/>
    <w:docVar w:name="LW_REF.INST.NEW" w:val="COM"/>
    <w:docVar w:name="LW_REF.INST.NEW_ADOPTED" w:val="final"/>
    <w:docVar w:name="LW_REF.INST.NEW_TEXT" w:val="(2018) 60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- Introduction générale_x000b_- État général des recettes_x000b_- État des recettes et des dépenses par section"/>
    <w:docVar w:name="LW_TYPE.DOC.CP" w:val="PROJET de budget général_x000b_de l\u8217?Union européenne_x000b_pour l\u8217?exercice 2019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val="fr-FR"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val="fr-FR"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eur-lex.europa.eu/budget/www/index-fr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682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24</cp:revision>
  <cp:lastPrinted>2014-05-21T15:05:00Z</cp:lastPrinted>
  <dcterms:created xsi:type="dcterms:W3CDTF">2018-06-20T15:02:00Z</dcterms:created>
  <dcterms:modified xsi:type="dcterms:W3CDTF">2018-06-21T10:42:00Z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Level of sensitivity">
    <vt:lpwstr>Standard treatment</vt:lpwstr>
  </property>
</Properties>
</file>