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2C170E-E676-4015-B918-799FEB9FDC2D" style="width:450.75pt;height:384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r>
        <w:rPr>
          <w:noProof/>
        </w:rPr>
        <w:br/>
        <w:t>Критерии за разпределянето на средства към програмите при споделено управление</w:t>
      </w:r>
    </w:p>
    <w:p>
      <w:pPr>
        <w:rPr>
          <w:noProof/>
        </w:rPr>
      </w:pPr>
    </w:p>
    <w:p>
      <w:pPr>
        <w:pStyle w:val="NumPar1"/>
        <w:numPr>
          <w:ilvl w:val="0"/>
          <w:numId w:val="1"/>
        </w:numPr>
        <w:rPr>
          <w:noProof/>
        </w:rPr>
      </w:pPr>
      <w:r>
        <w:rPr>
          <w:noProof/>
        </w:rPr>
        <w:t>Наличните ресурси, посочени в член 11, се разпределят между държавите членки, както следва:</w:t>
      </w:r>
    </w:p>
    <w:p>
      <w:pPr>
        <w:pStyle w:val="Point1"/>
        <w:rPr>
          <w:noProof/>
        </w:rPr>
      </w:pPr>
      <w:r>
        <w:rPr>
          <w:noProof/>
        </w:rPr>
        <w:t>а)</w:t>
      </w:r>
      <w:r>
        <w:rPr>
          <w:noProof/>
        </w:rPr>
        <w:tab/>
        <w:t xml:space="preserve">Всяка държава членка получава от Фонда фиксирана сума в размер на 5 000 000 EUR само в началото на програмния период; </w:t>
      </w:r>
    </w:p>
    <w:p>
      <w:pPr>
        <w:pStyle w:val="Point1"/>
        <w:rPr>
          <w:noProof/>
        </w:rPr>
      </w:pPr>
      <w:r>
        <w:rPr>
          <w:noProof/>
        </w:rPr>
        <w:t>б)</w:t>
      </w:r>
      <w:r>
        <w:rPr>
          <w:noProof/>
        </w:rPr>
        <w:tab/>
        <w:t>Останалите ресурси, посочени в член 11, се разпределят въз основа на следните критерии:</w:t>
      </w:r>
    </w:p>
    <w:p>
      <w:pPr>
        <w:pStyle w:val="Tiret1"/>
        <w:numPr>
          <w:ilvl w:val="0"/>
          <w:numId w:val="22"/>
        </w:numPr>
        <w:rPr>
          <w:noProof/>
        </w:rPr>
      </w:pPr>
      <w:r>
        <w:rPr>
          <w:noProof/>
        </w:rPr>
        <w:t>30 % за областта на убежището;</w:t>
      </w:r>
    </w:p>
    <w:p>
      <w:pPr>
        <w:pStyle w:val="Tiret1"/>
        <w:rPr>
          <w:noProof/>
        </w:rPr>
      </w:pPr>
      <w:r>
        <w:rPr>
          <w:noProof/>
        </w:rPr>
        <w:t>30 % за областта на законната миграция и интеграцията;</w:t>
      </w:r>
    </w:p>
    <w:p>
      <w:pPr>
        <w:pStyle w:val="Tiret1"/>
        <w:rPr>
          <w:noProof/>
        </w:rPr>
      </w:pPr>
      <w:r>
        <w:rPr>
          <w:noProof/>
        </w:rPr>
        <w:t>40 % за областта на борбата с незаконната миграция, включително връщането.</w:t>
      </w:r>
    </w:p>
    <w:p>
      <w:pPr>
        <w:pStyle w:val="NumPar1"/>
        <w:rPr>
          <w:noProof/>
        </w:rPr>
      </w:pPr>
      <w:r>
        <w:rPr>
          <w:noProof/>
        </w:rPr>
        <w:t>В областта на убежището ще бъдат взети предвид следните критерии, като ще им бъде придадена различна тежест, както следва:</w:t>
      </w:r>
    </w:p>
    <w:p>
      <w:pPr>
        <w:pStyle w:val="Point1"/>
        <w:rPr>
          <w:noProof/>
        </w:rPr>
      </w:pPr>
      <w:r>
        <w:rPr>
          <w:noProof/>
        </w:rPr>
        <w:t>а)</w:t>
      </w:r>
      <w:r>
        <w:rPr>
          <w:noProof/>
        </w:rPr>
        <w:tab/>
        <w:t xml:space="preserve"> 30 % пропорционално на броя на лицата, които попадат в една от следните категории:</w:t>
      </w:r>
    </w:p>
    <w:p>
      <w:pPr>
        <w:pStyle w:val="Tiret1"/>
        <w:numPr>
          <w:ilvl w:val="0"/>
          <w:numId w:val="14"/>
        </w:numPr>
        <w:rPr>
          <w:noProof/>
        </w:rPr>
      </w:pPr>
      <w:r>
        <w:rPr>
          <w:noProof/>
        </w:rPr>
        <w:t>гражданин на трета държава или лице без гражданство, който/което е получил/о статута, определен от Женевската конвенция;</w:t>
      </w:r>
    </w:p>
    <w:p>
      <w:pPr>
        <w:pStyle w:val="Tiret1"/>
        <w:rPr>
          <w:noProof/>
        </w:rPr>
      </w:pPr>
      <w:r>
        <w:rPr>
          <w:noProof/>
        </w:rPr>
        <w:t>гражданин на трета държава или лице без гражданство, който/което се ползва от форма на субсидиарна закрила по смисъла на преработената Директива 2011/95/ЕС</w:t>
      </w:r>
      <w:r>
        <w:rPr>
          <w:rStyle w:val="FootnoteReference"/>
          <w:noProof/>
        </w:rPr>
        <w:footnoteReference w:id="2"/>
      </w:r>
      <w:r>
        <w:rPr>
          <w:noProof/>
        </w:rPr>
        <w:t>;</w:t>
      </w:r>
    </w:p>
    <w:p>
      <w:pPr>
        <w:pStyle w:val="Tiret1"/>
        <w:rPr>
          <w:noProof/>
        </w:rPr>
      </w:pPr>
      <w:r>
        <w:rPr>
          <w:noProof/>
        </w:rPr>
        <w:t>гражданин на трета държава или лице без гражданство, който/което се ползва от временна закрила по смисъла на преработената Директива 2001/55/ЕО</w:t>
      </w:r>
      <w:r>
        <w:rPr>
          <w:rStyle w:val="FootnoteReference"/>
          <w:noProof/>
        </w:rPr>
        <w:footnoteReference w:id="3"/>
      </w:r>
      <w:r>
        <w:rPr>
          <w:noProof/>
        </w:rPr>
        <w:t>;</w:t>
      </w:r>
    </w:p>
    <w:p>
      <w:pPr>
        <w:pStyle w:val="Point1"/>
        <w:rPr>
          <w:noProof/>
        </w:rPr>
      </w:pPr>
      <w:r>
        <w:rPr>
          <w:noProof/>
        </w:rPr>
        <w:t>б)</w:t>
      </w:r>
      <w:r>
        <w:rPr>
          <w:noProof/>
        </w:rPr>
        <w:tab/>
        <w:t>60 % пропорционално на броя на гражданите на трети държави или лицата без гражданство, които са подали молба за международна закрила.</w:t>
      </w:r>
    </w:p>
    <w:p>
      <w:pPr>
        <w:pStyle w:val="Point1"/>
        <w:rPr>
          <w:noProof/>
        </w:rPr>
      </w:pPr>
      <w:r>
        <w:rPr>
          <w:noProof/>
        </w:rPr>
        <w:t>в)</w:t>
      </w:r>
      <w:r>
        <w:rPr>
          <w:noProof/>
        </w:rPr>
        <w:tab/>
        <w:t xml:space="preserve">10 % пропорционално на броя на гражданите на трети държави или лицата без гражданство, които са презаселени или са в процес на презаселване в държава членка. </w:t>
      </w:r>
    </w:p>
    <w:p>
      <w:pPr>
        <w:pStyle w:val="NumPar1"/>
        <w:numPr>
          <w:ilvl w:val="0"/>
          <w:numId w:val="1"/>
        </w:numPr>
        <w:rPr>
          <w:noProof/>
        </w:rPr>
      </w:pPr>
      <w:r>
        <w:rPr>
          <w:noProof/>
        </w:rPr>
        <w:t>В областта на законната миграция и интеграцията ще бъдат взети предвид следните критерии, като ще им бъде придадена различна тежест, както следва:</w:t>
      </w:r>
    </w:p>
    <w:p>
      <w:pPr>
        <w:pStyle w:val="Point1"/>
        <w:rPr>
          <w:noProof/>
        </w:rPr>
      </w:pPr>
      <w:r>
        <w:rPr>
          <w:noProof/>
        </w:rPr>
        <w:lastRenderedPageBreak/>
        <w:t>а)</w:t>
      </w:r>
      <w:r>
        <w:rPr>
          <w:noProof/>
        </w:rPr>
        <w:tab/>
        <w:t>40 % пропорционално на общия брой законно пребиваващи граждани на трети държави в дадена държава членка.</w:t>
      </w:r>
    </w:p>
    <w:p>
      <w:pPr>
        <w:pStyle w:val="Point1"/>
        <w:rPr>
          <w:noProof/>
        </w:rPr>
      </w:pPr>
      <w:r>
        <w:rPr>
          <w:noProof/>
        </w:rPr>
        <w:t>б)</w:t>
      </w:r>
      <w:r>
        <w:rPr>
          <w:noProof/>
        </w:rPr>
        <w:tab/>
        <w:t>60 % пропорционално на броя на гражданите на трети държави, които са получили първо разрешение за пребиваване.</w:t>
      </w:r>
    </w:p>
    <w:p>
      <w:pPr>
        <w:pStyle w:val="Point1"/>
        <w:rPr>
          <w:noProof/>
        </w:rPr>
      </w:pPr>
      <w:r>
        <w:rPr>
          <w:noProof/>
        </w:rPr>
        <w:t>в)</w:t>
      </w:r>
      <w:r>
        <w:rPr>
          <w:noProof/>
        </w:rPr>
        <w:tab/>
        <w:t>За целите на изчислението, посочено в параграф 3, буква б), не се вземат предвид следните категории лица:</w:t>
      </w:r>
    </w:p>
    <w:p>
      <w:pPr>
        <w:pStyle w:val="Tiret1"/>
        <w:rPr>
          <w:noProof/>
        </w:rPr>
      </w:pPr>
      <w:r>
        <w:rPr>
          <w:noProof/>
        </w:rPr>
        <w:t>Граждани на трети държави, на които е издадено първо разрешение за пребиваване, свързано с работа и валидно за по-малко от 12 месеца;</w:t>
      </w:r>
    </w:p>
    <w:p>
      <w:pPr>
        <w:pStyle w:val="Tiret1"/>
        <w:rPr>
          <w:noProof/>
        </w:rPr>
      </w:pPr>
      <w:r>
        <w:rPr>
          <w:noProof/>
        </w:rPr>
        <w:t>Граждани на трети държави, допуснати с цел обучение, ученически обмен, неплатен стаж или благотворителна дейност в съответствие с Директива 2004/114/ЕО на Съвета</w:t>
      </w:r>
      <w:r>
        <w:rPr>
          <w:rStyle w:val="FootnoteReference"/>
          <w:noProof/>
        </w:rPr>
        <w:footnoteReference w:id="4"/>
      </w:r>
      <w:r>
        <w:rPr>
          <w:noProof/>
        </w:rPr>
        <w:t xml:space="preserve"> или когато се прилага Директива (EС) 2016/801</w:t>
      </w:r>
      <w:r>
        <w:rPr>
          <w:rStyle w:val="FootnoteReference"/>
          <w:noProof/>
        </w:rPr>
        <w:footnoteReference w:id="5"/>
      </w:r>
      <w:r>
        <w:rPr>
          <w:noProof/>
        </w:rPr>
        <w:t xml:space="preserve">; </w:t>
      </w:r>
    </w:p>
    <w:p>
      <w:pPr>
        <w:pStyle w:val="Tiret1"/>
        <w:rPr>
          <w:noProof/>
        </w:rPr>
      </w:pPr>
      <w:r>
        <w:rPr>
          <w:noProof/>
        </w:rPr>
        <w:t>Граждани на трети държави, допуснати за целите на провеждане на научноизследователска дейност в съответствие с Директива 2005/71/ЕО на Съвета</w:t>
      </w:r>
      <w:r>
        <w:rPr>
          <w:rStyle w:val="FootnoteReference"/>
          <w:noProof/>
        </w:rPr>
        <w:footnoteReference w:id="6"/>
      </w:r>
      <w:r>
        <w:rPr>
          <w:noProof/>
        </w:rPr>
        <w:t xml:space="preserve"> или когато се прилага Директива (EС) 2016/801; </w:t>
      </w:r>
    </w:p>
    <w:p>
      <w:pPr>
        <w:pStyle w:val="NumPar1"/>
        <w:numPr>
          <w:ilvl w:val="0"/>
          <w:numId w:val="1"/>
        </w:numPr>
        <w:rPr>
          <w:noProof/>
        </w:rPr>
      </w:pPr>
      <w:r>
        <w:rPr>
          <w:noProof/>
        </w:rPr>
        <w:t>В областта на борбата с незаконната миграция, включително връщането, ще бъдат взети предвид следните критерии, като ще им бъде придадена различна тежест, както следва:</w:t>
      </w:r>
    </w:p>
    <w:p>
      <w:pPr>
        <w:pStyle w:val="Point1"/>
        <w:rPr>
          <w:noProof/>
        </w:rPr>
      </w:pPr>
      <w:r>
        <w:rPr>
          <w:noProof/>
        </w:rPr>
        <w:t>а)</w:t>
      </w:r>
      <w:r>
        <w:rPr>
          <w:noProof/>
        </w:rPr>
        <w:tab/>
        <w:t xml:space="preserve">50 % пропорционално на броя на гражданите на трети държави, които не отговарят или вече не отговарят на условията за влизане и престой на територията на държавата членка и спрямо които има решение за връщане съгласно националното законодателство и/или законодателството на Общността, т.е. административно или съдебно решение или акт, в което се посочва или се декларира незаконността на престоя и се налага задължение за връщане; </w:t>
      </w:r>
    </w:p>
    <w:p>
      <w:pPr>
        <w:pStyle w:val="Point1"/>
        <w:rPr>
          <w:noProof/>
        </w:rPr>
      </w:pPr>
      <w:r>
        <w:rPr>
          <w:noProof/>
        </w:rPr>
        <w:t>б)</w:t>
      </w:r>
      <w:r>
        <w:rPr>
          <w:noProof/>
        </w:rPr>
        <w:tab/>
        <w:t>50 % пропорционално на броя на гражданите на трети държави, които действително са напуснали територията на държавата членка след административна или съдебна заповед за напускане, независимо дали доброволно или принудително.</w:t>
      </w:r>
    </w:p>
    <w:p>
      <w:pPr>
        <w:pStyle w:val="NumPar1"/>
        <w:numPr>
          <w:ilvl w:val="0"/>
          <w:numId w:val="1"/>
        </w:numPr>
        <w:rPr>
          <w:noProof/>
        </w:rPr>
      </w:pPr>
      <w:r>
        <w:rPr>
          <w:noProof/>
        </w:rPr>
        <w:t xml:space="preserve">Във връзка с първоначалното разпределение за референтни стойности се приемат последните годишни статистически данни, изготвени от Комисията (Евростат) за предходните три календарни години въз основа на данните, предоставени от държавите членки към датата на прилагане на настоящия регламент в съответствие с правото на Съюза. За целите на междинния преглед за референтни стойности се приемат последните годишни статистически данни, изготвени от Комисията (Евростат) за предходните три календарни години, </w:t>
      </w:r>
      <w:r>
        <w:rPr>
          <w:noProof/>
        </w:rPr>
        <w:lastRenderedPageBreak/>
        <w:t xml:space="preserve">налични към момента на извършване на междинния преглед през 2024 г. въз основа на данните, предоставени от държавите членки в съответствие с правото на Съюза. Когато държавите членки не са предоставили на Комисията (Евростат) съответните статистически данни, те осигуряват предварителни данни във възможно най-кратък срок. </w:t>
      </w:r>
    </w:p>
    <w:p>
      <w:pPr>
        <w:pStyle w:val="NumPar1"/>
        <w:rPr>
          <w:noProof/>
        </w:rPr>
      </w:pPr>
      <w:r>
        <w:rPr>
          <w:noProof/>
        </w:rPr>
        <w:t>Преди да приеме тези данни за референтни стойности, Комисията (Евростат) оценява качеството, съпоставимостта и пълнотата на статистическата информация в съответствие с нормалните процедури на работа. По искане на Комисията (Евростат) държавите членки ѝ предоставят цялата необходима информация за извършване на споменатото по-горе.</w:t>
      </w:r>
    </w:p>
    <w:p>
      <w:pPr>
        <w:rPr>
          <w:noProof/>
        </w:rPr>
        <w:sectPr>
          <w:footerReference w:type="default" r:id="rId19"/>
          <w:footerReference w:type="first" r:id="rId20"/>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II</w:t>
      </w:r>
      <w:bookmarkStart w:id="1" w:name="_Toc488508095"/>
      <w:bookmarkStart w:id="2" w:name="_Toc488508897"/>
      <w:bookmarkStart w:id="3" w:name="_Toc491098054"/>
      <w:bookmarkStart w:id="4" w:name="_Toc491098663"/>
      <w:bookmarkStart w:id="5" w:name="_Toc491099053"/>
      <w:r>
        <w:rPr>
          <w:noProof/>
        </w:rPr>
        <w:br/>
        <w:t>Мерки за изпълнение</w:t>
      </w:r>
    </w:p>
    <w:p>
      <w:pPr>
        <w:rPr>
          <w:noProof/>
        </w:rPr>
      </w:pPr>
    </w:p>
    <w:p>
      <w:pPr>
        <w:pStyle w:val="NumPar1"/>
        <w:numPr>
          <w:ilvl w:val="0"/>
          <w:numId w:val="21"/>
        </w:numPr>
        <w:rPr>
          <w:noProof/>
        </w:rPr>
      </w:pPr>
      <w:r>
        <w:rPr>
          <w:noProof/>
        </w:rPr>
        <w:t>Фондът допринася за постигането на специфичната цел, посочена в член 3, параграф 2, буква а), като се съсредоточава върху следните мерки за изпълнение:</w:t>
      </w:r>
    </w:p>
    <w:p>
      <w:pPr>
        <w:pStyle w:val="Point1"/>
        <w:rPr>
          <w:noProof/>
        </w:rPr>
      </w:pPr>
      <w:r>
        <w:rPr>
          <w:noProof/>
        </w:rPr>
        <w:t>а)</w:t>
      </w:r>
      <w:r>
        <w:rPr>
          <w:noProof/>
        </w:rPr>
        <w:tab/>
        <w:t>осигуряване на единното прилагане на достиженията на правото на Съюза и на приоритетите, свързани с общата европейска система за убежище;</w:t>
      </w:r>
    </w:p>
    <w:p>
      <w:pPr>
        <w:pStyle w:val="Point1"/>
        <w:rPr>
          <w:noProof/>
        </w:rPr>
      </w:pPr>
      <w:r>
        <w:rPr>
          <w:noProof/>
        </w:rPr>
        <w:t>б)</w:t>
      </w:r>
      <w:r>
        <w:rPr>
          <w:noProof/>
        </w:rPr>
        <w:tab/>
        <w:t>подкрепа на капацитета на системите за убежище на държавите членки по отношение на инфраструктури и услуги, когато е необходимо;</w:t>
      </w:r>
    </w:p>
    <w:p>
      <w:pPr>
        <w:pStyle w:val="Point1"/>
        <w:rPr>
          <w:noProof/>
        </w:rPr>
      </w:pPr>
      <w:r>
        <w:rPr>
          <w:noProof/>
        </w:rPr>
        <w:t>в)</w:t>
      </w:r>
      <w:r>
        <w:rPr>
          <w:noProof/>
        </w:rPr>
        <w:tab/>
        <w:t>засилване на солидарността и разпределянето на отговорност между държавите членки, по-конкретно към тези, които са най-силно засегнати от миграционните потоци, както и предоставяне на подкрепа на държавите членки, допринасящи за усилията на солидарност;</w:t>
      </w:r>
    </w:p>
    <w:p>
      <w:pPr>
        <w:pStyle w:val="Point1"/>
        <w:rPr>
          <w:noProof/>
        </w:rPr>
      </w:pPr>
      <w:r>
        <w:rPr>
          <w:noProof/>
        </w:rPr>
        <w:t>г)</w:t>
      </w:r>
      <w:r>
        <w:rPr>
          <w:noProof/>
        </w:rPr>
        <w:tab/>
        <w:t xml:space="preserve">засилване на солидарността и сътрудничеството с трети държави, засегнати от миграционни потоци, включително чрез презаселване и други законни възможности за закрила в ЕС, както и партньорство и сътрудничество с трети държави с цел управление на миграцията; </w:t>
      </w:r>
    </w:p>
    <w:p>
      <w:pPr>
        <w:pStyle w:val="NumPar1"/>
        <w:rPr>
          <w:noProof/>
        </w:rPr>
      </w:pPr>
      <w:r>
        <w:rPr>
          <w:noProof/>
        </w:rPr>
        <w:t>Фондът допринася за постигането на специфичната цел, посочена в член 3, параграф 2, буква б), като се съсредоточава върху следните мерки за изпълнение:</w:t>
      </w:r>
    </w:p>
    <w:p>
      <w:pPr>
        <w:pStyle w:val="Point1"/>
        <w:rPr>
          <w:noProof/>
        </w:rPr>
      </w:pPr>
      <w:r>
        <w:rPr>
          <w:noProof/>
        </w:rPr>
        <w:t>а)</w:t>
      </w:r>
      <w:r>
        <w:rPr>
          <w:noProof/>
        </w:rPr>
        <w:tab/>
        <w:t>подкрепа за разработването и прилагането на политики, насърчаващи законната миграция, и прилагането на достиженията на правото на ЕС за законната миграция;</w:t>
      </w:r>
    </w:p>
    <w:p>
      <w:pPr>
        <w:pStyle w:val="Point1"/>
        <w:rPr>
          <w:noProof/>
        </w:rPr>
      </w:pPr>
      <w:r>
        <w:rPr>
          <w:noProof/>
        </w:rPr>
        <w:t>б)</w:t>
      </w:r>
      <w:r>
        <w:rPr>
          <w:noProof/>
        </w:rPr>
        <w:tab/>
        <w:t>насърчаване на мерки за ранна интеграция с цел социално-икономическо приобщаване на граждани на трети държави, подготовка на тяхното активно участие и тяхното приемане от приемащото общество, по-конкретно с участието на местни и регионални органи и организации на гражданското общество.</w:t>
      </w:r>
    </w:p>
    <w:p>
      <w:pPr>
        <w:pStyle w:val="NumPar1"/>
        <w:rPr>
          <w:noProof/>
        </w:rPr>
      </w:pPr>
      <w:r>
        <w:rPr>
          <w:noProof/>
        </w:rPr>
        <w:t>Фондът допринася за постигането на специфичната цел, посочена в член 3, параграф 2, буква в), като се съсредоточава върху следните мерки за изпълнение:</w:t>
      </w:r>
    </w:p>
    <w:p>
      <w:pPr>
        <w:pStyle w:val="Point1"/>
        <w:rPr>
          <w:noProof/>
        </w:rPr>
      </w:pPr>
      <w:r>
        <w:rPr>
          <w:noProof/>
        </w:rPr>
        <w:t>а)</w:t>
      </w:r>
      <w:r>
        <w:rPr>
          <w:noProof/>
        </w:rPr>
        <w:tab/>
        <w:t>осигуряване на единното прилагане на достиженията на правото на Съюза и на приоритетите на политиките по отношение на инфраструктурата, процедурите и услугите;</w:t>
      </w:r>
    </w:p>
    <w:p>
      <w:pPr>
        <w:pStyle w:val="Point1"/>
        <w:rPr>
          <w:noProof/>
        </w:rPr>
      </w:pPr>
      <w:r>
        <w:rPr>
          <w:noProof/>
        </w:rPr>
        <w:t>б)</w:t>
      </w:r>
      <w:r>
        <w:rPr>
          <w:noProof/>
        </w:rPr>
        <w:tab/>
        <w:t>подкрепа за интегриран и координиран подход на управление на връщането на равнище Съюз и държави членки, за развиването на капацитет за ефективно и устойчиво връщане и намаляване на стимулите за незаконна миграция;</w:t>
      </w:r>
    </w:p>
    <w:p>
      <w:pPr>
        <w:pStyle w:val="Point1"/>
        <w:rPr>
          <w:noProof/>
        </w:rPr>
      </w:pPr>
      <w:r>
        <w:rPr>
          <w:noProof/>
        </w:rPr>
        <w:t>в)</w:t>
      </w:r>
      <w:r>
        <w:rPr>
          <w:noProof/>
        </w:rPr>
        <w:tab/>
        <w:t>подкрепа за подпомогнато доброволно връщане и реинтеграция;</w:t>
      </w:r>
    </w:p>
    <w:p>
      <w:pPr>
        <w:pStyle w:val="Point1"/>
        <w:rPr>
          <w:noProof/>
        </w:rPr>
      </w:pPr>
      <w:r>
        <w:rPr>
          <w:noProof/>
        </w:rPr>
        <w:t>г)</w:t>
      </w:r>
      <w:r>
        <w:rPr>
          <w:noProof/>
        </w:rPr>
        <w:tab/>
        <w:t>засилване на сътрудничеството с трети държави и на техния капацитет за изпълнение на споразумения за обратно приемане и други договорености, и създаване на възможности за устойчиво връщане.</w:t>
      </w:r>
    </w:p>
    <w:p>
      <w:pPr>
        <w:spacing w:before="0" w:after="200" w:line="276" w:lineRule="auto"/>
        <w:jc w:val="left"/>
        <w:rPr>
          <w:noProof/>
        </w:rPr>
      </w:pPr>
      <w:r>
        <w:rPr>
          <w:noProof/>
        </w:rPr>
        <w:br w:type="page"/>
      </w:r>
    </w:p>
    <w:p>
      <w:pPr>
        <w:pStyle w:val="Annexetitre"/>
        <w:rPr>
          <w:noProof/>
        </w:rPr>
      </w:pPr>
      <w:r>
        <w:rPr>
          <w:noProof/>
        </w:rPr>
        <w:lastRenderedPageBreak/>
        <w:t>ПРИЛОЖЕНИЕ III</w:t>
      </w:r>
      <w:r>
        <w:rPr>
          <w:noProof/>
        </w:rPr>
        <w:br/>
        <w:t>Обхват на подкрепата</w:t>
      </w:r>
    </w:p>
    <w:p>
      <w:pPr>
        <w:pStyle w:val="NumPar1"/>
        <w:numPr>
          <w:ilvl w:val="0"/>
          <w:numId w:val="20"/>
        </w:numPr>
        <w:rPr>
          <w:noProof/>
        </w:rPr>
      </w:pPr>
      <w:r>
        <w:rPr>
          <w:noProof/>
        </w:rPr>
        <w:t>В рамките на политическата цел, посочена в член 3, параграф 1, Фондът ще подкрепя по-конкретно следното:</w:t>
      </w:r>
    </w:p>
    <w:p>
      <w:pPr>
        <w:pStyle w:val="Point1"/>
        <w:rPr>
          <w:noProof/>
        </w:rPr>
      </w:pPr>
      <w:r>
        <w:rPr>
          <w:noProof/>
        </w:rPr>
        <w:t>а)</w:t>
      </w:r>
      <w:r>
        <w:rPr>
          <w:noProof/>
        </w:rPr>
        <w:tab/>
        <w:t>създаване и развитие на национални стратегии в областта на убежището, законната миграция, интеграцията, връщането и незаконната миграция;</w:t>
      </w:r>
    </w:p>
    <w:p>
      <w:pPr>
        <w:pStyle w:val="Point1"/>
        <w:rPr>
          <w:noProof/>
        </w:rPr>
      </w:pPr>
      <w:r>
        <w:rPr>
          <w:noProof/>
        </w:rPr>
        <w:t>б)</w:t>
      </w:r>
      <w:r>
        <w:rPr>
          <w:noProof/>
        </w:rPr>
        <w:tab/>
        <w:t>изграждане на административни структури, системи и инструменти, и обучение на персонал, включително местни органи и други заинтересовани страни;</w:t>
      </w:r>
    </w:p>
    <w:p>
      <w:pPr>
        <w:pStyle w:val="Point1"/>
        <w:rPr>
          <w:noProof/>
        </w:rPr>
      </w:pPr>
      <w:r>
        <w:rPr>
          <w:noProof/>
        </w:rPr>
        <w:t>в)</w:t>
      </w:r>
      <w:r>
        <w:rPr>
          <w:noProof/>
        </w:rPr>
        <w:tab/>
        <w:t>разработване, мониторинг и оценка на политики и процедури, включително за събиране и обмен на информация и данни, разработване и прилагане на общи статистически инструменти, методи и показатели за измерване на напредъка и оценяване на развитието на политиката;</w:t>
      </w:r>
    </w:p>
    <w:p>
      <w:pPr>
        <w:pStyle w:val="Point1"/>
        <w:rPr>
          <w:noProof/>
        </w:rPr>
      </w:pPr>
      <w:r>
        <w:rPr>
          <w:noProof/>
        </w:rPr>
        <w:t>г)</w:t>
      </w:r>
      <w:r>
        <w:rPr>
          <w:noProof/>
        </w:rPr>
        <w:tab/>
        <w:t>обмен на информация, най-добри практики и стратегии, взаимно обучение, проучвания и изследвания, разработване и изпълнение на съвместни действия и операции и създаване на транснационални мрежи за сътрудничество;</w:t>
      </w:r>
    </w:p>
    <w:p>
      <w:pPr>
        <w:pStyle w:val="Point1"/>
        <w:rPr>
          <w:noProof/>
        </w:rPr>
      </w:pPr>
      <w:r>
        <w:rPr>
          <w:noProof/>
        </w:rPr>
        <w:t>д)</w:t>
      </w:r>
      <w:r>
        <w:rPr>
          <w:noProof/>
        </w:rPr>
        <w:tab/>
        <w:t>услуги за оказване на помощ и подкрепа, съответстващи на статута и нуждите на съответното лице, по-конкретно за уязвимите групи;</w:t>
      </w:r>
    </w:p>
    <w:p>
      <w:pPr>
        <w:pStyle w:val="Point1"/>
        <w:rPr>
          <w:noProof/>
        </w:rPr>
      </w:pPr>
      <w:r>
        <w:rPr>
          <w:noProof/>
        </w:rPr>
        <w:t>е)</w:t>
      </w:r>
      <w:r>
        <w:rPr>
          <w:noProof/>
        </w:rPr>
        <w:tab/>
        <w:t>действия, насочени към повишаване на осведомеността относно политиките в областта на убежището, интеграцията, законната миграция и връщането сред заинтересованите страни и широката общественост;</w:t>
      </w:r>
    </w:p>
    <w:p>
      <w:pPr>
        <w:pStyle w:val="NumPar1"/>
        <w:rPr>
          <w:noProof/>
        </w:rPr>
      </w:pPr>
      <w:r>
        <w:rPr>
          <w:noProof/>
        </w:rPr>
        <w:t>В рамките на специфичната цел, посочена в член 3, параграф 2, буква а) Фондът ще подкрепя по-конкретно следното:</w:t>
      </w:r>
    </w:p>
    <w:p>
      <w:pPr>
        <w:pStyle w:val="Point1"/>
        <w:rPr>
          <w:noProof/>
        </w:rPr>
      </w:pPr>
      <w:r>
        <w:rPr>
          <w:noProof/>
        </w:rPr>
        <w:t>а)</w:t>
      </w:r>
      <w:r>
        <w:rPr>
          <w:noProof/>
        </w:rPr>
        <w:tab/>
        <w:t>предоставяне на материална помощ, включително помощ на границата;</w:t>
      </w:r>
    </w:p>
    <w:p>
      <w:pPr>
        <w:pStyle w:val="Point1"/>
        <w:rPr>
          <w:noProof/>
        </w:rPr>
      </w:pPr>
      <w:r>
        <w:rPr>
          <w:noProof/>
        </w:rPr>
        <w:t>б)</w:t>
      </w:r>
      <w:r>
        <w:rPr>
          <w:noProof/>
        </w:rPr>
        <w:tab/>
        <w:t>провеждане на процедури по предоставяне на убежище;</w:t>
      </w:r>
    </w:p>
    <w:p>
      <w:pPr>
        <w:pStyle w:val="Point1"/>
        <w:rPr>
          <w:noProof/>
        </w:rPr>
      </w:pPr>
      <w:r>
        <w:rPr>
          <w:noProof/>
        </w:rPr>
        <w:t>в)</w:t>
      </w:r>
      <w:r>
        <w:rPr>
          <w:noProof/>
        </w:rPr>
        <w:tab/>
        <w:t>идентифициране на кандидатите със специални нужди във връзка с процедурите или приема;</w:t>
      </w:r>
    </w:p>
    <w:p>
      <w:pPr>
        <w:pStyle w:val="Point1"/>
        <w:rPr>
          <w:noProof/>
        </w:rPr>
      </w:pPr>
      <w:r>
        <w:rPr>
          <w:noProof/>
        </w:rPr>
        <w:t>г)</w:t>
      </w:r>
      <w:r>
        <w:rPr>
          <w:noProof/>
        </w:rPr>
        <w:tab/>
        <w:t>създаване или подобряване на инфраструктурата за настаняване във връзка с приемането, включително възможното съвместно използване на такива съоръжения от повече от една държава членка;</w:t>
      </w:r>
    </w:p>
    <w:p>
      <w:pPr>
        <w:pStyle w:val="Point1"/>
        <w:rPr>
          <w:noProof/>
        </w:rPr>
      </w:pPr>
      <w:r>
        <w:rPr>
          <w:noProof/>
        </w:rPr>
        <w:t>д)</w:t>
      </w:r>
      <w:r>
        <w:rPr>
          <w:noProof/>
        </w:rPr>
        <w:tab/>
        <w:t>повишаване на капацитета на държавите членки за събиране, анализиране и разпространяване на информация относно държавите на произход;</w:t>
      </w:r>
    </w:p>
    <w:p>
      <w:pPr>
        <w:pStyle w:val="Point1"/>
        <w:rPr>
          <w:noProof/>
        </w:rPr>
      </w:pPr>
      <w:r>
        <w:rPr>
          <w:noProof/>
        </w:rPr>
        <w:t>е)</w:t>
      </w:r>
      <w:r>
        <w:rPr>
          <w:noProof/>
        </w:rPr>
        <w:tab/>
        <w:t>действия, свързани с провеждането на процедури за изпълнение на рамката на Съюза за презаселване (и хуманитарен прием) или на национални схеми за презаселване, които са съвместими с рамката на Съюза за презаселване;</w:t>
      </w:r>
    </w:p>
    <w:p>
      <w:pPr>
        <w:pStyle w:val="Point1"/>
        <w:rPr>
          <w:noProof/>
        </w:rPr>
      </w:pPr>
      <w:r>
        <w:rPr>
          <w:noProof/>
        </w:rPr>
        <w:t>ж)</w:t>
      </w:r>
      <w:r>
        <w:rPr>
          <w:noProof/>
        </w:rPr>
        <w:tab/>
        <w:t>прехвърляне на лица, на които е предоставена международна закрила;</w:t>
      </w:r>
    </w:p>
    <w:p>
      <w:pPr>
        <w:pStyle w:val="Point1"/>
        <w:rPr>
          <w:noProof/>
        </w:rPr>
      </w:pPr>
      <w:r>
        <w:rPr>
          <w:noProof/>
        </w:rPr>
        <w:t>з)</w:t>
      </w:r>
      <w:r>
        <w:rPr>
          <w:noProof/>
        </w:rPr>
        <w:tab/>
        <w:t>засилване на капацитета на трети държави за подобряване на закрилата на лицата, нуждаещи се от закрила;</w:t>
      </w:r>
    </w:p>
    <w:p>
      <w:pPr>
        <w:pStyle w:val="Point1"/>
        <w:rPr>
          <w:noProof/>
        </w:rPr>
      </w:pPr>
      <w:r>
        <w:rPr>
          <w:noProof/>
        </w:rPr>
        <w:t>и)</w:t>
      </w:r>
      <w:r>
        <w:rPr>
          <w:noProof/>
        </w:rPr>
        <w:tab/>
        <w:t>създаване, развитие и подобряване на ефективни алтернативи на задържането, по-специално по отношение на непридружени малолетни и непълнолетни лица и семейства.</w:t>
      </w:r>
    </w:p>
    <w:p>
      <w:pPr>
        <w:pStyle w:val="NumPar1"/>
        <w:rPr>
          <w:noProof/>
        </w:rPr>
      </w:pPr>
      <w:r>
        <w:rPr>
          <w:noProof/>
        </w:rPr>
        <w:lastRenderedPageBreak/>
        <w:t>В рамките на специфичната цел, посочена в член 3, параграф 2, буква б) Фондът ще подкрепя по-конкретно следното:</w:t>
      </w:r>
    </w:p>
    <w:p>
      <w:pPr>
        <w:pStyle w:val="Point1"/>
        <w:rPr>
          <w:noProof/>
        </w:rPr>
      </w:pPr>
      <w:r>
        <w:rPr>
          <w:noProof/>
        </w:rPr>
        <w:t>а)</w:t>
      </w:r>
      <w:r>
        <w:rPr>
          <w:noProof/>
        </w:rPr>
        <w:tab/>
        <w:t>информационни пакети и кампании за повишаване на осведомеността за каналите за законна миграция към Съюза, включително относно достиженията на правото на Съюза в областта на законната миграция;</w:t>
      </w:r>
    </w:p>
    <w:p>
      <w:pPr>
        <w:pStyle w:val="Point1"/>
        <w:rPr>
          <w:noProof/>
        </w:rPr>
      </w:pPr>
      <w:r>
        <w:rPr>
          <w:noProof/>
        </w:rPr>
        <w:t>б)</w:t>
      </w:r>
      <w:r>
        <w:rPr>
          <w:noProof/>
        </w:rPr>
        <w:tab/>
        <w:t>разработване на схеми за мобилност към Съюза, като например схеми за кръгова или временна миграция, включително обучение за повишаване на пригодността за заетост;</w:t>
      </w:r>
    </w:p>
    <w:p>
      <w:pPr>
        <w:pStyle w:val="Point1"/>
        <w:rPr>
          <w:noProof/>
        </w:rPr>
      </w:pPr>
      <w:r>
        <w:rPr>
          <w:noProof/>
        </w:rPr>
        <w:t>в)</w:t>
      </w:r>
      <w:r>
        <w:rPr>
          <w:noProof/>
        </w:rPr>
        <w:tab/>
        <w:t>сътрудничество между трети държави и агенциите за набиране на персонал, службите по заетостта и имиграционните служби на държавите членки;</w:t>
      </w:r>
    </w:p>
    <w:p>
      <w:pPr>
        <w:pStyle w:val="Point1"/>
        <w:rPr>
          <w:noProof/>
        </w:rPr>
      </w:pPr>
      <w:r>
        <w:rPr>
          <w:noProof/>
        </w:rPr>
        <w:t>г)</w:t>
      </w:r>
      <w:r>
        <w:rPr>
          <w:noProof/>
        </w:rPr>
        <w:tab/>
        <w:t>оценка на уменията и квалификациите, придобити в трета държава, както и тяхната прозрачност и съпоставимост с тези в дадена държава членка;</w:t>
      </w:r>
    </w:p>
    <w:p>
      <w:pPr>
        <w:pStyle w:val="Point1"/>
        <w:rPr>
          <w:noProof/>
        </w:rPr>
      </w:pPr>
      <w:r>
        <w:rPr>
          <w:noProof/>
        </w:rPr>
        <w:t>д)</w:t>
      </w:r>
      <w:r>
        <w:rPr>
          <w:noProof/>
        </w:rPr>
        <w:tab/>
        <w:t>помощ във връзка с молби за събиране на семейството по смисъла на Директива 2003/86/ЕО на Съвета</w:t>
      </w:r>
      <w:r>
        <w:rPr>
          <w:rStyle w:val="FootnoteReference"/>
          <w:noProof/>
        </w:rPr>
        <w:footnoteReference w:id="7"/>
      </w:r>
      <w:r>
        <w:rPr>
          <w:noProof/>
        </w:rPr>
        <w:t>;</w:t>
      </w:r>
    </w:p>
    <w:p>
      <w:pPr>
        <w:pStyle w:val="Point1"/>
        <w:rPr>
          <w:noProof/>
        </w:rPr>
      </w:pPr>
      <w:r>
        <w:rPr>
          <w:noProof/>
        </w:rPr>
        <w:t>е)</w:t>
      </w:r>
      <w:r>
        <w:rPr>
          <w:noProof/>
        </w:rPr>
        <w:tab/>
        <w:t>помощ във връзка с промяната на статута на граждани на трети държави, законно пребиваващи в държава членка, по-специално във връзка с придобиването на статут на законно пребиваващи на равнището на Съюза;</w:t>
      </w:r>
    </w:p>
    <w:p>
      <w:pPr>
        <w:pStyle w:val="Point1"/>
        <w:rPr>
          <w:noProof/>
        </w:rPr>
      </w:pPr>
      <w:r>
        <w:rPr>
          <w:noProof/>
        </w:rPr>
        <w:t>ж)</w:t>
      </w:r>
      <w:r>
        <w:rPr>
          <w:noProof/>
        </w:rPr>
        <w:tab/>
        <w:t>мерки за ранна интеграция, като например целева подкрепа в съответствие с нуждите на гражданите на трети държави и програми за интеграция, насочени към образование, езиково и друго обучение, като например курсове за гражданска ориентация и професионално ориентиране;</w:t>
      </w:r>
    </w:p>
    <w:p>
      <w:pPr>
        <w:pStyle w:val="Point1"/>
        <w:rPr>
          <w:noProof/>
        </w:rPr>
      </w:pPr>
      <w:r>
        <w:rPr>
          <w:noProof/>
        </w:rPr>
        <w:t>з)</w:t>
      </w:r>
      <w:r>
        <w:rPr>
          <w:noProof/>
        </w:rPr>
        <w:tab/>
        <w:t>действия за насърчаване на равнопоставеността при достъпа и предоставянето на обществени и частни услуги на граждани на трети държави, включително адаптирането им към нуждите на целевата група;</w:t>
      </w:r>
    </w:p>
    <w:p>
      <w:pPr>
        <w:pStyle w:val="Point1"/>
        <w:rPr>
          <w:noProof/>
        </w:rPr>
      </w:pPr>
      <w:r>
        <w:rPr>
          <w:noProof/>
        </w:rPr>
        <w:t>и)</w:t>
      </w:r>
      <w:r>
        <w:rPr>
          <w:noProof/>
        </w:rPr>
        <w:tab/>
        <w:t>сътрудничество между правителствени и неправителствени субекти по интегриран начин, включително чрез координирани центрове за подпомагане на интеграцията, като например обслужване на едно гише;</w:t>
      </w:r>
    </w:p>
    <w:p>
      <w:pPr>
        <w:pStyle w:val="Point1"/>
        <w:rPr>
          <w:noProof/>
        </w:rPr>
      </w:pPr>
      <w:r>
        <w:rPr>
          <w:noProof/>
        </w:rPr>
        <w:t>й)</w:t>
      </w:r>
      <w:r>
        <w:rPr>
          <w:noProof/>
        </w:rPr>
        <w:tab/>
        <w:t>действия, които позволяват и подкрепят въвеждането и активното участие на гражданите на трети държави в приемащото общество, и действия за насърчаване на приемането от страна на приемащото общество;</w:t>
      </w:r>
    </w:p>
    <w:p>
      <w:pPr>
        <w:pStyle w:val="Point1"/>
        <w:rPr>
          <w:noProof/>
        </w:rPr>
      </w:pPr>
      <w:r>
        <w:rPr>
          <w:noProof/>
        </w:rPr>
        <w:t>к)</w:t>
      </w:r>
      <w:r>
        <w:rPr>
          <w:noProof/>
        </w:rPr>
        <w:tab/>
        <w:t>насърчаване на обмена и диалога между гражданите на трети държави, приемащото общество и публичните органи, включително чрез консултации с гражданите на трети държави и междукултурен и междурелигиозен диалог.</w:t>
      </w:r>
    </w:p>
    <w:p>
      <w:pPr>
        <w:pStyle w:val="NumPar1"/>
        <w:rPr>
          <w:noProof/>
        </w:rPr>
      </w:pPr>
      <w:r>
        <w:rPr>
          <w:noProof/>
        </w:rPr>
        <w:t>В рамките на специфичната цел, посочена в член 3, параграф 2, буква в) Фондът ще подкрепя по-конкретно следното:</w:t>
      </w:r>
    </w:p>
    <w:p>
      <w:pPr>
        <w:pStyle w:val="Point1"/>
        <w:rPr>
          <w:noProof/>
        </w:rPr>
      </w:pPr>
      <w:r>
        <w:rPr>
          <w:noProof/>
        </w:rPr>
        <w:lastRenderedPageBreak/>
        <w:t>а)</w:t>
      </w:r>
      <w:r>
        <w:rPr>
          <w:noProof/>
        </w:rPr>
        <w:tab/>
        <w:t>инфраструктура за приемане или задържане, включително възможното съвместно използване на такива съоръжения от повече от една държава членка;</w:t>
      </w:r>
    </w:p>
    <w:p>
      <w:pPr>
        <w:pStyle w:val="Point1"/>
        <w:rPr>
          <w:noProof/>
        </w:rPr>
      </w:pPr>
      <w:r>
        <w:rPr>
          <w:noProof/>
        </w:rPr>
        <w:t>б)</w:t>
      </w:r>
      <w:r>
        <w:rPr>
          <w:noProof/>
        </w:rPr>
        <w:tab/>
        <w:t>въвеждане, развитие и подобряване на ефективни алтернативни мерки на задържането, по-специално по отношение на непридружени малолетни и непълнолетни лица и семейства.</w:t>
      </w:r>
    </w:p>
    <w:p>
      <w:pPr>
        <w:pStyle w:val="Point1"/>
        <w:rPr>
          <w:noProof/>
        </w:rPr>
      </w:pPr>
      <w:r>
        <w:rPr>
          <w:noProof/>
        </w:rPr>
        <w:t>в)</w:t>
      </w:r>
      <w:r>
        <w:rPr>
          <w:noProof/>
        </w:rPr>
        <w:tab/>
        <w:t>създаване и укрепване на независими и ефективни системи за наблюдение на принудителното връщане, както е предвидено в член 8, параграф 6 от Директива 2008/115/ЕО</w:t>
      </w:r>
      <w:r>
        <w:rPr>
          <w:rStyle w:val="FootnoteReference"/>
          <w:noProof/>
        </w:rPr>
        <w:footnoteReference w:id="8"/>
      </w:r>
      <w:r>
        <w:rPr>
          <w:noProof/>
        </w:rPr>
        <w:t>;</w:t>
      </w:r>
    </w:p>
    <w:p>
      <w:pPr>
        <w:pStyle w:val="Point1"/>
        <w:rPr>
          <w:noProof/>
        </w:rPr>
      </w:pPr>
      <w:r>
        <w:rPr>
          <w:noProof/>
        </w:rPr>
        <w:t>г)</w:t>
      </w:r>
      <w:r>
        <w:rPr>
          <w:noProof/>
        </w:rPr>
        <w:tab/>
        <w:t>противодействие на стимулите за незаконна миграция, включително наемането на работа на незаконни мигранти, чрез ефективни и адекватни проверки, основани на оценка на риска, обучение на персонала, създаване и прилагане на механизми, чрез които незаконните мигранти могат да предявяват искания за изплащане и да подават жалби срещу своите работодатели, както и чрез кампании за информиране и повишаване на осведомеността с цел информиране на работодателите и незаконните мигранти относно техните права и задължения по Директива 2009/52/ЕО</w:t>
      </w:r>
      <w:r>
        <w:rPr>
          <w:rStyle w:val="FootnoteReference"/>
          <w:noProof/>
        </w:rPr>
        <w:footnoteReference w:id="9"/>
      </w:r>
      <w:r>
        <w:rPr>
          <w:noProof/>
        </w:rPr>
        <w:t>;</w:t>
      </w:r>
    </w:p>
    <w:p>
      <w:pPr>
        <w:pStyle w:val="Point1"/>
        <w:rPr>
          <w:noProof/>
        </w:rPr>
      </w:pPr>
      <w:r>
        <w:rPr>
          <w:noProof/>
        </w:rPr>
        <w:t>д)</w:t>
      </w:r>
      <w:r>
        <w:rPr>
          <w:noProof/>
        </w:rPr>
        <w:tab/>
        <w:t>подготовка на връщане, включително мерки, водещи до издаването на решения за връщане, установяване на самоличността на граждани на трети държави, издаване на документи за пътуване и издирване на семейството;</w:t>
      </w:r>
    </w:p>
    <w:p>
      <w:pPr>
        <w:pStyle w:val="Point1"/>
        <w:rPr>
          <w:noProof/>
        </w:rPr>
      </w:pPr>
      <w:r>
        <w:rPr>
          <w:noProof/>
        </w:rPr>
        <w:t>е)</w:t>
      </w:r>
      <w:r>
        <w:rPr>
          <w:noProof/>
        </w:rPr>
        <w:tab/>
        <w:t>сътрудничество с консулските органи и имиграционните служби или други компетентни органи и служби на трети държави с оглед получаване на документи за пътуване, улесняване на връщането и гарантиране на обратното приемане, включително чрез разполагане на служители за връзка от трети държави;</w:t>
      </w:r>
    </w:p>
    <w:p>
      <w:pPr>
        <w:pStyle w:val="Point1"/>
        <w:rPr>
          <w:noProof/>
        </w:rPr>
      </w:pPr>
      <w:r>
        <w:rPr>
          <w:noProof/>
        </w:rPr>
        <w:t>ж)</w:t>
      </w:r>
      <w:r>
        <w:rPr>
          <w:noProof/>
        </w:rPr>
        <w:tab/>
        <w:t>помощ при връщане, по-специално подпомагане на доброволното връщане и информация за програмите за подпомагане на доброволното връщане;</w:t>
      </w:r>
    </w:p>
    <w:p>
      <w:pPr>
        <w:pStyle w:val="Point1"/>
        <w:rPr>
          <w:noProof/>
        </w:rPr>
      </w:pPr>
      <w:r>
        <w:rPr>
          <w:noProof/>
        </w:rPr>
        <w:t>з)</w:t>
      </w:r>
      <w:r>
        <w:rPr>
          <w:noProof/>
        </w:rPr>
        <w:tab/>
        <w:t>операции по извеждане и свързани с това мерки в съответствие с установените в правото на Съюза стандарти, с изключение на технически средства за налагане на принудителни мерки;</w:t>
      </w:r>
    </w:p>
    <w:p>
      <w:pPr>
        <w:pStyle w:val="Point1"/>
        <w:rPr>
          <w:noProof/>
        </w:rPr>
      </w:pPr>
      <w:r>
        <w:rPr>
          <w:noProof/>
        </w:rPr>
        <w:t>и)</w:t>
      </w:r>
      <w:r>
        <w:rPr>
          <w:noProof/>
        </w:rPr>
        <w:tab/>
        <w:t>мерки в подкрепа на трайното връщане и реинтеграция на завърналото се лице;</w:t>
      </w:r>
    </w:p>
    <w:p>
      <w:pPr>
        <w:pStyle w:val="Point1"/>
        <w:rPr>
          <w:noProof/>
        </w:rPr>
      </w:pPr>
      <w:r>
        <w:rPr>
          <w:noProof/>
        </w:rPr>
        <w:t>й)</w:t>
      </w:r>
      <w:r>
        <w:rPr>
          <w:noProof/>
        </w:rPr>
        <w:tab/>
        <w:t xml:space="preserve">съоръжения и услуги в трети държави, осигуряващи подходящо временно настаняване и приемане при пристигане, включително за непридружени малолетни и непълнолетни лица и други уязвими групи в съответствие с международните стандарти; </w:t>
      </w:r>
    </w:p>
    <w:p>
      <w:pPr>
        <w:pStyle w:val="Point1"/>
        <w:rPr>
          <w:noProof/>
        </w:rPr>
      </w:pPr>
      <w:r>
        <w:rPr>
          <w:noProof/>
        </w:rPr>
        <w:lastRenderedPageBreak/>
        <w:t>к)</w:t>
      </w:r>
      <w:r>
        <w:rPr>
          <w:noProof/>
        </w:rPr>
        <w:tab/>
        <w:t>сътрудничество с трети държави за борба с незаконната миграция и за ефективно връщане и обратно приемане, включително в рамките на изпълнението на споразумения за обратно приемане и други договорености;</w:t>
      </w:r>
    </w:p>
    <w:p>
      <w:pPr>
        <w:pStyle w:val="Point1"/>
        <w:rPr>
          <w:noProof/>
        </w:rPr>
      </w:pPr>
      <w:r>
        <w:rPr>
          <w:noProof/>
        </w:rPr>
        <w:t>л)</w:t>
      </w:r>
      <w:r>
        <w:rPr>
          <w:noProof/>
        </w:rPr>
        <w:tab/>
        <w:t>мерки, насочени към повишаване на осведомеността за подходящите законни канали за имиграция и за рисковете от незаконната имиграция;</w:t>
      </w:r>
    </w:p>
    <w:p>
      <w:pPr>
        <w:pStyle w:val="Point1"/>
        <w:rPr>
          <w:noProof/>
        </w:rPr>
      </w:pPr>
      <w:r>
        <w:rPr>
          <w:noProof/>
        </w:rPr>
        <w:t>м)</w:t>
      </w:r>
      <w:r>
        <w:rPr>
          <w:noProof/>
        </w:rPr>
        <w:tab/>
        <w:t>подкрепа за трети държави и действия в трети държави, включително във връзка с инфраструктура, оборудване и други мерки, при условие че те допринасят за засилване на ефективното сътрудничество между третите държави и Съюза и неговите държави членки в областта на връщането и обратното приемане.</w:t>
      </w:r>
    </w:p>
    <w:bookmarkEnd w:id="1"/>
    <w:bookmarkEnd w:id="2"/>
    <w:bookmarkEnd w:id="3"/>
    <w:bookmarkEnd w:id="4"/>
    <w:bookmarkEnd w:id="5"/>
    <w:p>
      <w:pPr>
        <w:rPr>
          <w:noProof/>
        </w:rPr>
        <w:sectPr>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IV</w:t>
      </w:r>
      <w:r>
        <w:rPr>
          <w:noProof/>
        </w:rPr>
        <w:br/>
        <w:t>Действия, отговарящи на условията за по-голям процент съфинансиране в съответствие с член 12, параграф 2 и член 13, параграф 7</w:t>
      </w:r>
    </w:p>
    <w:p>
      <w:pPr>
        <w:keepNext/>
        <w:spacing w:before="0" w:after="180"/>
        <w:ind w:right="23"/>
        <w:contextualSpacing/>
        <w:outlineLvl w:val="1"/>
        <w:rPr>
          <w:b/>
          <w:bCs/>
          <w:iCs/>
          <w:noProof/>
          <w:szCs w:val="24"/>
        </w:rPr>
      </w:pPr>
    </w:p>
    <w:p>
      <w:pPr>
        <w:pStyle w:val="Tiret0"/>
        <w:numPr>
          <w:ilvl w:val="0"/>
          <w:numId w:val="3"/>
        </w:numPr>
        <w:rPr>
          <w:rFonts w:ascii="EC Square Sans Cond Pro" w:hAnsi="EC Square Sans Cond Pro" w:cstheme="minorBidi"/>
          <w:noProof/>
        </w:rPr>
      </w:pPr>
      <w:r>
        <w:rPr>
          <w:noProof/>
        </w:rPr>
        <w:t>Мерки за интеграция, осъществявани от местни и регионални органи и организации на гражданското общество;</w:t>
      </w:r>
    </w:p>
    <w:p>
      <w:pPr>
        <w:pStyle w:val="Tiret0"/>
        <w:rPr>
          <w:rFonts w:ascii="EC Square Sans Cond Pro" w:hAnsi="EC Square Sans Cond Pro" w:cstheme="minorBidi"/>
          <w:noProof/>
        </w:rPr>
      </w:pPr>
      <w:r>
        <w:rPr>
          <w:noProof/>
          <w:color w:val="1A171C"/>
        </w:rPr>
        <w:t>действия за разработване и прилагане на ефективни алтернативи на задържането;</w:t>
      </w:r>
    </w:p>
    <w:p>
      <w:pPr>
        <w:pStyle w:val="Tiret0"/>
        <w:rPr>
          <w:noProof/>
        </w:rPr>
      </w:pPr>
      <w:r>
        <w:rPr>
          <w:noProof/>
        </w:rPr>
        <w:t>програми за подпомагане на доброволното връщане и реинтеграцията и дейности, свързани с тях;</w:t>
      </w:r>
    </w:p>
    <w:p>
      <w:pPr>
        <w:pStyle w:val="Tiret0"/>
        <w:rPr>
          <w:rFonts w:ascii="EC Square Sans Cond Pro" w:hAnsi="EC Square Sans Cond Pro" w:cstheme="minorBidi"/>
          <w:noProof/>
        </w:rPr>
      </w:pPr>
      <w:r>
        <w:rPr>
          <w:noProof/>
          <w:color w:val="1A171C"/>
        </w:rPr>
        <w:t>мерки, насочени към уязвими лица и кандидати за международна закрила, със специални нужди във връзка с приема или процедурите, включително мерки за осигуряване на ефективна закрила на децата мигранти, и по-специално на непридружените деца.</w:t>
      </w:r>
    </w:p>
    <w:p>
      <w:pPr>
        <w:pStyle w:val="Annexetitre"/>
        <w:rPr>
          <w:b w:val="0"/>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V</w:t>
      </w:r>
      <w:r>
        <w:rPr>
          <w:rStyle w:val="CommentReference"/>
          <w:b w:val="0"/>
          <w:noProof/>
          <w:u w:val="none"/>
        </w:rPr>
        <w:br/>
      </w:r>
      <w:r>
        <w:rPr>
          <w:noProof/>
        </w:rPr>
        <w:t>Основни показатели за качеството на изпълнението по член 28, параграф 1</w:t>
      </w:r>
    </w:p>
    <w:p>
      <w:pPr>
        <w:pStyle w:val="NormalLeft"/>
        <w:rPr>
          <w:noProof/>
        </w:rPr>
      </w:pPr>
      <w:r>
        <w:rPr>
          <w:b/>
          <w:noProof/>
        </w:rPr>
        <w:t>Специфична цел 1:</w:t>
      </w:r>
      <w:r>
        <w:rPr>
          <w:noProof/>
        </w:rPr>
        <w:t xml:space="preserve"> Укрепване и развиване на всички аспекти на общата европейска система за убежище, включително нейното външно измерение:</w:t>
      </w:r>
    </w:p>
    <w:p>
      <w:pPr>
        <w:pStyle w:val="NumPar1"/>
        <w:numPr>
          <w:ilvl w:val="0"/>
          <w:numId w:val="15"/>
        </w:numPr>
        <w:rPr>
          <w:noProof/>
        </w:rPr>
      </w:pPr>
      <w:r>
        <w:rPr>
          <w:noProof/>
        </w:rPr>
        <w:t>Брой презаселени с подкрепата на Фонда лица.</w:t>
      </w:r>
    </w:p>
    <w:p>
      <w:pPr>
        <w:pStyle w:val="NumPar1"/>
        <w:numPr>
          <w:ilvl w:val="0"/>
          <w:numId w:val="1"/>
        </w:numPr>
        <w:rPr>
          <w:noProof/>
        </w:rPr>
      </w:pPr>
      <w:r>
        <w:rPr>
          <w:noProof/>
        </w:rPr>
        <w:t>Брой на лицата в системата за приемане в сравнение с броя на кандидатите за убежище.</w:t>
      </w:r>
    </w:p>
    <w:p>
      <w:pPr>
        <w:pStyle w:val="NumPar1"/>
        <w:numPr>
          <w:ilvl w:val="0"/>
          <w:numId w:val="1"/>
        </w:numPr>
        <w:rPr>
          <w:noProof/>
        </w:rPr>
      </w:pPr>
      <w:r>
        <w:rPr>
          <w:noProof/>
        </w:rPr>
        <w:t>Сближаване на равнищата на признаване на молби за закрила от кандидати за убежище от една и съща държава.</w:t>
      </w:r>
    </w:p>
    <w:p>
      <w:pPr>
        <w:pStyle w:val="NormalLeft"/>
        <w:rPr>
          <w:noProof/>
        </w:rPr>
      </w:pPr>
      <w:r>
        <w:rPr>
          <w:b/>
          <w:noProof/>
        </w:rPr>
        <w:t>Специфична цел 2:</w:t>
      </w:r>
      <w:r>
        <w:rPr>
          <w:noProof/>
        </w:rPr>
        <w:t xml:space="preserve"> Подкрепа за законната миграция към държавите членки, включително принос за интеграцията на гражданите на трети държави;</w:t>
      </w:r>
    </w:p>
    <w:p>
      <w:pPr>
        <w:pStyle w:val="NumPar1"/>
        <w:numPr>
          <w:ilvl w:val="0"/>
          <w:numId w:val="12"/>
        </w:numPr>
        <w:rPr>
          <w:noProof/>
        </w:rPr>
      </w:pPr>
      <w:r>
        <w:rPr>
          <w:noProof/>
        </w:rPr>
        <w:t>Брой лица, участвали в мерки преди заминаването, подкрепени от Фонда.</w:t>
      </w:r>
    </w:p>
    <w:p>
      <w:pPr>
        <w:pStyle w:val="NumPar1"/>
        <w:numPr>
          <w:ilvl w:val="0"/>
          <w:numId w:val="1"/>
        </w:numPr>
        <w:rPr>
          <w:noProof/>
        </w:rPr>
      </w:pPr>
      <w:r>
        <w:rPr>
          <w:noProof/>
        </w:rPr>
        <w:t>Брой лица, участвали в подкрепени от Фонда мерки за интеграция, докладвали, че мерките са били от полза за тяхната ранна интеграция, в сравнение с общия брой лица, участвали в мерки за интеграция, подкрепяни от Фонда.</w:t>
      </w:r>
    </w:p>
    <w:p>
      <w:pPr>
        <w:rPr>
          <w:noProof/>
        </w:rPr>
      </w:pPr>
      <w:r>
        <w:rPr>
          <w:b/>
          <w:noProof/>
        </w:rPr>
        <w:t>Специфична цел 3</w:t>
      </w:r>
      <w:r>
        <w:rPr>
          <w:noProof/>
        </w:rPr>
        <w:t xml:space="preserve">: Принос за борбата с незаконната миграция и осигуряване на ефективност на връщането и обратното приемане в трети държави.   </w:t>
      </w:r>
    </w:p>
    <w:p>
      <w:pPr>
        <w:pStyle w:val="NumPar1"/>
        <w:numPr>
          <w:ilvl w:val="0"/>
          <w:numId w:val="16"/>
        </w:numPr>
        <w:rPr>
          <w:noProof/>
        </w:rPr>
      </w:pPr>
      <w:r>
        <w:rPr>
          <w:noProof/>
        </w:rPr>
        <w:t>Брой връщания вследствие на заповед за напускане в сравнение с броя на гражданите на трети държави, на които е наредено да напуснат.</w:t>
      </w:r>
    </w:p>
    <w:p>
      <w:pPr>
        <w:pStyle w:val="NumPar1"/>
        <w:rPr>
          <w:noProof/>
        </w:rPr>
      </w:pPr>
      <w:r>
        <w:rPr>
          <w:noProof/>
        </w:rPr>
        <w:t>Брой върнати лица, получили помощ преди или след връщането за подпомагане на реинтеграцията, съфинансирана от Фонда, в сравнение с общия брой връщания, подкрепени от Фонда.</w:t>
      </w:r>
    </w:p>
    <w:p>
      <w:pPr>
        <w:pStyle w:val="Annexetitre"/>
        <w:rPr>
          <w:b w:val="0"/>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VI</w:t>
      </w:r>
      <w:r>
        <w:rPr>
          <w:noProof/>
        </w:rPr>
        <w:br/>
        <w:t>Видове интервенции</w:t>
      </w:r>
    </w:p>
    <w:p>
      <w:pPr>
        <w:shd w:val="clear" w:color="auto" w:fill="FFFFFF"/>
        <w:spacing w:before="240"/>
        <w:rPr>
          <w:rFonts w:eastAsia="Times New Roman"/>
          <w:b/>
          <w:bCs/>
          <w:noProof/>
          <w:color w:val="000000"/>
          <w:szCs w:val="24"/>
        </w:rPr>
      </w:pPr>
      <w:r>
        <w:rPr>
          <w:rFonts w:eastAsia="Times New Roman"/>
          <w:b/>
          <w:bCs/>
          <w:noProof/>
          <w:color w:val="000000"/>
          <w:szCs w:val="24"/>
        </w:rPr>
        <w:br/>
      </w:r>
      <w:r>
        <w:rPr>
          <w:b/>
          <w:noProof/>
          <w:color w:val="000000"/>
        </w:rPr>
        <w:t>ТАБЛИЦА 1: КОДОВЕ ПО ИЗМЕРЕНИЕТО „ОБЛАСТ НА ИНТЕРВЕНЦИЯ“</w:t>
      </w:r>
    </w:p>
    <w:tbl>
      <w:tblPr>
        <w:tblStyle w:val="TableGrid"/>
        <w:tblW w:w="0" w:type="auto"/>
        <w:tblLook w:val="04A0" w:firstRow="1" w:lastRow="0" w:firstColumn="1" w:lastColumn="0" w:noHBand="0" w:noVBand="1"/>
      </w:tblPr>
      <w:tblGrid>
        <w:gridCol w:w="675"/>
        <w:gridCol w:w="8614"/>
      </w:tblGrid>
      <w:tr>
        <w:tc>
          <w:tcPr>
            <w:tcW w:w="9289" w:type="dxa"/>
            <w:gridSpan w:val="2"/>
            <w:vAlign w:val="center"/>
          </w:tcPr>
          <w:p>
            <w:pPr>
              <w:pStyle w:val="ListParagraph"/>
              <w:numPr>
                <w:ilvl w:val="0"/>
                <w:numId w:val="13"/>
              </w:numPr>
              <w:spacing w:before="240"/>
              <w:jc w:val="center"/>
              <w:rPr>
                <w:rFonts w:eastAsia="Times New Roman"/>
                <w:b/>
                <w:bCs/>
                <w:noProof/>
                <w:color w:val="000000"/>
                <w:szCs w:val="24"/>
              </w:rPr>
            </w:pPr>
            <w:r>
              <w:rPr>
                <w:b/>
                <w:noProof/>
                <w:color w:val="000000"/>
              </w:rPr>
              <w:t>ОЕСУ</w:t>
            </w:r>
          </w:p>
        </w:tc>
      </w:tr>
      <w:tr>
        <w:tc>
          <w:tcPr>
            <w:tcW w:w="675" w:type="dxa"/>
            <w:vAlign w:val="center"/>
          </w:tcPr>
          <w:p>
            <w:pPr>
              <w:spacing w:before="240"/>
              <w:rPr>
                <w:rFonts w:eastAsia="Times New Roman"/>
                <w:bCs/>
                <w:noProof/>
                <w:color w:val="000000"/>
                <w:szCs w:val="24"/>
              </w:rPr>
            </w:pPr>
            <w:r>
              <w:rPr>
                <w:noProof/>
                <w:color w:val="000000"/>
              </w:rPr>
              <w:t>001</w:t>
            </w:r>
          </w:p>
        </w:tc>
        <w:tc>
          <w:tcPr>
            <w:tcW w:w="8614" w:type="dxa"/>
            <w:vAlign w:val="center"/>
          </w:tcPr>
          <w:p>
            <w:pPr>
              <w:spacing w:before="240"/>
              <w:jc w:val="left"/>
              <w:rPr>
                <w:rFonts w:eastAsia="Times New Roman"/>
                <w:bCs/>
                <w:noProof/>
                <w:color w:val="000000"/>
                <w:szCs w:val="24"/>
              </w:rPr>
            </w:pPr>
            <w:r>
              <w:rPr>
                <w:noProof/>
                <w:color w:val="000000" w:themeColor="text1"/>
              </w:rPr>
              <w:t xml:space="preserve">Условия за приемане </w:t>
            </w:r>
          </w:p>
        </w:tc>
      </w:tr>
      <w:tr>
        <w:tc>
          <w:tcPr>
            <w:tcW w:w="675" w:type="dxa"/>
            <w:vAlign w:val="center"/>
          </w:tcPr>
          <w:p>
            <w:pPr>
              <w:spacing w:before="240"/>
              <w:rPr>
                <w:rFonts w:eastAsia="Times New Roman"/>
                <w:bCs/>
                <w:noProof/>
                <w:color w:val="000000"/>
                <w:szCs w:val="24"/>
              </w:rPr>
            </w:pPr>
            <w:r>
              <w:rPr>
                <w:noProof/>
                <w:color w:val="000000"/>
              </w:rPr>
              <w:t>002</w:t>
            </w:r>
          </w:p>
        </w:tc>
        <w:tc>
          <w:tcPr>
            <w:tcW w:w="8614" w:type="dxa"/>
            <w:vAlign w:val="center"/>
          </w:tcPr>
          <w:p>
            <w:pPr>
              <w:spacing w:before="240"/>
              <w:jc w:val="left"/>
              <w:rPr>
                <w:rFonts w:eastAsia="Times New Roman"/>
                <w:bCs/>
                <w:noProof/>
                <w:color w:val="000000"/>
                <w:szCs w:val="24"/>
              </w:rPr>
            </w:pPr>
            <w:r>
              <w:rPr>
                <w:noProof/>
                <w:color w:val="000000" w:themeColor="text1"/>
              </w:rPr>
              <w:t>Процедури за убежище</w:t>
            </w:r>
          </w:p>
        </w:tc>
      </w:tr>
      <w:tr>
        <w:tc>
          <w:tcPr>
            <w:tcW w:w="675" w:type="dxa"/>
            <w:vAlign w:val="center"/>
          </w:tcPr>
          <w:p>
            <w:pPr>
              <w:spacing w:before="240"/>
              <w:rPr>
                <w:rFonts w:eastAsia="Times New Roman"/>
                <w:bCs/>
                <w:noProof/>
                <w:color w:val="000000"/>
                <w:szCs w:val="24"/>
              </w:rPr>
            </w:pPr>
            <w:r>
              <w:rPr>
                <w:noProof/>
                <w:color w:val="000000"/>
              </w:rPr>
              <w:t>003</w:t>
            </w:r>
          </w:p>
        </w:tc>
        <w:tc>
          <w:tcPr>
            <w:tcW w:w="8614" w:type="dxa"/>
            <w:vAlign w:val="center"/>
          </w:tcPr>
          <w:p>
            <w:pPr>
              <w:spacing w:before="240"/>
              <w:jc w:val="left"/>
              <w:rPr>
                <w:rFonts w:eastAsia="Times New Roman"/>
                <w:bCs/>
                <w:noProof/>
                <w:color w:val="000000"/>
                <w:szCs w:val="24"/>
              </w:rPr>
            </w:pPr>
            <w:r>
              <w:rPr>
                <w:noProof/>
                <w:color w:val="000000" w:themeColor="text1"/>
              </w:rPr>
              <w:t>Прилагане на достиженията на правото на Съюза</w:t>
            </w:r>
          </w:p>
        </w:tc>
      </w:tr>
      <w:tr>
        <w:tc>
          <w:tcPr>
            <w:tcW w:w="675" w:type="dxa"/>
            <w:vAlign w:val="center"/>
          </w:tcPr>
          <w:p>
            <w:pPr>
              <w:spacing w:before="240"/>
              <w:rPr>
                <w:rFonts w:eastAsia="Times New Roman"/>
                <w:bCs/>
                <w:noProof/>
                <w:color w:val="000000"/>
                <w:szCs w:val="24"/>
              </w:rPr>
            </w:pPr>
            <w:r>
              <w:rPr>
                <w:noProof/>
                <w:color w:val="000000"/>
              </w:rPr>
              <w:t>004</w:t>
            </w:r>
          </w:p>
        </w:tc>
        <w:tc>
          <w:tcPr>
            <w:tcW w:w="8614" w:type="dxa"/>
            <w:vAlign w:val="center"/>
          </w:tcPr>
          <w:p>
            <w:pPr>
              <w:spacing w:before="60" w:after="60"/>
              <w:jc w:val="left"/>
              <w:rPr>
                <w:rFonts w:eastAsia="Times New Roman"/>
                <w:noProof/>
                <w:color w:val="000000"/>
                <w:szCs w:val="24"/>
              </w:rPr>
            </w:pPr>
            <w:r>
              <w:rPr>
                <w:noProof/>
              </w:rPr>
              <w:t>Деца мигранти</w:t>
            </w:r>
          </w:p>
        </w:tc>
      </w:tr>
      <w:tr>
        <w:tc>
          <w:tcPr>
            <w:tcW w:w="675" w:type="dxa"/>
            <w:vAlign w:val="center"/>
          </w:tcPr>
          <w:p>
            <w:pPr>
              <w:spacing w:before="240"/>
              <w:rPr>
                <w:rFonts w:eastAsia="Times New Roman"/>
                <w:bCs/>
                <w:noProof/>
                <w:color w:val="000000"/>
                <w:szCs w:val="24"/>
              </w:rPr>
            </w:pPr>
            <w:r>
              <w:rPr>
                <w:noProof/>
                <w:color w:val="000000"/>
              </w:rPr>
              <w:t>005</w:t>
            </w:r>
          </w:p>
        </w:tc>
        <w:tc>
          <w:tcPr>
            <w:tcW w:w="8614" w:type="dxa"/>
            <w:vAlign w:val="center"/>
          </w:tcPr>
          <w:p>
            <w:pPr>
              <w:spacing w:before="60" w:after="60"/>
              <w:jc w:val="left"/>
              <w:rPr>
                <w:rFonts w:eastAsia="Times New Roman"/>
                <w:noProof/>
                <w:color w:val="000000"/>
                <w:szCs w:val="24"/>
              </w:rPr>
            </w:pPr>
            <w:r>
              <w:rPr>
                <w:noProof/>
              </w:rPr>
              <w:t>Лица със специални нужди във връзка с приемането и процедурите</w:t>
            </w:r>
          </w:p>
        </w:tc>
      </w:tr>
      <w:tr>
        <w:tc>
          <w:tcPr>
            <w:tcW w:w="675" w:type="dxa"/>
            <w:vAlign w:val="center"/>
          </w:tcPr>
          <w:p>
            <w:pPr>
              <w:spacing w:before="240"/>
              <w:rPr>
                <w:rFonts w:eastAsia="Times New Roman"/>
                <w:bCs/>
                <w:noProof/>
                <w:color w:val="000000"/>
                <w:szCs w:val="24"/>
              </w:rPr>
            </w:pPr>
            <w:r>
              <w:rPr>
                <w:noProof/>
                <w:color w:val="000000"/>
              </w:rPr>
              <w:t>006</w:t>
            </w:r>
          </w:p>
        </w:tc>
        <w:tc>
          <w:tcPr>
            <w:tcW w:w="8614" w:type="dxa"/>
            <w:vAlign w:val="center"/>
          </w:tcPr>
          <w:p>
            <w:pPr>
              <w:spacing w:before="60" w:after="60"/>
              <w:jc w:val="left"/>
              <w:rPr>
                <w:rFonts w:eastAsia="Times New Roman"/>
                <w:noProof/>
                <w:color w:val="000000"/>
                <w:szCs w:val="24"/>
              </w:rPr>
            </w:pPr>
            <w:r>
              <w:rPr>
                <w:noProof/>
                <w:color w:val="000000" w:themeColor="text1"/>
              </w:rPr>
              <w:t>Презаселване</w:t>
            </w:r>
          </w:p>
        </w:tc>
      </w:tr>
      <w:tr>
        <w:tc>
          <w:tcPr>
            <w:tcW w:w="675" w:type="dxa"/>
            <w:vAlign w:val="center"/>
          </w:tcPr>
          <w:p>
            <w:pPr>
              <w:spacing w:before="240"/>
              <w:rPr>
                <w:rFonts w:eastAsia="Times New Roman"/>
                <w:bCs/>
                <w:noProof/>
                <w:color w:val="000000"/>
                <w:szCs w:val="24"/>
              </w:rPr>
            </w:pPr>
            <w:r>
              <w:rPr>
                <w:noProof/>
                <w:color w:val="000000"/>
              </w:rPr>
              <w:t>007</w:t>
            </w:r>
          </w:p>
        </w:tc>
        <w:tc>
          <w:tcPr>
            <w:tcW w:w="8614" w:type="dxa"/>
            <w:vAlign w:val="center"/>
          </w:tcPr>
          <w:p>
            <w:pPr>
              <w:spacing w:before="60" w:after="60"/>
              <w:jc w:val="left"/>
              <w:rPr>
                <w:rFonts w:eastAsia="Times New Roman"/>
                <w:noProof/>
                <w:color w:val="000000"/>
                <w:szCs w:val="24"/>
              </w:rPr>
            </w:pPr>
            <w:r>
              <w:rPr>
                <w:noProof/>
              </w:rPr>
              <w:t>Усилия за солидарност между държавите членки</w:t>
            </w:r>
          </w:p>
        </w:tc>
      </w:tr>
      <w:tr>
        <w:tc>
          <w:tcPr>
            <w:tcW w:w="675" w:type="dxa"/>
            <w:vAlign w:val="center"/>
          </w:tcPr>
          <w:p>
            <w:pPr>
              <w:spacing w:before="240"/>
              <w:rPr>
                <w:rFonts w:eastAsia="Times New Roman"/>
                <w:bCs/>
                <w:noProof/>
                <w:color w:val="000000"/>
                <w:szCs w:val="24"/>
              </w:rPr>
            </w:pPr>
            <w:r>
              <w:rPr>
                <w:noProof/>
                <w:color w:val="000000"/>
              </w:rPr>
              <w:t>008</w:t>
            </w:r>
          </w:p>
        </w:tc>
        <w:tc>
          <w:tcPr>
            <w:tcW w:w="8614" w:type="dxa"/>
            <w:vAlign w:val="center"/>
          </w:tcPr>
          <w:p>
            <w:pPr>
              <w:spacing w:before="60" w:after="60"/>
              <w:jc w:val="left"/>
              <w:rPr>
                <w:noProof/>
                <w:szCs w:val="24"/>
              </w:rPr>
            </w:pPr>
            <w:r>
              <w:rPr>
                <w:noProof/>
              </w:rPr>
              <w:t>Оперативна подкрепа</w:t>
            </w:r>
          </w:p>
        </w:tc>
      </w:tr>
      <w:tr>
        <w:tc>
          <w:tcPr>
            <w:tcW w:w="9289" w:type="dxa"/>
            <w:gridSpan w:val="2"/>
            <w:vAlign w:val="center"/>
          </w:tcPr>
          <w:p>
            <w:pPr>
              <w:pStyle w:val="ListParagraph"/>
              <w:numPr>
                <w:ilvl w:val="0"/>
                <w:numId w:val="13"/>
              </w:numPr>
              <w:spacing w:before="240"/>
              <w:jc w:val="center"/>
              <w:rPr>
                <w:rFonts w:eastAsia="Times New Roman"/>
                <w:b/>
                <w:bCs/>
                <w:noProof/>
                <w:color w:val="000000"/>
                <w:szCs w:val="24"/>
              </w:rPr>
            </w:pPr>
            <w:r>
              <w:rPr>
                <w:b/>
                <w:noProof/>
                <w:color w:val="000000"/>
              </w:rPr>
              <w:t>Законна миграция и интеграция</w:t>
            </w:r>
          </w:p>
        </w:tc>
      </w:tr>
      <w:tr>
        <w:tc>
          <w:tcPr>
            <w:tcW w:w="675" w:type="dxa"/>
            <w:vAlign w:val="center"/>
          </w:tcPr>
          <w:p>
            <w:pPr>
              <w:spacing w:before="240"/>
              <w:rPr>
                <w:rFonts w:eastAsia="Times New Roman"/>
                <w:bCs/>
                <w:noProof/>
                <w:color w:val="000000"/>
                <w:szCs w:val="24"/>
              </w:rPr>
            </w:pPr>
            <w:r>
              <w:rPr>
                <w:noProof/>
                <w:color w:val="000000"/>
              </w:rPr>
              <w:t>001</w:t>
            </w:r>
          </w:p>
        </w:tc>
        <w:tc>
          <w:tcPr>
            <w:tcW w:w="8614" w:type="dxa"/>
            <w:vAlign w:val="center"/>
          </w:tcPr>
          <w:p>
            <w:pPr>
              <w:spacing w:before="60" w:after="60"/>
              <w:jc w:val="left"/>
              <w:rPr>
                <w:rFonts w:eastAsia="Times New Roman"/>
                <w:noProof/>
                <w:szCs w:val="24"/>
              </w:rPr>
            </w:pPr>
            <w:r>
              <w:rPr>
                <w:noProof/>
              </w:rPr>
              <w:t>Разработване на стратегии за интеграция</w:t>
            </w:r>
          </w:p>
        </w:tc>
      </w:tr>
      <w:tr>
        <w:tc>
          <w:tcPr>
            <w:tcW w:w="675" w:type="dxa"/>
            <w:vAlign w:val="center"/>
          </w:tcPr>
          <w:p>
            <w:pPr>
              <w:spacing w:before="240"/>
              <w:rPr>
                <w:rFonts w:eastAsia="Times New Roman"/>
                <w:bCs/>
                <w:noProof/>
                <w:color w:val="000000"/>
                <w:szCs w:val="24"/>
              </w:rPr>
            </w:pPr>
            <w:r>
              <w:rPr>
                <w:noProof/>
                <w:color w:val="000000"/>
              </w:rPr>
              <w:t>002</w:t>
            </w:r>
          </w:p>
        </w:tc>
        <w:tc>
          <w:tcPr>
            <w:tcW w:w="8614" w:type="dxa"/>
            <w:vAlign w:val="center"/>
          </w:tcPr>
          <w:p>
            <w:pPr>
              <w:spacing w:before="60" w:after="60"/>
              <w:jc w:val="left"/>
              <w:rPr>
                <w:rFonts w:eastAsia="Times New Roman"/>
                <w:noProof/>
                <w:szCs w:val="24"/>
              </w:rPr>
            </w:pPr>
            <w:r>
              <w:rPr>
                <w:noProof/>
              </w:rPr>
              <w:t>Жертви на трафик на хора</w:t>
            </w:r>
          </w:p>
        </w:tc>
      </w:tr>
      <w:tr>
        <w:tc>
          <w:tcPr>
            <w:tcW w:w="675" w:type="dxa"/>
            <w:vAlign w:val="center"/>
          </w:tcPr>
          <w:p>
            <w:pPr>
              <w:spacing w:before="240"/>
              <w:rPr>
                <w:rFonts w:eastAsia="Times New Roman"/>
                <w:bCs/>
                <w:noProof/>
                <w:color w:val="000000"/>
                <w:szCs w:val="24"/>
              </w:rPr>
            </w:pPr>
            <w:r>
              <w:rPr>
                <w:noProof/>
                <w:color w:val="000000"/>
              </w:rPr>
              <w:t>003</w:t>
            </w:r>
          </w:p>
        </w:tc>
        <w:tc>
          <w:tcPr>
            <w:tcW w:w="8614" w:type="dxa"/>
            <w:vAlign w:val="center"/>
          </w:tcPr>
          <w:p>
            <w:pPr>
              <w:spacing w:before="60" w:after="60"/>
              <w:jc w:val="left"/>
              <w:rPr>
                <w:rFonts w:eastAsia="Times New Roman"/>
                <w:noProof/>
                <w:szCs w:val="24"/>
              </w:rPr>
            </w:pPr>
            <w:r>
              <w:rPr>
                <w:noProof/>
              </w:rPr>
              <w:t>Мерки за интеграция — информация и ориентиране, обслужване на едно гише</w:t>
            </w:r>
          </w:p>
        </w:tc>
      </w:tr>
      <w:tr>
        <w:tc>
          <w:tcPr>
            <w:tcW w:w="675" w:type="dxa"/>
            <w:vAlign w:val="center"/>
          </w:tcPr>
          <w:p>
            <w:pPr>
              <w:spacing w:before="240"/>
              <w:rPr>
                <w:rFonts w:eastAsia="Times New Roman"/>
                <w:bCs/>
                <w:noProof/>
                <w:color w:val="000000"/>
                <w:szCs w:val="24"/>
              </w:rPr>
            </w:pPr>
            <w:r>
              <w:rPr>
                <w:noProof/>
                <w:color w:val="000000"/>
              </w:rPr>
              <w:t>004</w:t>
            </w:r>
          </w:p>
        </w:tc>
        <w:tc>
          <w:tcPr>
            <w:tcW w:w="8614" w:type="dxa"/>
            <w:vAlign w:val="center"/>
          </w:tcPr>
          <w:p>
            <w:pPr>
              <w:spacing w:before="60" w:after="60"/>
              <w:jc w:val="left"/>
              <w:rPr>
                <w:rFonts w:eastAsia="Times New Roman"/>
                <w:noProof/>
                <w:szCs w:val="24"/>
              </w:rPr>
            </w:pPr>
            <w:r>
              <w:rPr>
                <w:noProof/>
              </w:rPr>
              <w:t>Мерки за интеграция — езиково обучение</w:t>
            </w:r>
          </w:p>
        </w:tc>
      </w:tr>
      <w:tr>
        <w:tc>
          <w:tcPr>
            <w:tcW w:w="675" w:type="dxa"/>
            <w:vAlign w:val="center"/>
          </w:tcPr>
          <w:p>
            <w:pPr>
              <w:spacing w:before="240"/>
              <w:rPr>
                <w:rFonts w:eastAsia="Times New Roman"/>
                <w:bCs/>
                <w:noProof/>
                <w:color w:val="000000"/>
                <w:szCs w:val="24"/>
              </w:rPr>
            </w:pPr>
            <w:r>
              <w:rPr>
                <w:noProof/>
                <w:color w:val="000000"/>
              </w:rPr>
              <w:t>005</w:t>
            </w:r>
          </w:p>
        </w:tc>
        <w:tc>
          <w:tcPr>
            <w:tcW w:w="8614" w:type="dxa"/>
            <w:vAlign w:val="center"/>
          </w:tcPr>
          <w:p>
            <w:pPr>
              <w:spacing w:before="60" w:after="60"/>
              <w:jc w:val="left"/>
              <w:rPr>
                <w:rFonts w:eastAsia="Times New Roman"/>
                <w:noProof/>
                <w:szCs w:val="24"/>
              </w:rPr>
            </w:pPr>
            <w:r>
              <w:rPr>
                <w:noProof/>
              </w:rPr>
              <w:t>Мерки за интеграция — гражданско образование и друг вид обучение</w:t>
            </w:r>
          </w:p>
        </w:tc>
      </w:tr>
      <w:tr>
        <w:tc>
          <w:tcPr>
            <w:tcW w:w="675" w:type="dxa"/>
            <w:vAlign w:val="center"/>
          </w:tcPr>
          <w:p>
            <w:pPr>
              <w:spacing w:before="240"/>
              <w:rPr>
                <w:rFonts w:eastAsia="Times New Roman"/>
                <w:bCs/>
                <w:noProof/>
                <w:color w:val="000000"/>
                <w:szCs w:val="24"/>
              </w:rPr>
            </w:pPr>
            <w:r>
              <w:rPr>
                <w:noProof/>
                <w:color w:val="000000"/>
              </w:rPr>
              <w:t>006</w:t>
            </w:r>
          </w:p>
        </w:tc>
        <w:tc>
          <w:tcPr>
            <w:tcW w:w="8614" w:type="dxa"/>
            <w:vAlign w:val="center"/>
          </w:tcPr>
          <w:p>
            <w:pPr>
              <w:spacing w:before="60" w:after="60"/>
              <w:jc w:val="left"/>
              <w:rPr>
                <w:rFonts w:eastAsia="Times New Roman"/>
                <w:noProof/>
                <w:szCs w:val="24"/>
              </w:rPr>
            </w:pPr>
            <w:r>
              <w:rPr>
                <w:noProof/>
              </w:rPr>
              <w:t>Мерки за интеграция — въвеждане, участие, обмен с приемащото общество</w:t>
            </w:r>
          </w:p>
        </w:tc>
      </w:tr>
      <w:tr>
        <w:tc>
          <w:tcPr>
            <w:tcW w:w="675" w:type="dxa"/>
            <w:vAlign w:val="center"/>
          </w:tcPr>
          <w:p>
            <w:pPr>
              <w:spacing w:before="240"/>
              <w:rPr>
                <w:rFonts w:eastAsia="Times New Roman"/>
                <w:bCs/>
                <w:noProof/>
                <w:color w:val="000000"/>
                <w:szCs w:val="24"/>
              </w:rPr>
            </w:pPr>
            <w:r>
              <w:rPr>
                <w:noProof/>
                <w:color w:val="000000"/>
              </w:rPr>
              <w:t>007</w:t>
            </w:r>
          </w:p>
        </w:tc>
        <w:tc>
          <w:tcPr>
            <w:tcW w:w="8614" w:type="dxa"/>
            <w:vAlign w:val="center"/>
          </w:tcPr>
          <w:p>
            <w:pPr>
              <w:spacing w:before="60" w:after="60"/>
              <w:jc w:val="left"/>
              <w:rPr>
                <w:rFonts w:eastAsia="Times New Roman"/>
                <w:noProof/>
                <w:szCs w:val="24"/>
              </w:rPr>
            </w:pPr>
            <w:r>
              <w:rPr>
                <w:noProof/>
              </w:rPr>
              <w:t>Мерки за интеграция — основни нужди</w:t>
            </w:r>
          </w:p>
        </w:tc>
      </w:tr>
      <w:tr>
        <w:tc>
          <w:tcPr>
            <w:tcW w:w="675" w:type="dxa"/>
            <w:vAlign w:val="center"/>
          </w:tcPr>
          <w:p>
            <w:pPr>
              <w:spacing w:before="240"/>
              <w:rPr>
                <w:rFonts w:eastAsia="Times New Roman"/>
                <w:bCs/>
                <w:noProof/>
                <w:color w:val="000000"/>
                <w:szCs w:val="24"/>
              </w:rPr>
            </w:pPr>
            <w:r>
              <w:rPr>
                <w:noProof/>
                <w:color w:val="000000"/>
              </w:rPr>
              <w:t>008</w:t>
            </w:r>
          </w:p>
        </w:tc>
        <w:tc>
          <w:tcPr>
            <w:tcW w:w="8614" w:type="dxa"/>
            <w:vAlign w:val="center"/>
          </w:tcPr>
          <w:p>
            <w:pPr>
              <w:spacing w:before="60" w:after="60"/>
              <w:jc w:val="left"/>
              <w:rPr>
                <w:rFonts w:eastAsia="Times New Roman"/>
                <w:noProof/>
                <w:szCs w:val="24"/>
              </w:rPr>
            </w:pPr>
            <w:r>
              <w:rPr>
                <w:noProof/>
              </w:rPr>
              <w:t>Мерки преди заминаване</w:t>
            </w:r>
          </w:p>
        </w:tc>
      </w:tr>
      <w:tr>
        <w:tc>
          <w:tcPr>
            <w:tcW w:w="675" w:type="dxa"/>
            <w:vAlign w:val="center"/>
          </w:tcPr>
          <w:p>
            <w:pPr>
              <w:spacing w:before="240"/>
              <w:rPr>
                <w:rFonts w:eastAsia="Times New Roman"/>
                <w:bCs/>
                <w:noProof/>
                <w:color w:val="000000"/>
                <w:szCs w:val="24"/>
              </w:rPr>
            </w:pPr>
            <w:r>
              <w:rPr>
                <w:noProof/>
                <w:color w:val="000000"/>
              </w:rPr>
              <w:t>009</w:t>
            </w:r>
          </w:p>
        </w:tc>
        <w:tc>
          <w:tcPr>
            <w:tcW w:w="8614" w:type="dxa"/>
            <w:vAlign w:val="center"/>
          </w:tcPr>
          <w:p>
            <w:pPr>
              <w:spacing w:before="60" w:after="60"/>
              <w:jc w:val="left"/>
              <w:rPr>
                <w:rFonts w:eastAsia="Times New Roman"/>
                <w:noProof/>
                <w:szCs w:val="24"/>
              </w:rPr>
            </w:pPr>
            <w:r>
              <w:rPr>
                <w:noProof/>
              </w:rPr>
              <w:t>Схеми за мобилност</w:t>
            </w:r>
          </w:p>
        </w:tc>
      </w:tr>
      <w:tr>
        <w:tc>
          <w:tcPr>
            <w:tcW w:w="675" w:type="dxa"/>
            <w:vAlign w:val="center"/>
          </w:tcPr>
          <w:p>
            <w:pPr>
              <w:spacing w:before="240"/>
              <w:rPr>
                <w:rFonts w:eastAsia="Times New Roman"/>
                <w:bCs/>
                <w:noProof/>
                <w:color w:val="000000"/>
                <w:szCs w:val="24"/>
              </w:rPr>
            </w:pPr>
            <w:r>
              <w:rPr>
                <w:noProof/>
                <w:color w:val="000000"/>
              </w:rPr>
              <w:t>010</w:t>
            </w:r>
          </w:p>
        </w:tc>
        <w:tc>
          <w:tcPr>
            <w:tcW w:w="8614" w:type="dxa"/>
            <w:vAlign w:val="center"/>
          </w:tcPr>
          <w:p>
            <w:pPr>
              <w:spacing w:before="60" w:after="60"/>
              <w:jc w:val="left"/>
              <w:rPr>
                <w:rFonts w:eastAsia="Times New Roman"/>
                <w:noProof/>
                <w:szCs w:val="24"/>
              </w:rPr>
            </w:pPr>
            <w:r>
              <w:rPr>
                <w:noProof/>
              </w:rPr>
              <w:t>Придобиване право на законно пребиваване</w:t>
            </w:r>
          </w:p>
        </w:tc>
      </w:tr>
      <w:tr>
        <w:tc>
          <w:tcPr>
            <w:tcW w:w="9289" w:type="dxa"/>
            <w:gridSpan w:val="2"/>
            <w:vAlign w:val="center"/>
          </w:tcPr>
          <w:p>
            <w:pPr>
              <w:pStyle w:val="ListParagraph"/>
              <w:numPr>
                <w:ilvl w:val="0"/>
                <w:numId w:val="13"/>
              </w:numPr>
              <w:spacing w:before="240"/>
              <w:jc w:val="center"/>
              <w:rPr>
                <w:rFonts w:eastAsia="Times New Roman"/>
                <w:b/>
                <w:bCs/>
                <w:noProof/>
                <w:color w:val="000000"/>
                <w:szCs w:val="24"/>
              </w:rPr>
            </w:pPr>
            <w:r>
              <w:rPr>
                <w:b/>
                <w:noProof/>
                <w:color w:val="000000"/>
              </w:rPr>
              <w:t>Връщане</w:t>
            </w:r>
          </w:p>
        </w:tc>
      </w:tr>
      <w:tr>
        <w:tc>
          <w:tcPr>
            <w:tcW w:w="675" w:type="dxa"/>
            <w:vAlign w:val="center"/>
          </w:tcPr>
          <w:p>
            <w:pPr>
              <w:spacing w:before="240"/>
              <w:rPr>
                <w:rFonts w:eastAsia="Times New Roman"/>
                <w:bCs/>
                <w:noProof/>
                <w:color w:val="000000"/>
                <w:szCs w:val="24"/>
              </w:rPr>
            </w:pPr>
            <w:r>
              <w:rPr>
                <w:noProof/>
                <w:color w:val="000000"/>
              </w:rPr>
              <w:t>001</w:t>
            </w:r>
          </w:p>
        </w:tc>
        <w:tc>
          <w:tcPr>
            <w:tcW w:w="8614" w:type="dxa"/>
            <w:vAlign w:val="center"/>
          </w:tcPr>
          <w:p>
            <w:pPr>
              <w:spacing w:before="60" w:after="60"/>
              <w:jc w:val="left"/>
              <w:rPr>
                <w:rFonts w:eastAsia="Times New Roman"/>
                <w:noProof/>
                <w:color w:val="000000"/>
                <w:szCs w:val="24"/>
              </w:rPr>
            </w:pPr>
            <w:r>
              <w:rPr>
                <w:noProof/>
                <w:color w:val="000000" w:themeColor="text1"/>
              </w:rPr>
              <w:t>Алтернативи на задържането</w:t>
            </w:r>
          </w:p>
        </w:tc>
      </w:tr>
      <w:tr>
        <w:tc>
          <w:tcPr>
            <w:tcW w:w="675" w:type="dxa"/>
            <w:vAlign w:val="center"/>
          </w:tcPr>
          <w:p>
            <w:pPr>
              <w:spacing w:before="240"/>
              <w:rPr>
                <w:rFonts w:eastAsia="Times New Roman"/>
                <w:bCs/>
                <w:noProof/>
                <w:color w:val="000000"/>
                <w:szCs w:val="24"/>
              </w:rPr>
            </w:pPr>
            <w:r>
              <w:rPr>
                <w:noProof/>
                <w:color w:val="000000"/>
              </w:rPr>
              <w:t>002</w:t>
            </w:r>
          </w:p>
        </w:tc>
        <w:tc>
          <w:tcPr>
            <w:tcW w:w="8614" w:type="dxa"/>
            <w:vAlign w:val="center"/>
          </w:tcPr>
          <w:p>
            <w:pPr>
              <w:spacing w:before="60" w:after="60"/>
              <w:jc w:val="left"/>
              <w:rPr>
                <w:rFonts w:eastAsia="Times New Roman"/>
                <w:noProof/>
                <w:color w:val="000000"/>
                <w:szCs w:val="24"/>
              </w:rPr>
            </w:pPr>
            <w:r>
              <w:rPr>
                <w:noProof/>
                <w:color w:val="000000" w:themeColor="text1"/>
              </w:rPr>
              <w:t>Условия за приемане/задържане</w:t>
            </w:r>
          </w:p>
        </w:tc>
      </w:tr>
      <w:tr>
        <w:tc>
          <w:tcPr>
            <w:tcW w:w="675" w:type="dxa"/>
            <w:vAlign w:val="center"/>
          </w:tcPr>
          <w:p>
            <w:pPr>
              <w:spacing w:before="240"/>
              <w:rPr>
                <w:rFonts w:eastAsia="Times New Roman"/>
                <w:bCs/>
                <w:noProof/>
                <w:color w:val="000000"/>
                <w:szCs w:val="24"/>
              </w:rPr>
            </w:pPr>
            <w:r>
              <w:rPr>
                <w:noProof/>
                <w:color w:val="000000"/>
              </w:rPr>
              <w:t>003</w:t>
            </w:r>
          </w:p>
        </w:tc>
        <w:tc>
          <w:tcPr>
            <w:tcW w:w="8614" w:type="dxa"/>
            <w:vAlign w:val="center"/>
          </w:tcPr>
          <w:p>
            <w:pPr>
              <w:autoSpaceDE w:val="0"/>
              <w:autoSpaceDN w:val="0"/>
              <w:adjustRightInd w:val="0"/>
              <w:rPr>
                <w:rFonts w:eastAsia="Times New Roman"/>
                <w:noProof/>
                <w:color w:val="000000" w:themeColor="text1"/>
                <w:szCs w:val="24"/>
              </w:rPr>
            </w:pPr>
            <w:r>
              <w:rPr>
                <w:noProof/>
                <w:color w:val="000000" w:themeColor="text1"/>
              </w:rPr>
              <w:t xml:space="preserve">Процедури по връщане </w:t>
            </w:r>
          </w:p>
        </w:tc>
      </w:tr>
      <w:tr>
        <w:tc>
          <w:tcPr>
            <w:tcW w:w="675" w:type="dxa"/>
            <w:vAlign w:val="center"/>
          </w:tcPr>
          <w:p>
            <w:pPr>
              <w:spacing w:before="240"/>
              <w:rPr>
                <w:rFonts w:eastAsia="Times New Roman"/>
                <w:bCs/>
                <w:noProof/>
                <w:color w:val="000000"/>
                <w:szCs w:val="24"/>
              </w:rPr>
            </w:pPr>
            <w:r>
              <w:rPr>
                <w:noProof/>
                <w:color w:val="000000"/>
              </w:rPr>
              <w:t>004</w:t>
            </w:r>
          </w:p>
        </w:tc>
        <w:tc>
          <w:tcPr>
            <w:tcW w:w="8614" w:type="dxa"/>
            <w:vAlign w:val="center"/>
          </w:tcPr>
          <w:p>
            <w:pPr>
              <w:autoSpaceDE w:val="0"/>
              <w:autoSpaceDN w:val="0"/>
              <w:adjustRightInd w:val="0"/>
              <w:rPr>
                <w:rFonts w:eastAsia="Times New Roman"/>
                <w:noProof/>
                <w:color w:val="000000" w:themeColor="text1"/>
                <w:szCs w:val="24"/>
              </w:rPr>
            </w:pPr>
            <w:r>
              <w:rPr>
                <w:noProof/>
                <w:color w:val="000000" w:themeColor="text1"/>
              </w:rPr>
              <w:t xml:space="preserve">Подпомагане на доброволното връщане </w:t>
            </w:r>
          </w:p>
        </w:tc>
      </w:tr>
      <w:tr>
        <w:tc>
          <w:tcPr>
            <w:tcW w:w="675" w:type="dxa"/>
            <w:vAlign w:val="center"/>
          </w:tcPr>
          <w:p>
            <w:pPr>
              <w:spacing w:before="240"/>
              <w:rPr>
                <w:rFonts w:eastAsia="Times New Roman"/>
                <w:bCs/>
                <w:noProof/>
                <w:color w:val="000000"/>
                <w:szCs w:val="24"/>
              </w:rPr>
            </w:pPr>
            <w:r>
              <w:rPr>
                <w:noProof/>
                <w:color w:val="000000"/>
              </w:rPr>
              <w:t>005</w:t>
            </w:r>
          </w:p>
        </w:tc>
        <w:tc>
          <w:tcPr>
            <w:tcW w:w="8614" w:type="dxa"/>
            <w:vAlign w:val="center"/>
          </w:tcPr>
          <w:p>
            <w:pPr>
              <w:rPr>
                <w:noProof/>
                <w:szCs w:val="24"/>
              </w:rPr>
            </w:pPr>
            <w:r>
              <w:rPr>
                <w:noProof/>
                <w:color w:val="000000" w:themeColor="text1"/>
              </w:rPr>
              <w:t>Помощ за реинтеграция</w:t>
            </w:r>
          </w:p>
        </w:tc>
      </w:tr>
      <w:tr>
        <w:tc>
          <w:tcPr>
            <w:tcW w:w="675" w:type="dxa"/>
            <w:vAlign w:val="center"/>
          </w:tcPr>
          <w:p>
            <w:pPr>
              <w:spacing w:before="240"/>
              <w:rPr>
                <w:rFonts w:eastAsia="Times New Roman"/>
                <w:bCs/>
                <w:noProof/>
                <w:color w:val="000000"/>
                <w:szCs w:val="24"/>
              </w:rPr>
            </w:pPr>
            <w:r>
              <w:rPr>
                <w:noProof/>
                <w:color w:val="000000"/>
              </w:rPr>
              <w:t>006</w:t>
            </w:r>
          </w:p>
        </w:tc>
        <w:tc>
          <w:tcPr>
            <w:tcW w:w="8614" w:type="dxa"/>
            <w:vAlign w:val="center"/>
          </w:tcPr>
          <w:p>
            <w:pPr>
              <w:rPr>
                <w:noProof/>
                <w:szCs w:val="24"/>
              </w:rPr>
            </w:pPr>
            <w:r>
              <w:rPr>
                <w:noProof/>
                <w:color w:val="000000" w:themeColor="text1"/>
              </w:rPr>
              <w:t>Операции по извеждане/връщане</w:t>
            </w:r>
          </w:p>
        </w:tc>
      </w:tr>
      <w:tr>
        <w:tc>
          <w:tcPr>
            <w:tcW w:w="675" w:type="dxa"/>
            <w:vAlign w:val="center"/>
          </w:tcPr>
          <w:p>
            <w:pPr>
              <w:spacing w:before="240"/>
              <w:rPr>
                <w:rFonts w:eastAsia="Times New Roman"/>
                <w:bCs/>
                <w:noProof/>
                <w:color w:val="000000"/>
                <w:szCs w:val="24"/>
              </w:rPr>
            </w:pPr>
            <w:r>
              <w:rPr>
                <w:noProof/>
                <w:color w:val="000000"/>
              </w:rPr>
              <w:t>007</w:t>
            </w:r>
          </w:p>
        </w:tc>
        <w:tc>
          <w:tcPr>
            <w:tcW w:w="8614" w:type="dxa"/>
            <w:vAlign w:val="center"/>
          </w:tcPr>
          <w:p>
            <w:pPr>
              <w:rPr>
                <w:rFonts w:eastAsia="Times New Roman"/>
                <w:noProof/>
                <w:color w:val="000000" w:themeColor="text1"/>
                <w:szCs w:val="24"/>
              </w:rPr>
            </w:pPr>
            <w:r>
              <w:rPr>
                <w:noProof/>
                <w:color w:val="000000" w:themeColor="text1"/>
              </w:rPr>
              <w:t>Система за наблюдение на принудителното връщане</w:t>
            </w:r>
          </w:p>
        </w:tc>
      </w:tr>
      <w:tr>
        <w:tc>
          <w:tcPr>
            <w:tcW w:w="675" w:type="dxa"/>
            <w:vAlign w:val="center"/>
          </w:tcPr>
          <w:p>
            <w:pPr>
              <w:spacing w:before="240"/>
              <w:rPr>
                <w:rFonts w:eastAsia="Times New Roman"/>
                <w:bCs/>
                <w:noProof/>
                <w:color w:val="000000"/>
                <w:szCs w:val="24"/>
              </w:rPr>
            </w:pPr>
            <w:r>
              <w:rPr>
                <w:noProof/>
                <w:color w:val="000000"/>
              </w:rPr>
              <w:t>008</w:t>
            </w:r>
          </w:p>
        </w:tc>
        <w:tc>
          <w:tcPr>
            <w:tcW w:w="8614" w:type="dxa"/>
            <w:vAlign w:val="center"/>
          </w:tcPr>
          <w:p>
            <w:pPr>
              <w:autoSpaceDE w:val="0"/>
              <w:autoSpaceDN w:val="0"/>
              <w:adjustRightInd w:val="0"/>
              <w:rPr>
                <w:rFonts w:eastAsia="Times New Roman"/>
                <w:noProof/>
                <w:color w:val="000000" w:themeColor="text1"/>
                <w:szCs w:val="24"/>
              </w:rPr>
            </w:pPr>
            <w:r>
              <w:rPr>
                <w:noProof/>
                <w:color w:val="000000" w:themeColor="text1"/>
              </w:rPr>
              <w:t>Уязвими лица/непридружени ненавършили пълнолетие лица</w:t>
            </w:r>
          </w:p>
        </w:tc>
      </w:tr>
      <w:tr>
        <w:tc>
          <w:tcPr>
            <w:tcW w:w="675" w:type="dxa"/>
            <w:vAlign w:val="center"/>
          </w:tcPr>
          <w:p>
            <w:pPr>
              <w:spacing w:before="240"/>
              <w:rPr>
                <w:rFonts w:eastAsia="Times New Roman"/>
                <w:bCs/>
                <w:noProof/>
                <w:color w:val="000000"/>
                <w:szCs w:val="24"/>
              </w:rPr>
            </w:pPr>
            <w:r>
              <w:rPr>
                <w:noProof/>
                <w:color w:val="000000"/>
              </w:rPr>
              <w:t>009</w:t>
            </w:r>
          </w:p>
        </w:tc>
        <w:tc>
          <w:tcPr>
            <w:tcW w:w="8614" w:type="dxa"/>
            <w:vAlign w:val="center"/>
          </w:tcPr>
          <w:p>
            <w:pPr>
              <w:autoSpaceDE w:val="0"/>
              <w:autoSpaceDN w:val="0"/>
              <w:adjustRightInd w:val="0"/>
              <w:rPr>
                <w:rFonts w:eastAsia="Times New Roman"/>
                <w:noProof/>
                <w:color w:val="000000" w:themeColor="text1"/>
                <w:szCs w:val="24"/>
              </w:rPr>
            </w:pPr>
            <w:r>
              <w:rPr>
                <w:noProof/>
                <w:color w:val="000000" w:themeColor="text1"/>
              </w:rPr>
              <w:t xml:space="preserve"> Мерки за преодоляване на стимулите за незаконна миграция</w:t>
            </w:r>
          </w:p>
        </w:tc>
      </w:tr>
      <w:tr>
        <w:tc>
          <w:tcPr>
            <w:tcW w:w="675" w:type="dxa"/>
            <w:vAlign w:val="center"/>
          </w:tcPr>
          <w:p>
            <w:pPr>
              <w:spacing w:before="240"/>
              <w:rPr>
                <w:rFonts w:eastAsia="Times New Roman"/>
                <w:bCs/>
                <w:noProof/>
                <w:color w:val="000000"/>
                <w:szCs w:val="24"/>
              </w:rPr>
            </w:pPr>
            <w:r>
              <w:rPr>
                <w:noProof/>
                <w:color w:val="000000"/>
              </w:rPr>
              <w:t>010</w:t>
            </w:r>
          </w:p>
        </w:tc>
        <w:tc>
          <w:tcPr>
            <w:tcW w:w="8614" w:type="dxa"/>
            <w:vAlign w:val="center"/>
          </w:tcPr>
          <w:p>
            <w:pPr>
              <w:autoSpaceDE w:val="0"/>
              <w:autoSpaceDN w:val="0"/>
              <w:adjustRightInd w:val="0"/>
              <w:rPr>
                <w:rFonts w:eastAsia="Times New Roman"/>
                <w:noProof/>
                <w:color w:val="000000" w:themeColor="text1"/>
                <w:szCs w:val="24"/>
              </w:rPr>
            </w:pPr>
            <w:r>
              <w:rPr>
                <w:noProof/>
                <w:color w:val="000000" w:themeColor="text1"/>
              </w:rPr>
              <w:t>Оперативна подкрепа</w:t>
            </w:r>
          </w:p>
        </w:tc>
      </w:tr>
      <w:tr>
        <w:tc>
          <w:tcPr>
            <w:tcW w:w="675" w:type="dxa"/>
            <w:vAlign w:val="center"/>
          </w:tcPr>
          <w:p>
            <w:pPr>
              <w:spacing w:before="240"/>
              <w:jc w:val="center"/>
              <w:rPr>
                <w:rFonts w:eastAsia="Times New Roman"/>
                <w:bCs/>
                <w:noProof/>
                <w:color w:val="000000"/>
                <w:szCs w:val="24"/>
              </w:rPr>
            </w:pPr>
          </w:p>
        </w:tc>
        <w:tc>
          <w:tcPr>
            <w:tcW w:w="8614" w:type="dxa"/>
            <w:vAlign w:val="center"/>
          </w:tcPr>
          <w:p>
            <w:pPr>
              <w:pStyle w:val="ListParagraph"/>
              <w:numPr>
                <w:ilvl w:val="0"/>
                <w:numId w:val="13"/>
              </w:numPr>
              <w:autoSpaceDE w:val="0"/>
              <w:autoSpaceDN w:val="0"/>
              <w:adjustRightInd w:val="0"/>
              <w:jc w:val="center"/>
              <w:rPr>
                <w:rFonts w:eastAsia="Times New Roman"/>
                <w:b/>
                <w:noProof/>
                <w:color w:val="000000" w:themeColor="text1"/>
                <w:szCs w:val="24"/>
              </w:rPr>
            </w:pPr>
            <w:r>
              <w:rPr>
                <w:b/>
                <w:noProof/>
                <w:color w:val="000000" w:themeColor="text1"/>
              </w:rPr>
              <w:t>Техническа помощ</w:t>
            </w:r>
          </w:p>
        </w:tc>
      </w:tr>
      <w:tr>
        <w:tc>
          <w:tcPr>
            <w:tcW w:w="675" w:type="dxa"/>
            <w:vAlign w:val="center"/>
          </w:tcPr>
          <w:p>
            <w:pPr>
              <w:spacing w:before="240"/>
              <w:rPr>
                <w:rFonts w:eastAsia="Times New Roman"/>
                <w:bCs/>
                <w:noProof/>
                <w:color w:val="000000"/>
                <w:szCs w:val="24"/>
              </w:rPr>
            </w:pPr>
          </w:p>
        </w:tc>
        <w:tc>
          <w:tcPr>
            <w:tcW w:w="8614" w:type="dxa"/>
            <w:vAlign w:val="center"/>
          </w:tcPr>
          <w:p>
            <w:pPr>
              <w:autoSpaceDE w:val="0"/>
              <w:autoSpaceDN w:val="0"/>
              <w:adjustRightInd w:val="0"/>
              <w:rPr>
                <w:rFonts w:eastAsia="Times New Roman"/>
                <w:noProof/>
                <w:color w:val="000000" w:themeColor="text1"/>
                <w:szCs w:val="24"/>
              </w:rPr>
            </w:pPr>
          </w:p>
        </w:tc>
      </w:tr>
      <w:tr>
        <w:trPr>
          <w:trHeight w:val="315"/>
        </w:trPr>
        <w:tc>
          <w:tcPr>
            <w:tcW w:w="0" w:type="auto"/>
            <w:vAlign w:val="center"/>
            <w:hideMark/>
          </w:tcPr>
          <w:p>
            <w:pPr>
              <w:rPr>
                <w:noProof/>
                <w:sz w:val="22"/>
              </w:rPr>
            </w:pPr>
            <w:r>
              <w:rPr>
                <w:noProof/>
              </w:rPr>
              <w:t>001</w:t>
            </w:r>
          </w:p>
        </w:tc>
        <w:tc>
          <w:tcPr>
            <w:tcW w:w="0" w:type="auto"/>
            <w:vAlign w:val="center"/>
            <w:hideMark/>
          </w:tcPr>
          <w:p>
            <w:pPr>
              <w:rPr>
                <w:noProof/>
                <w:sz w:val="22"/>
              </w:rPr>
            </w:pPr>
            <w:r>
              <w:rPr>
                <w:noProof/>
              </w:rPr>
              <w:t>Информация и комуникация</w:t>
            </w:r>
          </w:p>
        </w:tc>
      </w:tr>
      <w:tr>
        <w:trPr>
          <w:trHeight w:val="315"/>
        </w:trPr>
        <w:tc>
          <w:tcPr>
            <w:tcW w:w="0" w:type="auto"/>
            <w:vAlign w:val="center"/>
            <w:hideMark/>
          </w:tcPr>
          <w:p>
            <w:pPr>
              <w:rPr>
                <w:noProof/>
                <w:sz w:val="22"/>
              </w:rPr>
            </w:pPr>
            <w:r>
              <w:rPr>
                <w:noProof/>
              </w:rPr>
              <w:t>002</w:t>
            </w:r>
          </w:p>
        </w:tc>
        <w:tc>
          <w:tcPr>
            <w:tcW w:w="0" w:type="auto"/>
            <w:vAlign w:val="center"/>
            <w:hideMark/>
          </w:tcPr>
          <w:p>
            <w:pPr>
              <w:rPr>
                <w:noProof/>
                <w:sz w:val="22"/>
              </w:rPr>
            </w:pPr>
            <w:r>
              <w:rPr>
                <w:noProof/>
              </w:rPr>
              <w:t>Подготовка, изпълнение, мониторинг и контрол</w:t>
            </w:r>
          </w:p>
        </w:tc>
      </w:tr>
      <w:tr>
        <w:trPr>
          <w:trHeight w:val="315"/>
        </w:trPr>
        <w:tc>
          <w:tcPr>
            <w:tcW w:w="0" w:type="auto"/>
            <w:vAlign w:val="center"/>
            <w:hideMark/>
          </w:tcPr>
          <w:p>
            <w:pPr>
              <w:rPr>
                <w:noProof/>
                <w:sz w:val="22"/>
              </w:rPr>
            </w:pPr>
            <w:r>
              <w:rPr>
                <w:noProof/>
              </w:rPr>
              <w:t>003</w:t>
            </w:r>
          </w:p>
        </w:tc>
        <w:tc>
          <w:tcPr>
            <w:tcW w:w="0" w:type="auto"/>
            <w:vAlign w:val="center"/>
            <w:hideMark/>
          </w:tcPr>
          <w:p>
            <w:pPr>
              <w:rPr>
                <w:noProof/>
                <w:sz w:val="22"/>
              </w:rPr>
            </w:pPr>
            <w:r>
              <w:rPr>
                <w:noProof/>
              </w:rPr>
              <w:t>Оценяване и проучвания, събиране на данни</w:t>
            </w:r>
          </w:p>
        </w:tc>
      </w:tr>
      <w:tr>
        <w:trPr>
          <w:trHeight w:val="315"/>
        </w:trPr>
        <w:tc>
          <w:tcPr>
            <w:tcW w:w="0" w:type="auto"/>
            <w:vAlign w:val="center"/>
            <w:hideMark/>
          </w:tcPr>
          <w:p>
            <w:pPr>
              <w:rPr>
                <w:noProof/>
                <w:sz w:val="22"/>
              </w:rPr>
            </w:pPr>
            <w:r>
              <w:rPr>
                <w:noProof/>
              </w:rPr>
              <w:t>004</w:t>
            </w:r>
          </w:p>
        </w:tc>
        <w:tc>
          <w:tcPr>
            <w:tcW w:w="0" w:type="auto"/>
            <w:vAlign w:val="center"/>
            <w:hideMark/>
          </w:tcPr>
          <w:p>
            <w:pPr>
              <w:rPr>
                <w:noProof/>
                <w:sz w:val="22"/>
              </w:rPr>
            </w:pPr>
            <w:r>
              <w:rPr>
                <w:noProof/>
              </w:rPr>
              <w:t>Изграждане на капацитет</w:t>
            </w:r>
          </w:p>
        </w:tc>
      </w:tr>
    </w:tbl>
    <w:p>
      <w:pPr>
        <w:shd w:val="clear" w:color="auto" w:fill="FFFFFF"/>
        <w:spacing w:before="240"/>
        <w:rPr>
          <w:rFonts w:eastAsia="Times New Roman"/>
          <w:b/>
          <w:bCs/>
          <w:noProof/>
          <w:color w:val="000000"/>
          <w:szCs w:val="24"/>
        </w:rPr>
      </w:pPr>
    </w:p>
    <w:p>
      <w:pPr>
        <w:shd w:val="clear" w:color="auto" w:fill="FFFFFF"/>
        <w:spacing w:before="240"/>
        <w:rPr>
          <w:rFonts w:eastAsia="Times New Roman"/>
          <w:b/>
          <w:bCs/>
          <w:noProof/>
          <w:color w:val="000000"/>
          <w:szCs w:val="24"/>
        </w:rPr>
      </w:pPr>
      <w:r>
        <w:rPr>
          <w:b/>
          <w:noProof/>
          <w:color w:val="000000"/>
        </w:rPr>
        <w:t>ТАБЛИЦА 2: КОДОВЕ ПО ИЗМЕРЕНИЕТО „ВИД ДЕЙСТВИЕ“</w:t>
      </w:r>
    </w:p>
    <w:tbl>
      <w:tblPr>
        <w:tblStyle w:val="TableGrid"/>
        <w:tblW w:w="0" w:type="auto"/>
        <w:tblLook w:val="04A0" w:firstRow="1" w:lastRow="0" w:firstColumn="1" w:lastColumn="0" w:noHBand="0" w:noVBand="1"/>
      </w:tblPr>
      <w:tblGrid>
        <w:gridCol w:w="675"/>
        <w:gridCol w:w="8614"/>
      </w:tblGrid>
      <w:tr>
        <w:tc>
          <w:tcPr>
            <w:tcW w:w="675" w:type="dxa"/>
            <w:vAlign w:val="center"/>
          </w:tcPr>
          <w:p>
            <w:pPr>
              <w:rPr>
                <w:noProof/>
              </w:rPr>
            </w:pPr>
            <w:r>
              <w:rPr>
                <w:noProof/>
              </w:rPr>
              <w:t>001</w:t>
            </w:r>
          </w:p>
        </w:tc>
        <w:tc>
          <w:tcPr>
            <w:tcW w:w="8614" w:type="dxa"/>
            <w:vAlign w:val="center"/>
          </w:tcPr>
          <w:p>
            <w:pPr>
              <w:rPr>
                <w:noProof/>
                <w:szCs w:val="24"/>
              </w:rPr>
            </w:pPr>
            <w:r>
              <w:rPr>
                <w:noProof/>
              </w:rPr>
              <w:t>Разработване на национални стратегии</w:t>
            </w:r>
          </w:p>
        </w:tc>
      </w:tr>
      <w:tr>
        <w:tc>
          <w:tcPr>
            <w:tcW w:w="675" w:type="dxa"/>
            <w:vAlign w:val="center"/>
          </w:tcPr>
          <w:p>
            <w:pPr>
              <w:rPr>
                <w:noProof/>
              </w:rPr>
            </w:pPr>
            <w:r>
              <w:rPr>
                <w:noProof/>
              </w:rPr>
              <w:t>002</w:t>
            </w:r>
          </w:p>
        </w:tc>
        <w:tc>
          <w:tcPr>
            <w:tcW w:w="8614" w:type="dxa"/>
            <w:vAlign w:val="center"/>
          </w:tcPr>
          <w:p>
            <w:pPr>
              <w:rPr>
                <w:noProof/>
                <w:szCs w:val="24"/>
              </w:rPr>
            </w:pPr>
            <w:r>
              <w:rPr>
                <w:noProof/>
              </w:rPr>
              <w:t xml:space="preserve">Изграждане на капацитет </w:t>
            </w:r>
          </w:p>
        </w:tc>
      </w:tr>
      <w:tr>
        <w:tc>
          <w:tcPr>
            <w:tcW w:w="675" w:type="dxa"/>
            <w:vAlign w:val="center"/>
          </w:tcPr>
          <w:p>
            <w:pPr>
              <w:rPr>
                <w:noProof/>
              </w:rPr>
            </w:pPr>
            <w:r>
              <w:rPr>
                <w:noProof/>
              </w:rPr>
              <w:t>003</w:t>
            </w:r>
          </w:p>
        </w:tc>
        <w:tc>
          <w:tcPr>
            <w:tcW w:w="8614" w:type="dxa"/>
            <w:vAlign w:val="center"/>
          </w:tcPr>
          <w:p>
            <w:pPr>
              <w:rPr>
                <w:noProof/>
                <w:szCs w:val="24"/>
              </w:rPr>
            </w:pPr>
            <w:r>
              <w:rPr>
                <w:noProof/>
              </w:rPr>
              <w:t>Образование и обучение за граждани на трети държави</w:t>
            </w:r>
          </w:p>
        </w:tc>
      </w:tr>
      <w:tr>
        <w:tc>
          <w:tcPr>
            <w:tcW w:w="675" w:type="dxa"/>
            <w:vAlign w:val="center"/>
          </w:tcPr>
          <w:p>
            <w:pPr>
              <w:rPr>
                <w:noProof/>
              </w:rPr>
            </w:pPr>
            <w:r>
              <w:rPr>
                <w:noProof/>
              </w:rPr>
              <w:t>004</w:t>
            </w:r>
          </w:p>
        </w:tc>
        <w:tc>
          <w:tcPr>
            <w:tcW w:w="8614" w:type="dxa"/>
            <w:vAlign w:val="center"/>
          </w:tcPr>
          <w:p>
            <w:pPr>
              <w:rPr>
                <w:noProof/>
                <w:szCs w:val="24"/>
              </w:rPr>
            </w:pPr>
            <w:r>
              <w:rPr>
                <w:noProof/>
              </w:rPr>
              <w:t>Разработване на статистически инструменти, методи и показатели</w:t>
            </w:r>
          </w:p>
        </w:tc>
      </w:tr>
      <w:tr>
        <w:tc>
          <w:tcPr>
            <w:tcW w:w="675" w:type="dxa"/>
            <w:vAlign w:val="center"/>
          </w:tcPr>
          <w:p>
            <w:pPr>
              <w:rPr>
                <w:noProof/>
              </w:rPr>
            </w:pPr>
            <w:r>
              <w:rPr>
                <w:noProof/>
              </w:rPr>
              <w:t>005</w:t>
            </w:r>
          </w:p>
        </w:tc>
        <w:tc>
          <w:tcPr>
            <w:tcW w:w="8614" w:type="dxa"/>
            <w:vAlign w:val="center"/>
          </w:tcPr>
          <w:p>
            <w:pPr>
              <w:rPr>
                <w:noProof/>
                <w:szCs w:val="24"/>
              </w:rPr>
            </w:pPr>
            <w:r>
              <w:rPr>
                <w:noProof/>
              </w:rPr>
              <w:t xml:space="preserve">Обмен на информация и най-добри практики </w:t>
            </w:r>
          </w:p>
        </w:tc>
      </w:tr>
      <w:tr>
        <w:tc>
          <w:tcPr>
            <w:tcW w:w="675" w:type="dxa"/>
            <w:vAlign w:val="center"/>
          </w:tcPr>
          <w:p>
            <w:pPr>
              <w:rPr>
                <w:noProof/>
              </w:rPr>
            </w:pPr>
            <w:r>
              <w:rPr>
                <w:noProof/>
              </w:rPr>
              <w:t>006</w:t>
            </w:r>
          </w:p>
        </w:tc>
        <w:tc>
          <w:tcPr>
            <w:tcW w:w="8614" w:type="dxa"/>
            <w:vAlign w:val="center"/>
          </w:tcPr>
          <w:p>
            <w:pPr>
              <w:rPr>
                <w:noProof/>
                <w:szCs w:val="24"/>
              </w:rPr>
            </w:pPr>
            <w:r>
              <w:rPr>
                <w:noProof/>
              </w:rPr>
              <w:t>Съвместни действия/операции (между ДЧ)</w:t>
            </w:r>
          </w:p>
        </w:tc>
      </w:tr>
      <w:tr>
        <w:tc>
          <w:tcPr>
            <w:tcW w:w="675" w:type="dxa"/>
            <w:vAlign w:val="center"/>
          </w:tcPr>
          <w:p>
            <w:pPr>
              <w:rPr>
                <w:noProof/>
              </w:rPr>
            </w:pPr>
            <w:r>
              <w:rPr>
                <w:noProof/>
              </w:rPr>
              <w:t>007</w:t>
            </w:r>
          </w:p>
        </w:tc>
        <w:tc>
          <w:tcPr>
            <w:tcW w:w="8614" w:type="dxa"/>
            <w:vAlign w:val="center"/>
          </w:tcPr>
          <w:p>
            <w:pPr>
              <w:rPr>
                <w:noProof/>
                <w:szCs w:val="24"/>
              </w:rPr>
            </w:pPr>
            <w:r>
              <w:rPr>
                <w:noProof/>
              </w:rPr>
              <w:t>Кампании и информация</w:t>
            </w:r>
          </w:p>
        </w:tc>
      </w:tr>
      <w:tr>
        <w:tc>
          <w:tcPr>
            <w:tcW w:w="675" w:type="dxa"/>
            <w:vAlign w:val="center"/>
          </w:tcPr>
          <w:p>
            <w:pPr>
              <w:rPr>
                <w:noProof/>
              </w:rPr>
            </w:pPr>
            <w:r>
              <w:rPr>
                <w:noProof/>
              </w:rPr>
              <w:t>008</w:t>
            </w:r>
          </w:p>
        </w:tc>
        <w:tc>
          <w:tcPr>
            <w:tcW w:w="8614" w:type="dxa"/>
            <w:vAlign w:val="center"/>
          </w:tcPr>
          <w:p>
            <w:pPr>
              <w:rPr>
                <w:noProof/>
                <w:szCs w:val="24"/>
              </w:rPr>
            </w:pPr>
            <w:r>
              <w:rPr>
                <w:noProof/>
              </w:rPr>
              <w:t>Обмен и командироване на експерти</w:t>
            </w:r>
          </w:p>
        </w:tc>
      </w:tr>
      <w:tr>
        <w:tc>
          <w:tcPr>
            <w:tcW w:w="675" w:type="dxa"/>
            <w:vAlign w:val="center"/>
          </w:tcPr>
          <w:p>
            <w:pPr>
              <w:rPr>
                <w:noProof/>
              </w:rPr>
            </w:pPr>
            <w:r>
              <w:rPr>
                <w:noProof/>
              </w:rPr>
              <w:t>009</w:t>
            </w:r>
          </w:p>
        </w:tc>
        <w:tc>
          <w:tcPr>
            <w:tcW w:w="8614" w:type="dxa"/>
            <w:vAlign w:val="center"/>
          </w:tcPr>
          <w:p>
            <w:pPr>
              <w:rPr>
                <w:noProof/>
                <w:szCs w:val="24"/>
              </w:rPr>
            </w:pPr>
            <w:r>
              <w:rPr>
                <w:noProof/>
              </w:rPr>
              <w:t>Изследвания, пилотни проекти, оценки на риска</w:t>
            </w:r>
          </w:p>
        </w:tc>
      </w:tr>
      <w:tr>
        <w:tc>
          <w:tcPr>
            <w:tcW w:w="675" w:type="dxa"/>
            <w:vAlign w:val="center"/>
          </w:tcPr>
          <w:p>
            <w:pPr>
              <w:rPr>
                <w:noProof/>
              </w:rPr>
            </w:pPr>
            <w:r>
              <w:rPr>
                <w:noProof/>
              </w:rPr>
              <w:t>010</w:t>
            </w:r>
          </w:p>
        </w:tc>
        <w:tc>
          <w:tcPr>
            <w:tcW w:w="8614" w:type="dxa"/>
            <w:vAlign w:val="center"/>
          </w:tcPr>
          <w:p>
            <w:pPr>
              <w:rPr>
                <w:noProof/>
                <w:szCs w:val="24"/>
              </w:rPr>
            </w:pPr>
            <w:r>
              <w:rPr>
                <w:noProof/>
              </w:rPr>
              <w:t>Подготвителни, мониторингови, административни и технически дейности</w:t>
            </w:r>
          </w:p>
        </w:tc>
      </w:tr>
      <w:tr>
        <w:tc>
          <w:tcPr>
            <w:tcW w:w="675" w:type="dxa"/>
            <w:vAlign w:val="center"/>
          </w:tcPr>
          <w:p>
            <w:pPr>
              <w:rPr>
                <w:noProof/>
              </w:rPr>
            </w:pPr>
            <w:r>
              <w:rPr>
                <w:noProof/>
              </w:rPr>
              <w:t>011</w:t>
            </w:r>
          </w:p>
        </w:tc>
        <w:tc>
          <w:tcPr>
            <w:tcW w:w="8614" w:type="dxa"/>
            <w:vAlign w:val="center"/>
          </w:tcPr>
          <w:p>
            <w:pPr>
              <w:rPr>
                <w:noProof/>
                <w:szCs w:val="24"/>
              </w:rPr>
            </w:pPr>
            <w:r>
              <w:rPr>
                <w:noProof/>
              </w:rPr>
              <w:t>Предоставяне на услуги за оказване на помощ и подкрепа на граждани на трети държави</w:t>
            </w:r>
          </w:p>
        </w:tc>
      </w:tr>
      <w:tr>
        <w:tc>
          <w:tcPr>
            <w:tcW w:w="675" w:type="dxa"/>
            <w:vAlign w:val="center"/>
          </w:tcPr>
          <w:p>
            <w:pPr>
              <w:rPr>
                <w:noProof/>
              </w:rPr>
            </w:pPr>
            <w:r>
              <w:rPr>
                <w:noProof/>
              </w:rPr>
              <w:t>012</w:t>
            </w:r>
          </w:p>
        </w:tc>
        <w:tc>
          <w:tcPr>
            <w:tcW w:w="8614" w:type="dxa"/>
            <w:vAlign w:val="center"/>
          </w:tcPr>
          <w:p>
            <w:pPr>
              <w:rPr>
                <w:noProof/>
                <w:szCs w:val="24"/>
              </w:rPr>
            </w:pPr>
            <w:r>
              <w:rPr>
                <w:noProof/>
              </w:rPr>
              <w:t xml:space="preserve">Инфраструктура </w:t>
            </w:r>
          </w:p>
        </w:tc>
      </w:tr>
      <w:tr>
        <w:tc>
          <w:tcPr>
            <w:tcW w:w="675" w:type="dxa"/>
            <w:vAlign w:val="center"/>
          </w:tcPr>
          <w:p>
            <w:pPr>
              <w:rPr>
                <w:noProof/>
              </w:rPr>
            </w:pPr>
            <w:r>
              <w:rPr>
                <w:noProof/>
              </w:rPr>
              <w:t>013</w:t>
            </w:r>
          </w:p>
        </w:tc>
        <w:tc>
          <w:tcPr>
            <w:tcW w:w="8614" w:type="dxa"/>
            <w:vAlign w:val="center"/>
          </w:tcPr>
          <w:p>
            <w:pPr>
              <w:rPr>
                <w:noProof/>
                <w:szCs w:val="24"/>
              </w:rPr>
            </w:pPr>
            <w:r>
              <w:rPr>
                <w:noProof/>
              </w:rPr>
              <w:t xml:space="preserve">Оборудване </w:t>
            </w:r>
          </w:p>
        </w:tc>
      </w:tr>
    </w:tbl>
    <w:p>
      <w:pPr>
        <w:rPr>
          <w:b/>
          <w:noProof/>
          <w:u w:val="single"/>
        </w:rPr>
      </w:pPr>
    </w:p>
    <w:p>
      <w:pPr>
        <w:shd w:val="clear" w:color="auto" w:fill="FFFFFF"/>
        <w:spacing w:before="240"/>
        <w:rPr>
          <w:rFonts w:eastAsia="Times New Roman"/>
          <w:b/>
          <w:bCs/>
          <w:noProof/>
          <w:color w:val="000000"/>
          <w:szCs w:val="24"/>
        </w:rPr>
      </w:pPr>
      <w:r>
        <w:rPr>
          <w:b/>
          <w:noProof/>
          <w:color w:val="000000"/>
        </w:rPr>
        <w:t>ТАБЛИЦА 3: КОДОВЕ ПО ИЗМЕРЕНИЕТО „ФОРМИ НА ИЗПЪЛНЕНИЕ“</w:t>
      </w:r>
    </w:p>
    <w:tbl>
      <w:tblPr>
        <w:tblStyle w:val="TableGrid"/>
        <w:tblW w:w="9289" w:type="dxa"/>
        <w:tblLook w:val="04A0" w:firstRow="1" w:lastRow="0" w:firstColumn="1" w:lastColumn="0" w:noHBand="0" w:noVBand="1"/>
      </w:tblPr>
      <w:tblGrid>
        <w:gridCol w:w="675"/>
        <w:gridCol w:w="8614"/>
      </w:tblGrid>
      <w:tr>
        <w:tc>
          <w:tcPr>
            <w:tcW w:w="675" w:type="dxa"/>
            <w:vAlign w:val="center"/>
          </w:tcPr>
          <w:p>
            <w:pPr>
              <w:spacing w:before="240"/>
              <w:rPr>
                <w:rFonts w:eastAsia="Times New Roman"/>
                <w:bCs/>
                <w:noProof/>
                <w:color w:val="000000"/>
                <w:szCs w:val="24"/>
              </w:rPr>
            </w:pPr>
            <w:r>
              <w:rPr>
                <w:noProof/>
                <w:color w:val="000000"/>
              </w:rPr>
              <w:t>001</w:t>
            </w:r>
          </w:p>
        </w:tc>
        <w:tc>
          <w:tcPr>
            <w:tcW w:w="8614" w:type="dxa"/>
            <w:vAlign w:val="center"/>
          </w:tcPr>
          <w:p>
            <w:pPr>
              <w:spacing w:before="60" w:after="60"/>
              <w:jc w:val="left"/>
              <w:rPr>
                <w:rFonts w:eastAsia="Times New Roman"/>
                <w:noProof/>
                <w:color w:val="000000"/>
                <w:szCs w:val="24"/>
              </w:rPr>
            </w:pPr>
            <w:r>
              <w:rPr>
                <w:noProof/>
                <w:color w:val="000000"/>
              </w:rPr>
              <w:t>Специфично действие</w:t>
            </w:r>
          </w:p>
        </w:tc>
      </w:tr>
      <w:tr>
        <w:tc>
          <w:tcPr>
            <w:tcW w:w="675" w:type="dxa"/>
            <w:vAlign w:val="center"/>
          </w:tcPr>
          <w:p>
            <w:pPr>
              <w:spacing w:before="240"/>
              <w:rPr>
                <w:rFonts w:eastAsia="Times New Roman"/>
                <w:bCs/>
                <w:noProof/>
                <w:color w:val="000000"/>
                <w:szCs w:val="24"/>
              </w:rPr>
            </w:pPr>
            <w:r>
              <w:rPr>
                <w:noProof/>
                <w:color w:val="000000"/>
              </w:rPr>
              <w:t>002</w:t>
            </w:r>
          </w:p>
        </w:tc>
        <w:tc>
          <w:tcPr>
            <w:tcW w:w="8614" w:type="dxa"/>
            <w:vAlign w:val="center"/>
          </w:tcPr>
          <w:p>
            <w:pPr>
              <w:spacing w:before="60" w:after="60"/>
              <w:jc w:val="left"/>
              <w:rPr>
                <w:rFonts w:eastAsia="Times New Roman"/>
                <w:noProof/>
                <w:color w:val="000000"/>
                <w:szCs w:val="24"/>
              </w:rPr>
            </w:pPr>
            <w:r>
              <w:rPr>
                <w:noProof/>
                <w:color w:val="000000"/>
              </w:rPr>
              <w:t>Спешно подпомагане</w:t>
            </w:r>
          </w:p>
        </w:tc>
      </w:tr>
      <w:tr>
        <w:tc>
          <w:tcPr>
            <w:tcW w:w="675" w:type="dxa"/>
            <w:vAlign w:val="center"/>
          </w:tcPr>
          <w:p>
            <w:pPr>
              <w:spacing w:before="240"/>
              <w:rPr>
                <w:rFonts w:eastAsia="Times New Roman"/>
                <w:bCs/>
                <w:noProof/>
                <w:color w:val="000000"/>
                <w:szCs w:val="24"/>
              </w:rPr>
            </w:pPr>
            <w:r>
              <w:rPr>
                <w:noProof/>
                <w:color w:val="000000"/>
              </w:rPr>
              <w:t>003</w:t>
            </w:r>
          </w:p>
        </w:tc>
        <w:tc>
          <w:tcPr>
            <w:tcW w:w="8614" w:type="dxa"/>
            <w:vAlign w:val="center"/>
          </w:tcPr>
          <w:p>
            <w:pPr>
              <w:spacing w:before="60" w:after="60"/>
              <w:jc w:val="left"/>
              <w:rPr>
                <w:rFonts w:eastAsia="Times New Roman"/>
                <w:noProof/>
                <w:color w:val="000000"/>
                <w:szCs w:val="24"/>
              </w:rPr>
            </w:pPr>
            <w:r>
              <w:rPr>
                <w:noProof/>
                <w:color w:val="000000"/>
              </w:rPr>
              <w:t>Сътрудничество с трети държави</w:t>
            </w:r>
          </w:p>
        </w:tc>
      </w:tr>
      <w:tr>
        <w:tc>
          <w:tcPr>
            <w:tcW w:w="675" w:type="dxa"/>
            <w:vAlign w:val="center"/>
          </w:tcPr>
          <w:p>
            <w:pPr>
              <w:spacing w:before="240"/>
              <w:rPr>
                <w:rFonts w:eastAsia="Times New Roman"/>
                <w:bCs/>
                <w:noProof/>
                <w:color w:val="000000"/>
                <w:szCs w:val="24"/>
              </w:rPr>
            </w:pPr>
            <w:r>
              <w:rPr>
                <w:noProof/>
                <w:color w:val="000000"/>
              </w:rPr>
              <w:t>004</w:t>
            </w:r>
          </w:p>
        </w:tc>
        <w:tc>
          <w:tcPr>
            <w:tcW w:w="8614" w:type="dxa"/>
            <w:vAlign w:val="center"/>
          </w:tcPr>
          <w:p>
            <w:pPr>
              <w:spacing w:before="60" w:after="60"/>
              <w:jc w:val="left"/>
              <w:rPr>
                <w:rFonts w:eastAsia="Times New Roman"/>
                <w:noProof/>
                <w:color w:val="000000"/>
                <w:szCs w:val="24"/>
              </w:rPr>
            </w:pPr>
            <w:r>
              <w:rPr>
                <w:noProof/>
                <w:color w:val="000000"/>
              </w:rPr>
              <w:t>Действия в трети държави</w:t>
            </w:r>
          </w:p>
        </w:tc>
      </w:tr>
      <w:tr>
        <w:tc>
          <w:tcPr>
            <w:tcW w:w="675" w:type="dxa"/>
            <w:vAlign w:val="center"/>
          </w:tcPr>
          <w:p>
            <w:pPr>
              <w:spacing w:before="240"/>
              <w:rPr>
                <w:rFonts w:eastAsia="Times New Roman"/>
                <w:bCs/>
                <w:noProof/>
                <w:color w:val="000000"/>
                <w:szCs w:val="24"/>
              </w:rPr>
            </w:pPr>
            <w:r>
              <w:rPr>
                <w:noProof/>
                <w:color w:val="000000"/>
              </w:rPr>
              <w:t>005</w:t>
            </w:r>
          </w:p>
        </w:tc>
        <w:tc>
          <w:tcPr>
            <w:tcW w:w="8614" w:type="dxa"/>
            <w:vAlign w:val="center"/>
          </w:tcPr>
          <w:p>
            <w:pPr>
              <w:spacing w:before="60" w:after="60"/>
              <w:jc w:val="left"/>
              <w:rPr>
                <w:rFonts w:eastAsia="Times New Roman"/>
                <w:noProof/>
                <w:color w:val="000000"/>
                <w:szCs w:val="24"/>
              </w:rPr>
            </w:pPr>
            <w:r>
              <w:rPr>
                <w:noProof/>
                <w:color w:val="000000"/>
              </w:rPr>
              <w:t>Действия, изброени в приложение IV</w:t>
            </w:r>
          </w:p>
        </w:tc>
      </w:tr>
    </w:tbl>
    <w:p>
      <w:pPr>
        <w:rPr>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VII</w:t>
      </w:r>
      <w:r>
        <w:rPr>
          <w:noProof/>
        </w:rPr>
        <w:br/>
        <w:t>Допустими действия за оперативна подкрепа</w:t>
      </w:r>
    </w:p>
    <w:p>
      <w:pPr>
        <w:rPr>
          <w:noProof/>
        </w:rPr>
      </w:pPr>
    </w:p>
    <w:p>
      <w:pPr>
        <w:rPr>
          <w:noProof/>
        </w:rPr>
      </w:pPr>
      <w:r>
        <w:rPr>
          <w:noProof/>
        </w:rPr>
        <w:t>В рамките на специфичната цел за укрепване и развиване на всички аспекти на общата европейска система за убежище, включително нейното външно измерение, и специфичната цел за принос за борбата с незаконната миграция и осигуряване на ефективност на връщането и обратното приемане в трети държави, оперативната подкрепа покрива:</w:t>
      </w:r>
    </w:p>
    <w:p>
      <w:pPr>
        <w:pStyle w:val="Tiret1"/>
        <w:numPr>
          <w:ilvl w:val="0"/>
          <w:numId w:val="4"/>
        </w:numPr>
        <w:rPr>
          <w:noProof/>
        </w:rPr>
      </w:pPr>
      <w:r>
        <w:rPr>
          <w:noProof/>
        </w:rPr>
        <w:t>разходи за персонал;</w:t>
      </w:r>
    </w:p>
    <w:p>
      <w:pPr>
        <w:pStyle w:val="Tiret1"/>
        <w:rPr>
          <w:noProof/>
        </w:rPr>
      </w:pPr>
      <w:r>
        <w:rPr>
          <w:noProof/>
        </w:rPr>
        <w:t>разходи за обслужване, като например поддръжка или подмяна на оборудване;</w:t>
      </w:r>
    </w:p>
    <w:p>
      <w:pPr>
        <w:pStyle w:val="Tiret1"/>
        <w:rPr>
          <w:noProof/>
        </w:rPr>
      </w:pPr>
      <w:r>
        <w:rPr>
          <w:noProof/>
        </w:rPr>
        <w:t>разходи за обслужване, като например поддръжка и ремонт на инфраструктура;</w:t>
      </w:r>
    </w:p>
    <w:p>
      <w:pPr>
        <w:pStyle w:val="NumPar1"/>
        <w:rPr>
          <w:noProof/>
        </w:rPr>
        <w:sectPr>
          <w:pgSz w:w="11907" w:h="16839"/>
          <w:pgMar w:top="1134" w:right="1417" w:bottom="1134" w:left="1417" w:header="709" w:footer="709" w:gutter="0"/>
          <w:cols w:space="720"/>
          <w:docGrid w:linePitch="360"/>
        </w:sectPr>
      </w:pPr>
      <w:bookmarkStart w:id="6" w:name="DQCNUMB_1"/>
      <w:bookmarkEnd w:id="6"/>
    </w:p>
    <w:p>
      <w:pPr>
        <w:rPr>
          <w:noProof/>
        </w:rPr>
      </w:pPr>
    </w:p>
    <w:p>
      <w:pPr>
        <w:pStyle w:val="Annexetitre"/>
        <w:rPr>
          <w:noProof/>
        </w:rPr>
      </w:pPr>
      <w:r>
        <w:rPr>
          <w:noProof/>
        </w:rPr>
        <w:t>ПРИЛОЖЕНИЕ VIII</w:t>
      </w:r>
      <w:r>
        <w:rPr>
          <w:rStyle w:val="CommentReference"/>
          <w:b w:val="0"/>
          <w:noProof/>
          <w:u w:val="none"/>
        </w:rPr>
        <w:br/>
      </w:r>
      <w:r>
        <w:rPr>
          <w:noProof/>
        </w:rPr>
        <w:t>Показатели за крайните продукти и резултатите по член 28, параграф 3</w:t>
      </w:r>
    </w:p>
    <w:p>
      <w:pPr>
        <w:rPr>
          <w:noProof/>
        </w:rPr>
      </w:pPr>
    </w:p>
    <w:p>
      <w:pPr>
        <w:rPr>
          <w:noProof/>
        </w:rPr>
      </w:pPr>
      <w:r>
        <w:rPr>
          <w:b/>
          <w:noProof/>
        </w:rPr>
        <w:t>Специфична цел 1</w:t>
      </w:r>
      <w:r>
        <w:rPr>
          <w:noProof/>
        </w:rPr>
        <w:t>: Укрепване и развиване на всички аспекти на общата европейска система за убежище, включително нейното външно измерение:</w:t>
      </w:r>
    </w:p>
    <w:p>
      <w:pPr>
        <w:pStyle w:val="NumPar1"/>
        <w:numPr>
          <w:ilvl w:val="0"/>
          <w:numId w:val="19"/>
        </w:numPr>
        <w:rPr>
          <w:noProof/>
        </w:rPr>
      </w:pPr>
      <w:r>
        <w:rPr>
          <w:noProof/>
        </w:rPr>
        <w:t xml:space="preserve">Брой лица от целеви групи, на които е предоставена помощ с подкрепата на Фонда; </w:t>
      </w:r>
    </w:p>
    <w:p>
      <w:pPr>
        <w:pStyle w:val="Point1"/>
        <w:rPr>
          <w:noProof/>
        </w:rPr>
      </w:pPr>
      <w:r>
        <w:rPr>
          <w:noProof/>
        </w:rPr>
        <w:t>а)</w:t>
      </w:r>
      <w:r>
        <w:rPr>
          <w:noProof/>
        </w:rPr>
        <w:tab/>
        <w:t>Брой лица от целеви групи, които се ползват от информация и помощ по време на процедурите по предоставяне на убежище;</w:t>
      </w:r>
    </w:p>
    <w:p>
      <w:pPr>
        <w:pStyle w:val="Point1"/>
        <w:rPr>
          <w:noProof/>
        </w:rPr>
      </w:pPr>
      <w:r>
        <w:rPr>
          <w:noProof/>
        </w:rPr>
        <w:t>б)</w:t>
      </w:r>
      <w:r>
        <w:rPr>
          <w:noProof/>
        </w:rPr>
        <w:tab/>
        <w:t>Брой лица от целеви групи, които се ползват от правна помощ и представителство;</w:t>
      </w:r>
    </w:p>
    <w:p>
      <w:pPr>
        <w:pStyle w:val="Point1"/>
        <w:rPr>
          <w:noProof/>
        </w:rPr>
      </w:pPr>
      <w:r>
        <w:rPr>
          <w:noProof/>
        </w:rPr>
        <w:t>в)</w:t>
      </w:r>
      <w:r>
        <w:rPr>
          <w:noProof/>
        </w:rPr>
        <w:tab/>
        <w:t xml:space="preserve">Брой уязвими лица, жертви на трафик на хора и непридружени ненавършили пълнолетие лица, които се ползват от специална помощ. </w:t>
      </w:r>
    </w:p>
    <w:p>
      <w:pPr>
        <w:pStyle w:val="NumPar1"/>
        <w:rPr>
          <w:noProof/>
        </w:rPr>
      </w:pPr>
      <w:r>
        <w:rPr>
          <w:noProof/>
        </w:rPr>
        <w:t>Капацитет (брой места) на нова инфраструктура за настаняване във връзка с приемането, създадена съгласно общите изисквания за условия на приемане, изложени в достиженията на правото на Съюза, и капацитет на съществуващата инфраструктура за настаняване във връзка с приемането, подобрена съгласно същите изисквания, в резултат на подкрепени по линия на Фонда проекти, и дял от общия капацитет за настаняване във връзка с приемането;</w:t>
      </w:r>
    </w:p>
    <w:p>
      <w:pPr>
        <w:pStyle w:val="NumPar1"/>
        <w:rPr>
          <w:noProof/>
        </w:rPr>
      </w:pPr>
      <w:r>
        <w:rPr>
          <w:noProof/>
        </w:rPr>
        <w:t>Брой места, пригодени за непридружени ненавършили пълнолетие лица, подкрепяни от Фонда, в сравнение с общия брой места, пригодени за непридружени ненавършили пълнолетие лица;</w:t>
      </w:r>
    </w:p>
    <w:p>
      <w:pPr>
        <w:pStyle w:val="NumPar1"/>
        <w:rPr>
          <w:noProof/>
        </w:rPr>
      </w:pPr>
      <w:r>
        <w:rPr>
          <w:noProof/>
        </w:rPr>
        <w:t xml:space="preserve">Брой лица, обучени с подкрепа от Фонда по въпроси, свързани с убежището, и този брой като процент от общия брой служители, обучени по тези въпроси; </w:t>
      </w:r>
    </w:p>
    <w:p>
      <w:pPr>
        <w:pStyle w:val="NumPar1"/>
        <w:rPr>
          <w:rFonts w:eastAsia="Arial Unicode MS" w:cs="Arial Unicode MS"/>
          <w:bCs/>
          <w:noProof/>
        </w:rPr>
      </w:pPr>
      <w:r>
        <w:rPr>
          <w:noProof/>
        </w:rPr>
        <w:t xml:space="preserve">Брой кандидати за международна закрила, прехвърлени с подкрепа от Фонда от една държава членка в друга; </w:t>
      </w:r>
    </w:p>
    <w:p>
      <w:pPr>
        <w:pStyle w:val="NumPar1"/>
        <w:rPr>
          <w:noProof/>
        </w:rPr>
      </w:pPr>
      <w:r>
        <w:rPr>
          <w:noProof/>
        </w:rPr>
        <w:t xml:space="preserve">Брой презаселени с подкрепата на Фонда лица. </w:t>
      </w:r>
    </w:p>
    <w:p>
      <w:pPr>
        <w:rPr>
          <w:noProof/>
        </w:rPr>
      </w:pPr>
    </w:p>
    <w:p>
      <w:pPr>
        <w:rPr>
          <w:noProof/>
        </w:rPr>
      </w:pPr>
      <w:r>
        <w:rPr>
          <w:b/>
          <w:noProof/>
        </w:rPr>
        <w:t>Специфична цел 2</w:t>
      </w:r>
      <w:r>
        <w:rPr>
          <w:noProof/>
        </w:rPr>
        <w:t>: Подкрепа за законната миграция към държавите членки, включително принос за интеграцията на гражданите на трети държави:</w:t>
      </w:r>
    </w:p>
    <w:p>
      <w:pPr>
        <w:pStyle w:val="NumPar1"/>
        <w:numPr>
          <w:ilvl w:val="0"/>
          <w:numId w:val="18"/>
        </w:numPr>
        <w:rPr>
          <w:noProof/>
        </w:rPr>
      </w:pPr>
      <w:r>
        <w:rPr>
          <w:noProof/>
        </w:rPr>
        <w:t>Брой лица, участвали в мерки преди заминаването, подкрепени от Фонда.</w:t>
      </w:r>
    </w:p>
    <w:p>
      <w:pPr>
        <w:pStyle w:val="NumPar1"/>
        <w:rPr>
          <w:noProof/>
        </w:rPr>
      </w:pPr>
      <w:r>
        <w:rPr>
          <w:noProof/>
        </w:rPr>
        <w:t>Брой местни и регионални органи, които са изпълнили мерки за интеграция с подкрепата на Фонда.</w:t>
      </w:r>
    </w:p>
    <w:p>
      <w:pPr>
        <w:pStyle w:val="NumPar1"/>
        <w:rPr>
          <w:noProof/>
        </w:rPr>
      </w:pPr>
      <w:r>
        <w:rPr>
          <w:noProof/>
        </w:rPr>
        <w:t>Брой лица, участвали в мерки, подкрепени от Фонда, насочени към:</w:t>
      </w:r>
    </w:p>
    <w:p>
      <w:pPr>
        <w:pStyle w:val="Point1"/>
        <w:rPr>
          <w:noProof/>
        </w:rPr>
      </w:pPr>
      <w:r>
        <w:rPr>
          <w:noProof/>
        </w:rPr>
        <w:t>а)</w:t>
      </w:r>
      <w:r>
        <w:rPr>
          <w:noProof/>
        </w:rPr>
        <w:tab/>
        <w:t xml:space="preserve">образование и обучение; </w:t>
      </w:r>
    </w:p>
    <w:p>
      <w:pPr>
        <w:pStyle w:val="Point1"/>
        <w:rPr>
          <w:noProof/>
        </w:rPr>
      </w:pPr>
      <w:r>
        <w:rPr>
          <w:noProof/>
        </w:rPr>
        <w:t>б)</w:t>
      </w:r>
      <w:r>
        <w:rPr>
          <w:noProof/>
        </w:rPr>
        <w:tab/>
        <w:t xml:space="preserve">интегриране на пазара на труда; </w:t>
      </w:r>
    </w:p>
    <w:p>
      <w:pPr>
        <w:pStyle w:val="Point1"/>
        <w:rPr>
          <w:noProof/>
        </w:rPr>
      </w:pPr>
      <w:r>
        <w:rPr>
          <w:noProof/>
        </w:rPr>
        <w:t>в)</w:t>
      </w:r>
      <w:r>
        <w:rPr>
          <w:noProof/>
        </w:rPr>
        <w:tab/>
        <w:t xml:space="preserve">достъп до основни услуги; и </w:t>
      </w:r>
    </w:p>
    <w:p>
      <w:pPr>
        <w:pStyle w:val="Point1"/>
        <w:rPr>
          <w:noProof/>
        </w:rPr>
      </w:pPr>
      <w:r>
        <w:rPr>
          <w:noProof/>
        </w:rPr>
        <w:t>г)</w:t>
      </w:r>
      <w:r>
        <w:rPr>
          <w:noProof/>
        </w:rPr>
        <w:tab/>
        <w:t xml:space="preserve">активно участие и социално приобщаване. </w:t>
      </w:r>
    </w:p>
    <w:p>
      <w:pPr>
        <w:pStyle w:val="NumPar1"/>
        <w:rPr>
          <w:noProof/>
        </w:rPr>
      </w:pPr>
      <w:r>
        <w:rPr>
          <w:noProof/>
        </w:rPr>
        <w:t>Брой лица, участвали в подкрепени от Фонда мерки за интеграция, докладвали, че мерките са били от полза за тяхната ранна интеграция, в сравнение с общия брой лица, участвали в мерки за интеграция, подкрепяни от Фонда.</w:t>
      </w:r>
    </w:p>
    <w:p>
      <w:pPr>
        <w:rPr>
          <w:noProof/>
        </w:rPr>
      </w:pPr>
      <w:r>
        <w:rPr>
          <w:b/>
          <w:noProof/>
        </w:rPr>
        <w:t>Специфична цел 3</w:t>
      </w:r>
      <w:r>
        <w:rPr>
          <w:noProof/>
        </w:rPr>
        <w:t xml:space="preserve">: Принос за борбата с незаконната миграция и осигуряване на ефективност на връщането и обратното приемане в трети държави.   </w:t>
      </w:r>
    </w:p>
    <w:p>
      <w:pPr>
        <w:pStyle w:val="NumPar1"/>
        <w:numPr>
          <w:ilvl w:val="0"/>
          <w:numId w:val="17"/>
        </w:numPr>
        <w:rPr>
          <w:noProof/>
        </w:rPr>
      </w:pPr>
      <w:r>
        <w:rPr>
          <w:noProof/>
        </w:rPr>
        <w:t xml:space="preserve">Брой места в центровете за задържане, създадени/обновени с подкрепа от Фонда, в сравнение с общия брой създадени/обновени места в центровете за задържане. </w:t>
      </w:r>
    </w:p>
    <w:p>
      <w:pPr>
        <w:pStyle w:val="NumPar1"/>
        <w:numPr>
          <w:ilvl w:val="0"/>
          <w:numId w:val="1"/>
        </w:numPr>
        <w:rPr>
          <w:noProof/>
        </w:rPr>
      </w:pPr>
      <w:r>
        <w:rPr>
          <w:noProof/>
        </w:rPr>
        <w:t>Брой лица, обучени с помощта на Фонда по теми, свързани с връщането.</w:t>
      </w:r>
    </w:p>
    <w:p>
      <w:pPr>
        <w:pStyle w:val="NumPar1"/>
        <w:rPr>
          <w:noProof/>
        </w:rPr>
      </w:pPr>
      <w:r>
        <w:rPr>
          <w:noProof/>
        </w:rPr>
        <w:t>Брой върнати лица, чието връщане е съфинансирано от Фонда, в сравнение с общия брой върнати лица след заповед за връщане:</w:t>
      </w:r>
    </w:p>
    <w:p>
      <w:pPr>
        <w:pStyle w:val="Point1"/>
        <w:rPr>
          <w:noProof/>
        </w:rPr>
      </w:pPr>
      <w:r>
        <w:rPr>
          <w:noProof/>
        </w:rPr>
        <w:t>а)</w:t>
      </w:r>
      <w:r>
        <w:rPr>
          <w:noProof/>
        </w:rPr>
        <w:tab/>
        <w:t xml:space="preserve">лица, които са се върнали доброволно, </w:t>
      </w:r>
    </w:p>
    <w:p>
      <w:pPr>
        <w:pStyle w:val="Point1"/>
        <w:rPr>
          <w:noProof/>
        </w:rPr>
      </w:pPr>
      <w:r>
        <w:rPr>
          <w:noProof/>
        </w:rPr>
        <w:t>б)</w:t>
      </w:r>
      <w:r>
        <w:rPr>
          <w:noProof/>
        </w:rPr>
        <w:tab/>
        <w:t>лица, които са били изведени.</w:t>
      </w:r>
    </w:p>
    <w:p>
      <w:pPr>
        <w:pStyle w:val="NumPar1"/>
        <w:rPr>
          <w:noProof/>
        </w:rPr>
      </w:pPr>
      <w:r>
        <w:rPr>
          <w:noProof/>
        </w:rPr>
        <w:t>Брой върнати лица, получили помощ преди или след връщането за подпомагане на реинтеграцията, съфинансирана от Фонда, в сравнение с общия брой връщания, подкрепени от Фонда.</w:t>
      </w:r>
      <w:r>
        <w:rPr>
          <w:noProof/>
        </w:rPr>
        <w:tab/>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Cond Pro">
    <w:altName w:val="Segoe UI"/>
    <w:charset w:val="00"/>
    <w:family w:val="swiss"/>
    <w:pitch w:val="variable"/>
    <w:sig w:usb0="00000001" w:usb1="500000D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(ОВ L 337, 20.12.2011 г., стр. 9—26).</w:t>
      </w:r>
    </w:p>
  </w:footnote>
  <w:footnote w:id="3">
    <w:p>
      <w:pPr>
        <w:pStyle w:val="FootnoteText"/>
      </w:pPr>
      <w:r>
        <w:rPr>
          <w:rStyle w:val="FootnoteReference"/>
        </w:rPr>
        <w:footnoteRef/>
      </w:r>
      <w:r>
        <w:tab/>
        <w:t>Данните се взимат предвид само в случай на задействане на Директива 2001/55/ЕО на Съвета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 в полагането на усилия за прием на такива лица и понасяне на последиците от този прием (ОВ L 212, 7.8.2001 г., стр. 12—23).</w:t>
      </w:r>
    </w:p>
  </w:footnote>
  <w:footnote w:id="4">
    <w:p>
      <w:pPr>
        <w:pStyle w:val="FootnoteText"/>
      </w:pPr>
      <w:r>
        <w:rPr>
          <w:rStyle w:val="FootnoteReference"/>
        </w:rPr>
        <w:footnoteRef/>
      </w:r>
      <w:r>
        <w:tab/>
        <w:t>Директива 2004/114/ЕО на Съвета от 13 декември 2004 г. относно условията за прием на граждани на трети страни с цел образование, ученически обмен, безвъзмездно обучение или доброволческа дейност (ОВ L 375, 23.12.2004 г., стр. 12—18).</w:t>
      </w:r>
    </w:p>
  </w:footnote>
  <w:footnote w:id="5">
    <w:p>
      <w:pPr>
        <w:pStyle w:val="FootnoteText"/>
      </w:pPr>
      <w:r>
        <w:rPr>
          <w:rStyle w:val="FootnoteReference"/>
        </w:rPr>
        <w:footnoteRef/>
      </w:r>
      <w:r>
        <w:tab/>
        <w:t>Директива (ЕС) 2016/801 на Европейския парламент и на Съвета от 11 май 2016 г.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(OВ L 132, 21.5.2016 г., стр. 21—57). </w:t>
      </w:r>
    </w:p>
  </w:footnote>
  <w:footnote w:id="6">
    <w:p>
      <w:pPr>
        <w:pStyle w:val="FootnoteText"/>
      </w:pPr>
      <w:r>
        <w:rPr>
          <w:rStyle w:val="FootnoteReference"/>
        </w:rPr>
        <w:footnoteRef/>
      </w:r>
      <w:r>
        <w:tab/>
        <w:t>Директива 2005/71/ЕО на Съвета от 12 октомври 2005 г. относно специфична процедура за прием на граждани от трети страни за целите на провеждане на научноизследователска дейност (ОВ L 289, 3.11.2005 г., стр. 15—22).</w:t>
      </w:r>
    </w:p>
  </w:footnote>
  <w:footnote w:id="7">
    <w:p>
      <w:pPr>
        <w:pStyle w:val="FootnoteText"/>
      </w:pPr>
      <w:r>
        <w:rPr>
          <w:rStyle w:val="FootnoteReference"/>
        </w:rPr>
        <w:footnoteRef/>
      </w:r>
      <w:r>
        <w:tab/>
        <w:t>Директива 2003/86/ЕО на Съвета от 22 септември 2003 г. относно правото на събиране на семейството ( ОВ L 251, 3.10.2003 г., стр. 12—18).</w:t>
      </w:r>
    </w:p>
  </w:footnote>
  <w:footnote w:id="8">
    <w:p>
      <w:pPr>
        <w:pStyle w:val="FootnoteText"/>
      </w:pPr>
      <w:r>
        <w:rPr>
          <w:rStyle w:val="FootnoteReference"/>
        </w:rPr>
        <w:footnoteRef/>
      </w:r>
      <w:r>
        <w:tab/>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9">
    <w:p>
      <w:pPr>
        <w:pStyle w:val="FootnoteText"/>
      </w:pPr>
      <w:r>
        <w:rPr>
          <w:rStyle w:val="FootnoteReference"/>
        </w:rPr>
        <w:footnoteRef/>
      </w:r>
      <w:r>
        <w:tab/>
        <w:t>Директива 2009/52/ЕО на Европейския парламент и на Съвета от 18 юни 2009 г. за предвиждане на минимални стандарти за санкциите и мерките срещу работодатели на незаконно пребиваващи граждани на трета държава (ОВ L 168, 30.6.2009 г., стр. 24—32).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28A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00414C"/>
    <w:name w:val="Point"/>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4C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8A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AA8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10E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AA15C8"/>
    <w:lvl w:ilvl="0">
      <w:start w:val="1"/>
      <w:numFmt w:val="decimal"/>
      <w:pStyle w:val="ListNumber"/>
      <w:lvlText w:val="%1."/>
      <w:lvlJc w:val="left"/>
      <w:pPr>
        <w:tabs>
          <w:tab w:val="num" w:pos="360"/>
        </w:tabs>
        <w:ind w:left="360" w:hanging="360"/>
      </w:pPr>
    </w:lvl>
  </w:abstractNum>
  <w:abstractNum w:abstractNumId="7">
    <w:nsid w:val="FFFFFF89"/>
    <w:multiLevelType w:val="singleLevel"/>
    <w:tmpl w:val="B270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23D7A89"/>
    <w:multiLevelType w:val="hybridMultilevel"/>
    <w:tmpl w:val="B3A66C76"/>
    <w:lvl w:ilvl="0" w:tplc="99BAE0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lvlOverride w:ilvl="0">
      <w:startOverride w:val="1"/>
    </w:lvlOverride>
  </w:num>
  <w:num w:numId="4">
    <w:abstractNumId w:val="13"/>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num>
  <w:num w:numId="23">
    <w:abstractNumId w:val="19"/>
  </w:num>
  <w:num w:numId="24">
    <w:abstractNumId w:val="13"/>
  </w:num>
  <w:num w:numId="25">
    <w:abstractNumId w:val="21"/>
  </w:num>
  <w:num w:numId="26">
    <w:abstractNumId w:val="11"/>
  </w:num>
  <w:num w:numId="27">
    <w:abstractNumId w:val="14"/>
  </w:num>
  <w:num w:numId="28">
    <w:abstractNumId w:val="9"/>
  </w:num>
  <w:num w:numId="29">
    <w:abstractNumId w:val="20"/>
  </w:num>
  <w:num w:numId="30">
    <w:abstractNumId w:val="8"/>
  </w:num>
  <w:num w:numId="31">
    <w:abstractNumId w:val="15"/>
  </w:num>
  <w:num w:numId="32">
    <w:abstractNumId w:val="17"/>
  </w:num>
  <w:num w:numId="33">
    <w:abstractNumId w:val="18"/>
  </w:num>
  <w:num w:numId="34">
    <w:abstractNumId w:val="10"/>
  </w:num>
  <w:num w:numId="35">
    <w:abstractNumId w:val="16"/>
  </w:num>
  <w:num w:numId="36">
    <w:abstractNumId w:val="2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ZILIUS Matthijs (HOME)">
    <w15:presenceInfo w15:providerId="None" w15:userId="KORZILIUS Matthij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4:39:16"/>
    <w:docVar w:name="DQCNUMB_1" w:val="28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8"/>
    <w:docVar w:name="LW_ANNEX_UNIQUE" w:val="0"/>
    <w:docVar w:name="LW_CORRIGENDUM" w:val="&lt;UNUSED&gt;"/>
    <w:docVar w:name="LW_COVERPAGE_EXISTS" w:val="True"/>
    <w:docVar w:name="LW_COVERPAGE_GUID" w:val="DE2C170E-E676-4015-B918-799FEB9FDC2D"/>
    <w:docVar w:name="LW_COVERPAGE_TYPE" w:val="1"/>
    <w:docVar w:name="LW_CROSSREFERENCE" w:val="{SWD(2018) 347}_x000a_{SWD(2018) 348}_x000a_{SEC(2018) 315}"/>
    <w:docVar w:name="LW_DocType" w:val="ANNEX"/>
    <w:docVar w:name="LW_EMISSION" w:val="12.6.2018"/>
    <w:docVar w:name="LW_EMISSION_ISODATE" w:val="2018-06-12"/>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 \u1085?\u1072? \u1092?\u1086?\u1085?\u1076? \u8222?\u1059?\u1073?\u1077?\u1078?\u1080?\u1097?\u1077? \u1080? \u1084?\u1080?\u1075?\u1088?\u1072?\u1094?\u1080?\u1103?\u8220?"/>
    <w:docVar w:name="LW_OBJETACTEPRINCIPAL.CP" w:val="\u1079?\u1072? \u1089?\u1098?\u1079?\u1076?\u1072?\u1074?\u1072?\u1085?\u1077? \u1085?\u1072? \u1092?\u1086?\u1085?\u1076? \u8222?\u1059?\u1073?\u1077?\u1078?\u1080?\u1097?\u1077? \u1080? \u1084?\u1080?\u1075?\u1088?\u1072?\u1094?\u1080?\u1103?\u8220?"/>
    <w:docVar w:name="LW_PART_NBR" w:val="&lt;UNUSED&gt;"/>
    <w:docVar w:name="LW_PART_NBR_TOTAL" w:val="&lt;UNUSED&gt;"/>
    <w:docVar w:name="LW_REF.INST.NEW" w:val="COM"/>
    <w:docVar w:name="LW_REF.INST.NEW_ADOPTED" w:val="final"/>
    <w:docVar w:name="LW_REF.INST.NEW_TEXT" w:val="(2018)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6?\u1045?\u1043?\u1051?\u1040?\u1052?\u1045?\u1053?\u1058? \u1053?\u1040? \u1045?\u1042?\u1056?\u1054?\u1055?\u1045?\u1049?\u1057?\u1050?\u1048?\u1071? \u1055?\u1040?\u1056?\u1051?\u1040?\u1052?\u1045?\u1053?\u1058? \u1048? \u1053?\u1040? \u1057?\u1066?\u1042?\u1045?\u1058?\u1040?"/>
    <w:docVar w:name="LW_TYPEACTEPRINCIPAL.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hd-oj">
    <w:name w:val="hd-oj"/>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hd-oj">
    <w:name w:val="hd-oj"/>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1290">
      <w:bodyDiv w:val="1"/>
      <w:marLeft w:val="0"/>
      <w:marRight w:val="0"/>
      <w:marTop w:val="0"/>
      <w:marBottom w:val="0"/>
      <w:divBdr>
        <w:top w:val="none" w:sz="0" w:space="0" w:color="auto"/>
        <w:left w:val="none" w:sz="0" w:space="0" w:color="auto"/>
        <w:bottom w:val="none" w:sz="0" w:space="0" w:color="auto"/>
        <w:right w:val="none" w:sz="0" w:space="0" w:color="auto"/>
      </w:divBdr>
    </w:div>
    <w:div w:id="6235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0ff6b8ff-7241-407e-ae42-f8b2ba1d3207">Not Started</EC_Collab_Status>
    <_Status xmlns="http://schemas.microsoft.com/sharepoint/v3/fields">Not Started</_Status>
    <EC_Collab_DocumentLanguage xmlns="0ff6b8ff-7241-407e-ae42-f8b2ba1d3207">EN</EC_Collab_DocumentLanguage>
    <EC_Collab_Reference xmlns="0ff6b8ff-7241-407e-ae42-f8b2ba1d32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4C0A5E0BCE6A246833ECC29AE3F28D4" ma:contentTypeVersion="0" ma:contentTypeDescription="Create a new document in this library." ma:contentTypeScope="" ma:versionID="fb94626cb63d7e43b75015a3394473c3">
  <xsd:schema xmlns:xsd="http://www.w3.org/2001/XMLSchema" xmlns:xs="http://www.w3.org/2001/XMLSchema" xmlns:p="http://schemas.microsoft.com/office/2006/metadata/properties" xmlns:ns2="http://schemas.microsoft.com/sharepoint/v3/fields" xmlns:ns3="0ff6b8ff-7241-407e-ae42-f8b2ba1d3207" targetNamespace="http://schemas.microsoft.com/office/2006/metadata/properties" ma:root="true" ma:fieldsID="fa26ad5dc592005652087c9e2928476d" ns2:_="" ns3:_="">
    <xsd:import namespace="http://schemas.microsoft.com/sharepoint/v3/fields"/>
    <xsd:import namespace="0ff6b8ff-7241-407e-ae42-f8b2ba1d320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f6b8ff-7241-407e-ae42-f8b2ba1d320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7638B-3912-4CF6-9B08-EF2F05A167A8}">
  <ds:schemaRef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microsoft.com/sharepoint/v3/fields"/>
    <ds:schemaRef ds:uri="http://schemas.microsoft.com/office/2006/documentManagement/types"/>
    <ds:schemaRef ds:uri="http://purl.org/dc/terms/"/>
    <ds:schemaRef ds:uri="http://schemas.openxmlformats.org/package/2006/metadata/core-properties"/>
    <ds:schemaRef ds:uri="0ff6b8ff-7241-407e-ae42-f8b2ba1d3207"/>
  </ds:schemaRefs>
</ds:datastoreItem>
</file>

<file path=customXml/itemProps2.xml><?xml version="1.0" encoding="utf-8"?>
<ds:datastoreItem xmlns:ds="http://schemas.openxmlformats.org/officeDocument/2006/customXml" ds:itemID="{BCA92BD7-483D-42A9-B742-1E19442E4372}">
  <ds:schemaRefs>
    <ds:schemaRef ds:uri="http://schemas.microsoft.com/sharepoint/v3/contenttype/forms"/>
  </ds:schemaRefs>
</ds:datastoreItem>
</file>

<file path=customXml/itemProps3.xml><?xml version="1.0" encoding="utf-8"?>
<ds:datastoreItem xmlns:ds="http://schemas.openxmlformats.org/officeDocument/2006/customXml" ds:itemID="{13DDA8DD-4A1C-4A3F-90A2-6BEEEAC9B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ff6b8ff-7241-407e-ae42-f8b2ba1d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73C9B-B0CF-4F7D-AA39-91704E68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17</Pages>
  <Words>3252</Words>
  <Characters>19029</Characters>
  <Application>Microsoft Office Word</Application>
  <DocSecurity>0</DocSecurity>
  <Lines>487</Lines>
  <Paragraphs>278</Paragraphs>
  <ScaleCrop>false</ScaleCrop>
  <HeadingPairs>
    <vt:vector size="2" baseType="variant">
      <vt:variant>
        <vt:lpstr>Title</vt:lpstr>
      </vt:variant>
      <vt:variant>
        <vt:i4>1</vt:i4>
      </vt:variant>
    </vt:vector>
  </HeadingPairs>
  <TitlesOfParts>
    <vt:vector size="1" baseType="lpstr">
      <vt:lpstr>[260418] AMIF annexes</vt:lpstr>
    </vt:vector>
  </TitlesOfParts>
  <Company>European Commission</Company>
  <LinksUpToDate>false</LinksUpToDate>
  <CharactersWithSpaces>22003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[260418] AMIF annexes</dc:title>
  <dc:subject>[260418] AMIF annexes</dc:subject>
  <dc:creator>D'SOUZA Jasminka (HOME)</dc:creator>
  <cp:lastModifiedBy>DIGIT/A3</cp:lastModifiedBy>
  <cp:revision>7</cp:revision>
  <cp:lastPrinted>2018-06-07T12:21:00Z</cp:lastPrinted>
  <dcterms:created xsi:type="dcterms:W3CDTF">2018-06-21T11:57:00Z</dcterms:created>
  <dcterms:modified xsi:type="dcterms:W3CDTF">2018-06-22T12:39:00Z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0x010100258AA79CEB83498886A3A086811232500004C0A5E0BCE6A246833ECC29AE3F28D4</vt:lpwstr>
  </property>
  <property fmtid="{D5CDD505-2E9C-101B-9397-08002B2CF9AE}" pid="14" name="DQCStatus">
    <vt:lpwstr>Green (DQC version 03)</vt:lpwstr>
  </property>
</Properties>
</file>