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45" w:rsidRDefault="001E4BA1" w:rsidP="001E4BA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F1BEC42-7A3D-4BB4-B4BF-657ED7529E87" style="width:450.25pt;height:411.05pt">
            <v:imagedata r:id="rId9" o:title=""/>
          </v:shape>
        </w:pict>
      </w:r>
    </w:p>
    <w:p w:rsidR="00515F45" w:rsidRDefault="00515F45">
      <w:pPr>
        <w:rPr>
          <w:noProof/>
        </w:rPr>
        <w:sectPr w:rsidR="00515F45" w:rsidSect="001E4BA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515F45" w:rsidRDefault="00CC11AD">
      <w:pPr>
        <w:pStyle w:val="Annexetitre"/>
        <w:rPr>
          <w:noProof/>
          <w:u w:val="none"/>
        </w:rPr>
      </w:pPr>
      <w:bookmarkStart w:id="0" w:name="_GoBack"/>
      <w:bookmarkEnd w:id="0"/>
      <w:r>
        <w:rPr>
          <w:noProof/>
        </w:rPr>
        <w:lastRenderedPageBreak/>
        <w:t>ПРИЛОЖЕНИЕ I</w:t>
      </w:r>
      <w:r>
        <w:rPr>
          <w:noProof/>
          <w:u w:val="none"/>
        </w:rPr>
        <w:br/>
      </w:r>
      <w:r>
        <w:rPr>
          <w:noProof/>
          <w:u w:val="none"/>
        </w:rPr>
        <w:br/>
        <w:t>Критерии за разпределянето на средства за програмите при споделено управление</w:t>
      </w:r>
    </w:p>
    <w:p w:rsidR="00515F45" w:rsidRDefault="00515F45">
      <w:pPr>
        <w:rPr>
          <w:noProof/>
          <w:szCs w:val="24"/>
        </w:rPr>
      </w:pPr>
    </w:p>
    <w:p w:rsidR="00515F45" w:rsidRDefault="00CC11AD">
      <w:pPr>
        <w:rPr>
          <w:noProof/>
          <w:szCs w:val="24"/>
        </w:rPr>
      </w:pPr>
      <w:r>
        <w:rPr>
          <w:noProof/>
        </w:rPr>
        <w:t>Финансовият пакет, посочен в член 10, се разпределя между държавите членки, както следва:</w:t>
      </w:r>
    </w:p>
    <w:p w:rsidR="00515F45" w:rsidRDefault="00CC11AD">
      <w:pPr>
        <w:pStyle w:val="Point0number"/>
        <w:numPr>
          <w:ilvl w:val="0"/>
          <w:numId w:val="11"/>
        </w:numPr>
        <w:rPr>
          <w:noProof/>
        </w:rPr>
      </w:pPr>
      <w:r>
        <w:rPr>
          <w:noProof/>
        </w:rPr>
        <w:t>в началото на програмния период на всяка държава членка ще бъде отпусната еднократна фиксирана сума в размер на 5 000 000 EUR, за да се осигури критична маса за всяка програма и да се посрещнат нужди, които не биха се изразили пряко чрез критериите, посочени по-долу;</w:t>
      </w:r>
    </w:p>
    <w:p w:rsidR="00515F45" w:rsidRDefault="00CC11AD">
      <w:pPr>
        <w:pStyle w:val="Point0number"/>
        <w:rPr>
          <w:noProof/>
        </w:rPr>
      </w:pPr>
      <w:r>
        <w:rPr>
          <w:noProof/>
        </w:rPr>
        <w:t>останалите ресурси ще бъдат разпределени между държавите членки въз основа на следните критерии:</w:t>
      </w:r>
    </w:p>
    <w:p w:rsidR="00515F45" w:rsidRDefault="00CC11AD">
      <w:pPr>
        <w:pStyle w:val="Point1"/>
        <w:rPr>
          <w:noProof/>
        </w:rPr>
      </w:pPr>
      <w:r>
        <w:rPr>
          <w:noProof/>
        </w:rPr>
        <w:t>а)</w:t>
      </w:r>
      <w:r>
        <w:rPr>
          <w:noProof/>
        </w:rPr>
        <w:tab/>
        <w:t>45 % обратнопропорционално на брутния им вътрешен продукт (стандарт за покупателната способност на глава от населението),</w:t>
      </w:r>
    </w:p>
    <w:p w:rsidR="00515F45" w:rsidRDefault="00CC11AD">
      <w:pPr>
        <w:pStyle w:val="Point1"/>
        <w:rPr>
          <w:noProof/>
        </w:rPr>
      </w:pPr>
      <w:r>
        <w:rPr>
          <w:noProof/>
        </w:rPr>
        <w:t>б)</w:t>
      </w:r>
      <w:r>
        <w:rPr>
          <w:noProof/>
        </w:rPr>
        <w:tab/>
        <w:t>40 % пропорционално на броя на тяхното население;</w:t>
      </w:r>
    </w:p>
    <w:p w:rsidR="00515F45" w:rsidRDefault="00CC11AD">
      <w:pPr>
        <w:pStyle w:val="Point1"/>
        <w:rPr>
          <w:noProof/>
        </w:rPr>
      </w:pPr>
      <w:r>
        <w:rPr>
          <w:noProof/>
        </w:rPr>
        <w:t>в)</w:t>
      </w:r>
      <w:r>
        <w:rPr>
          <w:noProof/>
        </w:rPr>
        <w:tab/>
        <w:t>15 % пропорционално на размера на тяхната територия.</w:t>
      </w:r>
    </w:p>
    <w:p w:rsidR="00515F45" w:rsidRDefault="00CC11AD">
      <w:pPr>
        <w:spacing w:before="0" w:after="200" w:line="276" w:lineRule="auto"/>
        <w:jc w:val="left"/>
        <w:rPr>
          <w:b/>
          <w:noProof/>
          <w:u w:val="single"/>
        </w:rPr>
      </w:pPr>
      <w:r>
        <w:rPr>
          <w:noProof/>
        </w:rPr>
        <w:t>Първоначалното разпределение се основава на най-актуалните статистически данни, изготвени от Комисията (Евростат) за предходната календарна година. За целите на междинния преглед за референтни стойности се приемат последните годишни статистически данни, изготвени от Комисията (Евростат) за предходната календарна година, налични към момента на извършване на междинния преглед през 2024 г.</w:t>
      </w:r>
      <w:r>
        <w:rPr>
          <w:noProof/>
        </w:rPr>
        <w:br w:type="page"/>
      </w:r>
    </w:p>
    <w:p w:rsidR="00515F45" w:rsidRDefault="00CC11AD">
      <w:pPr>
        <w:pStyle w:val="Annexetitre"/>
        <w:rPr>
          <w:noProof/>
          <w:u w:val="none"/>
        </w:rPr>
      </w:pPr>
      <w:r>
        <w:rPr>
          <w:noProof/>
        </w:rPr>
        <w:lastRenderedPageBreak/>
        <w:t>ПРИЛОЖЕНИЕ II</w:t>
      </w:r>
      <w:r>
        <w:rPr>
          <w:noProof/>
          <w:u w:val="none"/>
        </w:rPr>
        <w:br/>
      </w:r>
      <w:r>
        <w:rPr>
          <w:noProof/>
          <w:u w:val="none"/>
        </w:rPr>
        <w:br/>
        <w:t>Мерки за изпълнение</w:t>
      </w:r>
    </w:p>
    <w:p w:rsidR="00515F45" w:rsidRDefault="00515F45">
      <w:pPr>
        <w:rPr>
          <w:noProof/>
        </w:rPr>
      </w:pPr>
    </w:p>
    <w:p w:rsidR="00515F45" w:rsidRDefault="00CC11AD">
      <w:pPr>
        <w:rPr>
          <w:noProof/>
        </w:rPr>
      </w:pPr>
      <w:r>
        <w:rPr>
          <w:noProof/>
        </w:rPr>
        <w:t>Фондът допринася за постигането на специфичната цел, посочена в член 3, параграф 2, буква а), като се съсредоточава върху следните мерки за изпълнение:</w:t>
      </w:r>
    </w:p>
    <w:p w:rsidR="00515F45" w:rsidRDefault="00CC11AD">
      <w:pPr>
        <w:pStyle w:val="Point1"/>
        <w:rPr>
          <w:noProof/>
        </w:rPr>
      </w:pPr>
      <w:r>
        <w:rPr>
          <w:noProof/>
        </w:rPr>
        <w:t>а)</w:t>
      </w:r>
      <w:r>
        <w:rPr>
          <w:noProof/>
        </w:rPr>
        <w:tab/>
        <w:t>осигуряване на единното прилагане на достиженията на правото на Съюза в областта на сигурността чрез подкрепа за обмена на информация, например посредством Рамката от Прюм, Системата на ЕС за резервационни данни на пътниците и ШИС II, включително чрез изпълнение на препоръки, отправени в рамките на механизми за контрол на качеството и оценка като механизма за оценка по Шенген и други механизми за контрол на качеството и оценка;</w:t>
      </w:r>
    </w:p>
    <w:p w:rsidR="00515F45" w:rsidRDefault="00CC11AD">
      <w:pPr>
        <w:pStyle w:val="Point1"/>
        <w:rPr>
          <w:noProof/>
        </w:rPr>
      </w:pPr>
      <w:r>
        <w:rPr>
          <w:noProof/>
        </w:rPr>
        <w:t>б)</w:t>
      </w:r>
      <w:r>
        <w:rPr>
          <w:noProof/>
        </w:rPr>
        <w:tab/>
        <w:t>създаване, адаптиране и поддържане на свързани със сигурността информационни системи и комуникационни мрежи на Съюза, включително осигуряване на тяхната оперативна съвместимост, както и разработване на подходящи инструменти за справяне с установени пропуски;</w:t>
      </w:r>
    </w:p>
    <w:p w:rsidR="00515F45" w:rsidRDefault="00CC11AD">
      <w:pPr>
        <w:pStyle w:val="Point1"/>
        <w:rPr>
          <w:noProof/>
        </w:rPr>
      </w:pPr>
      <w:r>
        <w:rPr>
          <w:noProof/>
        </w:rPr>
        <w:t>в)</w:t>
      </w:r>
      <w:r>
        <w:rPr>
          <w:noProof/>
        </w:rPr>
        <w:tab/>
        <w:t>увеличаване на активното използване на свързаните със сигурността инструменти, системи и бази данни на Съюза за обмен на информация и осигуряване на попълването им с висококачествени данни;</w:t>
      </w:r>
    </w:p>
    <w:p w:rsidR="00515F45" w:rsidRDefault="00CC11AD">
      <w:pPr>
        <w:pStyle w:val="Point1"/>
        <w:rPr>
          <w:noProof/>
        </w:rPr>
      </w:pPr>
      <w:r>
        <w:rPr>
          <w:noProof/>
        </w:rPr>
        <w:t>г)</w:t>
      </w:r>
      <w:r>
        <w:rPr>
          <w:noProof/>
        </w:rPr>
        <w:tab/>
        <w:t>подпомагане на съответните национални мерки, ако това е от значение за изпълнението на специфичната цел, определена в член 3, параграф 2, буква а).</w:t>
      </w:r>
    </w:p>
    <w:p w:rsidR="00515F45" w:rsidRDefault="00CC11AD">
      <w:pPr>
        <w:rPr>
          <w:noProof/>
        </w:rPr>
      </w:pPr>
      <w:r>
        <w:rPr>
          <w:noProof/>
        </w:rPr>
        <w:t>Фондът допринася за постигането на специфичната цел, посочена в член 3, параграф 2, буква б), като се съсредоточава върху следните мерки за изпълнение:</w:t>
      </w:r>
    </w:p>
    <w:p w:rsidR="00515F45" w:rsidRDefault="00CC11AD">
      <w:pPr>
        <w:pStyle w:val="Point1"/>
        <w:rPr>
          <w:noProof/>
        </w:rPr>
      </w:pPr>
      <w:r>
        <w:rPr>
          <w:noProof/>
        </w:rPr>
        <w:t>а)</w:t>
      </w:r>
      <w:r>
        <w:rPr>
          <w:noProof/>
        </w:rPr>
        <w:tab/>
        <w:t>увеличаване на операциите по правоприлагане между държавите членки, включително, когато е целесъобразно, с други подходящи субекти, по-специално с оглед на улесняването и подобряването на използването на съвместни екипи за разследване (СЕР), съвместни патрули, преследвания по гореща следа, скрито наблюдение и други механизми за оперативно сътрудничество в контекста на цикъла на политиката на ЕС (EMPACT), със специален акцент върху трансграничните операции;</w:t>
      </w:r>
    </w:p>
    <w:p w:rsidR="00515F45" w:rsidRDefault="00CC11AD">
      <w:pPr>
        <w:pStyle w:val="Point1"/>
        <w:rPr>
          <w:noProof/>
        </w:rPr>
      </w:pPr>
      <w:r>
        <w:rPr>
          <w:noProof/>
        </w:rPr>
        <w:t>б)</w:t>
      </w:r>
      <w:r>
        <w:rPr>
          <w:noProof/>
        </w:rPr>
        <w:tab/>
        <w:t>повишаване на координацията и сътрудничеството между правоприлагащите и други компетентни органи вътре в държавите членки и помежду им, както и с други подходящи субекти, например чрез мрежи от специализирани национални звена, мрежи и структури за сътрудничество на Съюза, центрове на Съюза;</w:t>
      </w:r>
    </w:p>
    <w:p w:rsidR="00515F45" w:rsidRDefault="00CC11AD">
      <w:pPr>
        <w:pStyle w:val="Point1"/>
        <w:rPr>
          <w:noProof/>
        </w:rPr>
      </w:pPr>
      <w:r>
        <w:rPr>
          <w:noProof/>
        </w:rPr>
        <w:t>в)</w:t>
      </w:r>
      <w:r>
        <w:rPr>
          <w:noProof/>
        </w:rPr>
        <w:tab/>
        <w:t>подобряване на междуведомственото сътрудничество и сътрудничеството на равнището на Съюза между държавите членки или между държавите членки, от една страна, и съответните органи, служби и агенции на Съюза, от друга страна, както и на национално равнище между националните органи във всяка държава членка.</w:t>
      </w:r>
    </w:p>
    <w:p w:rsidR="00515F45" w:rsidRDefault="00CC11AD">
      <w:pPr>
        <w:rPr>
          <w:noProof/>
        </w:rPr>
      </w:pPr>
      <w:r>
        <w:rPr>
          <w:noProof/>
        </w:rPr>
        <w:t>Фондът допринася за постигането на специфичната цел, посочена в член 3, параграф 2, буква в), като се съсредоточава върху следните мерки за изпълнение:</w:t>
      </w:r>
    </w:p>
    <w:p w:rsidR="00515F45" w:rsidRDefault="00CC11AD">
      <w:pPr>
        <w:pStyle w:val="Point1"/>
        <w:rPr>
          <w:noProof/>
        </w:rPr>
      </w:pPr>
      <w:r>
        <w:rPr>
          <w:noProof/>
        </w:rPr>
        <w:lastRenderedPageBreak/>
        <w:t>а)</w:t>
      </w:r>
      <w:r>
        <w:rPr>
          <w:noProof/>
        </w:rPr>
        <w:tab/>
        <w:t>увеличаване на броя на обученията, упражненията, взаимното обучение, специализираните програми за обмен и споделянето на най-добри практики в областта на правоприлагането, включително във и с трети държави и други подходящи субекти;</w:t>
      </w:r>
    </w:p>
    <w:p w:rsidR="00515F45" w:rsidRDefault="00CC11AD">
      <w:pPr>
        <w:pStyle w:val="Point1"/>
        <w:rPr>
          <w:noProof/>
        </w:rPr>
      </w:pPr>
      <w:r>
        <w:rPr>
          <w:noProof/>
        </w:rPr>
        <w:t>б)</w:t>
      </w:r>
      <w:r>
        <w:rPr>
          <w:noProof/>
        </w:rPr>
        <w:tab/>
        <w:t>оползотворяване на синергиите чрез обединяване на ресурси и знания сред държавите членки и други подходящи субекти, включително гражданското общество, например чрез създаването на съвместни центрове за високи постижения, разработването на съвместни оценки на риска или на общи центрове за оперативна подкрепа за съвместно провеждани операции;</w:t>
      </w:r>
    </w:p>
    <w:p w:rsidR="00515F45" w:rsidRDefault="00CC11AD">
      <w:pPr>
        <w:pStyle w:val="Point1"/>
        <w:rPr>
          <w:noProof/>
        </w:rPr>
      </w:pPr>
      <w:r>
        <w:rPr>
          <w:noProof/>
        </w:rPr>
        <w:t>в)</w:t>
      </w:r>
      <w:r>
        <w:rPr>
          <w:noProof/>
        </w:rPr>
        <w:tab/>
        <w:t>насърчаване и разработване на мерки, гаранции, механизми и най-добри практики, свързани с ранната идентификация, закрилата и подкрепата на свидетели, сигнализиращи за нередности лица и жертви на престъпления, и развиване на партньорства между публичните органи и други подходящи субекти за тази цел;</w:t>
      </w:r>
    </w:p>
    <w:p w:rsidR="00515F45" w:rsidRDefault="00CC11AD">
      <w:pPr>
        <w:pStyle w:val="Point1"/>
        <w:rPr>
          <w:noProof/>
        </w:rPr>
      </w:pPr>
      <w:r>
        <w:rPr>
          <w:noProof/>
        </w:rPr>
        <w:t>г)</w:t>
      </w:r>
      <w:r>
        <w:rPr>
          <w:noProof/>
        </w:rPr>
        <w:tab/>
        <w:t>придобиване на подходящо оборудване и създаване или модернизиране на специализирани учебни бази и друга свързана със сигурността инфраструктура от съществено значение с цел повишаване на готовността, устойчивостта, обществената осведоменост и адекватността на реакцията при заплахи за сигурността.</w:t>
      </w:r>
    </w:p>
    <w:p w:rsidR="00515F45" w:rsidRDefault="00CC11AD">
      <w:pPr>
        <w:spacing w:before="0" w:after="200" w:line="276" w:lineRule="auto"/>
        <w:jc w:val="left"/>
        <w:rPr>
          <w:b/>
          <w:noProof/>
          <w:u w:val="single"/>
        </w:rPr>
      </w:pPr>
      <w:r>
        <w:rPr>
          <w:noProof/>
        </w:rPr>
        <w:br w:type="page"/>
      </w:r>
    </w:p>
    <w:p w:rsidR="00515F45" w:rsidRDefault="00CC11AD">
      <w:pPr>
        <w:pStyle w:val="Annexetitre"/>
        <w:rPr>
          <w:noProof/>
          <w:u w:val="none"/>
        </w:rPr>
      </w:pPr>
      <w:r>
        <w:rPr>
          <w:noProof/>
        </w:rPr>
        <w:lastRenderedPageBreak/>
        <w:t>ПРИЛОЖЕНИЕ III</w:t>
      </w:r>
      <w:r>
        <w:rPr>
          <w:noProof/>
          <w:u w:val="none"/>
        </w:rPr>
        <w:br/>
      </w:r>
      <w:r>
        <w:rPr>
          <w:noProof/>
          <w:u w:val="none"/>
        </w:rPr>
        <w:br/>
        <w:t>Действия, за които Фондът оказва подкрепа в съответствие с член 4</w:t>
      </w:r>
    </w:p>
    <w:p w:rsidR="00515F45" w:rsidRDefault="00515F45">
      <w:pPr>
        <w:spacing w:before="0" w:after="200" w:line="276" w:lineRule="auto"/>
        <w:jc w:val="left"/>
        <w:rPr>
          <w:b/>
          <w:noProof/>
          <w:u w:val="single"/>
        </w:rPr>
      </w:pPr>
    </w:p>
    <w:p w:rsidR="00515F45" w:rsidRDefault="00CC11AD">
      <w:pPr>
        <w:pStyle w:val="Bullet0"/>
        <w:numPr>
          <w:ilvl w:val="0"/>
          <w:numId w:val="14"/>
        </w:numPr>
        <w:rPr>
          <w:noProof/>
        </w:rPr>
      </w:pPr>
      <w:r>
        <w:rPr>
          <w:noProof/>
        </w:rPr>
        <w:t>Информационни системи и мрежи, допринасящи за постигането на целите на настоящия регламент, обучения за използването на такива системи, изпитване и усъвършенстване на оперативната съвместимост и качеството на данните на такива системи;</w:t>
      </w:r>
    </w:p>
    <w:p w:rsidR="00515F45" w:rsidRDefault="00CC11AD">
      <w:pPr>
        <w:pStyle w:val="Bullet0"/>
        <w:rPr>
          <w:noProof/>
        </w:rPr>
      </w:pPr>
      <w:r>
        <w:rPr>
          <w:noProof/>
        </w:rPr>
        <w:t>наблюдение на изпълнението на правото на Съюза и целите на неговите политики в държавите членки в областта на информационните системи за сигурност;</w:t>
      </w:r>
    </w:p>
    <w:p w:rsidR="00515F45" w:rsidRDefault="00CC11AD">
      <w:pPr>
        <w:pStyle w:val="Bullet0"/>
        <w:rPr>
          <w:noProof/>
        </w:rPr>
      </w:pPr>
      <w:r>
        <w:rPr>
          <w:noProof/>
        </w:rPr>
        <w:t>действия по EMPACT за изпълнение или подпомагане на изпълнението на цикъла на политиката на ЕС;</w:t>
      </w:r>
    </w:p>
    <w:p w:rsidR="00515F45" w:rsidRDefault="00CC11AD">
      <w:pPr>
        <w:pStyle w:val="Bullet0"/>
        <w:rPr>
          <w:noProof/>
        </w:rPr>
      </w:pPr>
      <w:r>
        <w:rPr>
          <w:noProof/>
        </w:rPr>
        <w:t>действия за подкрепа на ефективната и координирана реакция при кризи, свързващи съществуващия специфичен за сектора капацитет, центрове на експертни знания и центрове за ситуационна осведоменост, включително тези в областта на здравеопазването, гражданската защита и борбата с тероризма;</w:t>
      </w:r>
    </w:p>
    <w:p w:rsidR="00515F45" w:rsidRDefault="00CC11AD">
      <w:pPr>
        <w:pStyle w:val="Bullet0"/>
        <w:rPr>
          <w:noProof/>
        </w:rPr>
      </w:pPr>
      <w:r>
        <w:rPr>
          <w:noProof/>
        </w:rPr>
        <w:t>действия за разработване на новаторски методи или за внедряване на нови технологии с потенциална приложимост в други държави членки, особено проекти, целящи изпитването и валидирането на резултатите от финансирани от Съюза научноизследователски проекти в областта на сигурността;</w:t>
      </w:r>
    </w:p>
    <w:p w:rsidR="00515F45" w:rsidRDefault="00CC11AD">
      <w:pPr>
        <w:pStyle w:val="Bullet0"/>
        <w:rPr>
          <w:noProof/>
        </w:rPr>
      </w:pPr>
      <w:r>
        <w:rPr>
          <w:noProof/>
        </w:rPr>
        <w:t>подкрепа за тематични или обхващащи множество теми мрежи от специализирани национални звена с цел повишаване на взаимното доверие, обмена и разпространението на ноу-хау, информация, опит и най-добри практики, обединяване на ресурси и експертен капацитет в съвместни центрове за високи постижения;</w:t>
      </w:r>
    </w:p>
    <w:p w:rsidR="00515F45" w:rsidRDefault="00CC11AD">
      <w:pPr>
        <w:pStyle w:val="Bullet0"/>
        <w:rPr>
          <w:noProof/>
        </w:rPr>
      </w:pPr>
      <w:r>
        <w:rPr>
          <w:noProof/>
        </w:rPr>
        <w:t>образование и обучение на служители и експерти на съответните правоприлагащи и съдебни органи и административни агенции, съобразено с оперативните нужди и анализите на риска въз основа на Европейската схема за обучение в областта на правоприлагането (LETS) и в сътрудничество със CEPOL, а когато е приложимо — и с Европейската мрежа за съдебно обучение (EJTN);</w:t>
      </w:r>
    </w:p>
    <w:p w:rsidR="00515F45" w:rsidRDefault="00CC11AD">
      <w:pPr>
        <w:pStyle w:val="Bullet0"/>
        <w:rPr>
          <w:noProof/>
        </w:rPr>
      </w:pPr>
      <w:r>
        <w:rPr>
          <w:noProof/>
        </w:rPr>
        <w:t>сътрудничество с частния сектор с цел изграждане на доверие и подобряване на координацията, планирането за извънредни ситуации и обмена и разпространението на информация и най-добри практики сред публичните и частните субекти, включително в областта на защитата на обществените пространства и критичната инфраструктура;</w:t>
      </w:r>
    </w:p>
    <w:p w:rsidR="00515F45" w:rsidRDefault="00CC11AD">
      <w:pPr>
        <w:pStyle w:val="Bullet0"/>
        <w:rPr>
          <w:noProof/>
        </w:rPr>
      </w:pPr>
      <w:r>
        <w:rPr>
          <w:noProof/>
        </w:rPr>
        <w:t>действия за предоставяне на общностите на правомощия за развитие на местни подходи и превантивни политики, както и дейности за повишаване на осведомеността и за комуникация сред заинтересованите страни и широката общественост относно политиките на Съюза в областта на сигурността;</w:t>
      </w:r>
    </w:p>
    <w:p w:rsidR="00515F45" w:rsidRDefault="00CC11AD">
      <w:pPr>
        <w:pStyle w:val="Bullet0"/>
        <w:rPr>
          <w:noProof/>
        </w:rPr>
      </w:pPr>
      <w:r>
        <w:rPr>
          <w:noProof/>
        </w:rPr>
        <w:t>оборудване, транспортни средства, комуникационни системи и свързани със сигурността съоръжения от съществено значение;</w:t>
      </w:r>
    </w:p>
    <w:p w:rsidR="00515F45" w:rsidRDefault="00CC11AD">
      <w:pPr>
        <w:pStyle w:val="Bullet0"/>
        <w:rPr>
          <w:noProof/>
        </w:rPr>
      </w:pPr>
      <w:r>
        <w:rPr>
          <w:noProof/>
        </w:rPr>
        <w:lastRenderedPageBreak/>
        <w:t>разходи за персонал, участващ в действията, подпомагани по линия на Фонда, или действия, изискващи участието на персонал поради технически причини или причини, свързани със сигурността.</w:t>
      </w:r>
    </w:p>
    <w:p w:rsidR="00515F45" w:rsidRDefault="00CC11AD">
      <w:pPr>
        <w:spacing w:before="0" w:after="200" w:line="276" w:lineRule="auto"/>
        <w:jc w:val="left"/>
        <w:rPr>
          <w:b/>
          <w:noProof/>
          <w:u w:val="single"/>
        </w:rPr>
      </w:pPr>
      <w:r>
        <w:rPr>
          <w:noProof/>
        </w:rPr>
        <w:br w:type="page"/>
      </w:r>
    </w:p>
    <w:p w:rsidR="00515F45" w:rsidRDefault="00CC11AD">
      <w:pPr>
        <w:pStyle w:val="Annexetitre"/>
        <w:rPr>
          <w:noProof/>
          <w:u w:val="none"/>
        </w:rPr>
      </w:pPr>
      <w:r>
        <w:rPr>
          <w:noProof/>
        </w:rPr>
        <w:lastRenderedPageBreak/>
        <w:t>ПРИЛОЖЕНИЕ IV</w:t>
      </w:r>
      <w:r>
        <w:rPr>
          <w:noProof/>
          <w:u w:val="none"/>
        </w:rPr>
        <w:br/>
      </w:r>
      <w:r>
        <w:rPr>
          <w:noProof/>
          <w:u w:val="none"/>
        </w:rPr>
        <w:br/>
        <w:t>Действия, отговарящи на условията за по-голям процент съфинансиране в съответствие с член 11, параграф 2 и член 12, параграф 6</w:t>
      </w:r>
    </w:p>
    <w:p w:rsidR="00515F45" w:rsidRDefault="00515F45">
      <w:pPr>
        <w:pStyle w:val="ListParagraph"/>
        <w:spacing w:after="120" w:line="240" w:lineRule="auto"/>
        <w:ind w:right="0"/>
        <w:contextualSpacing w:val="0"/>
        <w:rPr>
          <w:noProof/>
        </w:rPr>
      </w:pPr>
    </w:p>
    <w:p w:rsidR="00515F45" w:rsidRDefault="00CC11AD">
      <w:pPr>
        <w:pStyle w:val="Bullet0"/>
        <w:numPr>
          <w:ilvl w:val="0"/>
          <w:numId w:val="12"/>
        </w:numPr>
        <w:rPr>
          <w:noProof/>
        </w:rPr>
      </w:pPr>
      <w:r>
        <w:rPr>
          <w:noProof/>
        </w:rPr>
        <w:t>Проекти, които имат за цел предотвратяването и противодействието на радикализацията.</w:t>
      </w:r>
    </w:p>
    <w:p w:rsidR="00515F45" w:rsidRDefault="00CC11AD">
      <w:pPr>
        <w:pStyle w:val="Bullet0"/>
        <w:rPr>
          <w:noProof/>
        </w:rPr>
      </w:pPr>
      <w:r>
        <w:rPr>
          <w:noProof/>
        </w:rPr>
        <w:t>Проекти, които имат за цел усъвършенстването на оперативната съвместимост на информационни системи и комуникационни мрежи</w:t>
      </w:r>
      <w:r>
        <w:rPr>
          <w:rStyle w:val="FootnoteReference"/>
          <w:noProof/>
        </w:rPr>
        <w:footnoteReference w:id="2"/>
      </w:r>
      <w:r>
        <w:rPr>
          <w:noProof/>
        </w:rPr>
        <w:t>.</w:t>
      </w:r>
    </w:p>
    <w:p w:rsidR="00515F45" w:rsidRDefault="00CC11AD">
      <w:pPr>
        <w:spacing w:before="0" w:after="200" w:line="276" w:lineRule="auto"/>
        <w:jc w:val="left"/>
        <w:rPr>
          <w:b/>
          <w:noProof/>
          <w:u w:val="single"/>
        </w:rPr>
      </w:pPr>
      <w:r>
        <w:rPr>
          <w:noProof/>
        </w:rPr>
        <w:br w:type="page"/>
      </w:r>
    </w:p>
    <w:p w:rsidR="00515F45" w:rsidRDefault="00CC11AD">
      <w:pPr>
        <w:pStyle w:val="Annexetitre"/>
        <w:rPr>
          <w:noProof/>
        </w:rPr>
      </w:pPr>
      <w:r>
        <w:rPr>
          <w:noProof/>
        </w:rPr>
        <w:lastRenderedPageBreak/>
        <w:t>ПРИЛОЖЕНИЕ V</w:t>
      </w:r>
      <w:r>
        <w:rPr>
          <w:noProof/>
        </w:rPr>
        <w:br/>
      </w:r>
      <w:r>
        <w:rPr>
          <w:noProof/>
        </w:rPr>
        <w:br/>
      </w:r>
      <w:r>
        <w:rPr>
          <w:noProof/>
          <w:u w:val="none"/>
        </w:rPr>
        <w:t>Основни показатели за качеството на изпълнението по член 24, параграф 1</w:t>
      </w:r>
    </w:p>
    <w:p w:rsidR="00515F45" w:rsidRDefault="00515F45">
      <w:pPr>
        <w:rPr>
          <w:b/>
          <w:noProof/>
        </w:rPr>
      </w:pPr>
    </w:p>
    <w:p w:rsidR="00515F45" w:rsidRDefault="00CC11AD">
      <w:pPr>
        <w:rPr>
          <w:b/>
          <w:noProof/>
        </w:rPr>
      </w:pPr>
      <w:r>
        <w:rPr>
          <w:b/>
          <w:noProof/>
        </w:rPr>
        <w:t xml:space="preserve">Специфична цел № 1: </w:t>
      </w:r>
      <w:r>
        <w:rPr>
          <w:noProof/>
        </w:rPr>
        <w:tab/>
      </w:r>
      <w:r>
        <w:rPr>
          <w:b/>
          <w:noProof/>
        </w:rPr>
        <w:t>Подобряване на обмена на информация</w:t>
      </w:r>
    </w:p>
    <w:p w:rsidR="00515F45" w:rsidRDefault="00CC11AD">
      <w:pPr>
        <w:pStyle w:val="Point0number"/>
        <w:numPr>
          <w:ilvl w:val="0"/>
          <w:numId w:val="13"/>
        </w:numPr>
        <w:rPr>
          <w:noProof/>
        </w:rPr>
      </w:pPr>
      <w:r>
        <w:rPr>
          <w:noProof/>
        </w:rPr>
        <w:t>Използване на механизмите на ЕС за обмен на информация.</w:t>
      </w:r>
    </w:p>
    <w:p w:rsidR="00515F45" w:rsidRDefault="00CC11AD">
      <w:pPr>
        <w:pStyle w:val="Text1"/>
        <w:rPr>
          <w:i/>
          <w:noProof/>
        </w:rPr>
      </w:pPr>
      <w:r>
        <w:rPr>
          <w:i/>
          <w:noProof/>
        </w:rPr>
        <w:t>източник на данните: Европол, eu-LISA, Съвета, държавите членки</w:t>
      </w:r>
    </w:p>
    <w:p w:rsidR="00515F45" w:rsidRDefault="00515F45">
      <w:pPr>
        <w:rPr>
          <w:noProof/>
        </w:rPr>
      </w:pPr>
    </w:p>
    <w:p w:rsidR="00515F45" w:rsidRDefault="00CC11AD">
      <w:pPr>
        <w:rPr>
          <w:b/>
          <w:noProof/>
        </w:rPr>
      </w:pPr>
      <w:r>
        <w:rPr>
          <w:b/>
          <w:noProof/>
        </w:rPr>
        <w:t xml:space="preserve">Специфична цел № 2: </w:t>
      </w:r>
      <w:r>
        <w:rPr>
          <w:noProof/>
        </w:rPr>
        <w:tab/>
      </w:r>
      <w:r>
        <w:rPr>
          <w:b/>
          <w:noProof/>
        </w:rPr>
        <w:t>Засилено оперативно сътрудничество</w:t>
      </w:r>
    </w:p>
    <w:p w:rsidR="00515F45" w:rsidRDefault="00CC11AD">
      <w:pPr>
        <w:pStyle w:val="Point0number"/>
        <w:numPr>
          <w:ilvl w:val="0"/>
          <w:numId w:val="10"/>
        </w:numPr>
        <w:rPr>
          <w:noProof/>
        </w:rPr>
      </w:pPr>
      <w:r>
        <w:rPr>
          <w:noProof/>
        </w:rPr>
        <w:t>Брой съвместни оперативни действия, подкрепени по линия на Фонда.</w:t>
      </w:r>
    </w:p>
    <w:p w:rsidR="00515F45" w:rsidRDefault="00CC11AD">
      <w:pPr>
        <w:pStyle w:val="Text1"/>
        <w:rPr>
          <w:i/>
          <w:noProof/>
        </w:rPr>
      </w:pPr>
      <w:r>
        <w:rPr>
          <w:i/>
          <w:noProof/>
        </w:rPr>
        <w:t>източник на данните: Европол, Евроюст, държавите членки</w:t>
      </w:r>
    </w:p>
    <w:p w:rsidR="00515F45" w:rsidRDefault="00CC11AD">
      <w:pPr>
        <w:pStyle w:val="Point0number"/>
        <w:rPr>
          <w:noProof/>
        </w:rPr>
      </w:pPr>
      <w:r>
        <w:rPr>
          <w:noProof/>
        </w:rPr>
        <w:t xml:space="preserve">Изчислена стойност на обезпечените и конфискуваните активи с подкрепата на Фонда. </w:t>
      </w:r>
    </w:p>
    <w:p w:rsidR="00515F45" w:rsidRDefault="00CC11AD">
      <w:pPr>
        <w:pStyle w:val="Text1"/>
        <w:rPr>
          <w:i/>
          <w:noProof/>
        </w:rPr>
      </w:pPr>
      <w:r>
        <w:rPr>
          <w:i/>
          <w:noProof/>
        </w:rPr>
        <w:t>източник на данните: държавите членки</w:t>
      </w:r>
    </w:p>
    <w:p w:rsidR="00515F45" w:rsidRDefault="00CC11AD">
      <w:pPr>
        <w:pStyle w:val="Point0number"/>
        <w:rPr>
          <w:noProof/>
        </w:rPr>
      </w:pPr>
      <w:r>
        <w:rPr>
          <w:noProof/>
        </w:rPr>
        <w:t xml:space="preserve">Стойност на незаконните наркотици, иззети благодарение на трансграничното сътрудничество между правоприлагащи органи. </w:t>
      </w:r>
    </w:p>
    <w:p w:rsidR="00515F45" w:rsidRDefault="00CC11AD">
      <w:pPr>
        <w:pStyle w:val="Text1"/>
        <w:rPr>
          <w:i/>
          <w:noProof/>
        </w:rPr>
      </w:pPr>
      <w:r>
        <w:rPr>
          <w:i/>
          <w:noProof/>
        </w:rPr>
        <w:t>източник на данните: държавите членки, бенефициери на безвъзмездни средства за действия на Съюза</w:t>
      </w:r>
    </w:p>
    <w:p w:rsidR="00515F45" w:rsidRDefault="00CC11AD">
      <w:pPr>
        <w:pStyle w:val="Point0number"/>
        <w:rPr>
          <w:noProof/>
        </w:rPr>
      </w:pPr>
      <w:r>
        <w:rPr>
          <w:noProof/>
        </w:rPr>
        <w:t xml:space="preserve">Брой на препоръките след оценка по Шенген с финансови последици в областта на сигурността, по които са предприети мерки с подкрепата на Фонда, спрямо общия брой на препоръките с финансови последици в областта на сигурността. </w:t>
      </w:r>
    </w:p>
    <w:p w:rsidR="00515F45" w:rsidRDefault="00CC11AD">
      <w:pPr>
        <w:pStyle w:val="Text1"/>
        <w:rPr>
          <w:i/>
          <w:noProof/>
        </w:rPr>
      </w:pPr>
      <w:r>
        <w:rPr>
          <w:i/>
          <w:noProof/>
        </w:rPr>
        <w:t>източник на данните: държавите членки</w:t>
      </w:r>
    </w:p>
    <w:p w:rsidR="00515F45" w:rsidRDefault="00515F45">
      <w:pPr>
        <w:rPr>
          <w:b/>
          <w:noProof/>
        </w:rPr>
      </w:pPr>
    </w:p>
    <w:p w:rsidR="00515F45" w:rsidRDefault="00CC11AD">
      <w:pPr>
        <w:rPr>
          <w:b/>
          <w:noProof/>
        </w:rPr>
      </w:pPr>
      <w:r>
        <w:rPr>
          <w:b/>
          <w:noProof/>
        </w:rPr>
        <w:t xml:space="preserve">Специфична цел № 3: </w:t>
      </w:r>
      <w:r>
        <w:rPr>
          <w:noProof/>
        </w:rPr>
        <w:tab/>
      </w:r>
      <w:r>
        <w:rPr>
          <w:b/>
          <w:noProof/>
        </w:rPr>
        <w:t>Повишен капацитет за борба с престъпността и нейното предотвратяване</w:t>
      </w:r>
    </w:p>
    <w:p w:rsidR="00515F45" w:rsidRDefault="00CC11AD">
      <w:pPr>
        <w:pStyle w:val="Point0number"/>
        <w:rPr>
          <w:noProof/>
        </w:rPr>
      </w:pPr>
      <w:r>
        <w:rPr>
          <w:noProof/>
        </w:rPr>
        <w:t>Брой на служителите на правоприлагащи органи, завършили осигурени с подкрепата на Фонда обучения, упражнения, взаимни обучения или специализирани програми за обмен по трансгранични теми.</w:t>
      </w:r>
    </w:p>
    <w:p w:rsidR="00515F45" w:rsidRDefault="00CC11AD">
      <w:pPr>
        <w:pStyle w:val="Text1"/>
        <w:rPr>
          <w:i/>
          <w:noProof/>
        </w:rPr>
      </w:pPr>
      <w:r>
        <w:rPr>
          <w:i/>
          <w:noProof/>
        </w:rPr>
        <w:t>източник на данните: държавите членки</w:t>
      </w:r>
    </w:p>
    <w:p w:rsidR="00515F45" w:rsidRDefault="00CC11AD">
      <w:pPr>
        <w:pStyle w:val="Point0number"/>
        <w:rPr>
          <w:noProof/>
        </w:rPr>
      </w:pPr>
      <w:r>
        <w:rPr>
          <w:noProof/>
        </w:rPr>
        <w:t>Брой на критичните инфраструктурни обекти и обществените пространства, чиято защита от свързани със сигурността инциденти е подобрена с помощта на Фонда.</w:t>
      </w:r>
    </w:p>
    <w:p w:rsidR="00515F45" w:rsidRDefault="00CC11AD">
      <w:pPr>
        <w:pStyle w:val="Text1"/>
        <w:rPr>
          <w:i/>
          <w:noProof/>
        </w:rPr>
      </w:pPr>
      <w:r>
        <w:rPr>
          <w:i/>
          <w:noProof/>
        </w:rPr>
        <w:t>източник на данните: държавите членки</w:t>
      </w:r>
    </w:p>
    <w:p w:rsidR="00515F45" w:rsidRDefault="00CC11AD">
      <w:pPr>
        <w:pStyle w:val="Point0number"/>
        <w:rPr>
          <w:noProof/>
        </w:rPr>
      </w:pPr>
      <w:r>
        <w:rPr>
          <w:noProof/>
        </w:rPr>
        <w:t>Брой инициативи за предотвратяване на радикализацията, водеща до насилнически екстремизъм.</w:t>
      </w:r>
    </w:p>
    <w:p w:rsidR="00515F45" w:rsidRDefault="00CC11AD">
      <w:pPr>
        <w:pStyle w:val="Text1"/>
        <w:rPr>
          <w:i/>
          <w:noProof/>
        </w:rPr>
      </w:pPr>
      <w:r>
        <w:rPr>
          <w:i/>
          <w:noProof/>
        </w:rPr>
        <w:t>източник на данните: RAN</w:t>
      </w:r>
    </w:p>
    <w:p w:rsidR="00515F45" w:rsidRDefault="00CC11AD">
      <w:pPr>
        <w:spacing w:before="0" w:after="200" w:line="276" w:lineRule="auto"/>
        <w:jc w:val="left"/>
        <w:rPr>
          <w:noProof/>
          <w:u w:val="single"/>
        </w:rPr>
      </w:pPr>
      <w:r>
        <w:rPr>
          <w:noProof/>
        </w:rPr>
        <w:br w:type="page"/>
      </w:r>
    </w:p>
    <w:p w:rsidR="00515F45" w:rsidRDefault="00515F45">
      <w:pPr>
        <w:rPr>
          <w:noProof/>
          <w:u w:val="single"/>
        </w:rPr>
      </w:pPr>
    </w:p>
    <w:p w:rsidR="00515F45" w:rsidRDefault="00CC11AD">
      <w:pPr>
        <w:pStyle w:val="Annexetitre"/>
        <w:rPr>
          <w:noProof/>
          <w:u w:val="none"/>
        </w:rPr>
      </w:pPr>
      <w:r>
        <w:rPr>
          <w:noProof/>
        </w:rPr>
        <w:t>ПРИЛОЖЕНИЕ VI</w:t>
      </w:r>
      <w:r>
        <w:rPr>
          <w:noProof/>
        </w:rPr>
        <w:br/>
      </w:r>
      <w:r>
        <w:rPr>
          <w:noProof/>
        </w:rPr>
        <w:br/>
      </w:r>
      <w:r>
        <w:rPr>
          <w:noProof/>
          <w:u w:val="none"/>
        </w:rPr>
        <w:t xml:space="preserve">Видове интервенции </w:t>
      </w:r>
    </w:p>
    <w:p w:rsidR="00515F45" w:rsidRDefault="00CC11AD">
      <w:pPr>
        <w:shd w:val="clear" w:color="auto" w:fill="FFFFFF"/>
        <w:spacing w:before="240"/>
        <w:jc w:val="center"/>
        <w:rPr>
          <w:rFonts w:eastAsia="Times New Roman"/>
          <w:b/>
          <w:bCs/>
          <w:noProof/>
          <w:color w:val="000000"/>
          <w:szCs w:val="24"/>
        </w:rPr>
      </w:pPr>
      <w:r>
        <w:rPr>
          <w:b/>
          <w:noProof/>
          <w:color w:val="000000"/>
        </w:rPr>
        <w:t>ТАБЛИЦА 1:   КОДОВЕ ПО ИЗМЕРЕНИЕТО „ОБЛАСТ НА ИНТЕРВЕНЦИЯ“</w:t>
      </w:r>
    </w:p>
    <w:tbl>
      <w:tblPr>
        <w:tblStyle w:val="TableGrid"/>
        <w:tblW w:w="8508" w:type="dxa"/>
        <w:tblLook w:val="04A0" w:firstRow="1" w:lastRow="0" w:firstColumn="1" w:lastColumn="0" w:noHBand="0" w:noVBand="1"/>
      </w:tblPr>
      <w:tblGrid>
        <w:gridCol w:w="588"/>
        <w:gridCol w:w="7920"/>
      </w:tblGrid>
      <w:tr w:rsidR="00515F45">
        <w:tc>
          <w:tcPr>
            <w:tcW w:w="588" w:type="dxa"/>
          </w:tcPr>
          <w:p w:rsidR="00515F45" w:rsidRDefault="00CC11AD">
            <w:pPr>
              <w:shd w:val="clear" w:color="auto" w:fill="FFFFFF"/>
              <w:spacing w:before="60" w:after="60"/>
              <w:rPr>
                <w:bCs/>
                <w:noProof/>
                <w:color w:val="000000"/>
                <w:szCs w:val="24"/>
              </w:rPr>
            </w:pPr>
            <w:r>
              <w:rPr>
                <w:noProof/>
                <w:color w:val="000000"/>
              </w:rPr>
              <w:t>1</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борба с финансирането на тероризма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предотвратяване и противодействие на радикализацията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защита и устойчивост на обществени пространства и други лесни мишени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4</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защита и устойчивост на критична инфраструктура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5</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химически, биологични, радиоактивни, ядрени заплахи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6</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 xml:space="preserve">TER — взривни вещества </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7</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управление на кризи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8</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TER — други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9</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корупция</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10</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 xml:space="preserve">OC — икономически и финансови престъпления </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11</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наркотици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12</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трафик на огнестрелни оръжия</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13</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трафик на хора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14</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контрабанда на мигранти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15</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престъпления против околната среда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16</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организирана престъпност против собствеността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17</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OC — други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18</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киберпрестъпност — други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19</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киберпрестъпност — предотвратяване</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20</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киберпрестъпност — подпомагане на разследвания</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21</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киберпрестъпност — подпомагане на жертви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22</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сексуална експлоатация на деца — предотвратяване</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23</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сексуална експлоатация на деца — подпомагане на разследвания</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24</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сексуална експлоатация на деца — подпомагане на жертви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25</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сексуална експлоатация на деца — други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26</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CC — други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27</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GEN — обмен на информация</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28</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 xml:space="preserve">GEN — полицейско или междуведомствено сътрудничество (митници, гранична охрана, разузнавателни служби) </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lastRenderedPageBreak/>
              <w:t>29</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GEN — криминалистика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30</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GEN — подкрепа за жертви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31</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GEN — оперативна подкрепа</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32</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 xml:space="preserve">TA — Техническа помощ — </w:t>
            </w:r>
            <w:r>
              <w:rPr>
                <w:noProof/>
                <w:sz w:val="20"/>
              </w:rPr>
              <w:t>информация и комуникация</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33</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TA — Техническа помощ —</w:t>
            </w:r>
            <w:r>
              <w:rPr>
                <w:noProof/>
                <w:sz w:val="20"/>
              </w:rPr>
              <w:t xml:space="preserve"> подготовка, изпълнение, мониторинг и контрол</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34</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TA — Техническа помощ —</w:t>
            </w:r>
            <w:r>
              <w:rPr>
                <w:noProof/>
                <w:sz w:val="20"/>
              </w:rPr>
              <w:t xml:space="preserve"> оценка и проучвания, събиране на данни</w:t>
            </w:r>
          </w:p>
        </w:tc>
      </w:tr>
      <w:tr w:rsidR="00515F45">
        <w:tc>
          <w:tcPr>
            <w:tcW w:w="588" w:type="dxa"/>
          </w:tcPr>
          <w:p w:rsidR="00515F45" w:rsidRDefault="00CC11AD">
            <w:pPr>
              <w:shd w:val="clear" w:color="auto" w:fill="FFFFFF"/>
              <w:spacing w:before="60" w:after="60"/>
              <w:rPr>
                <w:bCs/>
                <w:noProof/>
                <w:color w:val="000000"/>
                <w:szCs w:val="24"/>
              </w:rPr>
            </w:pPr>
            <w:r>
              <w:rPr>
                <w:noProof/>
                <w:color w:val="000000"/>
              </w:rPr>
              <w:t>35</w:t>
            </w:r>
          </w:p>
        </w:tc>
        <w:tc>
          <w:tcPr>
            <w:tcW w:w="7920" w:type="dxa"/>
            <w:vAlign w:val="center"/>
          </w:tcPr>
          <w:p w:rsidR="00515F45" w:rsidRDefault="00CC11AD">
            <w:pPr>
              <w:shd w:val="clear" w:color="auto" w:fill="FFFFFF"/>
              <w:spacing w:before="60" w:after="60"/>
              <w:rPr>
                <w:bCs/>
                <w:noProof/>
                <w:color w:val="000000"/>
                <w:szCs w:val="24"/>
              </w:rPr>
            </w:pPr>
            <w:r>
              <w:rPr>
                <w:noProof/>
                <w:color w:val="000000"/>
              </w:rPr>
              <w:t>TA — Техническа помощ</w:t>
            </w:r>
            <w:r>
              <w:rPr>
                <w:noProof/>
                <w:sz w:val="20"/>
              </w:rPr>
              <w:t xml:space="preserve"> — изграждане на капацитет</w:t>
            </w:r>
          </w:p>
        </w:tc>
      </w:tr>
    </w:tbl>
    <w:p w:rsidR="00515F45" w:rsidRDefault="00CC11AD">
      <w:pPr>
        <w:shd w:val="clear" w:color="auto" w:fill="FFFFFF"/>
        <w:spacing w:before="240"/>
        <w:jc w:val="center"/>
        <w:rPr>
          <w:rFonts w:eastAsia="Times New Roman"/>
          <w:b/>
          <w:bCs/>
          <w:noProof/>
          <w:color w:val="000000"/>
          <w:szCs w:val="24"/>
        </w:rPr>
      </w:pPr>
      <w:r>
        <w:rPr>
          <w:b/>
          <w:noProof/>
          <w:color w:val="000000"/>
        </w:rPr>
        <w:t>ТАБЛИЦА 2:   КОДОВЕ ПО ИЗМЕРЕНИЕТО „ВИД ДЕЙСТВИЕ“</w:t>
      </w:r>
    </w:p>
    <w:tbl>
      <w:tblPr>
        <w:tblStyle w:val="TableGrid"/>
        <w:tblW w:w="8508" w:type="dxa"/>
        <w:tblLook w:val="04A0" w:firstRow="1" w:lastRow="0" w:firstColumn="1" w:lastColumn="0" w:noHBand="0" w:noVBand="1"/>
      </w:tblPr>
      <w:tblGrid>
        <w:gridCol w:w="696"/>
        <w:gridCol w:w="7812"/>
      </w:tblGrid>
      <w:tr w:rsidR="00515F45">
        <w:tc>
          <w:tcPr>
            <w:tcW w:w="696" w:type="dxa"/>
          </w:tcPr>
          <w:p w:rsidR="00515F45" w:rsidRDefault="00CC11AD">
            <w:pPr>
              <w:shd w:val="clear" w:color="auto" w:fill="FFFFFF"/>
              <w:spacing w:before="60" w:after="60"/>
              <w:rPr>
                <w:bCs/>
                <w:noProof/>
                <w:color w:val="000000"/>
                <w:szCs w:val="24"/>
              </w:rPr>
            </w:pPr>
            <w:r>
              <w:rPr>
                <w:noProof/>
                <w:color w:val="000000"/>
              </w:rPr>
              <w:t>1</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Информационни системи, оперативна съвместимост, качество на данните, комуникационни системи (без оборудване)</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2</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Мрежи, центрове за високи постижения, структури за сътрудничество, съвместни действия и операции</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3</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Съвместни екипи за разследване (СЕР) или други съвместни операции</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4</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Командироване или изпращане на експерти</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5</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Обучение</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6</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Обмен на най-добри практики, семинари, конференции, събития, кампании за повишаване на осведомеността, комуникационни дейности</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7</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Изследвания, пилотни проекти, оценки на риска</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8</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Оборудване (включено при изчислението на тавана от 15 % )</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9</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Транспортни средства (включени в изчислението на тавана от 15 %)</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10</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Сгради, съоръжения (включени в изчислението на тавана от 15 %)</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11</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Внедряване или друга форма на последващи действия в резултат на научни проекти</w:t>
            </w:r>
          </w:p>
        </w:tc>
      </w:tr>
    </w:tbl>
    <w:p w:rsidR="00515F45" w:rsidRDefault="00CC11AD">
      <w:pPr>
        <w:shd w:val="clear" w:color="auto" w:fill="FFFFFF"/>
        <w:spacing w:before="240"/>
        <w:jc w:val="center"/>
        <w:rPr>
          <w:rFonts w:eastAsia="Times New Roman"/>
          <w:b/>
          <w:bCs/>
          <w:noProof/>
          <w:color w:val="000000"/>
          <w:szCs w:val="24"/>
        </w:rPr>
      </w:pPr>
      <w:r>
        <w:rPr>
          <w:b/>
          <w:noProof/>
          <w:color w:val="000000"/>
        </w:rPr>
        <w:t>ТАБЛИЦА 3:   КОДОВЕ ПО ИЗМЕРЕНИЕТО „ФОРМИ НА ИЗПЪЛНЕНИЕ“</w:t>
      </w:r>
    </w:p>
    <w:tbl>
      <w:tblPr>
        <w:tblStyle w:val="TableGrid"/>
        <w:tblW w:w="8508" w:type="dxa"/>
        <w:tblLook w:val="04A0" w:firstRow="1" w:lastRow="0" w:firstColumn="1" w:lastColumn="0" w:noHBand="0" w:noVBand="1"/>
      </w:tblPr>
      <w:tblGrid>
        <w:gridCol w:w="696"/>
        <w:gridCol w:w="7812"/>
      </w:tblGrid>
      <w:tr w:rsidR="00515F45">
        <w:tc>
          <w:tcPr>
            <w:tcW w:w="696" w:type="dxa"/>
          </w:tcPr>
          <w:p w:rsidR="00515F45" w:rsidRDefault="00CC11AD">
            <w:pPr>
              <w:shd w:val="clear" w:color="auto" w:fill="FFFFFF"/>
              <w:spacing w:before="60" w:after="60"/>
              <w:rPr>
                <w:bCs/>
                <w:noProof/>
                <w:color w:val="000000"/>
                <w:szCs w:val="24"/>
              </w:rPr>
            </w:pPr>
            <w:r>
              <w:rPr>
                <w:noProof/>
                <w:color w:val="000000"/>
              </w:rPr>
              <w:t>1</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Сътрудничество с трети държави</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2</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Дейности в трети държави</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3</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Изпълнение на препоръки след оценки по Шенген в областта на полицейското сътрудничество</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4</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Специфични действия (неизвестни на етапа на програмиране)</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5</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Спешно подпомагане (неизвестно на етапа на програмиране)</w:t>
            </w:r>
          </w:p>
        </w:tc>
      </w:tr>
      <w:tr w:rsidR="00515F45">
        <w:tc>
          <w:tcPr>
            <w:tcW w:w="696" w:type="dxa"/>
          </w:tcPr>
          <w:p w:rsidR="00515F45" w:rsidRDefault="00CC11AD">
            <w:pPr>
              <w:shd w:val="clear" w:color="auto" w:fill="FFFFFF"/>
              <w:spacing w:before="60" w:after="60"/>
              <w:rPr>
                <w:bCs/>
                <w:noProof/>
                <w:color w:val="000000"/>
                <w:szCs w:val="24"/>
              </w:rPr>
            </w:pPr>
            <w:r>
              <w:rPr>
                <w:noProof/>
                <w:color w:val="000000"/>
              </w:rPr>
              <w:t>6</w:t>
            </w:r>
          </w:p>
        </w:tc>
        <w:tc>
          <w:tcPr>
            <w:tcW w:w="7812" w:type="dxa"/>
            <w:vAlign w:val="center"/>
          </w:tcPr>
          <w:p w:rsidR="00515F45" w:rsidRDefault="00CC11AD">
            <w:pPr>
              <w:shd w:val="clear" w:color="auto" w:fill="FFFFFF"/>
              <w:spacing w:before="60" w:after="60"/>
              <w:rPr>
                <w:bCs/>
                <w:noProof/>
                <w:color w:val="000000"/>
                <w:szCs w:val="24"/>
              </w:rPr>
            </w:pPr>
            <w:r>
              <w:rPr>
                <w:noProof/>
                <w:color w:val="000000"/>
              </w:rPr>
              <w:t>Действия, изброени в приложение IV</w:t>
            </w:r>
          </w:p>
        </w:tc>
      </w:tr>
    </w:tbl>
    <w:p w:rsidR="00515F45" w:rsidRDefault="00CC11AD">
      <w:pPr>
        <w:rPr>
          <w:noProof/>
          <w:u w:val="single"/>
        </w:rPr>
      </w:pPr>
      <w:r>
        <w:rPr>
          <w:noProof/>
        </w:rPr>
        <w:br w:type="page"/>
      </w:r>
    </w:p>
    <w:p w:rsidR="00515F45" w:rsidRDefault="00CC11AD">
      <w:pPr>
        <w:pStyle w:val="Annexetitre"/>
        <w:rPr>
          <w:noProof/>
          <w:u w:val="none"/>
        </w:rPr>
      </w:pPr>
      <w:r>
        <w:rPr>
          <w:noProof/>
        </w:rPr>
        <w:lastRenderedPageBreak/>
        <w:t>ПРИЛОЖЕНИЕ VII</w:t>
      </w:r>
      <w:r>
        <w:rPr>
          <w:noProof/>
        </w:rPr>
        <w:br/>
      </w:r>
      <w:r>
        <w:rPr>
          <w:noProof/>
        </w:rPr>
        <w:br/>
      </w:r>
      <w:r>
        <w:rPr>
          <w:noProof/>
          <w:u w:val="none"/>
        </w:rPr>
        <w:t>Допустими действия за оперативна подкрепа</w:t>
      </w:r>
    </w:p>
    <w:p w:rsidR="00515F45" w:rsidRDefault="00515F45">
      <w:pPr>
        <w:rPr>
          <w:noProof/>
        </w:rPr>
      </w:pPr>
    </w:p>
    <w:p w:rsidR="00515F45" w:rsidRDefault="00CC11AD">
      <w:pPr>
        <w:rPr>
          <w:noProof/>
        </w:rPr>
      </w:pPr>
      <w:r>
        <w:rPr>
          <w:noProof/>
        </w:rPr>
        <w:t>По специфична цел „Подобряване на обмена на информация“ оперативната подкрепа в рамките на програмите покрива:</w:t>
      </w:r>
    </w:p>
    <w:p w:rsidR="00515F45" w:rsidRDefault="00CC11AD">
      <w:pPr>
        <w:pStyle w:val="Bullet0"/>
        <w:rPr>
          <w:noProof/>
        </w:rPr>
      </w:pPr>
      <w:r>
        <w:rPr>
          <w:noProof/>
        </w:rPr>
        <w:t xml:space="preserve">поддръжка и бюро за помощ за информационните системи на Съюза и, когато е целесъобразно, за националните информационни системи, допринасящи за постигането на целите на настоящия регламент; </w:t>
      </w:r>
    </w:p>
    <w:p w:rsidR="00515F45" w:rsidRDefault="00CC11AD">
      <w:pPr>
        <w:pStyle w:val="Bullet0"/>
        <w:rPr>
          <w:b/>
          <w:noProof/>
        </w:rPr>
      </w:pPr>
      <w:r>
        <w:rPr>
          <w:noProof/>
        </w:rPr>
        <w:t>разходи за персонал, допринасящи за постигането на целите на настоящия регламент.</w:t>
      </w:r>
    </w:p>
    <w:p w:rsidR="00515F45" w:rsidRDefault="00CC11AD">
      <w:pPr>
        <w:rPr>
          <w:noProof/>
        </w:rPr>
      </w:pPr>
      <w:r>
        <w:rPr>
          <w:noProof/>
        </w:rPr>
        <w:t>По специфична цел „Засилено оперативно сътрудничество“ оперативната подкрепа в рамките на програмите покрива:</w:t>
      </w:r>
    </w:p>
    <w:p w:rsidR="00515F45" w:rsidRDefault="00CC11AD">
      <w:pPr>
        <w:pStyle w:val="Bullet0"/>
        <w:rPr>
          <w:noProof/>
        </w:rPr>
      </w:pPr>
      <w:r>
        <w:rPr>
          <w:noProof/>
        </w:rPr>
        <w:t xml:space="preserve">поддръжка на техническо оборудване или транспортни средства, използвани за действия в областта на предотвратяването, разкриването и разследването на тежка и организирана престъпност с трансгранично измерение; </w:t>
      </w:r>
    </w:p>
    <w:p w:rsidR="00515F45" w:rsidRDefault="00CC11AD">
      <w:pPr>
        <w:pStyle w:val="Bullet0"/>
        <w:rPr>
          <w:noProof/>
        </w:rPr>
      </w:pPr>
      <w:r>
        <w:rPr>
          <w:noProof/>
        </w:rPr>
        <w:t>разходи за персонал, допринасящи за постигането на целите на настоящия регламент.</w:t>
      </w:r>
    </w:p>
    <w:p w:rsidR="00515F45" w:rsidRDefault="00CC11AD">
      <w:pPr>
        <w:rPr>
          <w:noProof/>
        </w:rPr>
      </w:pPr>
      <w:r>
        <w:rPr>
          <w:noProof/>
        </w:rPr>
        <w:t>По специфична цел „Повишен капацитет за борба с престъпността и нейното предотвратяване“ оперативната подкрепа в рамките на програмите покрива:</w:t>
      </w:r>
    </w:p>
    <w:p w:rsidR="00515F45" w:rsidRDefault="00CC11AD">
      <w:pPr>
        <w:pStyle w:val="Bullet0"/>
        <w:rPr>
          <w:noProof/>
        </w:rPr>
      </w:pPr>
      <w:r>
        <w:rPr>
          <w:noProof/>
        </w:rPr>
        <w:t>поддръжка на техническо оборудване или транспортни средства, използвани за действия в областта на предотвратяването, разкриването и разследването на тежка и организирана престъпност с трансгранично измерение;</w:t>
      </w:r>
    </w:p>
    <w:p w:rsidR="00515F45" w:rsidRDefault="00CC11AD">
      <w:pPr>
        <w:pStyle w:val="Bullet0"/>
        <w:rPr>
          <w:noProof/>
        </w:rPr>
      </w:pPr>
      <w:r>
        <w:rPr>
          <w:noProof/>
        </w:rPr>
        <w:t>разходи за персонал, допринасящи за постигането на целите на настоящия регламент.</w:t>
      </w:r>
    </w:p>
    <w:p w:rsidR="00515F45" w:rsidRDefault="00CC11AD">
      <w:pPr>
        <w:rPr>
          <w:noProof/>
        </w:rPr>
      </w:pPr>
      <w:r>
        <w:rPr>
          <w:noProof/>
        </w:rPr>
        <w:t>Действия, които не отговарят на условията за допустимост по член 4, параграф 3, не се покриват.</w:t>
      </w:r>
    </w:p>
    <w:p w:rsidR="00515F45" w:rsidRDefault="00CC11AD">
      <w:pPr>
        <w:rPr>
          <w:noProof/>
        </w:rPr>
      </w:pPr>
      <w:r>
        <w:rPr>
          <w:noProof/>
        </w:rPr>
        <w:br w:type="page"/>
      </w:r>
    </w:p>
    <w:p w:rsidR="00515F45" w:rsidRDefault="00CC11AD">
      <w:pPr>
        <w:pStyle w:val="Annexetitre"/>
        <w:rPr>
          <w:noProof/>
        </w:rPr>
      </w:pPr>
      <w:r>
        <w:rPr>
          <w:noProof/>
        </w:rPr>
        <w:lastRenderedPageBreak/>
        <w:t>ПРИЛОЖЕНИЕ VIII</w:t>
      </w:r>
      <w:r>
        <w:rPr>
          <w:noProof/>
          <w:u w:val="none"/>
        </w:rPr>
        <w:br/>
      </w:r>
      <w:r>
        <w:rPr>
          <w:noProof/>
          <w:u w:val="none"/>
        </w:rPr>
        <w:br/>
        <w:t>Показатели за крайните продукти и резултатите по член 24, параграф 3</w:t>
      </w:r>
    </w:p>
    <w:p w:rsidR="00515F45" w:rsidRDefault="00515F45">
      <w:pPr>
        <w:rPr>
          <w:b/>
          <w:noProof/>
        </w:rPr>
      </w:pPr>
    </w:p>
    <w:p w:rsidR="00515F45" w:rsidRDefault="00CC11AD">
      <w:pPr>
        <w:rPr>
          <w:b/>
          <w:noProof/>
        </w:rPr>
      </w:pPr>
      <w:r>
        <w:rPr>
          <w:b/>
          <w:noProof/>
        </w:rPr>
        <w:t xml:space="preserve">Специфична цел № 1: </w:t>
      </w:r>
      <w:r>
        <w:rPr>
          <w:noProof/>
        </w:rPr>
        <w:tab/>
      </w:r>
      <w:r>
        <w:rPr>
          <w:b/>
          <w:noProof/>
        </w:rPr>
        <w:t>Подобряване на обмена на информация</w:t>
      </w:r>
    </w:p>
    <w:p w:rsidR="00515F45" w:rsidRDefault="00CC11AD">
      <w:pPr>
        <w:pStyle w:val="Point0number"/>
        <w:numPr>
          <w:ilvl w:val="0"/>
          <w:numId w:val="9"/>
        </w:numPr>
        <w:rPr>
          <w:noProof/>
        </w:rPr>
      </w:pPr>
      <w:r>
        <w:rPr>
          <w:noProof/>
        </w:rPr>
        <w:t>Използване на механизмите на ЕС за обмен на информация, измерено чрез:</w:t>
      </w:r>
    </w:p>
    <w:p w:rsidR="00515F45" w:rsidRDefault="00CC11AD">
      <w:pPr>
        <w:pStyle w:val="Point1"/>
        <w:rPr>
          <w:noProof/>
        </w:rPr>
      </w:pPr>
      <w:r>
        <w:rPr>
          <w:noProof/>
        </w:rPr>
        <w:t>а)</w:t>
      </w:r>
      <w:r>
        <w:rPr>
          <w:noProof/>
        </w:rPr>
        <w:tab/>
        <w:t>броя на търсенията, извършени в Шенгенската информационна система (ШИС);</w:t>
      </w:r>
    </w:p>
    <w:p w:rsidR="00515F45" w:rsidRDefault="00CC11AD">
      <w:pPr>
        <w:pStyle w:val="Point1"/>
        <w:rPr>
          <w:noProof/>
        </w:rPr>
      </w:pPr>
      <w:r>
        <w:rPr>
          <w:noProof/>
        </w:rPr>
        <w:t>б)</w:t>
      </w:r>
      <w:r>
        <w:rPr>
          <w:noProof/>
        </w:rPr>
        <w:tab/>
        <w:t>броя на търсенията в системата за транснационален обмен на криминалистични данни (ДНК, пръстови отпечатъци, регистрационни номера на превозни средства) между държавите членки (система за автоматизиран обмен на данни съгласно Решението от Прюм);</w:t>
      </w:r>
    </w:p>
    <w:p w:rsidR="00515F45" w:rsidRDefault="00CC11AD">
      <w:pPr>
        <w:pStyle w:val="Point1"/>
        <w:rPr>
          <w:noProof/>
        </w:rPr>
      </w:pPr>
      <w:r>
        <w:rPr>
          <w:noProof/>
        </w:rPr>
        <w:t>в)</w:t>
      </w:r>
      <w:r>
        <w:rPr>
          <w:noProof/>
        </w:rPr>
        <w:tab/>
        <w:t>броя на съобщенията, обменени чрез приложението на Европол за мрежа за сигурен обмен на информация (SIENA);</w:t>
      </w:r>
    </w:p>
    <w:p w:rsidR="00515F45" w:rsidRDefault="00CC11AD">
      <w:pPr>
        <w:pStyle w:val="Point1"/>
        <w:rPr>
          <w:noProof/>
        </w:rPr>
      </w:pPr>
      <w:r>
        <w:rPr>
          <w:noProof/>
        </w:rPr>
        <w:t>г)</w:t>
      </w:r>
      <w:r>
        <w:rPr>
          <w:noProof/>
        </w:rPr>
        <w:tab/>
        <w:t>броя на търсенията, извършени в информационната система на Европол (EIS);</w:t>
      </w:r>
    </w:p>
    <w:p w:rsidR="00515F45" w:rsidRDefault="00CC11AD">
      <w:pPr>
        <w:pStyle w:val="Point1"/>
        <w:rPr>
          <w:noProof/>
        </w:rPr>
      </w:pPr>
      <w:r>
        <w:rPr>
          <w:noProof/>
        </w:rPr>
        <w:t>д)</w:t>
      </w:r>
      <w:r>
        <w:rPr>
          <w:noProof/>
        </w:rPr>
        <w:tab/>
        <w:t>общия брой на пътниците, за които са събрани и обменени резервационни (PNR) данни;</w:t>
      </w:r>
    </w:p>
    <w:p w:rsidR="00515F45" w:rsidRDefault="00CC11AD">
      <w:pPr>
        <w:pStyle w:val="Text1"/>
        <w:rPr>
          <w:i/>
          <w:noProof/>
        </w:rPr>
      </w:pPr>
      <w:r>
        <w:rPr>
          <w:i/>
          <w:noProof/>
        </w:rPr>
        <w:t>източник на данните: Европол, eu-LISA, Съвета, държавите членки</w:t>
      </w:r>
    </w:p>
    <w:p w:rsidR="00515F45" w:rsidRDefault="00CC11AD">
      <w:pPr>
        <w:pStyle w:val="Point0number"/>
        <w:rPr>
          <w:noProof/>
        </w:rPr>
      </w:pPr>
      <w:r>
        <w:rPr>
          <w:noProof/>
        </w:rPr>
        <w:t>Брой на направените с подкрепата на Фонда нови връзки между свързани със сигурността бази данни:</w:t>
      </w:r>
    </w:p>
    <w:p w:rsidR="00515F45" w:rsidRDefault="00CC11AD">
      <w:pPr>
        <w:pStyle w:val="Point1"/>
        <w:rPr>
          <w:noProof/>
        </w:rPr>
      </w:pPr>
      <w:r>
        <w:rPr>
          <w:noProof/>
        </w:rPr>
        <w:t>а)</w:t>
      </w:r>
      <w:r>
        <w:rPr>
          <w:noProof/>
        </w:rPr>
        <w:tab/>
        <w:t>с бази данни на ЕС и с международни бази данни, когато е целесъобразно;</w:t>
      </w:r>
    </w:p>
    <w:p w:rsidR="00515F45" w:rsidRDefault="00CC11AD">
      <w:pPr>
        <w:pStyle w:val="Point1"/>
        <w:rPr>
          <w:noProof/>
        </w:rPr>
      </w:pPr>
      <w:r>
        <w:rPr>
          <w:noProof/>
        </w:rPr>
        <w:t>б)</w:t>
      </w:r>
      <w:r>
        <w:rPr>
          <w:noProof/>
        </w:rPr>
        <w:tab/>
        <w:t>в рамките на държавата членка;</w:t>
      </w:r>
    </w:p>
    <w:p w:rsidR="00515F45" w:rsidRDefault="00CC11AD">
      <w:pPr>
        <w:pStyle w:val="Point1"/>
        <w:rPr>
          <w:noProof/>
        </w:rPr>
      </w:pPr>
      <w:r>
        <w:rPr>
          <w:noProof/>
        </w:rPr>
        <w:t>в)</w:t>
      </w:r>
      <w:r>
        <w:rPr>
          <w:noProof/>
        </w:rPr>
        <w:tab/>
        <w:t>с една или повече други държави членки;</w:t>
      </w:r>
    </w:p>
    <w:p w:rsidR="00515F45" w:rsidRDefault="00CC11AD">
      <w:pPr>
        <w:pStyle w:val="Point1"/>
        <w:rPr>
          <w:noProof/>
        </w:rPr>
      </w:pPr>
      <w:r>
        <w:rPr>
          <w:noProof/>
        </w:rPr>
        <w:t>г)</w:t>
      </w:r>
      <w:r>
        <w:rPr>
          <w:noProof/>
        </w:rPr>
        <w:tab/>
        <w:t>с една или повече трети държави.</w:t>
      </w:r>
    </w:p>
    <w:p w:rsidR="00515F45" w:rsidRDefault="00CC11AD">
      <w:pPr>
        <w:pStyle w:val="Text1"/>
        <w:rPr>
          <w:i/>
          <w:noProof/>
        </w:rPr>
      </w:pPr>
      <w:r>
        <w:rPr>
          <w:i/>
          <w:noProof/>
        </w:rPr>
        <w:t>източник на данните: държавите членки</w:t>
      </w:r>
    </w:p>
    <w:p w:rsidR="00515F45" w:rsidRDefault="00CC11AD">
      <w:pPr>
        <w:pStyle w:val="Point0number"/>
        <w:numPr>
          <w:ilvl w:val="0"/>
          <w:numId w:val="10"/>
        </w:numPr>
        <w:rPr>
          <w:noProof/>
        </w:rPr>
      </w:pPr>
      <w:r>
        <w:rPr>
          <w:noProof/>
        </w:rPr>
        <w:t>Брой на добавените с подкрепата на Фонда активни потребители на свързани със сигурността инструменти, системи и бази данни на ЕС за обмен на информация и, когато е целесъобразно, национални инструменти, системи и бази данни за обмен на информация спрямо общия брой потребители.</w:t>
      </w:r>
    </w:p>
    <w:p w:rsidR="00515F45" w:rsidRDefault="00CC11AD">
      <w:pPr>
        <w:pStyle w:val="Text1"/>
        <w:rPr>
          <w:i/>
          <w:noProof/>
        </w:rPr>
      </w:pPr>
      <w:r>
        <w:rPr>
          <w:i/>
          <w:noProof/>
        </w:rPr>
        <w:t>източник на данните: държавите членки</w:t>
      </w:r>
    </w:p>
    <w:p w:rsidR="00515F45" w:rsidRDefault="00CC11AD">
      <w:pPr>
        <w:rPr>
          <w:b/>
          <w:noProof/>
        </w:rPr>
      </w:pPr>
      <w:r>
        <w:rPr>
          <w:b/>
          <w:noProof/>
        </w:rPr>
        <w:t xml:space="preserve">Специфична цел № 2: </w:t>
      </w:r>
      <w:r>
        <w:rPr>
          <w:noProof/>
        </w:rPr>
        <w:tab/>
      </w:r>
      <w:r>
        <w:rPr>
          <w:b/>
          <w:noProof/>
        </w:rPr>
        <w:t>Засилено оперативно сътрудничество</w:t>
      </w:r>
    </w:p>
    <w:p w:rsidR="00515F45" w:rsidRDefault="00CC11AD">
      <w:pPr>
        <w:pStyle w:val="Point0number"/>
        <w:numPr>
          <w:ilvl w:val="0"/>
          <w:numId w:val="10"/>
        </w:numPr>
        <w:rPr>
          <w:noProof/>
        </w:rPr>
      </w:pPr>
      <w:r>
        <w:rPr>
          <w:noProof/>
        </w:rPr>
        <w:t>Брой на подкрепените от Фонда съвместни оперативни действия, включително участващите държави членки и органи, с разбивка по области (борба с тероризма, организирана престъпност (общо), организирана престъпност (огнестрелни оръжия, киберпрестъпност, други):</w:t>
      </w:r>
    </w:p>
    <w:p w:rsidR="00515F45" w:rsidRDefault="00CC11AD">
      <w:pPr>
        <w:pStyle w:val="Point1"/>
        <w:rPr>
          <w:noProof/>
        </w:rPr>
      </w:pPr>
      <w:r>
        <w:rPr>
          <w:noProof/>
        </w:rPr>
        <w:t>а)</w:t>
      </w:r>
      <w:r>
        <w:rPr>
          <w:noProof/>
        </w:rPr>
        <w:tab/>
        <w:t>брой съвместни екипи за разследване (СЕР);</w:t>
      </w:r>
    </w:p>
    <w:p w:rsidR="00515F45" w:rsidRDefault="00CC11AD">
      <w:pPr>
        <w:pStyle w:val="Point1"/>
        <w:rPr>
          <w:noProof/>
        </w:rPr>
      </w:pPr>
      <w:r>
        <w:rPr>
          <w:noProof/>
        </w:rPr>
        <w:t>б)</w:t>
      </w:r>
      <w:r>
        <w:rPr>
          <w:noProof/>
        </w:rPr>
        <w:tab/>
        <w:t>брой оперативни проекти в Европейската мултидисциплинарна платформа за борба с криминални заплахи (EMPACT);</w:t>
      </w:r>
    </w:p>
    <w:p w:rsidR="00515F45" w:rsidRDefault="00CC11AD">
      <w:pPr>
        <w:pStyle w:val="Point1"/>
        <w:rPr>
          <w:noProof/>
        </w:rPr>
      </w:pPr>
      <w:r>
        <w:rPr>
          <w:noProof/>
        </w:rPr>
        <w:t>в)</w:t>
      </w:r>
      <w:r>
        <w:rPr>
          <w:noProof/>
        </w:rPr>
        <w:tab/>
        <w:t>други съвместни оперативни действия.</w:t>
      </w:r>
    </w:p>
    <w:p w:rsidR="00515F45" w:rsidRDefault="00CC11AD">
      <w:pPr>
        <w:pStyle w:val="Text1"/>
        <w:rPr>
          <w:i/>
          <w:noProof/>
        </w:rPr>
      </w:pPr>
      <w:r>
        <w:rPr>
          <w:i/>
          <w:noProof/>
        </w:rPr>
        <w:lastRenderedPageBreak/>
        <w:t>източник на данните: Европол, Евроюст, държавите членки</w:t>
      </w:r>
    </w:p>
    <w:p w:rsidR="00515F45" w:rsidRDefault="00CC11AD">
      <w:pPr>
        <w:pStyle w:val="Point0number"/>
        <w:rPr>
          <w:noProof/>
        </w:rPr>
      </w:pPr>
      <w:r>
        <w:rPr>
          <w:noProof/>
        </w:rPr>
        <w:t>Участие в транснационални мрежи, функциониращи с подкрепата на Фонда.</w:t>
      </w:r>
    </w:p>
    <w:p w:rsidR="00515F45" w:rsidRDefault="00CC11AD">
      <w:pPr>
        <w:pStyle w:val="Text1"/>
        <w:rPr>
          <w:i/>
          <w:noProof/>
        </w:rPr>
      </w:pPr>
      <w:r>
        <w:rPr>
          <w:i/>
          <w:noProof/>
        </w:rPr>
        <w:t>източник на данните: държавите членки, бенефициери на безвъзмездни средства за действия на Съюза или по EMAS</w:t>
      </w:r>
    </w:p>
    <w:p w:rsidR="00515F45" w:rsidRDefault="00CC11AD">
      <w:pPr>
        <w:pStyle w:val="Point0number"/>
        <w:rPr>
          <w:noProof/>
        </w:rPr>
      </w:pPr>
      <w:r>
        <w:rPr>
          <w:noProof/>
        </w:rPr>
        <w:t xml:space="preserve">Изчислена стойност на обезпечените и конфискуваните активи с подкрепата на Фонда. </w:t>
      </w:r>
    </w:p>
    <w:p w:rsidR="00515F45" w:rsidRDefault="00CC11AD">
      <w:pPr>
        <w:pStyle w:val="Text1"/>
        <w:rPr>
          <w:i/>
          <w:noProof/>
        </w:rPr>
      </w:pPr>
      <w:r>
        <w:rPr>
          <w:i/>
          <w:noProof/>
        </w:rPr>
        <w:t>източник на данните: държавите членки</w:t>
      </w:r>
    </w:p>
    <w:p w:rsidR="00515F45" w:rsidRDefault="00CC11AD">
      <w:pPr>
        <w:pStyle w:val="Point0number"/>
        <w:rPr>
          <w:noProof/>
        </w:rPr>
      </w:pPr>
      <w:r>
        <w:rPr>
          <w:noProof/>
        </w:rPr>
        <w:t xml:space="preserve">Стойност на незаконните наркотици, иззети благодарение на трансграничното сътрудничество между правоприлагащи органи. </w:t>
      </w:r>
    </w:p>
    <w:p w:rsidR="00515F45" w:rsidRDefault="00CC11AD">
      <w:pPr>
        <w:pStyle w:val="Text1"/>
        <w:rPr>
          <w:i/>
          <w:noProof/>
        </w:rPr>
      </w:pPr>
      <w:r>
        <w:rPr>
          <w:i/>
          <w:noProof/>
        </w:rPr>
        <w:t>източник на данните: държавите членки, бенефициери на безвъзмездни средства за действия на Съюза</w:t>
      </w:r>
    </w:p>
    <w:p w:rsidR="00515F45" w:rsidRDefault="00CC11AD">
      <w:pPr>
        <w:pStyle w:val="Point0number"/>
        <w:rPr>
          <w:noProof/>
        </w:rPr>
      </w:pPr>
      <w:r>
        <w:rPr>
          <w:noProof/>
        </w:rPr>
        <w:t>Брой на генерираните с помощта на Фонда крайни продукти на съществуващите транснационални мрежи, например наръчници за най-добри практики, семинари, съвместни упражнения.</w:t>
      </w:r>
    </w:p>
    <w:p w:rsidR="00515F45" w:rsidRDefault="00CC11AD">
      <w:pPr>
        <w:pStyle w:val="Text1"/>
        <w:rPr>
          <w:i/>
          <w:noProof/>
        </w:rPr>
      </w:pPr>
      <w:r>
        <w:rPr>
          <w:i/>
          <w:noProof/>
        </w:rPr>
        <w:t>източник на данните: бенефициери на безвъзмездни средства за действия на Съюза</w:t>
      </w:r>
    </w:p>
    <w:p w:rsidR="00515F45" w:rsidRDefault="00CC11AD">
      <w:pPr>
        <w:pStyle w:val="Point0number"/>
        <w:rPr>
          <w:noProof/>
        </w:rPr>
      </w:pPr>
      <w:r>
        <w:rPr>
          <w:noProof/>
        </w:rPr>
        <w:t xml:space="preserve">Брой на препоръките след оценка по Шенген с финансови последици в областта на сигурността, по които са предприети мерки с подкрепата на Фонда, спрямо общия брой на препоръките с финансови последици в областта на сигурността. </w:t>
      </w:r>
    </w:p>
    <w:p w:rsidR="00515F45" w:rsidRDefault="00CC11AD">
      <w:pPr>
        <w:pStyle w:val="Text1"/>
        <w:rPr>
          <w:i/>
          <w:noProof/>
        </w:rPr>
      </w:pPr>
      <w:r>
        <w:rPr>
          <w:i/>
          <w:noProof/>
        </w:rPr>
        <w:t>източник на данните: държавите членки</w:t>
      </w:r>
    </w:p>
    <w:p w:rsidR="00515F45" w:rsidRDefault="00CC11AD">
      <w:pPr>
        <w:rPr>
          <w:b/>
          <w:noProof/>
        </w:rPr>
      </w:pPr>
      <w:r>
        <w:rPr>
          <w:b/>
          <w:noProof/>
        </w:rPr>
        <w:t xml:space="preserve">Специфична цел № 3: </w:t>
      </w:r>
      <w:r>
        <w:rPr>
          <w:noProof/>
        </w:rPr>
        <w:tab/>
      </w:r>
      <w:r>
        <w:rPr>
          <w:b/>
          <w:noProof/>
        </w:rPr>
        <w:t>Повишен капацитет за борба с престъпността и нейното предотвратяване</w:t>
      </w:r>
    </w:p>
    <w:p w:rsidR="00515F45" w:rsidRDefault="00CC11AD">
      <w:pPr>
        <w:pStyle w:val="Point0number"/>
        <w:rPr>
          <w:noProof/>
        </w:rPr>
      </w:pPr>
      <w:r>
        <w:rPr>
          <w:noProof/>
        </w:rPr>
        <w:t>Брой на служителите на правоприлагащи органи, завършили осигурени с подкрепата на Фонда обучения, упражнения, взаимни обучения или специализирани програми за обмен по трансгранични теми, с разбивка по следните области:</w:t>
      </w:r>
    </w:p>
    <w:p w:rsidR="00515F45" w:rsidRDefault="00CC11AD">
      <w:pPr>
        <w:pStyle w:val="Point1"/>
        <w:rPr>
          <w:noProof/>
        </w:rPr>
      </w:pPr>
      <w:r>
        <w:rPr>
          <w:noProof/>
        </w:rPr>
        <w:t>а)</w:t>
      </w:r>
      <w:r>
        <w:rPr>
          <w:noProof/>
        </w:rPr>
        <w:tab/>
        <w:t>борба с тероризма;</w:t>
      </w:r>
    </w:p>
    <w:p w:rsidR="00515F45" w:rsidRDefault="00CC11AD">
      <w:pPr>
        <w:pStyle w:val="Point1"/>
        <w:rPr>
          <w:noProof/>
        </w:rPr>
      </w:pPr>
      <w:r>
        <w:rPr>
          <w:noProof/>
        </w:rPr>
        <w:t>б)</w:t>
      </w:r>
      <w:r>
        <w:rPr>
          <w:noProof/>
        </w:rPr>
        <w:tab/>
        <w:t>организирана престъпност;</w:t>
      </w:r>
    </w:p>
    <w:p w:rsidR="00515F45" w:rsidRDefault="00CC11AD">
      <w:pPr>
        <w:pStyle w:val="Point1"/>
        <w:rPr>
          <w:noProof/>
        </w:rPr>
      </w:pPr>
      <w:r>
        <w:rPr>
          <w:noProof/>
        </w:rPr>
        <w:t>в)</w:t>
      </w:r>
      <w:r>
        <w:rPr>
          <w:noProof/>
        </w:rPr>
        <w:tab/>
        <w:t>киберпрестъпност;</w:t>
      </w:r>
    </w:p>
    <w:p w:rsidR="00515F45" w:rsidRDefault="00CC11AD">
      <w:pPr>
        <w:pStyle w:val="Point1"/>
        <w:rPr>
          <w:noProof/>
        </w:rPr>
      </w:pPr>
      <w:r>
        <w:rPr>
          <w:noProof/>
        </w:rPr>
        <w:t>г)</w:t>
      </w:r>
      <w:r>
        <w:rPr>
          <w:noProof/>
        </w:rPr>
        <w:tab/>
        <w:t>други области на оперативно сътрудничество.</w:t>
      </w:r>
    </w:p>
    <w:p w:rsidR="00515F45" w:rsidRDefault="00CC11AD">
      <w:pPr>
        <w:pStyle w:val="Text1"/>
        <w:rPr>
          <w:i/>
          <w:noProof/>
        </w:rPr>
      </w:pPr>
      <w:r>
        <w:rPr>
          <w:i/>
          <w:noProof/>
        </w:rPr>
        <w:t>източник на данните: държавите членки</w:t>
      </w:r>
    </w:p>
    <w:p w:rsidR="00515F45" w:rsidRDefault="00CC11AD">
      <w:pPr>
        <w:pStyle w:val="Point0number"/>
        <w:rPr>
          <w:noProof/>
        </w:rPr>
      </w:pPr>
      <w:r>
        <w:rPr>
          <w:noProof/>
        </w:rPr>
        <w:t xml:space="preserve">Брой на наръчниците за най-добри практики и техники на разследване, стандартни оперативни процедури и други инструменти, разработени с подкрепата на Фонда в резултат на взаимодействие между различни организации в целия ЕС. </w:t>
      </w:r>
    </w:p>
    <w:p w:rsidR="00515F45" w:rsidRDefault="00CC11AD">
      <w:pPr>
        <w:pStyle w:val="Text1"/>
        <w:rPr>
          <w:i/>
          <w:noProof/>
        </w:rPr>
      </w:pPr>
      <w:r>
        <w:rPr>
          <w:i/>
          <w:noProof/>
        </w:rPr>
        <w:t>източник на данните: държавите членки, бенефициери на безвъзмездни средства за действия на Съюза или по EMAS</w:t>
      </w:r>
    </w:p>
    <w:p w:rsidR="00515F45" w:rsidRDefault="00CC11AD">
      <w:pPr>
        <w:pStyle w:val="Point0number"/>
        <w:rPr>
          <w:noProof/>
        </w:rPr>
      </w:pPr>
      <w:r>
        <w:rPr>
          <w:noProof/>
        </w:rPr>
        <w:t xml:space="preserve">Брой на подпомогнатите с подкрепата на Фонда жертви на престъпления, с разбивка по вид престъпление (трафик на хора, контрабанда на мигранти, тероризъм, тежка и организирана престъпност, киберпрестъпност, сексуална експлоатация на деца). </w:t>
      </w:r>
    </w:p>
    <w:p w:rsidR="00515F45" w:rsidRDefault="00CC11AD">
      <w:pPr>
        <w:pStyle w:val="Text1"/>
        <w:rPr>
          <w:i/>
          <w:noProof/>
        </w:rPr>
      </w:pPr>
      <w:r>
        <w:rPr>
          <w:i/>
          <w:noProof/>
        </w:rPr>
        <w:lastRenderedPageBreak/>
        <w:t>източник на данните: държавите членки</w:t>
      </w:r>
    </w:p>
    <w:p w:rsidR="00515F45" w:rsidRDefault="00CC11AD">
      <w:pPr>
        <w:pStyle w:val="Point0number"/>
        <w:rPr>
          <w:noProof/>
        </w:rPr>
      </w:pPr>
      <w:r>
        <w:rPr>
          <w:noProof/>
        </w:rPr>
        <w:t>Брой на критичните инфраструктурни обекти и обществените пространства, чиято защита от свързани със сигурността инциденти е подобрена с помощта на Фонда.</w:t>
      </w:r>
    </w:p>
    <w:p w:rsidR="00515F45" w:rsidRDefault="00CC11AD">
      <w:pPr>
        <w:pStyle w:val="Text1"/>
        <w:rPr>
          <w:i/>
          <w:noProof/>
        </w:rPr>
      </w:pPr>
      <w:r>
        <w:rPr>
          <w:i/>
          <w:noProof/>
        </w:rPr>
        <w:t>източник на данните: държавите членки</w:t>
      </w:r>
    </w:p>
    <w:p w:rsidR="00515F45" w:rsidRDefault="00CC11AD">
      <w:pPr>
        <w:pStyle w:val="Point0number"/>
        <w:rPr>
          <w:noProof/>
        </w:rPr>
      </w:pPr>
      <w:r>
        <w:rPr>
          <w:noProof/>
        </w:rPr>
        <w:t>Брой на инициативите за предотвратяване на радикализацията, водеща до насилнически екстремизъм:</w:t>
      </w:r>
    </w:p>
    <w:p w:rsidR="00515F45" w:rsidRDefault="00CC11AD">
      <w:pPr>
        <w:pStyle w:val="Point1"/>
        <w:rPr>
          <w:noProof/>
        </w:rPr>
      </w:pPr>
      <w:r>
        <w:rPr>
          <w:noProof/>
        </w:rPr>
        <w:t>а)</w:t>
      </w:r>
      <w:r>
        <w:rPr>
          <w:noProof/>
        </w:rPr>
        <w:tab/>
        <w:t>брой на посещенията на уебсайта на Мрежата за осведоменост по въпросите на радикализацията (RAN);</w:t>
      </w:r>
    </w:p>
    <w:p w:rsidR="00515F45" w:rsidRDefault="00CC11AD">
      <w:pPr>
        <w:pStyle w:val="Point1"/>
        <w:rPr>
          <w:noProof/>
        </w:rPr>
      </w:pPr>
      <w:r>
        <w:rPr>
          <w:noProof/>
        </w:rPr>
        <w:t>б)</w:t>
      </w:r>
      <w:r>
        <w:rPr>
          <w:noProof/>
        </w:rPr>
        <w:tab/>
        <w:t>брой на участниците в RAN с разбивка по видове експерти;</w:t>
      </w:r>
    </w:p>
    <w:p w:rsidR="00515F45" w:rsidRDefault="00CC11AD">
      <w:pPr>
        <w:pStyle w:val="Point1"/>
        <w:rPr>
          <w:noProof/>
        </w:rPr>
      </w:pPr>
      <w:r>
        <w:rPr>
          <w:noProof/>
        </w:rPr>
        <w:t>в)</w:t>
      </w:r>
      <w:r>
        <w:rPr>
          <w:noProof/>
        </w:rPr>
        <w:tab/>
        <w:t>брой на учебните посещения, обученията, семинарите и консултациите, проведени в държавите членки в тясна координация с националните органи, с разбивка по бенефициери (правоприлагащи органи, други)</w:t>
      </w:r>
    </w:p>
    <w:p w:rsidR="00515F45" w:rsidRDefault="00CC11AD">
      <w:pPr>
        <w:pStyle w:val="Text1"/>
        <w:rPr>
          <w:i/>
          <w:noProof/>
        </w:rPr>
      </w:pPr>
      <w:r>
        <w:rPr>
          <w:i/>
          <w:noProof/>
        </w:rPr>
        <w:t>източник на данните: RAN</w:t>
      </w:r>
    </w:p>
    <w:p w:rsidR="00515F45" w:rsidRDefault="00CC11AD">
      <w:pPr>
        <w:pStyle w:val="Point0number"/>
        <w:rPr>
          <w:noProof/>
        </w:rPr>
      </w:pPr>
      <w:r>
        <w:rPr>
          <w:noProof/>
        </w:rPr>
        <w:t>Брой на установените с помощта на Фонда партньорства, допринасящи за подобряването на подкрепата за свидетели, сигнализиращи за нередности лица и жертви на престъпления:</w:t>
      </w:r>
    </w:p>
    <w:p w:rsidR="00515F45" w:rsidRDefault="00CC11AD">
      <w:pPr>
        <w:pStyle w:val="Point1"/>
        <w:rPr>
          <w:noProof/>
        </w:rPr>
      </w:pPr>
      <w:r>
        <w:rPr>
          <w:noProof/>
        </w:rPr>
        <w:t>а)</w:t>
      </w:r>
      <w:r>
        <w:rPr>
          <w:noProof/>
        </w:rPr>
        <w:tab/>
        <w:t>с частния сектор;</w:t>
      </w:r>
    </w:p>
    <w:p w:rsidR="00515F45" w:rsidRDefault="00CC11AD">
      <w:pPr>
        <w:pStyle w:val="Point1"/>
        <w:rPr>
          <w:noProof/>
        </w:rPr>
      </w:pPr>
      <w:r>
        <w:rPr>
          <w:noProof/>
        </w:rPr>
        <w:t>б)</w:t>
      </w:r>
      <w:r>
        <w:rPr>
          <w:noProof/>
        </w:rPr>
        <w:tab/>
        <w:t>с организации на гражданското общество.</w:t>
      </w:r>
    </w:p>
    <w:p w:rsidR="00515F45" w:rsidRDefault="00CC11AD">
      <w:pPr>
        <w:pStyle w:val="Text1"/>
        <w:rPr>
          <w:b/>
          <w:i/>
          <w:noProof/>
          <w:u w:val="single"/>
        </w:rPr>
      </w:pPr>
      <w:r>
        <w:rPr>
          <w:i/>
          <w:noProof/>
        </w:rPr>
        <w:t>източник на данните: държавите членки, бенефициери на безвъзмездни средства за действия на Съюза или по EMAS</w:t>
      </w:r>
    </w:p>
    <w:sectPr w:rsidR="00515F45" w:rsidSect="001E4BA1">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45" w:rsidRDefault="00CC11AD">
      <w:pPr>
        <w:spacing w:before="0" w:after="0"/>
      </w:pPr>
      <w:r>
        <w:separator/>
      </w:r>
    </w:p>
  </w:endnote>
  <w:endnote w:type="continuationSeparator" w:id="0">
    <w:p w:rsidR="00515F45" w:rsidRDefault="00CC11AD">
      <w:pPr>
        <w:spacing w:before="0" w:after="0"/>
      </w:pPr>
      <w:r>
        <w:continuationSeparator/>
      </w:r>
    </w:p>
  </w:endnote>
  <w:endnote w:type="continuationNotice" w:id="1">
    <w:p w:rsidR="00515F45" w:rsidRDefault="00515F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45" w:rsidRPr="001E4BA1" w:rsidRDefault="001E4BA1" w:rsidP="001E4BA1">
    <w:pPr>
      <w:pStyle w:val="Footer"/>
      <w:rPr>
        <w:rFonts w:ascii="Arial" w:hAnsi="Arial" w:cs="Arial"/>
        <w:b/>
        <w:sz w:val="48"/>
      </w:rPr>
    </w:pPr>
    <w:r w:rsidRPr="001E4BA1">
      <w:rPr>
        <w:rFonts w:ascii="Arial" w:hAnsi="Arial" w:cs="Arial"/>
        <w:b/>
        <w:sz w:val="48"/>
      </w:rPr>
      <w:t>BG</w:t>
    </w:r>
    <w:r w:rsidRPr="001E4BA1">
      <w:rPr>
        <w:rFonts w:ascii="Arial" w:hAnsi="Arial" w:cs="Arial"/>
        <w:b/>
        <w:sz w:val="48"/>
      </w:rPr>
      <w:tab/>
    </w:r>
    <w:r w:rsidRPr="001E4BA1">
      <w:rPr>
        <w:rFonts w:ascii="Arial" w:hAnsi="Arial" w:cs="Arial"/>
        <w:b/>
        <w:sz w:val="48"/>
      </w:rPr>
      <w:tab/>
    </w:r>
    <w:r w:rsidRPr="001E4BA1">
      <w:tab/>
    </w:r>
    <w:proofErr w:type="spellStart"/>
    <w:r w:rsidRPr="001E4BA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Footer"/>
      <w:rPr>
        <w:rFonts w:ascii="Arial" w:hAnsi="Arial" w:cs="Arial"/>
        <w:b/>
        <w:sz w:val="48"/>
      </w:rPr>
    </w:pPr>
    <w:r w:rsidRPr="001E4BA1">
      <w:rPr>
        <w:rFonts w:ascii="Arial" w:hAnsi="Arial" w:cs="Arial"/>
        <w:b/>
        <w:sz w:val="48"/>
      </w:rPr>
      <w:t>BG</w:t>
    </w:r>
    <w:r w:rsidRPr="001E4BA1">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1E4BA1">
      <w:tab/>
    </w:r>
    <w:r w:rsidRPr="001E4BA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45" w:rsidRDefault="00CC11AD">
      <w:pPr>
        <w:spacing w:before="0" w:after="0"/>
      </w:pPr>
      <w:r>
        <w:separator/>
      </w:r>
    </w:p>
  </w:footnote>
  <w:footnote w:type="continuationSeparator" w:id="0">
    <w:p w:rsidR="00515F45" w:rsidRDefault="00CC11AD">
      <w:pPr>
        <w:spacing w:before="0" w:after="0"/>
      </w:pPr>
      <w:r>
        <w:continuationSeparator/>
      </w:r>
    </w:p>
  </w:footnote>
  <w:footnote w:type="continuationNotice" w:id="1">
    <w:p w:rsidR="00515F45" w:rsidRDefault="00515F45">
      <w:pPr>
        <w:spacing w:before="0" w:after="0"/>
      </w:pPr>
    </w:p>
  </w:footnote>
  <w:footnote w:id="2">
    <w:p w:rsidR="00515F45" w:rsidRDefault="00CC11AD">
      <w:pPr>
        <w:pStyle w:val="FootnoteText"/>
      </w:pPr>
      <w:r>
        <w:rPr>
          <w:rStyle w:val="FootnoteReference"/>
        </w:rPr>
        <w:footnoteRef/>
      </w:r>
      <w:r>
        <w:tab/>
        <w:t>В съответствие със Съобщението на Комисията за по-надеждни и по-интелигентни информационни системи в областта на границите и сигурността, COM(2016)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1" w:rsidRPr="001E4BA1" w:rsidRDefault="001E4BA1" w:rsidP="001E4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proofState w:spelling="clean" w:grammar="clean"/>
  <w:attachedTemplate r:id="rId1"/>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5:48: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Yellow"/>
    <w:docVar w:name="DQCVersion" w:val="3"/>
    <w:docVar w:name="DQCWithWarnings" w:val="0"/>
    <w:docVar w:name="LW_ACCOMPAGNANT" w:val="\u1082?\u1098?\u1084? \u1055?\u1088?\u1077?\u1076?\u1083?\u1086?\u1078?\u1077?\u1085?\u1080?\u1077? \u1079?\u1072?"/>
    <w:docVar w:name="LW_ACCOMPAGNANT.CP" w:val="\u1082?\u1098?\u1084? \u1055?\u1088?\u1077?\u1076?\u1083?\u1086?\u1078?\u1077?\u1085?\u1080?\u1077? \u1079?\u1072?"/>
    <w:docVar w:name="LW_ANNEX_NBR_FIRST" w:val="1"/>
    <w:docVar w:name="LW_ANNEX_NBR_LAST" w:val="8"/>
    <w:docVar w:name="LW_ANNEX_UNIQUE" w:val="0"/>
    <w:docVar w:name="LW_CORRIGENDUM" w:val="&lt;UNUSED&gt;"/>
    <w:docVar w:name="LW_COVERPAGE_EXISTS" w:val="True"/>
    <w:docVar w:name="LW_COVERPAGE_GUID" w:val="7F1BEC42-7A3D-4BB4-B4BF-657ED7529E87"/>
    <w:docVar w:name="LW_COVERPAGE_TYPE" w:val="1"/>
    <w:docVar w:name="LW_CROSSREFERENCE" w:val="{SWD(2018) 347 final}_x000a_{SWD(2018) 348 final}_x000a_{SEC(2018) 315 final}"/>
    <w:docVar w:name="LW_DocType" w:val="ANNEX"/>
    <w:docVar w:name="LW_EMISSION" w:val="13.6.2018"/>
    <w:docVar w:name="LW_EMISSION_ISODATE" w:val="2018-06-1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92?\u1086?\u1085?\u1076? \u8222?\u1042?\u1098?\u1090?\u1088?\u1077?\u1096?\u1085?\u1072? \u1089?\u1080?\u1075?\u1091?\u1088?\u1085?\u1086?\u1089?\u1090?\u8220?_x000b_"/>
    <w:docVar w:name="LW_OBJETACTEPRINCIPAL.CP" w:val="\u1079?\u1072? \u1089?\u1098?\u1079?\u1076?\u1072?\u1074?\u1072?\u1085?\u1077? \u1085?\u1072? \u1092?\u1086?\u1085?\u1076? \u8222?\u1042?\u1098?\u1090?\u1088?\u1077?\u1096?\u1085?\u1072? \u1089?\u1080?\u1075?\u1091?\u1088?\u1085?\u1086?\u1089?\u1090?\u8220?_x000b_"/>
    <w:docVar w:name="LW_PART_NBR" w:val="&lt;UNUSED&gt;"/>
    <w:docVar w:name="LW_PART_NBR_TOTAL" w:val="&lt;UNUSED&gt;"/>
    <w:docVar w:name="LW_REF.INST.NEW" w:val="COM"/>
    <w:docVar w:name="LW_REF.INST.NEW_ADOPTED" w:val="final"/>
    <w:docVar w:name="LW_REF.INST.NEW_TEXT" w:val="(2018)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77?\u1075?\u1083?\u1072?\u1084?\u1077?\u1085?\u1090? \u1085?\u1072? \u1045?\u1074?\u1088?\u1086?\u1087?\u1077?\u1081?\u1089?\u1082?\u1080?\u1103? \u1087?\u1072?\u1088?\u1083?\u1072?\u1084?\u1077?\u1085?\u1090? \u1080? \u1085?\u1072? \u1057?\u1098?\u1074?\u1077?\u1090?\u1072?_x000b_"/>
    <w:docVar w:name="LW_TYPEACTEPRINCIPAL.CP" w:val="\u1056?\u1077?\u1075?\u1083?\u1072?\u1084?\u1077?\u1085?\u1090? \u1085?\u1072? \u1045?\u1074?\u1088?\u1086?\u1087?\u1077?\u1081?\u1089?\u1082?\u1080?\u1103? \u1087?\u1072?\u1088?\u1083?\u1072?\u1084?\u1077?\u1085?\u1090? \u1080? \u1085?\u1072? \u1057?\u1098?\u1074?\u1077?\u1090?\u1072?_x000b_"/>
  </w:docVars>
  <w:rsids>
    <w:rsidRoot w:val="00515F45"/>
    <w:rsid w:val="001E4BA1"/>
    <w:rsid w:val="00515F45"/>
    <w:rsid w:val="00CC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180" w:line="211" w:lineRule="exact"/>
      <w:ind w:left="720" w:right="23"/>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1E4BA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E4BA1"/>
    <w:rPr>
      <w:rFonts w:ascii="Times New Roman" w:hAnsi="Times New Roman" w:cs="Times New Roman"/>
      <w:sz w:val="24"/>
      <w:lang w:eastAsia="en-US" w:bidi="ar-SA"/>
    </w:rPr>
  </w:style>
  <w:style w:type="paragraph" w:styleId="Footer">
    <w:name w:val="footer"/>
    <w:basedOn w:val="Normal"/>
    <w:link w:val="FooterChar"/>
    <w:uiPriority w:val="99"/>
    <w:unhideWhenUsed/>
    <w:rsid w:val="001E4BA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E4BA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4BA1"/>
    <w:pPr>
      <w:tabs>
        <w:tab w:val="center" w:pos="7285"/>
        <w:tab w:val="right" w:pos="14003"/>
      </w:tabs>
      <w:spacing w:before="0"/>
    </w:pPr>
    <w:rPr>
      <w:lang w:eastAsia="en-US" w:bidi="ar-SA"/>
    </w:rPr>
  </w:style>
  <w:style w:type="paragraph" w:customStyle="1" w:styleId="FooterLandscape">
    <w:name w:val="FooterLandscape"/>
    <w:basedOn w:val="Normal"/>
    <w:rsid w:val="001E4BA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E4BA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E4BA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180" w:line="211" w:lineRule="exact"/>
      <w:ind w:left="720" w:right="23"/>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1E4BA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E4BA1"/>
    <w:rPr>
      <w:rFonts w:ascii="Times New Roman" w:hAnsi="Times New Roman" w:cs="Times New Roman"/>
      <w:sz w:val="24"/>
      <w:lang w:eastAsia="en-US" w:bidi="ar-SA"/>
    </w:rPr>
  </w:style>
  <w:style w:type="paragraph" w:styleId="Footer">
    <w:name w:val="footer"/>
    <w:basedOn w:val="Normal"/>
    <w:link w:val="FooterChar"/>
    <w:uiPriority w:val="99"/>
    <w:unhideWhenUsed/>
    <w:rsid w:val="001E4BA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E4BA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4BA1"/>
    <w:pPr>
      <w:tabs>
        <w:tab w:val="center" w:pos="7285"/>
        <w:tab w:val="right" w:pos="14003"/>
      </w:tabs>
      <w:spacing w:before="0"/>
    </w:pPr>
    <w:rPr>
      <w:lang w:eastAsia="en-US" w:bidi="ar-SA"/>
    </w:rPr>
  </w:style>
  <w:style w:type="paragraph" w:customStyle="1" w:styleId="FooterLandscape">
    <w:name w:val="FooterLandscape"/>
    <w:basedOn w:val="Normal"/>
    <w:rsid w:val="001E4BA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E4BA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E4BA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4276">
      <w:bodyDiv w:val="1"/>
      <w:marLeft w:val="0"/>
      <w:marRight w:val="0"/>
      <w:marTop w:val="0"/>
      <w:marBottom w:val="0"/>
      <w:divBdr>
        <w:top w:val="none" w:sz="0" w:space="0" w:color="auto"/>
        <w:left w:val="none" w:sz="0" w:space="0" w:color="auto"/>
        <w:bottom w:val="none" w:sz="0" w:space="0" w:color="auto"/>
        <w:right w:val="none" w:sz="0" w:space="0" w:color="auto"/>
      </w:divBdr>
    </w:div>
    <w:div w:id="9760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DAB-DD26-4A4D-B007-1FBFDAD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Pages>
  <Words>2662</Words>
  <Characters>16453</Characters>
  <Application>Microsoft Office Word</Application>
  <DocSecurity>0</DocSecurity>
  <Lines>435</Lines>
  <Paragraphs>232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JANSEN Colette (SG)</cp:lastModifiedBy>
  <cp:revision>9</cp:revision>
  <cp:lastPrinted>2018-05-30T09:48:00Z</cp:lastPrinted>
  <dcterms:created xsi:type="dcterms:W3CDTF">2018-06-21T12:14:00Z</dcterms:created>
  <dcterms:modified xsi:type="dcterms:W3CDTF">2018-06-22T14:32:00Z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