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CF9EAC-CA2B-402F-A524-32FEC12C1ECC" style="width:450.45pt;height:422.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120" w:after="120"/>
              <w:jc w:val="center"/>
              <w:rPr>
                <w:b/>
                <w:noProof/>
                <w:sz w:val="28"/>
                <w:szCs w:val="28"/>
              </w:rPr>
            </w:pPr>
            <w:bookmarkStart w:id="1" w:name="_GoBack"/>
            <w:bookmarkEnd w:id="1"/>
            <w:r>
              <w:rPr>
                <w:b/>
                <w:noProof/>
                <w:sz w:val="28"/>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на предложението за регламент на Европейския парламент и на Съвета за изменение на Регламент (ЕО) № 767/2008 относно Визовата информационна система (ВИС) и обмена на данни между държави членки относно визите за краткосрочно пребиваване (Регламент за ВИС) и Регламент (ЕО) № 810/2009 за създаване на Визов кодекс на Общността (Визов кодекс)</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Като се основава на оценката на ВИС от 2016</w:t>
            </w:r>
            <w:r>
              <w:rPr>
                <w:rFonts w:ascii="Arial" w:hAnsi="Arial"/>
                <w:noProof/>
                <w:sz w:val="20"/>
                <w:lang w:val="en-US"/>
              </w:rPr>
              <w:t> </w:t>
            </w:r>
            <w:r>
              <w:rPr>
                <w:rFonts w:ascii="Arial" w:hAnsi="Arial"/>
                <w:noProof/>
                <w:sz w:val="20"/>
              </w:rPr>
              <w:t>г., с цел да се отговори на новите предизвикателства в областта на визите, границите и сигурността и да се създаде взаимосвързаност на съществуващите и бъдещите информационни системи, в оценката на въздействието бяха разгледани четири проблемни области:</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липса на документи за пътуване като доказателства в производството по връщане</w:t>
            </w:r>
            <w:r>
              <w:rPr>
                <w:rFonts w:ascii="Arial" w:hAnsi="Arial"/>
                <w:b/>
                <w:noProof/>
                <w:sz w:val="20"/>
                <w:lang w:val="en-US"/>
              </w:rPr>
              <w:t> </w:t>
            </w:r>
            <w:r>
              <w:rPr>
                <w:rFonts w:ascii="Arial" w:hAnsi="Arial"/>
                <w:b/>
                <w:noProof/>
                <w:sz w:val="20"/>
              </w:rPr>
              <w:t>—</w:t>
            </w:r>
            <w:r>
              <w:rPr>
                <w:rFonts w:ascii="Arial" w:hAnsi="Arial"/>
                <w:noProof/>
                <w:sz w:val="20"/>
              </w:rPr>
              <w:t xml:space="preserve"> законодателството на ЕС понастоящем не предвижда тази възможност, което води до бавно и трудно производство по връщане, създаващо закъснения и разходи за държавите членки;</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липса на биометрични данни, даващи възможност да бъде установена самоличността на малолетните и непълнолетните лица</w:t>
            </w:r>
            <w:r>
              <w:rPr>
                <w:rFonts w:ascii="Arial" w:hAnsi="Arial"/>
                <w:noProof/>
                <w:sz w:val="20"/>
                <w:lang w:val="en-US"/>
              </w:rPr>
              <w:t> </w:t>
            </w:r>
            <w:r>
              <w:rPr>
                <w:rFonts w:ascii="Arial" w:hAnsi="Arial"/>
                <w:noProof/>
                <w:sz w:val="20"/>
              </w:rPr>
              <w:t>— съгласно действащото законодателство на ЕС не се вземат пръстови отпечатъци от деца на възраст под 12</w:t>
            </w:r>
            <w:r>
              <w:rPr>
                <w:rFonts w:ascii="Arial" w:hAnsi="Arial"/>
                <w:noProof/>
                <w:sz w:val="20"/>
                <w:lang w:val="en-US"/>
              </w:rPr>
              <w:t> </w:t>
            </w:r>
            <w:r>
              <w:rPr>
                <w:rFonts w:ascii="Arial" w:hAnsi="Arial"/>
                <w:noProof/>
                <w:sz w:val="20"/>
              </w:rPr>
              <w:t>години, което означава, че самоличността на децата, особено на тези, уязвими да станат жертви на трафик, е по-трудно бъда установена;</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недостатъчна информация относно визите за дългосрочно пребиваване и документите за пребиваване</w:t>
            </w:r>
            <w:r>
              <w:rPr>
                <w:rFonts w:ascii="Arial" w:hAnsi="Arial"/>
                <w:noProof/>
                <w:sz w:val="20"/>
                <w:lang w:val="en-US"/>
              </w:rPr>
              <w:t> </w:t>
            </w:r>
            <w:r>
              <w:rPr>
                <w:rFonts w:ascii="Arial" w:hAnsi="Arial"/>
                <w:noProof/>
                <w:sz w:val="20"/>
              </w:rPr>
              <w:t>— информационната празнота води до проблеми при управлението на външните граници и прави Шенгенското пространство по-уязвимо по отношение на рисковете, свързани със сигурността;</w:t>
            </w:r>
          </w:p>
          <w:p>
            <w:pPr>
              <w:pStyle w:val="ListParagraph"/>
              <w:numPr>
                <w:ilvl w:val="0"/>
                <w:numId w:val="2"/>
              </w:numPr>
              <w:spacing w:after="120"/>
              <w:ind w:left="357" w:hanging="357"/>
              <w:contextualSpacing w:val="0"/>
              <w:jc w:val="both"/>
              <w:rPr>
                <w:rFonts w:ascii="Arial" w:hAnsi="Arial" w:cs="Arial"/>
                <w:noProof/>
                <w:sz w:val="20"/>
                <w:szCs w:val="20"/>
              </w:rPr>
            </w:pPr>
            <w:r>
              <w:rPr>
                <w:rFonts w:ascii="Arial" w:hAnsi="Arial"/>
                <w:b/>
                <w:noProof/>
                <w:sz w:val="20"/>
              </w:rPr>
              <w:t>недостатъчни проверки на рисковете, свързани с незаконната миграция и сигурността, при обработването на заявленията за издаване на виза</w:t>
            </w:r>
            <w:r>
              <w:rPr>
                <w:rFonts w:ascii="Arial" w:hAnsi="Arial"/>
                <w:noProof/>
                <w:sz w:val="20"/>
                <w:lang w:val="en-US"/>
              </w:rPr>
              <w:t> </w:t>
            </w:r>
            <w:r>
              <w:rPr>
                <w:rFonts w:ascii="Arial" w:hAnsi="Arial"/>
                <w:noProof/>
                <w:sz w:val="20"/>
              </w:rPr>
              <w:t>— неравномерни проверки на държавите членки, като не се правят справки със съществуващите информационни системи за тази цел (включително с тези, които ще бъдат оперативно съвместими в бъдеще).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Какво се очаква да бъде постигнато с настоящата инициатива?</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i/>
                <w:noProof/>
                <w:sz w:val="20"/>
              </w:rPr>
              <w:t>Общи цели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подобри прилагането на общата визова политика;</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улеснят проверките на външните граници на ЕС и свободното движение в рамките на държавите</w:t>
            </w:r>
            <w:r>
              <w:rPr>
                <w:rFonts w:ascii="Arial" w:hAnsi="Arial"/>
                <w:noProof/>
                <w:sz w:val="20"/>
                <w:lang w:val="en-US"/>
              </w:rPr>
              <w:t> </w:t>
            </w:r>
            <w:r>
              <w:rPr>
                <w:rFonts w:ascii="Arial" w:hAnsi="Arial"/>
                <w:noProof/>
                <w:sz w:val="20"/>
              </w:rPr>
              <w:t>— членки на ЕС, в Шенгенското пространство без вътрешни граници;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увеличи сигурността в рамките на ЕС и по неговите граници;</w:t>
            </w:r>
          </w:p>
          <w:p>
            <w:pPr>
              <w:spacing w:after="120"/>
              <w:ind w:left="568" w:hanging="284"/>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подобри управлението на границата между държавите от Шенгенското пространство и тези, които не участват в него.</w:t>
            </w:r>
          </w:p>
          <w:p>
            <w:pPr>
              <w:spacing w:after="120"/>
              <w:jc w:val="both"/>
              <w:rPr>
                <w:rFonts w:ascii="Arial" w:hAnsi="Arial" w:cs="Arial"/>
                <w:i/>
                <w:noProof/>
                <w:sz w:val="20"/>
                <w:szCs w:val="20"/>
              </w:rPr>
            </w:pPr>
            <w:r>
              <w:rPr>
                <w:rFonts w:ascii="Arial" w:hAnsi="Arial"/>
                <w:i/>
                <w:noProof/>
                <w:sz w:val="20"/>
              </w:rPr>
              <w:t>Специфични цели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подобри установяването на самоличността и връщането на гражданите на трети държави;</w:t>
            </w:r>
          </w:p>
          <w:p>
            <w:pPr>
              <w:spacing w:after="120"/>
              <w:ind w:left="568" w:hanging="284"/>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повиши ефективността на ВИС, за да се улеснят процедурите за връщане;</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улесни борбата срещу измамите;</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улеснят проверките на граничните контролно-пропускателни пунктове на външните граници и в рамките на територията на държавите членки;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предприемат по-решителни действия за противодействие на нарушенията на правата на детето;</w:t>
            </w:r>
          </w:p>
          <w:p>
            <w:pPr>
              <w:ind w:left="567" w:hanging="283"/>
              <w:jc w:val="both"/>
              <w:rPr>
                <w:rFonts w:ascii="Arial" w:hAnsi="Arial" w:cs="Arial"/>
                <w:noProof/>
                <w:sz w:val="20"/>
                <w:szCs w:val="20"/>
                <w:highlight w:val="cyan"/>
              </w:rPr>
            </w:pPr>
            <w:r>
              <w:rPr>
                <w:rFonts w:ascii="Arial" w:hAnsi="Arial"/>
                <w:noProof/>
                <w:sz w:val="20"/>
              </w:rPr>
              <w:t>•</w:t>
            </w:r>
            <w:r>
              <w:rPr>
                <w:noProof/>
              </w:rPr>
              <w:tab/>
            </w:r>
            <w:r>
              <w:rPr>
                <w:rFonts w:ascii="Arial" w:hAnsi="Arial"/>
                <w:noProof/>
                <w:sz w:val="20"/>
              </w:rPr>
              <w:t>да се улесни обменът на информация между държавите членки относно гражданите на трети държави;</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допринесе за борбата с тежката престъпност, включително тероризма;</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да се съберат статистически данни в подкрепа на основана на факти миграционна политика.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p>
        </w:tc>
      </w:tr>
      <w:tr>
        <w:tc>
          <w:tcPr>
            <w:tcW w:w="1018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noProof/>
                <w:sz w:val="20"/>
              </w:rPr>
              <w:t>Информационните бази данни на равнище ЕС за целите на управлението на границите и сигурността са създадени, за да се помогне на националните органи да си сътрудничат и да обменят информация в тази област.</w:t>
            </w:r>
          </w:p>
          <w:p>
            <w:pPr>
              <w:spacing w:before="120" w:after="120"/>
              <w:jc w:val="both"/>
              <w:rPr>
                <w:rFonts w:ascii="Arial" w:hAnsi="Arial" w:cs="Arial"/>
                <w:noProof/>
                <w:sz w:val="20"/>
                <w:szCs w:val="20"/>
              </w:rPr>
            </w:pPr>
            <w:r>
              <w:rPr>
                <w:rFonts w:ascii="Arial" w:hAnsi="Arial"/>
                <w:noProof/>
                <w:sz w:val="20"/>
              </w:rPr>
              <w:t>Запълването на информационни празноти, които бяха установени в тези системи, ще даде възможност на органите (по-бързо и по-евтино) да определят и извършват задълбочена оценка на риска за граждани на държави извън ЕС и да проверяват статуса и автентичността на техните документи.</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w:t>
            </w:r>
            <w:r>
              <w:rPr>
                <w:rFonts w:ascii="Tahoma" w:hAnsi="Tahoma"/>
                <w:noProof/>
                <w:sz w:val="20"/>
              </w:rPr>
              <w:t xml:space="preserve"> (подчертан) </w:t>
            </w:r>
            <w:r>
              <w:rPr>
                <w:rFonts w:ascii="Tahoma" w:hAnsi="Tahoma"/>
                <w:b/>
                <w:noProof/>
                <w:sz w:val="20"/>
              </w:rPr>
              <w:t>или не?</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Включването на цифрово копие на документа за пътуване във ВИС</w:t>
            </w:r>
            <w:r>
              <w:rPr>
                <w:rFonts w:ascii="Arial" w:hAnsi="Arial"/>
                <w:noProof/>
                <w:sz w:val="20"/>
                <w:lang w:val="en-US"/>
              </w:rPr>
              <w:t> </w:t>
            </w:r>
            <w:r>
              <w:rPr>
                <w:rFonts w:ascii="Arial" w:hAnsi="Arial"/>
                <w:noProof/>
                <w:sz w:val="20"/>
              </w:rPr>
              <w:t xml:space="preserve">— </w:t>
            </w:r>
            <w:r>
              <w:rPr>
                <w:rFonts w:ascii="Arial" w:hAnsi="Arial"/>
                <w:noProof/>
                <w:sz w:val="20"/>
                <w:u w:val="single"/>
              </w:rPr>
              <w:t>1) в централизирана база данни</w:t>
            </w:r>
            <w:r>
              <w:rPr>
                <w:rFonts w:ascii="Arial" w:hAnsi="Arial"/>
                <w:noProof/>
                <w:sz w:val="20"/>
              </w:rPr>
              <w:t>/ 2) децентрализирано (индивидуално от държавите членки):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Подвариант А. Съхранение само на страницата с биометрична информация</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Подвариант Б. Съхранение на всички страници на документа за пътуване</w:t>
            </w:r>
          </w:p>
          <w:p>
            <w:pPr>
              <w:spacing w:after="120"/>
              <w:jc w:val="both"/>
              <w:rPr>
                <w:rFonts w:ascii="Arial" w:hAnsi="Arial" w:cs="Arial"/>
                <w:noProof/>
                <w:sz w:val="20"/>
                <w:szCs w:val="20"/>
              </w:rPr>
            </w:pPr>
            <w:r>
              <w:rPr>
                <w:rFonts w:ascii="Arial" w:hAnsi="Arial"/>
                <w:noProof/>
                <w:sz w:val="20"/>
              </w:rPr>
              <w:t>Намаляване на възрастта за снемане на пръстови отпечатъци на деца</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Намаляване на възрастта за снемане на пръстови отпечатъци на деца на 6 години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Намаляване на възрастта за снемане на пръстови отпечатъци на 0 (т.е. вземане на отпечатъци на всички възрастови групи</w:t>
            </w:r>
            <w:r>
              <w:rPr>
                <w:rFonts w:ascii="Arial" w:hAnsi="Arial"/>
                <w:noProof/>
                <w:sz w:val="20"/>
                <w:lang w:val="en-US"/>
              </w:rPr>
              <w:t> </w:t>
            </w:r>
            <w:r>
              <w:rPr>
                <w:rFonts w:ascii="Arial" w:hAnsi="Arial"/>
                <w:noProof/>
                <w:sz w:val="20"/>
              </w:rPr>
              <w:t>— от раждането)</w:t>
            </w:r>
          </w:p>
          <w:p>
            <w:pPr>
              <w:spacing w:after="120"/>
              <w:jc w:val="both"/>
              <w:rPr>
                <w:rFonts w:ascii="Arial" w:hAnsi="Arial" w:cs="Arial"/>
                <w:noProof/>
                <w:sz w:val="20"/>
                <w:szCs w:val="20"/>
              </w:rPr>
            </w:pPr>
            <w:r>
              <w:rPr>
                <w:rFonts w:ascii="Arial" w:hAnsi="Arial"/>
                <w:noProof/>
                <w:sz w:val="20"/>
              </w:rPr>
              <w:t>Включване на визите за дългосрочно пребиваване и документите за пребиваване във ВИС</w:t>
            </w:r>
          </w:p>
          <w:p>
            <w:pPr>
              <w:spacing w:after="120"/>
              <w:ind w:left="567" w:hanging="283"/>
              <w:jc w:val="both"/>
              <w:rPr>
                <w:rFonts w:ascii="Arial" w:hAnsi="Arial" w:cs="Arial"/>
                <w:noProof/>
                <w:sz w:val="20"/>
                <w:szCs w:val="20"/>
              </w:rPr>
            </w:pPr>
            <w:r>
              <w:rPr>
                <w:rFonts w:ascii="Arial" w:hAnsi="Arial"/>
                <w:noProof/>
                <w:sz w:val="20"/>
              </w:rPr>
              <w:t>— незаконодателни варианти: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Подобряване на двустранния обмен на информация за всеки отделен случай.</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Подобряване на захранването и използването на информация в Шенгенската информационна система (ШИС) във връзка със сигналите относно отнетите документи за пребиваване и визи за дългосрочно пребиваване</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Насърчаване на използването на елементи за сигурност в документите, съдържащи чип: пасивно удостоверяване на автентичността и разширен контрол върху достъпа</w:t>
            </w:r>
          </w:p>
          <w:p>
            <w:pPr>
              <w:spacing w:after="120"/>
              <w:ind w:left="567" w:hanging="283"/>
              <w:jc w:val="both"/>
              <w:rPr>
                <w:rFonts w:ascii="Arial" w:hAnsi="Arial" w:cs="Arial"/>
                <w:noProof/>
                <w:sz w:val="20"/>
                <w:szCs w:val="20"/>
              </w:rPr>
            </w:pPr>
            <w:r>
              <w:rPr>
                <w:rFonts w:ascii="Arial" w:hAnsi="Arial"/>
                <w:noProof/>
                <w:sz w:val="20"/>
              </w:rPr>
              <w:t>— законодателни варианти:</w:t>
            </w:r>
          </w:p>
          <w:p>
            <w:pPr>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по-нататъшно хармонизиране и повишаване на сигурността на визите за дългосрочно пребиваване и документите за пребиваване;</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създаване на връзки между релевантните националните бази данни, които биха позволили на всички държави членки да извършват търсения в съответните си национални бази данни;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включване във ВИС</w:t>
            </w:r>
            <w:r>
              <w:rPr>
                <w:noProof/>
                <w:lang w:val="en-US"/>
              </w:rPr>
              <w:t> </w:t>
            </w:r>
            <w:r>
              <w:rPr>
                <w:noProof/>
              </w:rPr>
              <w:t>— а) </w:t>
            </w:r>
            <w:r>
              <w:rPr>
                <w:rFonts w:ascii="Arial" w:hAnsi="Arial"/>
                <w:noProof/>
                <w:sz w:val="20"/>
              </w:rPr>
              <w:t xml:space="preserve">без данните за отхвърлените заявления за издаване на виза / </w:t>
            </w:r>
            <w:r>
              <w:rPr>
                <w:rFonts w:ascii="Arial" w:hAnsi="Arial"/>
                <w:noProof/>
                <w:sz w:val="20"/>
                <w:u w:val="single"/>
              </w:rPr>
              <w:t>б) с данните за отхвърлените заявления за издаване на виза</w:t>
            </w:r>
          </w:p>
          <w:p>
            <w:pPr>
              <w:spacing w:after="120"/>
              <w:jc w:val="both"/>
              <w:rPr>
                <w:rFonts w:ascii="Arial" w:hAnsi="Arial" w:cs="Arial"/>
                <w:noProof/>
                <w:sz w:val="20"/>
                <w:szCs w:val="20"/>
              </w:rPr>
            </w:pPr>
            <w:r>
              <w:rPr>
                <w:rFonts w:ascii="Arial" w:hAnsi="Arial"/>
                <w:noProof/>
                <w:sz w:val="20"/>
              </w:rPr>
              <w:t>Автоматизирани проверки в областта на миграцията и сигурността</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rPr>
              <w:t>Систематични и автоматизирани проверки в наличните бази данни</w:t>
            </w:r>
          </w:p>
          <w:p>
            <w:pPr>
              <w:spacing w:after="120"/>
              <w:ind w:left="567" w:hanging="283"/>
              <w:jc w:val="both"/>
              <w:rPr>
                <w:rFonts w:ascii="Arial" w:hAnsi="Arial" w:cs="Arial"/>
                <w:noProof/>
                <w:sz w:val="20"/>
                <w:szCs w:val="20"/>
              </w:rPr>
            </w:pPr>
            <w:r>
              <w:rPr>
                <w:rFonts w:ascii="Arial" w:hAnsi="Arial"/>
                <w:noProof/>
                <w:sz w:val="20"/>
              </w:rPr>
              <w:t>•</w:t>
            </w:r>
            <w:r>
              <w:rPr>
                <w:noProof/>
              </w:rPr>
              <w:tab/>
            </w:r>
            <w:r>
              <w:rPr>
                <w:rFonts w:ascii="Arial" w:hAnsi="Arial"/>
                <w:noProof/>
                <w:sz w:val="20"/>
                <w:u w:val="single"/>
              </w:rPr>
              <w:t>Автоматизирани кръстосани проверки + правила за проверките</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p>
        </w:tc>
      </w:tr>
      <w:tr>
        <w:tc>
          <w:tcPr>
            <w:tcW w:w="10188" w:type="dxa"/>
            <w:shd w:val="clear" w:color="auto" w:fill="auto"/>
          </w:tcPr>
          <w:p>
            <w:pPr>
              <w:pStyle w:val="Default"/>
              <w:spacing w:before="120" w:after="120"/>
              <w:jc w:val="both"/>
              <w:rPr>
                <w:noProof/>
                <w:sz w:val="20"/>
                <w:szCs w:val="20"/>
              </w:rPr>
            </w:pPr>
            <w:r>
              <w:rPr>
                <w:noProof/>
                <w:sz w:val="20"/>
              </w:rPr>
              <w:t>Широк кръг от заинтересовани страни изразиха своята подкрепа за целите на преработената ВИС (eu-LISA (Агенцията на ЕС за управление на свързани със сигурността информационни системи), Европейската агенция за гранична и брегова охрана Frontex и правителствата на държавите от ЕС, които дадоха своя принос за съпровождащите проучвания).</w:t>
            </w:r>
          </w:p>
          <w:p>
            <w:pPr>
              <w:pStyle w:val="Default"/>
              <w:spacing w:after="120"/>
              <w:jc w:val="both"/>
              <w:rPr>
                <w:noProof/>
                <w:sz w:val="20"/>
                <w:szCs w:val="20"/>
              </w:rPr>
            </w:pPr>
            <w:r>
              <w:rPr>
                <w:noProof/>
                <w:sz w:val="20"/>
              </w:rPr>
              <w:t>Някои заинтересовани страни (ЕНОЗД, Агенцията на Европейския съюз за основните права) обърнаха внимание на необходимостта от зачитане на основните права, подчертавайки редовно необходимостта от силни и ясни мерки за защита на данните и като се отчита висшият интерес на детето.</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w:t>
            </w:r>
            <w:r>
              <w:rPr>
                <w:rFonts w:ascii="Tahoma" w:hAnsi="Tahoma"/>
                <w:b/>
                <w:noProof/>
                <w:sz w:val="20"/>
                <w:lang w:val="en-US"/>
              </w:rPr>
              <w:t> </w:t>
            </w:r>
            <w:r>
              <w:rPr>
                <w:rFonts w:ascii="Tahoma" w:hAnsi="Tahoma"/>
                <w:b/>
                <w:noProof/>
                <w:sz w:val="20"/>
              </w:rPr>
              <w:t>— от основните варианти)?</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 xml:space="preserve">Предложените мерки ще осигурят надеждно средство за систематично представяне на доказателства за гражданството на всеки гражданин на трета държава, пресрочил визата си за пребиваване. Той следва да улесни изпълнението на решенията за връщане, което би довело до прогнозирани икономии между </w:t>
            </w:r>
            <w:r>
              <w:rPr>
                <w:rFonts w:ascii="Arial" w:hAnsi="Arial"/>
                <w:b/>
                <w:noProof/>
                <w:sz w:val="20"/>
              </w:rPr>
              <w:t>6,7 милиона евро и 32,1 милиона евро</w:t>
            </w:r>
            <w:r>
              <w:rPr>
                <w:rFonts w:ascii="Arial" w:hAnsi="Arial"/>
                <w:noProof/>
                <w:sz w:val="20"/>
              </w:rPr>
              <w:t>.</w:t>
            </w:r>
          </w:p>
          <w:p>
            <w:pPr>
              <w:spacing w:after="120"/>
              <w:jc w:val="both"/>
              <w:rPr>
                <w:rFonts w:ascii="Arial" w:hAnsi="Arial" w:cs="Arial"/>
                <w:noProof/>
                <w:sz w:val="20"/>
                <w:szCs w:val="20"/>
              </w:rPr>
            </w:pPr>
            <w:r>
              <w:rPr>
                <w:rFonts w:ascii="Arial" w:hAnsi="Arial"/>
                <w:noProof/>
                <w:sz w:val="20"/>
              </w:rPr>
              <w:t xml:space="preserve">Намаляването на закъсненията в процедурата за връщане ще спомогне и за намаляване на разходите, свързани с центровете за задържане преди извеждане, дневните разноски и т.н. с между </w:t>
            </w:r>
            <w:r>
              <w:rPr>
                <w:rFonts w:ascii="Arial" w:hAnsi="Arial"/>
                <w:b/>
                <w:noProof/>
                <w:sz w:val="20"/>
              </w:rPr>
              <w:t>46,3 милиона евро и 92,6 милиона евро</w:t>
            </w:r>
            <w:r>
              <w:rPr>
                <w:rFonts w:ascii="Arial" w:hAnsi="Arial"/>
                <w:noProof/>
                <w:sz w:val="20"/>
              </w:rPr>
              <w:t>.</w:t>
            </w:r>
          </w:p>
          <w:p>
            <w:pPr>
              <w:spacing w:after="120"/>
              <w:jc w:val="both"/>
              <w:rPr>
                <w:rFonts w:ascii="Arial" w:hAnsi="Arial" w:cs="Arial"/>
                <w:noProof/>
                <w:sz w:val="20"/>
                <w:szCs w:val="20"/>
              </w:rPr>
            </w:pPr>
            <w:r>
              <w:rPr>
                <w:rFonts w:ascii="Arial" w:hAnsi="Arial"/>
                <w:noProof/>
                <w:sz w:val="20"/>
              </w:rPr>
              <w:t xml:space="preserve">Допълнителни икономии на стойност между </w:t>
            </w:r>
            <w:r>
              <w:rPr>
                <w:rFonts w:ascii="Arial" w:hAnsi="Arial"/>
                <w:b/>
                <w:noProof/>
                <w:sz w:val="20"/>
              </w:rPr>
              <w:t>3,9 милиона евро и 15,5</w:t>
            </w:r>
            <w:r>
              <w:rPr>
                <w:rFonts w:ascii="Arial" w:hAnsi="Arial"/>
                <w:b/>
                <w:noProof/>
                <w:sz w:val="20"/>
                <w:lang w:val="en-US"/>
              </w:rPr>
              <w:t> </w:t>
            </w:r>
            <w:r>
              <w:rPr>
                <w:rFonts w:ascii="Arial" w:hAnsi="Arial"/>
                <w:b/>
                <w:noProof/>
                <w:sz w:val="20"/>
              </w:rPr>
              <w:t>милиона евро</w:t>
            </w:r>
            <w:r>
              <w:rPr>
                <w:rFonts w:ascii="Arial" w:hAnsi="Arial"/>
                <w:noProof/>
                <w:sz w:val="20"/>
              </w:rPr>
              <w:t xml:space="preserve"> се очакват по отношение свързаните с този процес административни разходи.</w:t>
            </w:r>
          </w:p>
          <w:p>
            <w:pPr>
              <w:spacing w:after="120"/>
              <w:jc w:val="both"/>
              <w:rPr>
                <w:rFonts w:ascii="Arial" w:hAnsi="Arial" w:cs="Arial"/>
                <w:noProof/>
                <w:sz w:val="20"/>
                <w:szCs w:val="20"/>
              </w:rPr>
            </w:pPr>
            <w:r>
              <w:rPr>
                <w:rFonts w:ascii="Arial" w:hAnsi="Arial"/>
                <w:noProof/>
                <w:sz w:val="20"/>
              </w:rPr>
              <w:t>Включването на пръстови отпечатъци на деца във ВИС ще даде възможност на властите да удостоверят тяхната самоличност и съответно всяка твърдяна връзка между децата и възрастните, представящи се като техни родители или настойници. Това ще спомогне за събирането на непридружени деца, открити в Шенгенското пространство, с техните родители, семейства или лица, полагащи грижи за тях, и ще улесни прилагането на Регламента от Дъблин (правила за определянето на това коя държава</w:t>
            </w:r>
            <w:r>
              <w:rPr>
                <w:rFonts w:ascii="Arial" w:hAnsi="Arial"/>
                <w:noProof/>
                <w:sz w:val="20"/>
                <w:lang w:val="en-US"/>
              </w:rPr>
              <w:t> </w:t>
            </w:r>
            <w:r>
              <w:rPr>
                <w:rFonts w:ascii="Arial" w:hAnsi="Arial"/>
                <w:noProof/>
                <w:sz w:val="20"/>
              </w:rPr>
              <w:t>— членка на ЕС, отговаря за разглеждането на индивидуалните молби за предоставяне на убежище).</w:t>
            </w:r>
          </w:p>
          <w:p>
            <w:pPr>
              <w:spacing w:after="120"/>
              <w:jc w:val="both"/>
              <w:rPr>
                <w:rFonts w:ascii="Arial" w:hAnsi="Arial" w:cs="Arial"/>
                <w:noProof/>
                <w:sz w:val="20"/>
                <w:szCs w:val="20"/>
              </w:rPr>
            </w:pPr>
            <w:r>
              <w:rPr>
                <w:rFonts w:ascii="Arial" w:hAnsi="Arial"/>
                <w:noProof/>
                <w:sz w:val="20"/>
              </w:rPr>
              <w:t>Органите, отговарящи за управлението на границите и правоприлагането, ще имат достъп до данни за визите за дългосрочно пребиваване и документите за пребиваване, което ще даде възможност за бърза проверка на статуса и автентичността им.</w:t>
            </w:r>
          </w:p>
          <w:p>
            <w:pPr>
              <w:spacing w:after="120"/>
              <w:jc w:val="both"/>
              <w:rPr>
                <w:rFonts w:ascii="Arial" w:hAnsi="Arial" w:cs="Arial"/>
                <w:noProof/>
                <w:sz w:val="20"/>
                <w:szCs w:val="20"/>
              </w:rPr>
            </w:pPr>
            <w:r>
              <w:rPr>
                <w:rFonts w:ascii="Arial" w:hAnsi="Arial"/>
                <w:noProof/>
                <w:sz w:val="20"/>
              </w:rPr>
              <w:t>Титулярите на документите също ще се възползват от по-гладко протичащ и по-бърз граничен контрол.</w:t>
            </w:r>
          </w:p>
          <w:p>
            <w:pPr>
              <w:spacing w:after="120"/>
              <w:jc w:val="both"/>
              <w:rPr>
                <w:rFonts w:ascii="Arial" w:hAnsi="Arial" w:cs="Arial"/>
                <w:i/>
                <w:noProof/>
                <w:sz w:val="20"/>
                <w:szCs w:val="20"/>
              </w:rPr>
            </w:pPr>
            <w:r>
              <w:rPr>
                <w:rFonts w:ascii="Arial" w:hAnsi="Arial"/>
                <w:noProof/>
                <w:sz w:val="20"/>
              </w:rPr>
              <w:t>Консулствата и миграционните власти ще използват основно автоматизираните проверки в други бази данни, като по този начин се възползват пълноценно оперативната съвместимост на системата като цяло.</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w:t>
            </w:r>
            <w:r>
              <w:rPr>
                <w:rFonts w:ascii="Tahoma" w:hAnsi="Tahoma"/>
                <w:b/>
                <w:noProof/>
                <w:sz w:val="20"/>
                <w:lang w:val="en-US"/>
              </w:rPr>
              <w:t> </w:t>
            </w:r>
            <w:r>
              <w:rPr>
                <w:rFonts w:ascii="Tahoma" w:hAnsi="Tahoma"/>
                <w:b/>
                <w:noProof/>
                <w:sz w:val="20"/>
              </w:rPr>
              <w:t>— за основните варианти)?</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Непосредствените икономически разходи ще бъдат ограничени до инвестициите или разходите за смяна на процедурите и правните актове.</w:t>
            </w:r>
          </w:p>
          <w:p>
            <w:pPr>
              <w:spacing w:after="120"/>
              <w:jc w:val="both"/>
              <w:rPr>
                <w:rFonts w:ascii="Arial" w:hAnsi="Arial" w:cs="Arial"/>
                <w:noProof/>
                <w:sz w:val="20"/>
                <w:szCs w:val="20"/>
              </w:rPr>
            </w:pPr>
            <w:r>
              <w:rPr>
                <w:rFonts w:ascii="Arial" w:hAnsi="Arial"/>
                <w:noProof/>
                <w:sz w:val="20"/>
              </w:rPr>
              <w:t>Основните еднократните разходи ще бъдат за сметка на бюджета на ЕС и националните органи, които оперират системите и се оценяват на стойност между 21,4</w:t>
            </w:r>
            <w:r>
              <w:rPr>
                <w:rFonts w:ascii="Arial" w:hAnsi="Arial"/>
                <w:noProof/>
                <w:sz w:val="20"/>
                <w:lang w:val="en-US"/>
              </w:rPr>
              <w:t> </w:t>
            </w:r>
            <w:r>
              <w:rPr>
                <w:rFonts w:ascii="Arial" w:hAnsi="Arial"/>
                <w:noProof/>
                <w:sz w:val="20"/>
              </w:rPr>
              <w:t>милиона евро и 21,5</w:t>
            </w:r>
            <w:r>
              <w:rPr>
                <w:rFonts w:ascii="Arial" w:hAnsi="Arial"/>
                <w:noProof/>
                <w:sz w:val="20"/>
                <w:lang w:val="en-US"/>
              </w:rPr>
              <w:t> </w:t>
            </w:r>
            <w:r>
              <w:rPr>
                <w:rFonts w:ascii="Arial" w:hAnsi="Arial"/>
                <w:noProof/>
                <w:sz w:val="20"/>
              </w:rPr>
              <w:t>милиона евро.</w:t>
            </w:r>
          </w:p>
          <w:p>
            <w:pPr>
              <w:spacing w:after="120"/>
              <w:jc w:val="both"/>
              <w:rPr>
                <w:rFonts w:ascii="Arial" w:hAnsi="Arial" w:cs="Arial"/>
                <w:noProof/>
                <w:sz w:val="20"/>
                <w:szCs w:val="20"/>
              </w:rPr>
            </w:pPr>
            <w:r>
              <w:rPr>
                <w:rFonts w:ascii="Arial" w:hAnsi="Arial"/>
                <w:noProof/>
                <w:sz w:val="20"/>
              </w:rPr>
              <w:t>Повтарящите се административни разходи, произтичащи от повишения обем работа по едно заявление, ще се поемат основно от консулските служби на държавите</w:t>
            </w:r>
            <w:r>
              <w:rPr>
                <w:rFonts w:ascii="Arial" w:hAnsi="Arial"/>
                <w:noProof/>
                <w:sz w:val="20"/>
                <w:lang w:val="en-US"/>
              </w:rPr>
              <w:t> </w:t>
            </w:r>
            <w:r>
              <w:rPr>
                <w:rFonts w:ascii="Arial" w:hAnsi="Arial"/>
                <w:noProof/>
                <w:sz w:val="20"/>
              </w:rPr>
              <w:t>— членки на ЕС, и външните доставчици на услуги.</w:t>
            </w:r>
          </w:p>
          <w:p>
            <w:pPr>
              <w:spacing w:after="120"/>
              <w:jc w:val="both"/>
              <w:rPr>
                <w:rFonts w:ascii="Arial" w:hAnsi="Arial"/>
                <w:noProof/>
                <w:sz w:val="20"/>
              </w:rPr>
            </w:pPr>
            <w:r>
              <w:rPr>
                <w:rFonts w:ascii="Arial" w:hAnsi="Arial"/>
                <w:noProof/>
                <w:sz w:val="20"/>
              </w:rPr>
              <w:t>Количественият анализ обаче бе проведен отделно за всяка област на политиката. Прогнозните разходи следователно не вземат предвид значителното дългосрочно намаляване на разходите, присъщи на предпочитаните варианти на политиката, като например икономиите от мащаба и потенциалните инвестиционни припокривания.</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Не се очаква предложените мерки в областта на политиката да окажат пряко въздействие върху малките и средните предприятия.</w:t>
            </w:r>
          </w:p>
          <w:p>
            <w:pPr>
              <w:spacing w:before="120" w:after="120"/>
              <w:jc w:val="both"/>
              <w:rPr>
                <w:rFonts w:ascii="Arial" w:hAnsi="Arial" w:cs="Arial"/>
                <w:i/>
                <w:noProof/>
                <w:sz w:val="20"/>
                <w:szCs w:val="20"/>
              </w:rPr>
            </w:pPr>
            <w:r>
              <w:rPr>
                <w:rFonts w:ascii="Arial" w:hAnsi="Arial"/>
                <w:noProof/>
                <w:sz w:val="20"/>
              </w:rPr>
              <w:t>Пътуващите и гражданите на трети държави, притежаващи автентични визи за дългосрочно пребиваване или разрешения за пребиваване, ще могат да се възползват от по-бърз граничен контрол.</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Разходите, произтичащи от допълнителната административна тежест, свързана със сканирането на документи и снемането на пръстови отпечатъци на деца, ще се компенсират от значителните икономии.</w:t>
            </w:r>
          </w:p>
          <w:p>
            <w:pPr>
              <w:spacing w:before="120" w:after="120"/>
              <w:jc w:val="both"/>
              <w:rPr>
                <w:rFonts w:ascii="Arial" w:hAnsi="Arial" w:cs="Arial"/>
                <w:noProof/>
                <w:sz w:val="20"/>
                <w:szCs w:val="20"/>
              </w:rPr>
            </w:pPr>
            <w:r>
              <w:rPr>
                <w:rFonts w:ascii="Arial" w:hAnsi="Arial"/>
                <w:noProof/>
                <w:sz w:val="20"/>
              </w:rPr>
              <w:t>Очаква се държавите членки да се възползват значително от:</w:t>
            </w:r>
          </w:p>
          <w:p>
            <w:pPr>
              <w:pStyle w:val="ListParagraph"/>
              <w:numPr>
                <w:ilvl w:val="0"/>
                <w:numId w:val="3"/>
              </w:numPr>
              <w:spacing w:before="120" w:after="120"/>
              <w:jc w:val="both"/>
              <w:rPr>
                <w:rFonts w:ascii="Arial" w:hAnsi="Arial" w:cs="Arial"/>
                <w:noProof/>
                <w:sz w:val="20"/>
                <w:szCs w:val="20"/>
              </w:rPr>
            </w:pPr>
            <w:r>
              <w:rPr>
                <w:rFonts w:ascii="Arial" w:hAnsi="Arial"/>
                <w:noProof/>
                <w:sz w:val="20"/>
              </w:rPr>
              <w:t>намаления брой искания за помощ по отношение на придружаващи документи от органите, отговарящи за миграцията и връщането;</w:t>
            </w:r>
          </w:p>
          <w:p>
            <w:pPr>
              <w:pStyle w:val="ListParagraph"/>
              <w:numPr>
                <w:ilvl w:val="0"/>
                <w:numId w:val="3"/>
              </w:numPr>
              <w:spacing w:before="120" w:after="120"/>
              <w:jc w:val="both"/>
              <w:rPr>
                <w:rFonts w:ascii="Arial" w:hAnsi="Arial" w:cs="Arial"/>
                <w:noProof/>
                <w:sz w:val="20"/>
                <w:szCs w:val="20"/>
              </w:rPr>
            </w:pPr>
            <w:r>
              <w:rPr>
                <w:rFonts w:ascii="Arial" w:hAnsi="Arial"/>
                <w:noProof/>
                <w:sz w:val="20"/>
              </w:rPr>
              <w:t>намаления брой на исканията за копия на документи за пътуване;</w:t>
            </w:r>
          </w:p>
          <w:p>
            <w:pPr>
              <w:pStyle w:val="ListParagraph"/>
              <w:numPr>
                <w:ilvl w:val="0"/>
                <w:numId w:val="3"/>
              </w:numPr>
              <w:spacing w:before="120" w:after="120"/>
              <w:jc w:val="both"/>
              <w:rPr>
                <w:rFonts w:ascii="Arial" w:hAnsi="Arial" w:cs="Arial"/>
                <w:noProof/>
                <w:sz w:val="20"/>
                <w:szCs w:val="20"/>
              </w:rPr>
            </w:pPr>
            <w:r>
              <w:rPr>
                <w:rFonts w:ascii="Arial" w:hAnsi="Arial"/>
                <w:noProof/>
                <w:sz w:val="20"/>
              </w:rPr>
              <w:t>по-лесната процедура за връщане на мигрантите от трети държави, пресрочили визите си.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Обществото като цяло ще се ползва от по-голяма сигурност, произтичаща от по-ефективната защита на външните граници, закрилата на децата и улеснените процедури за връщане на незаконни мигранти.</w:t>
            </w:r>
          </w:p>
          <w:p>
            <w:pPr>
              <w:spacing w:after="120"/>
              <w:jc w:val="both"/>
              <w:rPr>
                <w:rFonts w:ascii="Arial" w:hAnsi="Arial" w:cs="Arial"/>
                <w:noProof/>
                <w:sz w:val="20"/>
                <w:szCs w:val="20"/>
              </w:rPr>
            </w:pPr>
            <w:r>
              <w:rPr>
                <w:rFonts w:ascii="Arial" w:hAnsi="Arial"/>
                <w:noProof/>
                <w:sz w:val="20"/>
              </w:rPr>
              <w:t>Запълването на настоящата нформационна празнота по отношение на документите, издавани на граждани на трети държави, ще допълни информационната система за управление на границите. Системата ще бъде разработена и прилагана при пълно зачитане на законодателството в тази област на политиката, като например Общия регламент относно защитата на данните, и на принципите за защита на данните още при проектирането и по подразбиране, и ще бъде придружена от редица гаранции.</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Кога ще се извърши преглед на политиката?</w:t>
            </w:r>
          </w:p>
        </w:tc>
      </w:tr>
      <w:tr>
        <w:tc>
          <w:tcPr>
            <w:tcW w:w="10188" w:type="dxa"/>
            <w:tcBorders>
              <w:bottom w:val="single" w:sz="4" w:space="0" w:color="auto"/>
            </w:tcBorders>
            <w:shd w:val="clear" w:color="auto" w:fill="auto"/>
          </w:tcPr>
          <w:p>
            <w:pPr>
              <w:spacing w:before="120" w:after="120"/>
              <w:jc w:val="both"/>
              <w:rPr>
                <w:rFonts w:ascii="Tahoma" w:hAnsi="Tahoma" w:cs="Tahoma"/>
                <w:noProof/>
                <w:sz w:val="20"/>
                <w:szCs w:val="20"/>
              </w:rPr>
            </w:pPr>
            <w:r>
              <w:rPr>
                <w:rFonts w:ascii="Tahoma" w:hAnsi="Tahoma"/>
                <w:noProof/>
                <w:sz w:val="20"/>
              </w:rPr>
              <w:t>Четири години след започването на прилагането на изменения Регламент за ВИС Комисията ще представи доклад на Европейския парламент и на Съвета на ЕС.</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417" w:bottom="1276"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351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09F1"/>
    <w:multiLevelType w:val="hybridMultilevel"/>
    <w:tmpl w:val="301A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721694"/>
    <w:multiLevelType w:val="hybridMultilevel"/>
    <w:tmpl w:val="D182E3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458363F9"/>
    <w:multiLevelType w:val="hybridMultilevel"/>
    <w:tmpl w:val="2E9E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9CF9EAC-CA2B-402F-A524-32FEC12C1ECC"/>
    <w:docVar w:name="LW_COVERPAGE_TYPE" w:val="1"/>
    <w:docVar w:name="LW_CROSSREFERENCE" w:val="{COM(2018) 302 final}_x000b_{SEC(2018) 236 final}_x000b_{SWD(2018) 195 final}"/>
    <w:docVar w:name="LW_DocType" w:val="NORMAL"/>
    <w:docVar w:name="LW_EMISSION" w:val="16.5.2018"/>
    <w:docVar w:name="LW_EMISSION_ISODATE" w:val="2018-05-16"/>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4?) \u8470? 767/2008, \u1056?\u1077?\u1075?\u1083?\u1072?\u1084?\u1077?\u1085?\u1090? (\u1045?\u1054?) \u8470? 810/2009, \u1056?\u1077?\u1075?\u1083?\u1072?\u1084?\u1077?\u1085?\u1090? (\u1045?\u1057?) 2017/2226, \u1056?\u1077?\u1075?\u1083?\u1072?\u1084?\u1077?\u1085?\u1090? (\u1045?\u1057?) 2016/399, \u1056?\u1077?\u1075?\u1083?\u1072?\u1084?\u1077?\u1085?\u1090? XX/2018 [\u1056?\u1077?\u1075?\u1083?\u1072?\u1084?\u1077?\u1085?\u1090? \u1079?\u1072? \u1086?\u1087?\u1077?\u1088?\u1072?\u1090?\u1080?\u1074?\u1085?\u1072?\u1090?\u1072? \u1089?\u1098?\u1074?\u1084?\u1077?\u1089?\u1090?\u1080?\u1084?\u1086?\u1089?\u1090?] \u1080? \u1056?\u1077?\u1096?\u1077?\u1085?\u1080?\u1077? 2004/512/\u1045?\u1054? \u1080? \u1079?\u1072? \u1086?\u1090?\u1084?\u1103?\u1085?\u1072? \u1085?\u1072? \u1056?\u1077?\u1096?\u1077?\u1085?\u1080?\u1077? 2008/633/\u1055?\u1042?\u1056? \u1085?\u1072? \u1057?\u1098?\u1074?\u1077?\u1090?\u1072?"/>
    <w:docVar w:name="LW_PART_NBR" w:val="1"/>
    <w:docVar w:name="LW_PART_NBR_TOTAL" w:val="1"/>
    <w:docVar w:name="LW_REF.INST.NEW" w:val="SWD"/>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u1090?\u1086?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5e49ffd-a979-456d-8d8a-e057ab4d914e">EN</EC_Collab_DocumentLanguage>
    <EC_Collab_Status xmlns="e5e49ffd-a979-456d-8d8a-e057ab4d914e">Draft</EC_Collab_Status>
    <EC_Collab_Reference xmlns="e5e49ffd-a979-456d-8d8a-e057ab4d9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0134A92BC43C14EB13B7C7B578E8E1D" ma:contentTypeVersion="1" ma:contentTypeDescription="Create a new document in this library." ma:contentTypeScope="" ma:versionID="cc0e6a9cb008eea03d15c6a6dee9aba3">
  <xsd:schema xmlns:xsd="http://www.w3.org/2001/XMLSchema" xmlns:xs="http://www.w3.org/2001/XMLSchema" xmlns:p="http://schemas.microsoft.com/office/2006/metadata/properties" xmlns:ns2="http://schemas.microsoft.com/sharepoint/v3/fields" xmlns:ns3="e5e49ffd-a979-456d-8d8a-e057ab4d914e" targetNamespace="http://schemas.microsoft.com/office/2006/metadata/properties" ma:root="true" ma:fieldsID="6d6ae49a7f107821b8704dcdb088ac70" ns2:_="" ns3:_="">
    <xsd:import namespace="http://schemas.microsoft.com/sharepoint/v3/fields"/>
    <xsd:import namespace="e5e49ffd-a979-456d-8d8a-e057ab4d914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e49ffd-a979-456d-8d8a-e057ab4d91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e5e49ffd-a979-456d-8d8a-e057ab4d914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4BD2C1B-DA9D-4D9A-AA2F-9F820D4B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e49ffd-a979-456d-8d8a-e057ab4d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22548-04A9-40E1-91A6-BD8EAC8E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1568</Words>
  <Characters>9476</Characters>
  <Application>Microsoft Office Word</Application>
  <DocSecurity>0</DocSecurity>
  <Lines>157</Lines>
  <Paragraphs>92</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DIGIT/A3</cp:lastModifiedBy>
  <cp:revision>31</cp:revision>
  <cp:lastPrinted>2018-05-04T13:24:00Z</cp:lastPrinted>
  <dcterms:created xsi:type="dcterms:W3CDTF">2018-05-04T14:29:00Z</dcterms:created>
  <dcterms:modified xsi:type="dcterms:W3CDTF">2018-06-25T09:44:00Z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0x010100258AA79CEB83498886A3A086811232500080134A92BC43C14EB13B7C7B578E8E1D</vt:lpwstr>
  </property>
  <property fmtid="{D5CDD505-2E9C-101B-9397-08002B2CF9AE}" pid="10" name="TemplateUrl">
    <vt:lpwstr/>
  </property>
  <property fmtid="{D5CDD505-2E9C-101B-9397-08002B2CF9AE}" pid="11" name="Level of sensitivity">
    <vt:lpwstr>Standard treatment</vt:lpwstr>
  </property>
</Properties>
</file>