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C4" w:rsidRDefault="00BC2113" w:rsidP="00BC2113">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E076EBA-8BC3-475D-9469-B030AAEA8B45" style="width:450.75pt;height:307.5pt">
            <v:imagedata r:id="rId8" o:title=""/>
          </v:shape>
        </w:pict>
      </w:r>
    </w:p>
    <w:bookmarkEnd w:id="0"/>
    <w:p w:rsidR="004D38C4" w:rsidRDefault="004D38C4">
      <w:pPr>
        <w:rPr>
          <w:noProof/>
        </w:rPr>
        <w:sectPr w:rsidR="004D38C4" w:rsidSect="00BC211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4D38C4" w:rsidRDefault="004D38C4">
      <w:pPr>
        <w:pStyle w:val="CoverPage"/>
        <w:rPr>
          <w:noProof/>
        </w:rPr>
      </w:pPr>
      <w:bookmarkStart w:id="1" w:name="_GoBack"/>
      <w:bookmarkEnd w:id="1"/>
    </w:p>
    <w:p w:rsidR="004D38C4" w:rsidRDefault="004D38C4">
      <w:pPr>
        <w:pStyle w:val="CoverPage"/>
        <w:rPr>
          <w:noProof/>
        </w:rPr>
      </w:pPr>
    </w:p>
    <w:p w:rsidR="004D38C4" w:rsidRDefault="004D38C4">
      <w:pPr>
        <w:pStyle w:val="CoverPage"/>
        <w:rPr>
          <w:noProof/>
        </w:rPr>
      </w:pPr>
    </w:p>
    <w:p w:rsidR="004D38C4" w:rsidRDefault="00BC2113">
      <w:pPr>
        <w:pStyle w:val="CoverPage"/>
        <w:tabs>
          <w:tab w:val="left" w:pos="8367"/>
        </w:tabs>
        <w:ind w:left="1701"/>
        <w:rPr>
          <w:noProof/>
        </w:rPr>
      </w:pPr>
      <w:r>
        <w:rPr>
          <w:noProof/>
        </w:rPr>
        <w:tab/>
      </w:r>
    </w:p>
    <w:p w:rsidR="004D38C4" w:rsidRDefault="004D38C4">
      <w:pPr>
        <w:pStyle w:val="CoverPage"/>
        <w:rPr>
          <w:noProof/>
        </w:rPr>
      </w:pPr>
    </w:p>
    <w:p w:rsidR="004D38C4" w:rsidRDefault="004D38C4">
      <w:pPr>
        <w:pStyle w:val="CoverPage"/>
        <w:rPr>
          <w:noProof/>
        </w:rPr>
        <w:sectPr w:rsidR="004D38C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8" w:footer="708" w:gutter="0"/>
          <w:cols w:space="720"/>
          <w:docGrid w:linePitch="360"/>
        </w:sectPr>
      </w:pPr>
    </w:p>
    <w:p w:rsidR="004D38C4" w:rsidRDefault="00BC2113">
      <w:pPr>
        <w:pStyle w:val="HEADERTABLE"/>
        <w:rPr>
          <w:noProof/>
        </w:rPr>
      </w:pPr>
      <w:bookmarkStart w:id="2" w:name="_DMBM_11008"/>
      <w:r>
        <w:rPr>
          <w:noProof/>
        </w:rPr>
        <w:lastRenderedPageBreak/>
        <w:t>CONTENTS</w:t>
      </w:r>
    </w:p>
    <w:p w:rsidR="004D38C4" w:rsidRDefault="00BC2113">
      <w:pPr>
        <w:pStyle w:val="DGTextstand-alone"/>
      </w:pPr>
      <w:r>
        <w:t xml:space="preserve"> </w:t>
      </w:r>
      <w:r>
        <w:rPr>
          <w:lang w:val="fr-BE"/>
        </w:rPr>
        <w:fldChar w:fldCharType="begin"/>
      </w:r>
      <w:r>
        <w:instrText xml:space="preserve"> TOC \t "FIRST CHAPTER_PAGE_1;2;FIRST_CHAPTER_PAGE;1;HEADER_TITLE;1;HEADER_TITLE_1;2" </w:instrText>
      </w:r>
      <w:r>
        <w:rPr>
          <w:lang w:val="fr-BE"/>
        </w:rPr>
        <w:fldChar w:fldCharType="separate"/>
      </w:r>
    </w:p>
    <w:p w:rsidR="004D38C4" w:rsidRDefault="00BC2113">
      <w:pPr>
        <w:pStyle w:val="TOC1"/>
        <w:tabs>
          <w:tab w:val="right" w:leader="dot" w:pos="9628"/>
        </w:tabs>
        <w:rPr>
          <w:rFonts w:asciiTheme="minorHAnsi" w:eastAsiaTheme="minorEastAsia" w:hAnsiTheme="minorHAnsi" w:cstheme="minorBidi"/>
          <w:noProof/>
          <w:color w:val="auto"/>
          <w:szCs w:val="22"/>
        </w:rPr>
      </w:pPr>
      <w:r>
        <w:rPr>
          <w:noProof/>
        </w:rPr>
        <w:t>CERTIFICATION OF</w:t>
      </w:r>
      <w:r>
        <w:rPr>
          <w:noProof/>
        </w:rPr>
        <w:t xml:space="preserve"> THE ACCOUNTS</w:t>
      </w:r>
      <w:r>
        <w:rPr>
          <w:noProof/>
        </w:rPr>
        <w:tab/>
      </w:r>
      <w:r>
        <w:rPr>
          <w:noProof/>
        </w:rPr>
        <w:fldChar w:fldCharType="begin"/>
      </w:r>
      <w:r>
        <w:rPr>
          <w:noProof/>
        </w:rPr>
        <w:instrText xml:space="preserve"> PAGEREF _Toc517247526 \h </w:instrText>
      </w:r>
      <w:r>
        <w:rPr>
          <w:noProof/>
        </w:rPr>
      </w:r>
      <w:r>
        <w:rPr>
          <w:noProof/>
        </w:rPr>
        <w:fldChar w:fldCharType="separate"/>
      </w:r>
      <w:r>
        <w:rPr>
          <w:noProof/>
        </w:rPr>
        <w:t>4</w:t>
      </w:r>
      <w:r>
        <w:rPr>
          <w:noProof/>
        </w:rPr>
        <w:fldChar w:fldCharType="end"/>
      </w:r>
    </w:p>
    <w:p w:rsidR="004D38C4" w:rsidRDefault="00BC2113">
      <w:pPr>
        <w:pStyle w:val="TOC1"/>
        <w:tabs>
          <w:tab w:val="right" w:leader="dot" w:pos="9628"/>
        </w:tabs>
        <w:rPr>
          <w:rFonts w:asciiTheme="minorHAnsi" w:eastAsiaTheme="minorEastAsia" w:hAnsiTheme="minorHAnsi" w:cstheme="minorBidi"/>
          <w:noProof/>
          <w:color w:val="auto"/>
          <w:szCs w:val="22"/>
        </w:rPr>
      </w:pPr>
      <w:r>
        <w:rPr>
          <w:noProof/>
        </w:rPr>
        <w:t>FINANCIAL STATEMENTS AND EXPLANATORY NOTES</w:t>
      </w:r>
      <w:r>
        <w:rPr>
          <w:noProof/>
        </w:rPr>
        <w:tab/>
      </w:r>
      <w:r>
        <w:rPr>
          <w:noProof/>
        </w:rPr>
        <w:fldChar w:fldCharType="begin"/>
      </w:r>
      <w:r>
        <w:rPr>
          <w:noProof/>
        </w:rPr>
        <w:instrText xml:space="preserve"> PAGEREF _Toc517247527 \h </w:instrText>
      </w:r>
      <w:r>
        <w:rPr>
          <w:noProof/>
        </w:rPr>
      </w:r>
      <w:r>
        <w:rPr>
          <w:noProof/>
        </w:rPr>
        <w:fldChar w:fldCharType="separate"/>
      </w:r>
      <w:r>
        <w:rPr>
          <w:noProof/>
        </w:rPr>
        <w:t>6</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BALANCE S</w:t>
      </w:r>
      <w:r>
        <w:rPr>
          <w:noProof/>
        </w:rPr>
        <w:t>HEET</w:t>
      </w:r>
      <w:r>
        <w:rPr>
          <w:noProof/>
        </w:rPr>
        <w:tab/>
      </w:r>
      <w:r>
        <w:rPr>
          <w:noProof/>
        </w:rPr>
        <w:fldChar w:fldCharType="begin"/>
      </w:r>
      <w:r>
        <w:rPr>
          <w:noProof/>
        </w:rPr>
        <w:instrText xml:space="preserve"> PAGEREF _Toc517247528 \h </w:instrText>
      </w:r>
      <w:r>
        <w:rPr>
          <w:noProof/>
        </w:rPr>
      </w:r>
      <w:r>
        <w:rPr>
          <w:noProof/>
        </w:rPr>
        <w:fldChar w:fldCharType="separate"/>
      </w:r>
      <w:r>
        <w:rPr>
          <w:noProof/>
        </w:rPr>
        <w:t>9</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STATEMENT OF FINANCIAL PERFORMANCE</w:t>
      </w:r>
      <w:r>
        <w:rPr>
          <w:noProof/>
        </w:rPr>
        <w:tab/>
      </w:r>
      <w:r>
        <w:rPr>
          <w:noProof/>
        </w:rPr>
        <w:fldChar w:fldCharType="begin"/>
      </w:r>
      <w:r>
        <w:rPr>
          <w:noProof/>
        </w:rPr>
        <w:instrText xml:space="preserve"> PAGEREF _Toc517247529 \h </w:instrText>
      </w:r>
      <w:r>
        <w:rPr>
          <w:noProof/>
        </w:rPr>
      </w:r>
      <w:r>
        <w:rPr>
          <w:noProof/>
        </w:rPr>
        <w:fldChar w:fldCharType="separate"/>
      </w:r>
      <w:r>
        <w:rPr>
          <w:noProof/>
        </w:rPr>
        <w:t>10</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CASHFLOW STATEMENT</w:t>
      </w:r>
      <w:r>
        <w:rPr>
          <w:noProof/>
        </w:rPr>
        <w:tab/>
      </w:r>
      <w:r>
        <w:rPr>
          <w:noProof/>
        </w:rPr>
        <w:fldChar w:fldCharType="begin"/>
      </w:r>
      <w:r>
        <w:rPr>
          <w:noProof/>
        </w:rPr>
        <w:instrText xml:space="preserve"> PAGER</w:instrText>
      </w:r>
      <w:r>
        <w:rPr>
          <w:noProof/>
        </w:rPr>
        <w:instrText xml:space="preserve">EF _Toc517247530 \h </w:instrText>
      </w:r>
      <w:r>
        <w:rPr>
          <w:noProof/>
        </w:rPr>
      </w:r>
      <w:r>
        <w:rPr>
          <w:noProof/>
        </w:rPr>
        <w:fldChar w:fldCharType="separate"/>
      </w:r>
      <w:r>
        <w:rPr>
          <w:noProof/>
        </w:rPr>
        <w:t>11</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STATEMENT OF CHANGES IN NET ASSETS</w:t>
      </w:r>
      <w:r>
        <w:rPr>
          <w:noProof/>
        </w:rPr>
        <w:tab/>
      </w:r>
      <w:r>
        <w:rPr>
          <w:noProof/>
        </w:rPr>
        <w:fldChar w:fldCharType="begin"/>
      </w:r>
      <w:r>
        <w:rPr>
          <w:noProof/>
        </w:rPr>
        <w:instrText xml:space="preserve"> PAGEREF _Toc517247531 \h </w:instrText>
      </w:r>
      <w:r>
        <w:rPr>
          <w:noProof/>
        </w:rPr>
      </w:r>
      <w:r>
        <w:rPr>
          <w:noProof/>
        </w:rPr>
        <w:fldChar w:fldCharType="separate"/>
      </w:r>
      <w:r>
        <w:rPr>
          <w:noProof/>
        </w:rPr>
        <w:t>12</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NOTES TO THE FINANCIAL STATEMENTS</w:t>
      </w:r>
      <w:r>
        <w:rPr>
          <w:noProof/>
        </w:rPr>
        <w:tab/>
      </w:r>
      <w:r>
        <w:rPr>
          <w:noProof/>
        </w:rPr>
        <w:fldChar w:fldCharType="begin"/>
      </w:r>
      <w:r>
        <w:rPr>
          <w:noProof/>
        </w:rPr>
        <w:instrText xml:space="preserve"> PAGEREF _Toc517247532 \h </w:instrText>
      </w:r>
      <w:r>
        <w:rPr>
          <w:noProof/>
        </w:rPr>
      </w:r>
      <w:r>
        <w:rPr>
          <w:noProof/>
        </w:rPr>
        <w:fldChar w:fldCharType="separate"/>
      </w:r>
      <w:r>
        <w:rPr>
          <w:noProof/>
        </w:rPr>
        <w:t>13</w:t>
      </w:r>
      <w:r>
        <w:rPr>
          <w:noProof/>
        </w:rPr>
        <w:fldChar w:fldCharType="end"/>
      </w:r>
    </w:p>
    <w:p w:rsidR="004D38C4" w:rsidRDefault="00BC2113">
      <w:pPr>
        <w:pStyle w:val="TOC1"/>
        <w:tabs>
          <w:tab w:val="right" w:leader="dot" w:pos="9628"/>
        </w:tabs>
        <w:rPr>
          <w:rFonts w:asciiTheme="minorHAnsi" w:eastAsiaTheme="minorEastAsia" w:hAnsiTheme="minorHAnsi" w:cstheme="minorBidi"/>
          <w:noProof/>
          <w:color w:val="auto"/>
          <w:szCs w:val="22"/>
        </w:rPr>
      </w:pPr>
      <w:r>
        <w:rPr>
          <w:noProof/>
        </w:rPr>
        <w:t>BUDGETARY IMPLEMENTATION REPORTS</w:t>
      </w:r>
      <w:r>
        <w:rPr>
          <w:noProof/>
        </w:rPr>
        <w:tab/>
      </w:r>
      <w:r>
        <w:rPr>
          <w:noProof/>
        </w:rPr>
        <w:fldChar w:fldCharType="begin"/>
      </w:r>
      <w:r>
        <w:rPr>
          <w:noProof/>
        </w:rPr>
        <w:instrText xml:space="preserve"> PAGEREF _Toc517247533 \h </w:instrText>
      </w:r>
      <w:r>
        <w:rPr>
          <w:noProof/>
        </w:rPr>
      </w:r>
      <w:r>
        <w:rPr>
          <w:noProof/>
        </w:rPr>
        <w:fldChar w:fldCharType="separate"/>
      </w:r>
      <w:r>
        <w:rPr>
          <w:noProof/>
        </w:rPr>
        <w:t>57</w:t>
      </w:r>
      <w:r>
        <w:rPr>
          <w:noProof/>
        </w:rPr>
        <w:fldChar w:fldCharType="end"/>
      </w:r>
    </w:p>
    <w:p w:rsidR="004D38C4" w:rsidRDefault="00BC2113">
      <w:pPr>
        <w:pStyle w:val="DGTextstand-alone"/>
        <w:sectPr w:rsidR="004D38C4">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709" w:footer="709" w:gutter="0"/>
          <w:cols w:space="708"/>
          <w:docGrid w:linePitch="360"/>
        </w:sectPr>
      </w:pPr>
      <w:r>
        <w:rPr>
          <w:lang w:val="fr-BE"/>
        </w:rPr>
        <w:fldChar w:fldCharType="end"/>
      </w:r>
      <w:r>
        <w:t xml:space="preserve"> </w:t>
      </w:r>
      <w:bookmarkEnd w:id="2"/>
    </w:p>
    <w:p w:rsidR="004D38C4" w:rsidRDefault="00BC2113">
      <w:pPr>
        <w:rPr>
          <w:rFonts w:ascii="Verdana" w:hAnsi="Verdana"/>
          <w:b/>
          <w:noProof/>
          <w:color w:val="016794"/>
          <w:sz w:val="28"/>
          <w:szCs w:val="18"/>
        </w:rPr>
      </w:pPr>
      <w:bookmarkStart w:id="3" w:name="_Toc517247526"/>
      <w:bookmarkStart w:id="4" w:name="_DMBM_10984"/>
      <w:r>
        <w:rPr>
          <w:noProof/>
        </w:rPr>
        <w:lastRenderedPageBreak/>
        <w:br w:type="page"/>
      </w:r>
    </w:p>
    <w:p w:rsidR="004D38C4" w:rsidRDefault="00BC2113">
      <w:pPr>
        <w:pStyle w:val="HEADERTITLE"/>
      </w:pPr>
      <w:r>
        <w:t>CERTIFICATION OF THE ACCOUNTS</w:t>
      </w:r>
      <w:bookmarkEnd w:id="3"/>
    </w:p>
    <w:p w:rsidR="004D38C4" w:rsidRDefault="004D38C4">
      <w:pPr>
        <w:pStyle w:val="HEADERTITLE"/>
      </w:pPr>
    </w:p>
    <w:p w:rsidR="004D38C4" w:rsidRDefault="00BC2113">
      <w:pPr>
        <w:pStyle w:val="Textstand-alone"/>
      </w:pPr>
      <w:r>
        <w:t>The annual accounts of the European Commission</w:t>
      </w:r>
      <w:r>
        <w:t xml:space="preserve"> for the year 2017 have been prepared in accordance with the Financial Regulation applicable to the general budget of the European Union and the accounting rules adopted by myself in my capacity as the Commission's Accounting Officer, as are to be applied </w:t>
      </w:r>
      <w:r>
        <w:t>by all the institutions and Union bodies.</w:t>
      </w:r>
    </w:p>
    <w:p w:rsidR="004D38C4" w:rsidRDefault="00BC2113">
      <w:pPr>
        <w:pStyle w:val="Textstand-alone"/>
      </w:pPr>
      <w:r>
        <w:t>I acknowledge my responsibility for the preparation and presentation of the annual accounts of the European Commission in accordance with Article 68 of the Financial Regulation.</w:t>
      </w:r>
    </w:p>
    <w:p w:rsidR="004D38C4" w:rsidRDefault="00BC2113">
      <w:pPr>
        <w:pStyle w:val="Textstand-alone"/>
      </w:pPr>
      <w:r>
        <w:t>I have obtained from the authorising</w:t>
      </w:r>
      <w:r>
        <w:t xml:space="preserve"> officers, who certified its reliability, all the information necessary for the production of the accounts that show the European Commission's assets and liabilities and the budgetary implementation.</w:t>
      </w:r>
    </w:p>
    <w:p w:rsidR="004D38C4" w:rsidRDefault="00BC2113">
      <w:pPr>
        <w:pStyle w:val="Textstand-alone"/>
      </w:pPr>
      <w:r>
        <w:t xml:space="preserve">I hereby certify that based on this information, and on </w:t>
      </w:r>
      <w:r>
        <w:t>such checks as I deemed necessary to sign off the accounts, I have a reasonable assurance that the accounts present fairly, in all material aspects, the financial position, the results of the operations and the cash flow of the European Commission.</w:t>
      </w:r>
    </w:p>
    <w:p w:rsidR="004D38C4" w:rsidRDefault="004D38C4">
      <w:pPr>
        <w:pStyle w:val="Textstand-alone"/>
      </w:pPr>
    </w:p>
    <w:p w:rsidR="004D38C4" w:rsidRDefault="004D38C4">
      <w:pPr>
        <w:pStyle w:val="Textstand-alone"/>
      </w:pPr>
    </w:p>
    <w:p w:rsidR="004D38C4" w:rsidRDefault="00BC2113">
      <w:pPr>
        <w:pStyle w:val="SignatureRight"/>
        <w:rPr>
          <w:i/>
          <w:noProof/>
        </w:rPr>
      </w:pPr>
      <w:r>
        <w:rPr>
          <w:i/>
          <w:noProof/>
        </w:rPr>
        <w:t>[sign</w:t>
      </w:r>
      <w:r>
        <w:rPr>
          <w:i/>
          <w:noProof/>
        </w:rPr>
        <w:t>ed]</w:t>
      </w:r>
    </w:p>
    <w:p w:rsidR="004D38C4" w:rsidRDefault="00BC2113">
      <w:pPr>
        <w:pStyle w:val="SignatureRight"/>
        <w:rPr>
          <w:noProof/>
        </w:rPr>
      </w:pPr>
      <w:r>
        <w:rPr>
          <w:noProof/>
        </w:rPr>
        <w:t>Rosa ALDEA BUSQUETS</w:t>
      </w:r>
    </w:p>
    <w:p w:rsidR="004D38C4" w:rsidRDefault="00BC2113">
      <w:pPr>
        <w:pStyle w:val="SignatureRightBold"/>
        <w:rPr>
          <w:noProof/>
        </w:rPr>
      </w:pPr>
      <w:r>
        <w:rPr>
          <w:noProof/>
        </w:rPr>
        <w:t>Accounting Officer of the Commission</w:t>
      </w:r>
    </w:p>
    <w:p w:rsidR="004D38C4" w:rsidRDefault="00BC2113">
      <w:pPr>
        <w:pStyle w:val="SignatureRightItalic0"/>
        <w:rPr>
          <w:noProof/>
        </w:rPr>
      </w:pPr>
      <w:r>
        <w:rPr>
          <w:noProof/>
        </w:rPr>
        <w:t>22 June 2018</w:t>
      </w:r>
    </w:p>
    <w:p w:rsidR="004D38C4" w:rsidRDefault="00BC2113">
      <w:pPr>
        <w:pStyle w:val="SignatureRightItalic0"/>
        <w:rPr>
          <w:noProof/>
        </w:rPr>
      </w:pPr>
      <w:r>
        <w:rPr>
          <w:noProof/>
        </w:rPr>
        <w:t xml:space="preserve"> </w:t>
      </w:r>
      <w:bookmarkEnd w:id="4"/>
    </w:p>
    <w:p w:rsidR="004D38C4" w:rsidRDefault="00BC2113">
      <w:pPr>
        <w:rPr>
          <w:rFonts w:ascii="Verdana" w:hAnsi="Verdana"/>
          <w:noProof/>
          <w:sz w:val="18"/>
          <w:szCs w:val="18"/>
        </w:rPr>
      </w:pPr>
      <w:r>
        <w:rPr>
          <w:noProof/>
        </w:rPr>
        <w:br w:type="page"/>
      </w:r>
    </w:p>
    <w:p w:rsidR="004D38C4" w:rsidRDefault="004D38C4">
      <w:pPr>
        <w:pStyle w:val="SignatureRightItalic0"/>
        <w:rPr>
          <w:noProof/>
        </w:rPr>
      </w:pPr>
    </w:p>
    <w:p w:rsidR="004D38C4" w:rsidRDefault="004D38C4">
      <w:pPr>
        <w:pStyle w:val="SignatureRightItalic0"/>
        <w:rPr>
          <w:noProof/>
        </w:rPr>
        <w:sectPr w:rsidR="004D38C4">
          <w:headerReference w:type="even" r:id="rId27"/>
          <w:headerReference w:type="default" r:id="rId28"/>
          <w:footerReference w:type="even" r:id="rId29"/>
          <w:footerReference w:type="default" r:id="rId30"/>
          <w:headerReference w:type="first" r:id="rId31"/>
          <w:footerReference w:type="first" r:id="rId32"/>
          <w:pgSz w:w="11906" w:h="16838"/>
          <w:pgMar w:top="1134" w:right="1134" w:bottom="1134" w:left="1134" w:header="709" w:footer="709" w:gutter="0"/>
          <w:cols w:space="708"/>
          <w:docGrid w:linePitch="360"/>
        </w:sectPr>
      </w:pPr>
    </w:p>
    <w:p w:rsidR="004D38C4" w:rsidRDefault="00BC2113">
      <w:pPr>
        <w:pStyle w:val="FinancialYear"/>
        <w:rPr>
          <w:noProof/>
        </w:rPr>
      </w:pPr>
      <w:bookmarkStart w:id="5" w:name="_DMBM_10952"/>
      <w:r>
        <w:rPr>
          <w:noProof/>
        </w:rPr>
        <w:t>EUROPEAN COMMISSION</w:t>
      </w:r>
    </w:p>
    <w:p w:rsidR="004D38C4" w:rsidRDefault="00BC2113">
      <w:pPr>
        <w:pStyle w:val="FinancialYear"/>
        <w:rPr>
          <w:noProof/>
        </w:rPr>
      </w:pPr>
      <w:r>
        <w:rPr>
          <w:noProof/>
        </w:rPr>
        <w:t>FINANCIAL YEAR 2017</w:t>
      </w:r>
    </w:p>
    <w:p w:rsidR="004D38C4" w:rsidRDefault="004D38C4">
      <w:pPr>
        <w:pStyle w:val="FIRSTCHAPTERPAGE"/>
        <w:rPr>
          <w:noProof/>
        </w:rPr>
      </w:pPr>
    </w:p>
    <w:p w:rsidR="004D38C4" w:rsidRDefault="004D38C4">
      <w:pPr>
        <w:pStyle w:val="FIRSTCHAPTERPAGE"/>
        <w:rPr>
          <w:noProof/>
        </w:rPr>
      </w:pPr>
    </w:p>
    <w:p w:rsidR="004D38C4" w:rsidRDefault="004D38C4">
      <w:pPr>
        <w:pStyle w:val="FIRSTCHAPTERPAGE"/>
        <w:rPr>
          <w:noProof/>
        </w:rPr>
      </w:pPr>
    </w:p>
    <w:p w:rsidR="004D38C4" w:rsidRDefault="004D38C4">
      <w:pPr>
        <w:pStyle w:val="FIRSTCHAPTERPAGE"/>
        <w:rPr>
          <w:noProof/>
        </w:rPr>
      </w:pPr>
    </w:p>
    <w:p w:rsidR="004D38C4" w:rsidRDefault="00BC2113">
      <w:pPr>
        <w:pStyle w:val="FIRSTCHAPTERPAGE"/>
        <w:rPr>
          <w:noProof/>
        </w:rPr>
      </w:pPr>
      <w:bookmarkStart w:id="6" w:name="_Toc517247527"/>
      <w:r>
        <w:rPr>
          <w:noProof/>
        </w:rPr>
        <w:t xml:space="preserve">FINANCIAL STATEMENTS AND </w:t>
      </w:r>
      <w:r>
        <w:rPr>
          <w:noProof/>
        </w:rPr>
        <w:t>EXPLANATORY NOTES</w:t>
      </w:r>
      <w:bookmarkEnd w:id="6"/>
    </w:p>
    <w:p w:rsidR="004D38C4" w:rsidRDefault="004D38C4">
      <w:pPr>
        <w:pStyle w:val="FIRSTCHAPTERPAGE"/>
        <w:rPr>
          <w:noProof/>
        </w:rPr>
      </w:pPr>
    </w:p>
    <w:p w:rsidR="004D38C4" w:rsidRDefault="004D38C4">
      <w:pPr>
        <w:pStyle w:val="FIRSTCHAPTERPAGE"/>
        <w:rPr>
          <w:noProof/>
        </w:rPr>
      </w:pPr>
    </w:p>
    <w:p w:rsidR="004D38C4" w:rsidRDefault="004D38C4">
      <w:pPr>
        <w:pStyle w:val="FIRSTCHAPTERPAGE"/>
        <w:rPr>
          <w:noProof/>
        </w:rPr>
      </w:pPr>
    </w:p>
    <w:p w:rsidR="004D38C4" w:rsidRDefault="004D38C4">
      <w:pPr>
        <w:pStyle w:val="FIRSTCHAPTERPAGE"/>
        <w:rPr>
          <w:noProof/>
        </w:rPr>
      </w:pPr>
    </w:p>
    <w:p w:rsidR="004D38C4" w:rsidRDefault="00BC2113">
      <w:pPr>
        <w:pStyle w:val="TOPHEADERNOTE"/>
        <w:rPr>
          <w:noProof/>
        </w:rPr>
      </w:pPr>
      <w:r>
        <w:rPr>
          <w:noProof/>
        </w:rPr>
        <w:t xml:space="preserve"> </w:t>
      </w: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BC2113">
      <w:pPr>
        <w:pStyle w:val="TOPHEADERNOTE"/>
        <w:rPr>
          <w:noProof/>
        </w:rPr>
        <w:sectPr w:rsidR="004D38C4">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1134" w:left="1134" w:header="709" w:footer="709" w:gutter="0"/>
          <w:cols w:space="708"/>
          <w:docGrid w:linePitch="360"/>
        </w:sectPr>
      </w:pPr>
      <w:r>
        <w:rPr>
          <w:noProof/>
        </w:rPr>
        <w:t>It should be noted that due to the rounding of figures into millions of euros, some financial data in the tables below ma</w:t>
      </w:r>
      <w:r>
        <w:rPr>
          <w:noProof/>
        </w:rPr>
        <w:t>y appear not to add-up.</w:t>
      </w:r>
      <w:bookmarkEnd w:id="5"/>
    </w:p>
    <w:p w:rsidR="004D38C4" w:rsidRDefault="00BC2113">
      <w:pPr>
        <w:rPr>
          <w:rFonts w:ascii="Verdana" w:hAnsi="Verdana"/>
          <w:b/>
          <w:noProof/>
          <w:color w:val="016794"/>
          <w:sz w:val="28"/>
          <w:szCs w:val="28"/>
        </w:rPr>
      </w:pPr>
      <w:bookmarkStart w:id="7" w:name="_DMBM_10963"/>
      <w:r>
        <w:rPr>
          <w:noProof/>
        </w:rPr>
        <w:br w:type="page"/>
      </w:r>
    </w:p>
    <w:p w:rsidR="004D38C4" w:rsidRDefault="00BC2113">
      <w:pPr>
        <w:pStyle w:val="HEADERTABLE"/>
        <w:rPr>
          <w:noProof/>
        </w:rPr>
      </w:pPr>
      <w:r>
        <w:rPr>
          <w:noProof/>
        </w:rPr>
        <w:t>CONTENTS</w:t>
      </w:r>
    </w:p>
    <w:p w:rsidR="004D38C4" w:rsidRDefault="004D38C4">
      <w:pPr>
        <w:pStyle w:val="DGTextstand-alone"/>
      </w:pPr>
    </w:p>
    <w:p w:rsidR="004D38C4" w:rsidRDefault="00BC2113">
      <w:pPr>
        <w:pStyle w:val="TOC1"/>
        <w:tabs>
          <w:tab w:val="right" w:leader="dot" w:pos="9628"/>
        </w:tabs>
        <w:rPr>
          <w:rFonts w:asciiTheme="minorHAnsi" w:eastAsiaTheme="minorEastAsia" w:hAnsiTheme="minorHAnsi" w:cstheme="minorBidi"/>
          <w:noProof/>
          <w:color w:val="auto"/>
          <w:szCs w:val="22"/>
        </w:rPr>
      </w:pPr>
      <w:r>
        <w:rPr>
          <w:rFonts w:eastAsia="Calibri"/>
          <w:noProof/>
          <w:color w:val="auto"/>
          <w:sz w:val="18"/>
          <w:szCs w:val="22"/>
          <w:bdr w:val="nil"/>
          <w:lang w:val="fr-BE" w:eastAsia="en-US"/>
        </w:rPr>
        <w:fldChar w:fldCharType="begin"/>
      </w:r>
      <w:r>
        <w:rPr>
          <w:noProof/>
          <w:szCs w:val="22"/>
        </w:rPr>
        <w:instrText xml:space="preserve"> TOC \o "1-3" \t "HEADER 1_NOTES;2;HEADER_TITLE_1;1;FIRST CHAPTER_PAGE_1;1" </w:instrText>
      </w:r>
      <w:r>
        <w:rPr>
          <w:rFonts w:eastAsia="Calibri"/>
          <w:noProof/>
          <w:color w:val="auto"/>
          <w:sz w:val="18"/>
          <w:szCs w:val="22"/>
          <w:bdr w:val="nil"/>
          <w:lang w:val="fr-BE" w:eastAsia="en-US"/>
        </w:rPr>
        <w:fldChar w:fldCharType="separate"/>
      </w:r>
      <w:r>
        <w:rPr>
          <w:noProof/>
        </w:rPr>
        <w:t>BALANCE SHEET</w:t>
      </w:r>
      <w:r>
        <w:rPr>
          <w:noProof/>
        </w:rPr>
        <w:tab/>
      </w:r>
      <w:r>
        <w:rPr>
          <w:noProof/>
        </w:rPr>
        <w:fldChar w:fldCharType="begin"/>
      </w:r>
      <w:r>
        <w:rPr>
          <w:noProof/>
        </w:rPr>
        <w:instrText xml:space="preserve"> PAGEREF _Toc517247535 \h </w:instrText>
      </w:r>
      <w:r>
        <w:rPr>
          <w:noProof/>
        </w:rPr>
      </w:r>
      <w:r>
        <w:rPr>
          <w:noProof/>
        </w:rPr>
        <w:fldChar w:fldCharType="separate"/>
      </w:r>
      <w:r>
        <w:rPr>
          <w:noProof/>
        </w:rPr>
        <w:t>9</w:t>
      </w:r>
      <w:r>
        <w:rPr>
          <w:noProof/>
        </w:rPr>
        <w:fldChar w:fldCharType="end"/>
      </w:r>
    </w:p>
    <w:p w:rsidR="004D38C4" w:rsidRDefault="00BC2113">
      <w:pPr>
        <w:pStyle w:val="TOC1"/>
        <w:tabs>
          <w:tab w:val="right" w:leader="dot" w:pos="9628"/>
        </w:tabs>
        <w:rPr>
          <w:rFonts w:asciiTheme="minorHAnsi" w:eastAsiaTheme="minorEastAsia" w:hAnsiTheme="minorHAnsi" w:cstheme="minorBidi"/>
          <w:noProof/>
          <w:color w:val="auto"/>
          <w:szCs w:val="22"/>
        </w:rPr>
      </w:pPr>
      <w:r>
        <w:rPr>
          <w:noProof/>
        </w:rPr>
        <w:t>STATEMENT OF FINANCIAL PERFORMANCE</w:t>
      </w:r>
      <w:r>
        <w:rPr>
          <w:noProof/>
        </w:rPr>
        <w:tab/>
      </w:r>
      <w:r>
        <w:rPr>
          <w:noProof/>
        </w:rPr>
        <w:fldChar w:fldCharType="begin"/>
      </w:r>
      <w:r>
        <w:rPr>
          <w:noProof/>
        </w:rPr>
        <w:instrText xml:space="preserve"> PAGEREF _Toc517247536 \h </w:instrText>
      </w:r>
      <w:r>
        <w:rPr>
          <w:noProof/>
        </w:rPr>
      </w:r>
      <w:r>
        <w:rPr>
          <w:noProof/>
        </w:rPr>
        <w:fldChar w:fldCharType="separate"/>
      </w:r>
      <w:r>
        <w:rPr>
          <w:noProof/>
        </w:rPr>
        <w:t>10</w:t>
      </w:r>
      <w:r>
        <w:rPr>
          <w:noProof/>
        </w:rPr>
        <w:fldChar w:fldCharType="end"/>
      </w:r>
    </w:p>
    <w:p w:rsidR="004D38C4" w:rsidRDefault="00BC2113">
      <w:pPr>
        <w:pStyle w:val="TOC1"/>
        <w:tabs>
          <w:tab w:val="right" w:leader="dot" w:pos="9628"/>
        </w:tabs>
        <w:rPr>
          <w:rFonts w:asciiTheme="minorHAnsi" w:eastAsiaTheme="minorEastAsia" w:hAnsiTheme="minorHAnsi" w:cstheme="minorBidi"/>
          <w:noProof/>
          <w:color w:val="auto"/>
          <w:szCs w:val="22"/>
        </w:rPr>
      </w:pPr>
      <w:r>
        <w:rPr>
          <w:noProof/>
        </w:rPr>
        <w:t>CASHFLOW STATEMENT</w:t>
      </w:r>
      <w:r>
        <w:rPr>
          <w:noProof/>
        </w:rPr>
        <w:tab/>
      </w:r>
      <w:r>
        <w:rPr>
          <w:noProof/>
        </w:rPr>
        <w:fldChar w:fldCharType="begin"/>
      </w:r>
      <w:r>
        <w:rPr>
          <w:noProof/>
        </w:rPr>
        <w:instrText xml:space="preserve"> PAGEREF _Toc517247537 \h </w:instrText>
      </w:r>
      <w:r>
        <w:rPr>
          <w:noProof/>
        </w:rPr>
      </w:r>
      <w:r>
        <w:rPr>
          <w:noProof/>
        </w:rPr>
        <w:fldChar w:fldCharType="separate"/>
      </w:r>
      <w:r>
        <w:rPr>
          <w:noProof/>
        </w:rPr>
        <w:t>11</w:t>
      </w:r>
      <w:r>
        <w:rPr>
          <w:noProof/>
        </w:rPr>
        <w:fldChar w:fldCharType="end"/>
      </w:r>
    </w:p>
    <w:p w:rsidR="004D38C4" w:rsidRDefault="00BC2113">
      <w:pPr>
        <w:pStyle w:val="TOC1"/>
        <w:tabs>
          <w:tab w:val="right" w:leader="dot" w:pos="9628"/>
        </w:tabs>
        <w:rPr>
          <w:rFonts w:asciiTheme="minorHAnsi" w:eastAsiaTheme="minorEastAsia" w:hAnsiTheme="minorHAnsi" w:cstheme="minorBidi"/>
          <w:noProof/>
          <w:color w:val="auto"/>
          <w:szCs w:val="22"/>
        </w:rPr>
      </w:pPr>
      <w:r>
        <w:rPr>
          <w:noProof/>
        </w:rPr>
        <w:t>STATEMENT OF CHANGES IN NET ASSETS</w:t>
      </w:r>
      <w:r>
        <w:rPr>
          <w:noProof/>
        </w:rPr>
        <w:tab/>
      </w:r>
      <w:r>
        <w:rPr>
          <w:noProof/>
        </w:rPr>
        <w:fldChar w:fldCharType="begin"/>
      </w:r>
      <w:r>
        <w:rPr>
          <w:noProof/>
        </w:rPr>
        <w:instrText xml:space="preserve"> PAGEREF _Toc517247538 \h </w:instrText>
      </w:r>
      <w:r>
        <w:rPr>
          <w:noProof/>
        </w:rPr>
      </w:r>
      <w:r>
        <w:rPr>
          <w:noProof/>
        </w:rPr>
        <w:fldChar w:fldCharType="separate"/>
      </w:r>
      <w:r>
        <w:rPr>
          <w:noProof/>
        </w:rPr>
        <w:t>12</w:t>
      </w:r>
      <w:r>
        <w:rPr>
          <w:noProof/>
        </w:rPr>
        <w:fldChar w:fldCharType="end"/>
      </w:r>
    </w:p>
    <w:p w:rsidR="004D38C4" w:rsidRDefault="00BC2113">
      <w:pPr>
        <w:pStyle w:val="TOC1"/>
        <w:tabs>
          <w:tab w:val="right" w:leader="dot" w:pos="9628"/>
        </w:tabs>
        <w:rPr>
          <w:rFonts w:asciiTheme="minorHAnsi" w:eastAsiaTheme="minorEastAsia" w:hAnsiTheme="minorHAnsi" w:cstheme="minorBidi"/>
          <w:noProof/>
          <w:color w:val="auto"/>
          <w:szCs w:val="22"/>
        </w:rPr>
      </w:pPr>
      <w:r>
        <w:rPr>
          <w:noProof/>
        </w:rPr>
        <w:t>NOTES TO THE FINANCIAL STATEMENTS</w:t>
      </w:r>
      <w:r>
        <w:rPr>
          <w:noProof/>
        </w:rPr>
        <w:tab/>
      </w:r>
      <w:r>
        <w:rPr>
          <w:noProof/>
        </w:rPr>
        <w:fldChar w:fldCharType="begin"/>
      </w:r>
      <w:r>
        <w:rPr>
          <w:noProof/>
        </w:rPr>
        <w:instrText xml:space="preserve"> PAGEREF _Toc517247539 \h </w:instrText>
      </w:r>
      <w:r>
        <w:rPr>
          <w:noProof/>
        </w:rPr>
      </w:r>
      <w:r>
        <w:rPr>
          <w:noProof/>
        </w:rPr>
        <w:fldChar w:fldCharType="separate"/>
      </w:r>
      <w:r>
        <w:rPr>
          <w:noProof/>
        </w:rPr>
        <w:t>13</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1.</w:t>
      </w:r>
      <w:r>
        <w:rPr>
          <w:rFonts w:asciiTheme="minorHAnsi" w:eastAsiaTheme="minorEastAsia" w:hAnsiTheme="minorHAnsi" w:cstheme="minorBidi"/>
          <w:noProof/>
          <w:color w:val="auto"/>
          <w:szCs w:val="22"/>
        </w:rPr>
        <w:tab/>
      </w:r>
      <w:r>
        <w:rPr>
          <w:noProof/>
        </w:rPr>
        <w:t>SIGNIFICANT ACCOUNTING POLICIES</w:t>
      </w:r>
      <w:r>
        <w:rPr>
          <w:noProof/>
        </w:rPr>
        <w:tab/>
      </w:r>
      <w:r>
        <w:rPr>
          <w:noProof/>
        </w:rPr>
        <w:fldChar w:fldCharType="begin"/>
      </w:r>
      <w:r>
        <w:rPr>
          <w:noProof/>
        </w:rPr>
        <w:instrText xml:space="preserve"> PAGEREF _Toc517247540 \h </w:instrText>
      </w:r>
      <w:r>
        <w:rPr>
          <w:noProof/>
        </w:rPr>
      </w:r>
      <w:r>
        <w:rPr>
          <w:noProof/>
        </w:rPr>
        <w:fldChar w:fldCharType="separate"/>
      </w:r>
      <w:r>
        <w:rPr>
          <w:noProof/>
        </w:rPr>
        <w:t>14</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w:t>
      </w:r>
      <w:r>
        <w:rPr>
          <w:rFonts w:asciiTheme="minorHAnsi" w:eastAsiaTheme="minorEastAsia" w:hAnsiTheme="minorHAnsi" w:cstheme="minorBidi"/>
          <w:noProof/>
          <w:color w:val="auto"/>
          <w:szCs w:val="22"/>
        </w:rPr>
        <w:tab/>
      </w:r>
      <w:r>
        <w:rPr>
          <w:noProof/>
        </w:rPr>
        <w:t>NOTES TO THE BALANCE SHEET</w:t>
      </w:r>
      <w:r>
        <w:rPr>
          <w:noProof/>
        </w:rPr>
        <w:tab/>
      </w:r>
      <w:r>
        <w:rPr>
          <w:noProof/>
        </w:rPr>
        <w:fldChar w:fldCharType="begin"/>
      </w:r>
      <w:r>
        <w:rPr>
          <w:noProof/>
        </w:rPr>
        <w:instrText xml:space="preserve"> PAGEREF _Toc517247541 \h </w:instrText>
      </w:r>
      <w:r>
        <w:rPr>
          <w:noProof/>
        </w:rPr>
      </w:r>
      <w:r>
        <w:rPr>
          <w:noProof/>
        </w:rPr>
        <w:fldChar w:fldCharType="separate"/>
      </w:r>
      <w:r>
        <w:rPr>
          <w:noProof/>
        </w:rPr>
        <w:t>27</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3.</w:t>
      </w:r>
      <w:r>
        <w:rPr>
          <w:rFonts w:asciiTheme="minorHAnsi" w:eastAsiaTheme="minorEastAsia" w:hAnsiTheme="minorHAnsi" w:cstheme="minorBidi"/>
          <w:noProof/>
          <w:color w:val="auto"/>
          <w:szCs w:val="22"/>
        </w:rPr>
        <w:tab/>
      </w:r>
      <w:r>
        <w:rPr>
          <w:noProof/>
        </w:rPr>
        <w:t>NOTES TO THE STATEMENT OF FINANCIAL PERFORMANCE</w:t>
      </w:r>
      <w:r>
        <w:rPr>
          <w:noProof/>
        </w:rPr>
        <w:tab/>
      </w:r>
      <w:r>
        <w:rPr>
          <w:noProof/>
        </w:rPr>
        <w:fldChar w:fldCharType="begin"/>
      </w:r>
      <w:r>
        <w:rPr>
          <w:noProof/>
        </w:rPr>
        <w:instrText xml:space="preserve"> PAGEREF _Toc517247542 \h </w:instrText>
      </w:r>
      <w:r>
        <w:rPr>
          <w:noProof/>
        </w:rPr>
      </w:r>
      <w:r>
        <w:rPr>
          <w:noProof/>
        </w:rPr>
        <w:fldChar w:fldCharType="separate"/>
      </w:r>
      <w:r>
        <w:rPr>
          <w:noProof/>
        </w:rPr>
        <w:t>43</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4.</w:t>
      </w:r>
      <w:r>
        <w:rPr>
          <w:rFonts w:asciiTheme="minorHAnsi" w:eastAsiaTheme="minorEastAsia" w:hAnsiTheme="minorHAnsi" w:cstheme="minorBidi"/>
          <w:noProof/>
          <w:color w:val="auto"/>
          <w:szCs w:val="22"/>
        </w:rPr>
        <w:tab/>
      </w:r>
      <w:r>
        <w:rPr>
          <w:noProof/>
        </w:rPr>
        <w:t>CONTINGENT LIABILITIES AND ASSETS</w:t>
      </w:r>
      <w:r>
        <w:rPr>
          <w:noProof/>
        </w:rPr>
        <w:tab/>
      </w:r>
      <w:r>
        <w:rPr>
          <w:noProof/>
        </w:rPr>
        <w:fldChar w:fldCharType="begin"/>
      </w:r>
      <w:r>
        <w:rPr>
          <w:noProof/>
        </w:rPr>
        <w:instrText xml:space="preserve"> PAGEREF _Toc517247543 \h </w:instrText>
      </w:r>
      <w:r>
        <w:rPr>
          <w:noProof/>
        </w:rPr>
      </w:r>
      <w:r>
        <w:rPr>
          <w:noProof/>
        </w:rPr>
        <w:fldChar w:fldCharType="separate"/>
      </w:r>
      <w:r>
        <w:rPr>
          <w:noProof/>
        </w:rPr>
        <w:t>47</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5.</w:t>
      </w:r>
      <w:r>
        <w:rPr>
          <w:rFonts w:asciiTheme="minorHAnsi" w:eastAsiaTheme="minorEastAsia" w:hAnsiTheme="minorHAnsi" w:cstheme="minorBidi"/>
          <w:noProof/>
          <w:color w:val="auto"/>
          <w:szCs w:val="22"/>
        </w:rPr>
        <w:tab/>
      </w:r>
      <w:r>
        <w:rPr>
          <w:noProof/>
        </w:rPr>
        <w:t>BUDGETARY AND LEGAL COMMITMENTS</w:t>
      </w:r>
      <w:r>
        <w:rPr>
          <w:noProof/>
        </w:rPr>
        <w:tab/>
      </w:r>
      <w:r>
        <w:rPr>
          <w:noProof/>
        </w:rPr>
        <w:fldChar w:fldCharType="begin"/>
      </w:r>
      <w:r>
        <w:rPr>
          <w:noProof/>
        </w:rPr>
        <w:instrText xml:space="preserve"> PAGEREF _Toc517247544</w:instrText>
      </w:r>
      <w:r>
        <w:rPr>
          <w:noProof/>
        </w:rPr>
        <w:instrText xml:space="preserve"> \h </w:instrText>
      </w:r>
      <w:r>
        <w:rPr>
          <w:noProof/>
        </w:rPr>
      </w:r>
      <w:r>
        <w:rPr>
          <w:noProof/>
        </w:rPr>
        <w:fldChar w:fldCharType="separate"/>
      </w:r>
      <w:r>
        <w:rPr>
          <w:noProof/>
        </w:rPr>
        <w:t>48</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6.</w:t>
      </w:r>
      <w:r>
        <w:rPr>
          <w:rFonts w:asciiTheme="minorHAnsi" w:eastAsiaTheme="minorEastAsia" w:hAnsiTheme="minorHAnsi" w:cstheme="minorBidi"/>
          <w:noProof/>
          <w:color w:val="auto"/>
          <w:szCs w:val="22"/>
        </w:rPr>
        <w:tab/>
      </w:r>
      <w:r>
        <w:rPr>
          <w:noProof/>
        </w:rPr>
        <w:t>FINANCIAL INSTRUMENTS DISCLOSURES</w:t>
      </w:r>
      <w:r>
        <w:rPr>
          <w:noProof/>
        </w:rPr>
        <w:tab/>
      </w:r>
      <w:r>
        <w:rPr>
          <w:noProof/>
        </w:rPr>
        <w:fldChar w:fldCharType="begin"/>
      </w:r>
      <w:r>
        <w:rPr>
          <w:noProof/>
        </w:rPr>
        <w:instrText xml:space="preserve"> PAGEREF _Toc517247545 \h </w:instrText>
      </w:r>
      <w:r>
        <w:rPr>
          <w:noProof/>
        </w:rPr>
      </w:r>
      <w:r>
        <w:rPr>
          <w:noProof/>
        </w:rPr>
        <w:fldChar w:fldCharType="separate"/>
      </w:r>
      <w:r>
        <w:rPr>
          <w:noProof/>
        </w:rPr>
        <w:t>50</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7.</w:t>
      </w:r>
      <w:r>
        <w:rPr>
          <w:rFonts w:asciiTheme="minorHAnsi" w:eastAsiaTheme="minorEastAsia" w:hAnsiTheme="minorHAnsi" w:cstheme="minorBidi"/>
          <w:noProof/>
          <w:color w:val="auto"/>
          <w:szCs w:val="22"/>
        </w:rPr>
        <w:tab/>
      </w:r>
      <w:r>
        <w:rPr>
          <w:noProof/>
        </w:rPr>
        <w:t>RELATED PARTIES</w:t>
      </w:r>
      <w:r>
        <w:rPr>
          <w:noProof/>
        </w:rPr>
        <w:tab/>
      </w:r>
      <w:r>
        <w:rPr>
          <w:noProof/>
        </w:rPr>
        <w:fldChar w:fldCharType="begin"/>
      </w:r>
      <w:r>
        <w:rPr>
          <w:noProof/>
        </w:rPr>
        <w:instrText xml:space="preserve"> PAGEREF _Toc517247546 \h </w:instrText>
      </w:r>
      <w:r>
        <w:rPr>
          <w:noProof/>
        </w:rPr>
      </w:r>
      <w:r>
        <w:rPr>
          <w:noProof/>
        </w:rPr>
        <w:fldChar w:fldCharType="separate"/>
      </w:r>
      <w:r>
        <w:rPr>
          <w:noProof/>
        </w:rPr>
        <w:t>54</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8.</w:t>
      </w:r>
      <w:r>
        <w:rPr>
          <w:rFonts w:asciiTheme="minorHAnsi" w:eastAsiaTheme="minorEastAsia" w:hAnsiTheme="minorHAnsi" w:cstheme="minorBidi"/>
          <w:noProof/>
          <w:color w:val="auto"/>
          <w:szCs w:val="22"/>
        </w:rPr>
        <w:tab/>
      </w:r>
      <w:r>
        <w:rPr>
          <w:noProof/>
        </w:rPr>
        <w:t>EVENTS AFTER THE BALANCE SHEET DATE</w:t>
      </w:r>
      <w:r>
        <w:rPr>
          <w:noProof/>
        </w:rPr>
        <w:tab/>
      </w:r>
      <w:r>
        <w:rPr>
          <w:noProof/>
        </w:rPr>
        <w:fldChar w:fldCharType="begin"/>
      </w:r>
      <w:r>
        <w:rPr>
          <w:noProof/>
        </w:rPr>
        <w:instrText xml:space="preserve"> PAGEREF _Toc517247547 \h </w:instrText>
      </w:r>
      <w:r>
        <w:rPr>
          <w:noProof/>
        </w:rPr>
      </w:r>
      <w:r>
        <w:rPr>
          <w:noProof/>
        </w:rPr>
        <w:fldChar w:fldCharType="separate"/>
      </w:r>
      <w:r>
        <w:rPr>
          <w:noProof/>
        </w:rPr>
        <w:t>55</w:t>
      </w:r>
      <w:r>
        <w:rPr>
          <w:noProof/>
        </w:rPr>
        <w:fldChar w:fldCharType="end"/>
      </w:r>
    </w:p>
    <w:p w:rsidR="004D38C4" w:rsidRDefault="00BC2113">
      <w:pPr>
        <w:pStyle w:val="DGTextstand-alone"/>
        <w:sectPr w:rsidR="004D38C4">
          <w:headerReference w:type="even" r:id="rId39"/>
          <w:headerReference w:type="default" r:id="rId40"/>
          <w:footerReference w:type="even" r:id="rId41"/>
          <w:footerReference w:type="default" r:id="rId42"/>
          <w:headerReference w:type="first" r:id="rId43"/>
          <w:footerReference w:type="first" r:id="rId44"/>
          <w:pgSz w:w="11906" w:h="16838"/>
          <w:pgMar w:top="1134" w:right="1134" w:bottom="1134" w:left="1134" w:header="709" w:footer="709" w:gutter="0"/>
          <w:cols w:space="708"/>
          <w:docGrid w:linePitch="360"/>
        </w:sectPr>
      </w:pPr>
      <w:r>
        <w:rPr>
          <w:rFonts w:eastAsia="Times New Roman"/>
          <w:color w:val="365F91" w:themeColor="accent1" w:themeShade="BF"/>
          <w:sz w:val="22"/>
          <w:szCs w:val="22"/>
          <w:bdr w:val="none" w:sz="0" w:space="0" w:color="auto"/>
          <w:lang w:val="fr-BE" w:eastAsia="en-GB"/>
        </w:rPr>
        <w:fldChar w:fldCharType="end"/>
      </w:r>
      <w:r>
        <w:t xml:space="preserve"> </w:t>
      </w:r>
      <w:bookmarkEnd w:id="7"/>
    </w:p>
    <w:p w:rsidR="004D38C4" w:rsidRDefault="00BC2113">
      <w:pPr>
        <w:pStyle w:val="HEADERTITLE1"/>
      </w:pPr>
      <w:bookmarkStart w:id="8" w:name="_Toc517247528"/>
      <w:bookmarkStart w:id="9" w:name="_Toc517247535"/>
      <w:bookmarkStart w:id="10" w:name="_DMBM_11022"/>
      <w:r>
        <w:t>BALANCE SHEET</w:t>
      </w:r>
      <w:bookmarkEnd w:id="8"/>
      <w:bookmarkEnd w:id="9"/>
    </w:p>
    <w:p w:rsidR="004D38C4" w:rsidRDefault="00BC2113">
      <w:pPr>
        <w:pStyle w:val="Textstand-alone"/>
      </w:pP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11" w:name="DOC_TBL00001_1_1"/>
            <w:bookmarkEnd w:id="11"/>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843"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 xml:space="preserve"> EUR millions</w:t>
            </w:r>
          </w:p>
        </w:tc>
      </w:tr>
      <w:tr w:rsidR="004D38C4">
        <w:trPr>
          <w:cantSplit/>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cs="Verdana"/>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cs="Verdana"/>
              </w:rPr>
            </w:pPr>
            <w:r>
              <w:rPr>
                <w:rFonts w:cs="Verdana"/>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31.12.2016</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NON-CURRENT ASSETS</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Intangible assets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2.1</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149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135</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Property, plant and equipment</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2.2</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7 544</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6 832</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 xml:space="preserve">Investments accounted for using </w:t>
            </w:r>
            <w:r>
              <w:rPr>
                <w:rFonts w:cs="Verdana"/>
              </w:rPr>
              <w:t>the equity method</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2.3</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581</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528</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Financial assets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2.4</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58 533</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60 733</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Pre-financing</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2.5</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24 745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21 777</w:t>
            </w:r>
          </w:p>
        </w:tc>
      </w:tr>
      <w:tr w:rsidR="004D38C4">
        <w:trPr>
          <w:cantSplit/>
          <w:trHeight w:val="268"/>
        </w:trPr>
        <w:tc>
          <w:tcPr>
            <w:tcW w:w="521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Left"/>
              <w:rPr>
                <w:rFonts w:cs="Verdana"/>
              </w:rPr>
            </w:pPr>
            <w:r>
              <w:rPr>
                <w:rFonts w:cs="Verdana"/>
              </w:rPr>
              <w:t>Exchange receivables and non-exchange recoverables</w:t>
            </w:r>
          </w:p>
        </w:tc>
        <w:tc>
          <w:tcPr>
            <w:tcW w:w="85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Centered"/>
              <w:rPr>
                <w:rFonts w:cs="Verdana"/>
              </w:rPr>
            </w:pPr>
            <w:r>
              <w:rPr>
                <w:rFonts w:cs="Verdana"/>
              </w:rPr>
              <w:t>2.6</w:t>
            </w:r>
          </w:p>
        </w:tc>
        <w:tc>
          <w:tcPr>
            <w:tcW w:w="1842"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619</w:t>
            </w:r>
          </w:p>
        </w:tc>
        <w:tc>
          <w:tcPr>
            <w:tcW w:w="1843"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729</w:t>
            </w:r>
          </w:p>
        </w:tc>
      </w:tr>
      <w:tr w:rsidR="004D38C4">
        <w:trPr>
          <w:cantSplit/>
          <w:trHeight w:val="268"/>
        </w:trPr>
        <w:tc>
          <w:tcPr>
            <w:tcW w:w="521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Text9pItalicLeft"/>
              <w:rPr>
                <w:rFonts w:cs="Verdana"/>
              </w:rPr>
            </w:pP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92 172</w:t>
            </w:r>
          </w:p>
        </w:tc>
        <w:tc>
          <w:tcPr>
            <w:tcW w:w="1843"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90 734</w:t>
            </w:r>
          </w:p>
        </w:tc>
      </w:tr>
      <w:tr w:rsidR="004D38C4">
        <w:trPr>
          <w:cantSplit/>
          <w:trHeight w:val="268"/>
        </w:trPr>
        <w:tc>
          <w:tcPr>
            <w:tcW w:w="5211"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CURRENT ASSETS</w:t>
            </w:r>
          </w:p>
        </w:tc>
        <w:tc>
          <w:tcPr>
            <w:tcW w:w="851"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Financial assets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2.4</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8 339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3 295</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Pre-financing</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2.5</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24 552</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23 964</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Exchange receivables and non-exchange recoverables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2.6</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11 421</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10 607</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Inventories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2.7</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62</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75</w:t>
            </w:r>
          </w:p>
        </w:tc>
      </w:tr>
      <w:tr w:rsidR="004D38C4">
        <w:trPr>
          <w:cantSplit/>
          <w:trHeight w:val="268"/>
        </w:trPr>
        <w:tc>
          <w:tcPr>
            <w:tcW w:w="521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Left"/>
              <w:rPr>
                <w:rFonts w:cs="Verdana"/>
              </w:rPr>
            </w:pPr>
            <w:r>
              <w:rPr>
                <w:rFonts w:cs="Verdana"/>
              </w:rPr>
              <w:t xml:space="preserve">Cash and cash equivalents </w:t>
            </w:r>
          </w:p>
        </w:tc>
        <w:tc>
          <w:tcPr>
            <w:tcW w:w="85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Centered"/>
              <w:rPr>
                <w:rFonts w:cs="Verdana"/>
              </w:rPr>
            </w:pPr>
            <w:r>
              <w:rPr>
                <w:rFonts w:cs="Verdana"/>
              </w:rPr>
              <w:t>2.8</w:t>
            </w:r>
          </w:p>
        </w:tc>
        <w:tc>
          <w:tcPr>
            <w:tcW w:w="1842"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23 113</w:t>
            </w:r>
          </w:p>
        </w:tc>
        <w:tc>
          <w:tcPr>
            <w:tcW w:w="1843"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27 579</w:t>
            </w:r>
          </w:p>
        </w:tc>
      </w:tr>
      <w:tr w:rsidR="004D38C4">
        <w:trPr>
          <w:cantSplit/>
          <w:trHeight w:val="268"/>
        </w:trPr>
        <w:tc>
          <w:tcPr>
            <w:tcW w:w="5211" w:type="dxa"/>
            <w:tcBorders>
              <w:top w:val="single" w:sz="4" w:space="0" w:color="016794"/>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851" w:type="dxa"/>
            <w:tcBorders>
              <w:top w:val="single" w:sz="4" w:space="0" w:color="016794"/>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9pBoldRight025"/>
              <w:rPr>
                <w:rFonts w:cs="Verdana"/>
              </w:rPr>
            </w:pPr>
            <w:r>
              <w:rPr>
                <w:rFonts w:cs="Verdana"/>
              </w:rPr>
              <w:t>67 488</w:t>
            </w: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9pBoldRight025"/>
              <w:rPr>
                <w:rFonts w:cs="Verdana"/>
              </w:rPr>
            </w:pPr>
            <w:r>
              <w:rPr>
                <w:rFonts w:cs="Verdana"/>
              </w:rPr>
              <w:t>65 521</w:t>
            </w: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TOTAL ASSETS</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159 659</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156 255</w:t>
            </w:r>
          </w:p>
        </w:tc>
      </w:tr>
      <w:tr w:rsidR="004D38C4">
        <w:trPr>
          <w:cantSplit/>
          <w:trHeight w:val="124"/>
        </w:trPr>
        <w:tc>
          <w:tcPr>
            <w:tcW w:w="5211" w:type="dxa"/>
            <w:tcBorders>
              <w:top w:val="nil"/>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NON-CURRENT LIABILITIES</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 xml:space="preserve">Pension and other </w:t>
            </w:r>
            <w:r>
              <w:rPr>
                <w:rFonts w:cs="Verdana"/>
              </w:rPr>
              <w:t>employee benefits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2.9</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(72 495)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(66 550)</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Provisions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2.10</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(2 617)</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(1 786)</w:t>
            </w:r>
          </w:p>
        </w:tc>
      </w:tr>
      <w:tr w:rsidR="004D38C4">
        <w:trPr>
          <w:cantSplit/>
          <w:trHeight w:val="268"/>
        </w:trPr>
        <w:tc>
          <w:tcPr>
            <w:tcW w:w="521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Left"/>
              <w:rPr>
                <w:rFonts w:cs="Verdana"/>
              </w:rPr>
            </w:pPr>
            <w:r>
              <w:rPr>
                <w:rFonts w:cs="Verdana"/>
              </w:rPr>
              <w:t>Financial liabilities</w:t>
            </w:r>
          </w:p>
        </w:tc>
        <w:tc>
          <w:tcPr>
            <w:tcW w:w="85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Centered"/>
              <w:rPr>
                <w:rFonts w:cs="Verdana"/>
              </w:rPr>
            </w:pPr>
            <w:r>
              <w:rPr>
                <w:rFonts w:cs="Verdana"/>
              </w:rPr>
              <w:t>2.11</w:t>
            </w:r>
          </w:p>
        </w:tc>
        <w:tc>
          <w:tcPr>
            <w:tcW w:w="1842"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(49 414)</w:t>
            </w:r>
          </w:p>
        </w:tc>
        <w:tc>
          <w:tcPr>
            <w:tcW w:w="1843"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(54 375)</w:t>
            </w:r>
          </w:p>
        </w:tc>
      </w:tr>
      <w:tr w:rsidR="004D38C4">
        <w:trPr>
          <w:cantSplit/>
          <w:trHeight w:val="268"/>
        </w:trPr>
        <w:tc>
          <w:tcPr>
            <w:tcW w:w="521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Text9pItalicLeft"/>
              <w:rPr>
                <w:rFonts w:cs="Verdana"/>
              </w:rPr>
            </w:pP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(124 526)</w:t>
            </w:r>
          </w:p>
        </w:tc>
        <w:tc>
          <w:tcPr>
            <w:tcW w:w="1843"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(122 711)</w:t>
            </w:r>
          </w:p>
        </w:tc>
      </w:tr>
      <w:tr w:rsidR="004D38C4">
        <w:trPr>
          <w:cantSplit/>
          <w:trHeight w:val="268"/>
        </w:trPr>
        <w:tc>
          <w:tcPr>
            <w:tcW w:w="5211"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CURRENT LIABILITIES</w:t>
            </w:r>
          </w:p>
        </w:tc>
        <w:tc>
          <w:tcPr>
            <w:tcW w:w="851"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Provisions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2.10</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(645)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(626)</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Financial liabilities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2.11</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(6 813)</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(2 165)</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Payables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2.12</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(39 376)</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(40 240)</w:t>
            </w:r>
          </w:p>
        </w:tc>
      </w:tr>
      <w:tr w:rsidR="004D38C4">
        <w:trPr>
          <w:cantSplit/>
          <w:trHeight w:val="268"/>
        </w:trPr>
        <w:tc>
          <w:tcPr>
            <w:tcW w:w="521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Left"/>
              <w:rPr>
                <w:rFonts w:cs="Verdana"/>
              </w:rPr>
            </w:pPr>
            <w:r>
              <w:rPr>
                <w:rFonts w:cs="Verdana"/>
              </w:rPr>
              <w:t>Accrued charges and deferred income</w:t>
            </w:r>
          </w:p>
        </w:tc>
        <w:tc>
          <w:tcPr>
            <w:tcW w:w="85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Centered"/>
              <w:rPr>
                <w:rFonts w:cs="Verdana"/>
              </w:rPr>
            </w:pPr>
            <w:r>
              <w:rPr>
                <w:rFonts w:cs="Verdana"/>
              </w:rPr>
              <w:t>2.13</w:t>
            </w:r>
          </w:p>
        </w:tc>
        <w:tc>
          <w:tcPr>
            <w:tcW w:w="1842"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(63 314)</w:t>
            </w:r>
          </w:p>
        </w:tc>
        <w:tc>
          <w:tcPr>
            <w:tcW w:w="1843"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(67 027)</w:t>
            </w:r>
          </w:p>
        </w:tc>
      </w:tr>
      <w:tr w:rsidR="004D38C4">
        <w:trPr>
          <w:cantSplit/>
          <w:trHeight w:val="268"/>
        </w:trPr>
        <w:tc>
          <w:tcPr>
            <w:tcW w:w="5211" w:type="dxa"/>
            <w:tcBorders>
              <w:top w:val="single" w:sz="4" w:space="0" w:color="016794"/>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851" w:type="dxa"/>
            <w:tcBorders>
              <w:top w:val="single" w:sz="4" w:space="0" w:color="016794"/>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9pBoldRight025"/>
              <w:rPr>
                <w:rFonts w:cs="Verdana"/>
              </w:rPr>
            </w:pPr>
            <w:r>
              <w:rPr>
                <w:rFonts w:cs="Verdana"/>
              </w:rPr>
              <w:t>(110 148)</w:t>
            </w: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9pBoldRight025"/>
              <w:rPr>
                <w:rFonts w:cs="Verdana"/>
              </w:rPr>
            </w:pPr>
            <w:r>
              <w:rPr>
                <w:rFonts w:cs="Verdana"/>
              </w:rPr>
              <w:t>(110 059)</w:t>
            </w: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TOTAL LIABILITIES</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(234 674)</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(232 770)</w:t>
            </w:r>
          </w:p>
        </w:tc>
      </w:tr>
      <w:tr w:rsidR="004D38C4">
        <w:trPr>
          <w:cantSplit/>
          <w:trHeight w:val="124"/>
        </w:trPr>
        <w:tc>
          <w:tcPr>
            <w:tcW w:w="5211" w:type="dxa"/>
            <w:tcBorders>
              <w:top w:val="nil"/>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NET ASSETS</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(75 014)</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(76 515)</w:t>
            </w:r>
          </w:p>
        </w:tc>
      </w:tr>
      <w:tr w:rsidR="004D38C4">
        <w:trPr>
          <w:cantSplit/>
          <w:trHeight w:val="124"/>
        </w:trPr>
        <w:tc>
          <w:tcPr>
            <w:tcW w:w="5211" w:type="dxa"/>
            <w:tcBorders>
              <w:top w:val="nil"/>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Reserves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2.14</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3 062</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3 031</w:t>
            </w:r>
          </w:p>
        </w:tc>
      </w:tr>
      <w:tr w:rsidR="004D38C4">
        <w:trPr>
          <w:cantSplit/>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Amounts to be called from Member States*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2.15</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(78 077)</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(79 546)</w:t>
            </w: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NET ASSETS</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(75 014)</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(76 515)</w:t>
            </w:r>
          </w:p>
        </w:tc>
      </w:tr>
    </w:tbl>
    <w:p w:rsidR="004D38C4" w:rsidRDefault="00BC2113">
      <w:pPr>
        <w:pStyle w:val="Textstand-alone"/>
        <w:tabs>
          <w:tab w:val="left" w:pos="284"/>
        </w:tabs>
        <w:spacing w:before="60"/>
        <w:ind w:left="284" w:hanging="284"/>
        <w:rPr>
          <w:i/>
          <w:sz w:val="14"/>
        </w:rPr>
      </w:pPr>
      <w:r>
        <w:rPr>
          <w:i/>
          <w:sz w:val="14"/>
        </w:rPr>
        <w:t>*</w:t>
      </w:r>
      <w:r>
        <w:rPr>
          <w:i/>
          <w:sz w:val="14"/>
        </w:rPr>
        <w:tab/>
        <w:t xml:space="preserve">The European Parliament adopted a budget on 18 November 2017 which provides for the payment of the Commission's short-term liabilities from own resources to be collected by, or called up from, the Member </w:t>
      </w:r>
      <w:r>
        <w:rPr>
          <w:i/>
          <w:sz w:val="14"/>
        </w:rPr>
        <w:t>States in 2018. Additionally, under article 83 of the Staff Regulations (Council Regulation 259/68 of 29 February 1968 as amended), the Member States shall jointly guarantee the liability for pensions.</w:t>
      </w:r>
    </w:p>
    <w:p w:rsidR="004D38C4" w:rsidRDefault="00BC2113">
      <w:pPr>
        <w:pStyle w:val="Textstand-alone"/>
        <w:sectPr w:rsidR="004D38C4">
          <w:headerReference w:type="even" r:id="rId45"/>
          <w:headerReference w:type="default" r:id="rId46"/>
          <w:footerReference w:type="even" r:id="rId47"/>
          <w:footerReference w:type="default" r:id="rId48"/>
          <w:headerReference w:type="first" r:id="rId49"/>
          <w:footerReference w:type="first" r:id="rId50"/>
          <w:pgSz w:w="11906" w:h="16838"/>
          <w:pgMar w:top="1134" w:right="1134" w:bottom="1134" w:left="1134" w:header="709" w:footer="709" w:gutter="0"/>
          <w:cols w:space="708"/>
          <w:docGrid w:linePitch="360"/>
        </w:sectPr>
      </w:pPr>
      <w:r>
        <w:rPr>
          <w:i/>
        </w:rPr>
        <w:t xml:space="preserve"> </w:t>
      </w:r>
      <w:bookmarkEnd w:id="10"/>
    </w:p>
    <w:p w:rsidR="004D38C4" w:rsidRDefault="00BC2113">
      <w:pPr>
        <w:pStyle w:val="HEADERTITLE1"/>
      </w:pPr>
      <w:bookmarkStart w:id="12" w:name="_Toc517247529"/>
      <w:bookmarkStart w:id="13" w:name="_Toc517247536"/>
      <w:bookmarkStart w:id="14" w:name="_DMBM_11028"/>
      <w:r>
        <w:t>STATEMENT OF FINANCIAL PERFORMANCE</w:t>
      </w:r>
      <w:bookmarkEnd w:id="12"/>
      <w:bookmarkEnd w:id="13"/>
    </w:p>
    <w:p w:rsidR="004D38C4" w:rsidRDefault="00BC2113">
      <w:pPr>
        <w:pStyle w:val="DGTextstand-alone"/>
        <w:rPr>
          <w:lang w:val="fr-BE"/>
        </w:rPr>
      </w:pPr>
      <w:r>
        <w:rPr>
          <w:lang w:val="fr-B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15" w:name="DOC_TBL00002_1_1"/>
            <w:bookmarkEnd w:id="15"/>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843"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cs="Verdana"/>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cs="Verdana"/>
              </w:rPr>
            </w:pPr>
            <w:r>
              <w:rPr>
                <w:rFonts w:cs="Verdana"/>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2016</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REVENUE</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Revenue from non-exchange transactions</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GNI resources</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78 620</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95 578</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Traditional own resources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3.1</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20 520</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20 439</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VAT</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16 947</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15 859</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Fines</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4 664</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3 858</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Recovery of expenses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3.2</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1 879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1 946</w:t>
            </w:r>
          </w:p>
        </w:tc>
      </w:tr>
      <w:tr w:rsidR="004D38C4">
        <w:trPr>
          <w:trHeight w:val="268"/>
        </w:trPr>
        <w:tc>
          <w:tcPr>
            <w:tcW w:w="521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Left"/>
              <w:rPr>
                <w:rFonts w:cs="Verdana"/>
              </w:rPr>
            </w:pPr>
            <w:r>
              <w:rPr>
                <w:rFonts w:cs="Verdana"/>
              </w:rPr>
              <w:t>Other</w:t>
            </w:r>
          </w:p>
        </w:tc>
        <w:tc>
          <w:tcPr>
            <w:tcW w:w="85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Centered"/>
              <w:rPr>
                <w:rFonts w:cs="Verdana"/>
              </w:rPr>
            </w:pPr>
            <w:r>
              <w:rPr>
                <w:rFonts w:cs="Verdana"/>
              </w:rPr>
              <w:t>3.3</w:t>
            </w:r>
          </w:p>
        </w:tc>
        <w:tc>
          <w:tcPr>
            <w:tcW w:w="1842"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6 515</w:t>
            </w:r>
          </w:p>
        </w:tc>
        <w:tc>
          <w:tcPr>
            <w:tcW w:w="1843"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1 695</w:t>
            </w:r>
          </w:p>
        </w:tc>
      </w:tr>
      <w:tr w:rsidR="004D38C4">
        <w:trPr>
          <w:trHeight w:val="268"/>
        </w:trPr>
        <w:tc>
          <w:tcPr>
            <w:tcW w:w="521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Text9pItalicBoldLeft"/>
              <w:rPr>
                <w:rFonts w:cs="Verdana"/>
              </w:rPr>
            </w:pP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Figures9pBoldRight025"/>
              <w:rPr>
                <w:rFonts w:cs="Verdana"/>
              </w:rPr>
            </w:pPr>
          </w:p>
        </w:tc>
        <w:tc>
          <w:tcPr>
            <w:tcW w:w="1842"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129 145</w:t>
            </w:r>
          </w:p>
        </w:tc>
        <w:tc>
          <w:tcPr>
            <w:tcW w:w="1843"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139 376</w:t>
            </w:r>
          </w:p>
        </w:tc>
      </w:tr>
      <w:tr w:rsidR="004D38C4">
        <w:trPr>
          <w:trHeight w:val="268"/>
        </w:trPr>
        <w:tc>
          <w:tcPr>
            <w:tcW w:w="5211"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Revenue from exchange transactions</w:t>
            </w:r>
          </w:p>
        </w:tc>
        <w:tc>
          <w:tcPr>
            <w:tcW w:w="851"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Financial revenue</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3.4</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1 820</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1 746</w:t>
            </w:r>
          </w:p>
        </w:tc>
      </w:tr>
      <w:tr w:rsidR="004D38C4">
        <w:trPr>
          <w:trHeight w:val="268"/>
        </w:trPr>
        <w:tc>
          <w:tcPr>
            <w:tcW w:w="5211" w:type="dxa"/>
            <w:tcBorders>
              <w:top w:val="nil"/>
              <w:left w:val="nil"/>
              <w:bottom w:val="single" w:sz="4" w:space="0" w:color="FFFFFF"/>
              <w:right w:val="nil"/>
            </w:tcBorders>
            <w:tcMar>
              <w:top w:w="0" w:type="dxa"/>
              <w:left w:w="108" w:type="dxa"/>
              <w:bottom w:w="0" w:type="dxa"/>
              <w:right w:w="108" w:type="dxa"/>
            </w:tcMar>
          </w:tcPr>
          <w:p w:rsidR="004D38C4" w:rsidRDefault="00BC2113">
            <w:pPr>
              <w:pStyle w:val="Text9pItalicLeft"/>
              <w:rPr>
                <w:rFonts w:cs="Verdana"/>
              </w:rPr>
            </w:pPr>
            <w:r>
              <w:rPr>
                <w:rFonts w:cs="Verdana"/>
              </w:rPr>
              <w:t>Other</w:t>
            </w:r>
          </w:p>
        </w:tc>
        <w:tc>
          <w:tcPr>
            <w:tcW w:w="851" w:type="dxa"/>
            <w:tcBorders>
              <w:top w:val="nil"/>
              <w:left w:val="nil"/>
              <w:bottom w:val="single" w:sz="4" w:space="0" w:color="FFFFFF"/>
              <w:right w:val="nil"/>
            </w:tcBorders>
            <w:tcMar>
              <w:top w:w="0" w:type="dxa"/>
              <w:left w:w="108" w:type="dxa"/>
              <w:bottom w:w="0" w:type="dxa"/>
              <w:right w:w="108" w:type="dxa"/>
            </w:tcMar>
          </w:tcPr>
          <w:p w:rsidR="004D38C4" w:rsidRDefault="00BC2113">
            <w:pPr>
              <w:pStyle w:val="Text9pItalicCentered"/>
              <w:rPr>
                <w:rFonts w:cs="Verdana"/>
              </w:rPr>
            </w:pPr>
            <w:r>
              <w:rPr>
                <w:rFonts w:cs="Verdana"/>
              </w:rPr>
              <w:t>3.5</w:t>
            </w:r>
          </w:p>
        </w:tc>
        <w:tc>
          <w:tcPr>
            <w:tcW w:w="1842" w:type="dxa"/>
            <w:tcBorders>
              <w:top w:val="nil"/>
              <w:left w:val="nil"/>
              <w:bottom w:val="single" w:sz="4" w:space="0" w:color="FFFFFF"/>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692</w:t>
            </w:r>
          </w:p>
        </w:tc>
        <w:tc>
          <w:tcPr>
            <w:tcW w:w="1843" w:type="dxa"/>
            <w:tcBorders>
              <w:top w:val="nil"/>
              <w:left w:val="nil"/>
              <w:bottom w:val="single" w:sz="4" w:space="0" w:color="FFFFFF"/>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649</w:t>
            </w:r>
          </w:p>
        </w:tc>
      </w:tr>
      <w:tr w:rsidR="004D38C4">
        <w:trPr>
          <w:trHeight w:val="268"/>
        </w:trPr>
        <w:tc>
          <w:tcPr>
            <w:tcW w:w="521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Text9pBoldLeft"/>
              <w:rPr>
                <w:rFonts w:cs="Verdana"/>
              </w:rPr>
            </w:pP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Figures9pBoldRight025"/>
              <w:rPr>
                <w:rFonts w:cs="Verdana"/>
              </w:rPr>
            </w:pPr>
          </w:p>
        </w:tc>
        <w:tc>
          <w:tcPr>
            <w:tcW w:w="1842"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2 511</w:t>
            </w:r>
          </w:p>
        </w:tc>
        <w:tc>
          <w:tcPr>
            <w:tcW w:w="1843"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2 395</w:t>
            </w:r>
          </w:p>
        </w:tc>
      </w:tr>
      <w:tr w:rsidR="004D38C4">
        <w:trPr>
          <w:trHeight w:val="268"/>
        </w:trPr>
        <w:tc>
          <w:tcPr>
            <w:tcW w:w="521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Text9pBoldLeft"/>
              <w:rPr>
                <w:rFonts w:cs="Verdana"/>
              </w:rPr>
            </w:pPr>
            <w:r>
              <w:rPr>
                <w:rFonts w:cs="Verdana"/>
              </w:rPr>
              <w:t>Total Revenue</w:t>
            </w:r>
          </w:p>
        </w:tc>
        <w:tc>
          <w:tcPr>
            <w:tcW w:w="85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4D38C4">
            <w:pPr>
              <w:pStyle w:val="Figures9pBoldRight025"/>
              <w:rPr>
                <w:rFonts w:cs="Verdana"/>
              </w:rPr>
            </w:pPr>
          </w:p>
        </w:tc>
        <w:tc>
          <w:tcPr>
            <w:tcW w:w="1842"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131 657</w:t>
            </w:r>
          </w:p>
        </w:tc>
        <w:tc>
          <w:tcPr>
            <w:tcW w:w="1843"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141</w:t>
            </w:r>
            <w:r>
              <w:rPr>
                <w:rFonts w:cs="Verdana"/>
              </w:rPr>
              <w:t xml:space="preserve"> 771</w:t>
            </w:r>
          </w:p>
        </w:tc>
      </w:tr>
      <w:tr w:rsidR="004D38C4">
        <w:trPr>
          <w:trHeight w:val="268"/>
        </w:trPr>
        <w:tc>
          <w:tcPr>
            <w:tcW w:w="5211"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EXPENSES</w:t>
            </w:r>
          </w:p>
        </w:tc>
        <w:tc>
          <w:tcPr>
            <w:tcW w:w="851"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Implemented by Member States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3.6</w:t>
            </w: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ind w:left="200"/>
              <w:rPr>
                <w:rFonts w:cs="Verdana"/>
              </w:rPr>
            </w:pPr>
            <w:r>
              <w:rPr>
                <w:rFonts w:cs="Verdana"/>
              </w:rPr>
              <w:t>European Agricultural Guarantee Fund</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(44 289)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(44 152)</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ind w:left="200"/>
              <w:rPr>
                <w:rFonts w:cs="Verdana"/>
              </w:rPr>
            </w:pPr>
            <w:r>
              <w:rPr>
                <w:rFonts w:cs="Verdana"/>
              </w:rPr>
              <w:t>European Agricultural Fund for Rural Development and other rural development instruments</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(11 359)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(12 604)</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ind w:left="200"/>
              <w:rPr>
                <w:rFonts w:cs="Verdana"/>
              </w:rPr>
            </w:pPr>
            <w:r>
              <w:rPr>
                <w:rFonts w:cs="Verdana"/>
              </w:rPr>
              <w:t xml:space="preserve">European Regional Development Fund </w:t>
            </w:r>
            <w:r>
              <w:rPr>
                <w:rFonts w:cs="Verdana"/>
              </w:rPr>
              <w:t>&amp;         Cohesion Fund</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(17 650)</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(35 045)</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ind w:left="200"/>
              <w:rPr>
                <w:rFonts w:cs="Verdana"/>
              </w:rPr>
            </w:pPr>
            <w:r>
              <w:rPr>
                <w:rFonts w:cs="Verdana"/>
              </w:rPr>
              <w:t>European Social Fund</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(7 353)</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(9 366)</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ind w:left="200"/>
              <w:rPr>
                <w:rFonts w:cs="Verdana"/>
              </w:rPr>
            </w:pPr>
            <w:r>
              <w:rPr>
                <w:rFonts w:cs="Verdana"/>
              </w:rPr>
              <w:t>Other</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(1 253)</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(1 606)</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Implemented by the Commission, executive agencies and trust funds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3.7</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(15 763)</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(15 644)</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Implemented by other EU agencies and bodies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3.8</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(3 429)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(3 </w:t>
            </w:r>
            <w:r>
              <w:rPr>
                <w:rFonts w:cs="Verdana"/>
              </w:rPr>
              <w:t>064)</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Implemented by third countries and int. organisations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3.8</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(4 115)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(3 259)</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Implemented by other entities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3.8</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(1 478)</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(2 035)</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Staff and pension costs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3.9</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(6 995)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(6 911)</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Changes in employee benefits actuarial assumptions</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(3 581)</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(992)</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 xml:space="preserve">Finance </w:t>
            </w:r>
            <w:r>
              <w:rPr>
                <w:rFonts w:cs="Verdana"/>
              </w:rPr>
              <w:t>costs</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3.10</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(1 849)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(1 857)</w:t>
            </w:r>
          </w:p>
        </w:tc>
      </w:tr>
      <w:tr w:rsidR="004D38C4">
        <w:trPr>
          <w:trHeight w:val="268"/>
        </w:trPr>
        <w:tc>
          <w:tcPr>
            <w:tcW w:w="521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Left"/>
              <w:rPr>
                <w:rFonts w:cs="Verdana"/>
              </w:rPr>
            </w:pPr>
            <w:r>
              <w:rPr>
                <w:rFonts w:cs="Verdana"/>
              </w:rPr>
              <w:t>Other</w:t>
            </w:r>
          </w:p>
        </w:tc>
        <w:tc>
          <w:tcPr>
            <w:tcW w:w="85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Centered"/>
              <w:rPr>
                <w:rFonts w:cs="Verdana"/>
              </w:rPr>
            </w:pPr>
            <w:r>
              <w:rPr>
                <w:rFonts w:cs="Verdana"/>
              </w:rPr>
              <w:t>3.11</w:t>
            </w:r>
          </w:p>
        </w:tc>
        <w:tc>
          <w:tcPr>
            <w:tcW w:w="1842"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(4 642)</w:t>
            </w:r>
          </w:p>
        </w:tc>
        <w:tc>
          <w:tcPr>
            <w:tcW w:w="1843"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(3 462)</w:t>
            </w:r>
          </w:p>
        </w:tc>
      </w:tr>
      <w:tr w:rsidR="004D38C4">
        <w:trPr>
          <w:trHeight w:val="268"/>
        </w:trPr>
        <w:tc>
          <w:tcPr>
            <w:tcW w:w="5211"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Total Expenses</w:t>
            </w:r>
          </w:p>
        </w:tc>
        <w:tc>
          <w:tcPr>
            <w:tcW w:w="851"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b/>
                <w:i w:val="0"/>
              </w:rPr>
            </w:pPr>
          </w:p>
        </w:tc>
        <w:tc>
          <w:tcPr>
            <w:tcW w:w="1842"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9pItalicRight025"/>
              <w:rPr>
                <w:rFonts w:cs="Verdana"/>
                <w:b/>
                <w:i w:val="0"/>
              </w:rPr>
            </w:pPr>
            <w:r>
              <w:rPr>
                <w:rFonts w:cs="Verdana"/>
                <w:b/>
                <w:i w:val="0"/>
              </w:rPr>
              <w:t>(123 756)</w:t>
            </w: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9pItalicRight025"/>
              <w:rPr>
                <w:rFonts w:cs="Verdana"/>
                <w:b/>
                <w:i w:val="0"/>
              </w:rPr>
            </w:pPr>
            <w:r>
              <w:rPr>
                <w:rFonts w:cs="Verdana"/>
                <w:b/>
                <w:i w:val="0"/>
              </w:rPr>
              <w:t>(139 996)</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ECONOMIC RESULT OF THE YEAR</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7 901</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1 775</w:t>
            </w:r>
          </w:p>
        </w:tc>
      </w:tr>
    </w:tbl>
    <w:p w:rsidR="004D38C4" w:rsidRDefault="00BC2113">
      <w:pPr>
        <w:pStyle w:val="DGTextstand-alone"/>
        <w:rPr>
          <w:lang w:bidi="en-GB"/>
        </w:rPr>
        <w:sectPr w:rsidR="004D38C4">
          <w:headerReference w:type="even" r:id="rId51"/>
          <w:headerReference w:type="default" r:id="rId52"/>
          <w:footerReference w:type="even" r:id="rId53"/>
          <w:footerReference w:type="default" r:id="rId54"/>
          <w:headerReference w:type="first" r:id="rId55"/>
          <w:footerReference w:type="first" r:id="rId56"/>
          <w:pgSz w:w="11906" w:h="16838"/>
          <w:pgMar w:top="1134" w:right="1134" w:bottom="1134" w:left="1134" w:header="709" w:footer="709" w:gutter="0"/>
          <w:cols w:space="708"/>
          <w:docGrid w:linePitch="360"/>
        </w:sectPr>
      </w:pPr>
      <w:r>
        <w:rPr>
          <w:lang w:bidi="en-GB"/>
        </w:rPr>
        <w:t xml:space="preserve"> </w:t>
      </w:r>
      <w:bookmarkEnd w:id="14"/>
    </w:p>
    <w:p w:rsidR="004D38C4" w:rsidRDefault="00BC2113">
      <w:pPr>
        <w:pStyle w:val="HEADERTITLE1"/>
        <w:rPr>
          <w:lang w:val="fr-BE"/>
        </w:rPr>
      </w:pPr>
      <w:bookmarkStart w:id="16" w:name="_Toc517247530"/>
      <w:bookmarkStart w:id="17" w:name="_Toc517247537"/>
      <w:bookmarkStart w:id="18" w:name="_DMBM_11009"/>
      <w:r>
        <w:rPr>
          <w:lang w:val="fr-BE"/>
        </w:rPr>
        <w:t xml:space="preserve">CASHFLOW </w:t>
      </w:r>
      <w:r>
        <w:rPr>
          <w:lang w:val="fr-BE"/>
        </w:rPr>
        <w:t>STATEMENT</w:t>
      </w:r>
      <w:bookmarkEnd w:id="16"/>
      <w:bookmarkEnd w:id="17"/>
    </w:p>
    <w:p w:rsidR="004D38C4" w:rsidRDefault="00BC2113">
      <w:pPr>
        <w:pStyle w:val="HEADERTITLE1"/>
        <w:rPr>
          <w:lang w:val="fr-BE"/>
        </w:rPr>
      </w:pPr>
      <w:r>
        <w:rPr>
          <w:lang w:val="fr-B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19" w:name="DOC_TBL00003_1_1"/>
            <w:bookmarkEnd w:id="19"/>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 millions</w:t>
            </w:r>
          </w:p>
        </w:tc>
      </w:tr>
      <w:tr w:rsidR="004D38C4">
        <w:trPr>
          <w:cantSplit/>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val="fr-BE"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val="fr-BE" w:bidi="en-GB"/>
              </w:rPr>
            </w:pPr>
            <w:r>
              <w:rPr>
                <w:rFonts w:eastAsia="Verdana" w:cs="Verdana"/>
                <w:lang w:val="fr-BE"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2016</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Economic result of the year</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7 901</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1 775</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Operating activities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val="fr-BE" w:bidi="en-GB"/>
              </w:rPr>
            </w:pP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Amortisation</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27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26</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Depreciation</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630</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314</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(Increase)/decrease in loans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395</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1 726</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(Increase)/decrease in pre-financing</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(3 557)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(497)</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(Increase)/decrease in exchange receivables and           non-exchange recoverables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(705)</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(1 222)</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(Increase)/decrease in inventories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0</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Increase/(decrease) in pension and other </w:t>
            </w:r>
            <w:r>
              <w:rPr>
                <w:rFonts w:eastAsia="Verdana" w:cs="Verdana"/>
                <w:lang w:bidi="en-GB"/>
              </w:rPr>
              <w:br/>
              <w:t>employee benefits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5 945</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3 343</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Increase/(decrease) in provisions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850</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548</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Increase/(decrease) in financial liabilities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(313)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(2 254)</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Increase/(decrease) in payables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(864)</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7 874</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Increase/(decrease) in accrued charges and </w:t>
            </w:r>
            <w:r>
              <w:rPr>
                <w:rFonts w:eastAsia="Verdana" w:cs="Verdana"/>
                <w:lang w:bidi="en-GB"/>
              </w:rPr>
              <w:br/>
              <w:t>deferred income</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(3 713)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(935)</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Prior year budgetary surplus taken as </w:t>
            </w:r>
            <w:r>
              <w:rPr>
                <w:rFonts w:eastAsia="Verdana" w:cs="Verdana"/>
                <w:lang w:bidi="en-GB"/>
              </w:rPr>
              <w:br/>
              <w:t>non-cash revenue</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(6</w:t>
            </w:r>
            <w:r>
              <w:rPr>
                <w:rFonts w:eastAsia="Verdana" w:cs="Verdana"/>
                <w:lang w:val="fr-BE" w:bidi="en-GB"/>
              </w:rPr>
              <w:t xml:space="preserve"> 405)</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(1 349)</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Other non-cash movements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4</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23</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Investing activities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val="fr-BE" w:bidi="en-GB"/>
              </w:rPr>
            </w:pP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(Increase)/decrease in intangible assets and property, plant and equipment </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(1 382)</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(1 587)</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(Increase)/decrease in investments accounted for using the equity method</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(53)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(31)</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(Increase)/decrease in available for sale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(3 217)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(835)</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(Increase)/decrease in financial assets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(22)</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(0)</w:t>
            </w: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NET CASHFLOW</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val="fr-BE"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(4 467)</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6 920</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val="fr-BE"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val="fr-BE" w:bidi="en-GB"/>
              </w:rPr>
            </w:pP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Net increase/(decrease) in cash and cash equivalents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(4 467)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6 920</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Cash and cash equivalents at the beginning of the year</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val="fr-BE" w:bidi="en-GB"/>
              </w:rPr>
            </w:pPr>
            <w:r>
              <w:rPr>
                <w:rFonts w:eastAsia="Verdana" w:cs="Verdana"/>
                <w:lang w:val="fr-BE" w:bidi="en-GB"/>
              </w:rPr>
              <w:t>2.8</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27 579</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20 660</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Cash and cash equivalents at year-end</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val="fr-BE" w:bidi="en-GB"/>
              </w:rPr>
            </w:pPr>
            <w:r>
              <w:rPr>
                <w:rFonts w:eastAsia="Verdana" w:cs="Verdana"/>
                <w:lang w:val="fr-BE" w:bidi="en-GB"/>
              </w:rPr>
              <w:t>2.8</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23 113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27 579</w:t>
            </w:r>
          </w:p>
        </w:tc>
      </w:tr>
      <w:bookmarkEnd w:id="18"/>
    </w:tbl>
    <w:p w:rsidR="004D38C4" w:rsidRDefault="004D38C4">
      <w:pPr>
        <w:pStyle w:val="HEADERTITLE1"/>
        <w:rPr>
          <w:lang w:val="fr-BE" w:bidi="en-GB"/>
        </w:rPr>
        <w:sectPr w:rsidR="004D38C4">
          <w:headerReference w:type="even" r:id="rId57"/>
          <w:headerReference w:type="default" r:id="rId58"/>
          <w:footerReference w:type="even" r:id="rId59"/>
          <w:footerReference w:type="default" r:id="rId60"/>
          <w:headerReference w:type="first" r:id="rId61"/>
          <w:footerReference w:type="first" r:id="rId62"/>
          <w:pgSz w:w="11906" w:h="16838"/>
          <w:pgMar w:top="1134" w:right="1134" w:bottom="1134" w:left="1134" w:header="709" w:footer="709" w:gutter="0"/>
          <w:cols w:space="708"/>
          <w:docGrid w:linePitch="360"/>
        </w:sectPr>
      </w:pPr>
    </w:p>
    <w:p w:rsidR="004D38C4" w:rsidRDefault="00BC2113">
      <w:pPr>
        <w:pStyle w:val="HEADERTITLE1"/>
      </w:pPr>
      <w:bookmarkStart w:id="20" w:name="_Toc517247531"/>
      <w:bookmarkStart w:id="21" w:name="_Toc517247538"/>
      <w:bookmarkStart w:id="22" w:name="_DMBM_10949"/>
      <w:r>
        <w:t>STATEMENT OF CHANGES IN NET ASSETS</w:t>
      </w:r>
      <w:bookmarkEnd w:id="20"/>
      <w:bookmarkEnd w:id="21"/>
    </w:p>
    <w:tbl>
      <w:tblPr>
        <w:tblW w:w="14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110"/>
        <w:gridCol w:w="1843"/>
        <w:gridCol w:w="1825"/>
        <w:gridCol w:w="1771"/>
      </w:tblGrid>
      <w:tr w:rsidR="004D38C4">
        <w:trPr>
          <w:trHeight w:val="204"/>
        </w:trPr>
        <w:tc>
          <w:tcPr>
            <w:tcW w:w="5070"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23" w:name="DOC_TBL00004_1_1"/>
            <w:bookmarkEnd w:id="23"/>
          </w:p>
        </w:tc>
        <w:tc>
          <w:tcPr>
            <w:tcW w:w="4110"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i w:val="0"/>
              </w:rPr>
            </w:pPr>
          </w:p>
        </w:tc>
        <w:tc>
          <w:tcPr>
            <w:tcW w:w="1825"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i w:val="0"/>
              </w:rPr>
            </w:pPr>
          </w:p>
        </w:tc>
        <w:tc>
          <w:tcPr>
            <w:tcW w:w="1771" w:type="dxa"/>
            <w:tcBorders>
              <w:top w:val="nil"/>
              <w:left w:val="nil"/>
              <w:bottom w:val="nil"/>
              <w:right w:val="nil"/>
            </w:tcBorders>
            <w:tcMar>
              <w:top w:w="0" w:type="dxa"/>
              <w:left w:w="108" w:type="dxa"/>
              <w:bottom w:w="0" w:type="dxa"/>
              <w:right w:w="108" w:type="dxa"/>
            </w:tcMar>
            <w:vAlign w:val="center"/>
          </w:tcPr>
          <w:p w:rsidR="004D38C4" w:rsidRDefault="00BC2113">
            <w:pPr>
              <w:pStyle w:val="Text8pItalicRight025EUR"/>
              <w:rPr>
                <w:rFonts w:cs="Verdana"/>
              </w:rPr>
            </w:pPr>
            <w:r>
              <w:rPr>
                <w:rFonts w:cs="Verdana"/>
              </w:rPr>
              <w:t>EUR millions</w:t>
            </w:r>
          </w:p>
        </w:tc>
      </w:tr>
      <w:tr w:rsidR="004D38C4">
        <w:trPr>
          <w:trHeight w:val="665"/>
        </w:trPr>
        <w:tc>
          <w:tcPr>
            <w:tcW w:w="507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Centered"/>
              <w:rPr>
                <w:rFonts w:cs="Verdana"/>
                <w:noProof/>
              </w:rPr>
            </w:pPr>
          </w:p>
        </w:tc>
        <w:tc>
          <w:tcPr>
            <w:tcW w:w="411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rPr>
                <w:rFonts w:cs="Verdana"/>
                <w:noProof/>
              </w:rPr>
            </w:pPr>
            <w:r>
              <w:rPr>
                <w:rFonts w:cs="Verdana"/>
                <w:noProof/>
              </w:rPr>
              <w:t>Amounts to be called from Member States</w:t>
            </w:r>
          </w:p>
          <w:p w:rsidR="004D38C4" w:rsidRDefault="00BC2113">
            <w:pPr>
              <w:pStyle w:val="Heading9pNormalCentered"/>
              <w:rPr>
                <w:rFonts w:cs="Verdana"/>
                <w:noProof/>
              </w:rPr>
            </w:pPr>
            <w:r>
              <w:rPr>
                <w:rFonts w:cs="Verdana"/>
                <w:noProof/>
              </w:rPr>
              <w:t>Accumulated Surplus/(Deficit)</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rPr>
                <w:rFonts w:cs="Verdana"/>
                <w:noProof/>
              </w:rPr>
            </w:pPr>
            <w:r>
              <w:rPr>
                <w:rFonts w:cs="Verdana"/>
                <w:noProof/>
              </w:rPr>
              <w:t>Other reserves</w:t>
            </w:r>
          </w:p>
        </w:tc>
        <w:tc>
          <w:tcPr>
            <w:tcW w:w="182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rPr>
                <w:rFonts w:cs="Verdana"/>
                <w:noProof/>
              </w:rPr>
            </w:pPr>
            <w:r>
              <w:rPr>
                <w:rFonts w:cs="Verdana"/>
                <w:noProof/>
              </w:rPr>
              <w:t>Fair value reserve</w:t>
            </w:r>
          </w:p>
        </w:tc>
        <w:tc>
          <w:tcPr>
            <w:tcW w:w="177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rPr>
                <w:rFonts w:cs="Verdana"/>
                <w:noProof/>
              </w:rPr>
            </w:pPr>
            <w:r>
              <w:rPr>
                <w:rFonts w:cs="Verdana"/>
                <w:noProof/>
              </w:rPr>
              <w:t>Net Assets</w:t>
            </w:r>
          </w:p>
        </w:tc>
      </w:tr>
      <w:tr w:rsidR="004D38C4">
        <w:trPr>
          <w:trHeight w:val="218"/>
        </w:trPr>
        <w:tc>
          <w:tcPr>
            <w:tcW w:w="507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BALANCE AS AT 31.12.2015</w:t>
            </w:r>
          </w:p>
        </w:tc>
        <w:tc>
          <w:tcPr>
            <w:tcW w:w="411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(79 878)</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2 629</w:t>
            </w:r>
          </w:p>
        </w:tc>
        <w:tc>
          <w:tcPr>
            <w:tcW w:w="182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 xml:space="preserve"> 286</w:t>
            </w:r>
          </w:p>
        </w:tc>
        <w:tc>
          <w:tcPr>
            <w:tcW w:w="177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(76 964)</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 xml:space="preserve">Movement in Guarantee Fund </w:t>
            </w:r>
            <w:r>
              <w:rPr>
                <w:rFonts w:cs="Verdana"/>
              </w:rPr>
              <w:t>reserve</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(82)</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82</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Fair value movements</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24</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24</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Other</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(11)</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9</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2016 budget result credited to Member States</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(1 349)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(1 349)</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Economic result of the year</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1 775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1 775</w:t>
            </w:r>
          </w:p>
        </w:tc>
      </w:tr>
      <w:tr w:rsidR="004D38C4">
        <w:trPr>
          <w:trHeight w:val="218"/>
        </w:trPr>
        <w:tc>
          <w:tcPr>
            <w:tcW w:w="507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BALANCE AS AT 31.12.2016</w:t>
            </w:r>
          </w:p>
        </w:tc>
        <w:tc>
          <w:tcPr>
            <w:tcW w:w="411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(79 546)</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2 720</w:t>
            </w:r>
          </w:p>
        </w:tc>
        <w:tc>
          <w:tcPr>
            <w:tcW w:w="182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 xml:space="preserve"> 311</w:t>
            </w:r>
          </w:p>
        </w:tc>
        <w:tc>
          <w:tcPr>
            <w:tcW w:w="177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(76 515)</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 xml:space="preserve">Movement </w:t>
            </w:r>
            <w:r>
              <w:rPr>
                <w:rFonts w:cs="Verdana"/>
              </w:rPr>
              <w:t>in Guarantee Fund reserve</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(20)</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20</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Fair value movements</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10</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10</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Other</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(7)</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47</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(46)</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2017 budget result credited to Member States</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(6 405)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(6 405)</w:t>
            </w:r>
          </w:p>
        </w:tc>
      </w:tr>
      <w:tr w:rsidR="004D38C4">
        <w:trPr>
          <w:trHeight w:val="230"/>
        </w:trPr>
        <w:tc>
          <w:tcPr>
            <w:tcW w:w="5070"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Economic result of the year</w:t>
            </w:r>
          </w:p>
        </w:tc>
        <w:tc>
          <w:tcPr>
            <w:tcW w:w="41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7 901</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82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c>
          <w:tcPr>
            <w:tcW w:w="1771"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7 901</w:t>
            </w:r>
          </w:p>
        </w:tc>
      </w:tr>
      <w:tr w:rsidR="004D38C4">
        <w:trPr>
          <w:trHeight w:val="218"/>
        </w:trPr>
        <w:tc>
          <w:tcPr>
            <w:tcW w:w="507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BALANCE AS AT 31.12.2017</w:t>
            </w:r>
          </w:p>
        </w:tc>
        <w:tc>
          <w:tcPr>
            <w:tcW w:w="411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(78 077)</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2 788</w:t>
            </w:r>
          </w:p>
        </w:tc>
        <w:tc>
          <w:tcPr>
            <w:tcW w:w="182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 xml:space="preserve"> 275</w:t>
            </w:r>
          </w:p>
        </w:tc>
        <w:tc>
          <w:tcPr>
            <w:tcW w:w="177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(75 014)</w:t>
            </w:r>
          </w:p>
        </w:tc>
      </w:tr>
    </w:tbl>
    <w:p w:rsidR="004D38C4" w:rsidRDefault="004D38C4">
      <w:pPr>
        <w:pStyle w:val="HEADERTITLE1"/>
        <w:rPr>
          <w:lang w:bidi="en-GB"/>
        </w:rPr>
      </w:pPr>
    </w:p>
    <w:p w:rsidR="004D38C4" w:rsidRDefault="00BC2113">
      <w:pPr>
        <w:pStyle w:val="HEADERTITLE1"/>
      </w:pPr>
      <w:r>
        <w:t xml:space="preserve"> </w:t>
      </w:r>
    </w:p>
    <w:p w:rsidR="004D38C4" w:rsidRDefault="00BC2113">
      <w:pPr>
        <w:pStyle w:val="Textstand-alone"/>
        <w:rPr>
          <w:lang w:bidi="en-GB"/>
        </w:rPr>
        <w:sectPr w:rsidR="004D38C4">
          <w:headerReference w:type="even" r:id="rId63"/>
          <w:headerReference w:type="default" r:id="rId64"/>
          <w:footerReference w:type="even" r:id="rId65"/>
          <w:footerReference w:type="default" r:id="rId66"/>
          <w:headerReference w:type="first" r:id="rId67"/>
          <w:footerReference w:type="first" r:id="rId68"/>
          <w:pgSz w:w="16838" w:h="11906" w:orient="landscape"/>
          <w:pgMar w:top="1134" w:right="1134" w:bottom="1134" w:left="1134" w:header="708" w:footer="708" w:gutter="0"/>
          <w:cols w:space="708"/>
          <w:docGrid w:linePitch="360"/>
        </w:sectPr>
      </w:pPr>
      <w:r>
        <w:rPr>
          <w:lang w:bidi="en-GB"/>
        </w:rPr>
        <w:t xml:space="preserve"> </w:t>
      </w:r>
      <w:bookmarkEnd w:id="22"/>
    </w:p>
    <w:p w:rsidR="004D38C4" w:rsidRDefault="004D38C4">
      <w:pPr>
        <w:pStyle w:val="FIRSTCHAPTERPAGE1"/>
      </w:pPr>
      <w:bookmarkStart w:id="24" w:name="_DMBM_10950"/>
    </w:p>
    <w:p w:rsidR="004D38C4" w:rsidRDefault="004D38C4">
      <w:pPr>
        <w:pStyle w:val="FIRSTCHAPTERPAGE1"/>
      </w:pPr>
    </w:p>
    <w:p w:rsidR="004D38C4" w:rsidRDefault="004D38C4">
      <w:pPr>
        <w:pStyle w:val="FIRSTCHAPTERPAGE1"/>
      </w:pPr>
    </w:p>
    <w:p w:rsidR="004D38C4" w:rsidRDefault="004D38C4">
      <w:pPr>
        <w:pStyle w:val="FIRSTCHAPTERPAGE1"/>
      </w:pPr>
    </w:p>
    <w:p w:rsidR="004D38C4" w:rsidRDefault="004D38C4">
      <w:pPr>
        <w:pStyle w:val="FIRSTCHAPTERPAGE1"/>
      </w:pPr>
    </w:p>
    <w:p w:rsidR="004D38C4" w:rsidRDefault="00BC2113">
      <w:pPr>
        <w:pStyle w:val="FIRSTCHAPTERPAGE1"/>
      </w:pPr>
      <w:bookmarkStart w:id="25" w:name="_Toc517247532"/>
      <w:bookmarkStart w:id="26" w:name="_Toc517247539"/>
      <w:r>
        <w:t>NOTES TO THE FINANCIAL STATEMENTS</w:t>
      </w:r>
      <w:bookmarkEnd w:id="25"/>
      <w:bookmarkEnd w:id="26"/>
    </w:p>
    <w:p w:rsidR="004D38C4" w:rsidRDefault="00BC2113">
      <w:pPr>
        <w:pStyle w:val="FIRSTCHAPTERPAGE1"/>
      </w:pPr>
      <w:r>
        <w:t xml:space="preserve"> </w:t>
      </w:r>
    </w:p>
    <w:p w:rsidR="004D38C4" w:rsidRDefault="004D38C4">
      <w:pPr>
        <w:pStyle w:val="FIRSTCHAPTERPAGE1"/>
      </w:pPr>
    </w:p>
    <w:p w:rsidR="004D38C4" w:rsidRDefault="004D38C4">
      <w:pPr>
        <w:pStyle w:val="FIRSTCHAPTERPAGE1"/>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BC2113">
      <w:pPr>
        <w:pStyle w:val="TOPHEADERNOTE"/>
        <w:rPr>
          <w:noProof/>
        </w:rPr>
      </w:pPr>
      <w:r>
        <w:rPr>
          <w:noProof/>
        </w:rPr>
        <w:t xml:space="preserve">For further information in addition to the notes below, please also see the </w:t>
      </w:r>
      <w:r>
        <w:rPr>
          <w:noProof/>
        </w:rPr>
        <w:t>2017 EU consolidated annual accounts.</w:t>
      </w:r>
    </w:p>
    <w:bookmarkEnd w:id="24"/>
    <w:p w:rsidR="004D38C4" w:rsidRDefault="004D38C4">
      <w:pPr>
        <w:pStyle w:val="FIRSTCHAPTERPAGE1"/>
        <w:sectPr w:rsidR="004D38C4">
          <w:headerReference w:type="even" r:id="rId69"/>
          <w:headerReference w:type="default" r:id="rId70"/>
          <w:footerReference w:type="even" r:id="rId71"/>
          <w:footerReference w:type="default" r:id="rId72"/>
          <w:headerReference w:type="first" r:id="rId73"/>
          <w:footerReference w:type="first" r:id="rId74"/>
          <w:pgSz w:w="11906" w:h="16838"/>
          <w:pgMar w:top="1134" w:right="1134" w:bottom="1134" w:left="1134" w:header="709" w:footer="709" w:gutter="0"/>
          <w:cols w:space="708"/>
          <w:docGrid w:linePitch="360"/>
        </w:sectPr>
      </w:pPr>
    </w:p>
    <w:p w:rsidR="004D38C4" w:rsidRDefault="00BC2113">
      <w:pPr>
        <w:pStyle w:val="HEADER1NOTES"/>
        <w:rPr>
          <w:noProof/>
          <w:lang w:val="fr-BE"/>
        </w:rPr>
      </w:pPr>
      <w:bookmarkStart w:id="27" w:name="_Toc517247540"/>
      <w:bookmarkStart w:id="28" w:name="_DMBM_11094"/>
      <w:r>
        <w:rPr>
          <w:noProof/>
          <w:lang w:val="fr-BE"/>
        </w:rPr>
        <w:t>SIGNIFICANT ACCOUNTING POLICIES</w:t>
      </w:r>
      <w:bookmarkEnd w:id="27"/>
    </w:p>
    <w:p w:rsidR="004D38C4" w:rsidRDefault="00BC2113">
      <w:pPr>
        <w:pStyle w:val="Textstand-alone"/>
        <w:spacing w:before="0" w:after="0"/>
      </w:pPr>
      <w:bookmarkStart w:id="29" w:name="DOC_TBL00002_1_1_0"/>
      <w:bookmarkStart w:id="30" w:name="DOC_TBL00001_1_1_0"/>
      <w:bookmarkEnd w:id="29"/>
      <w:bookmarkEnd w:id="30"/>
      <w:r>
        <w:t xml:space="preserve">The European Commission (hereinafter referred to as the Commission) applies the </w:t>
      </w:r>
      <w:r>
        <w:t>accounting policies of the European Union (hereinafter referred to as the EU). A summary of the significant EU accounting policies is given below.</w:t>
      </w:r>
    </w:p>
    <w:p w:rsidR="004D38C4" w:rsidRDefault="00BC2113">
      <w:pPr>
        <w:pStyle w:val="DGTextstand-alone"/>
        <w:spacing w:before="0" w:after="0"/>
        <w:sectPr w:rsidR="004D38C4">
          <w:headerReference w:type="even" r:id="rId75"/>
          <w:headerReference w:type="default" r:id="rId76"/>
          <w:footerReference w:type="even" r:id="rId77"/>
          <w:footerReference w:type="default" r:id="rId78"/>
          <w:headerReference w:type="first" r:id="rId79"/>
          <w:footerReference w:type="first" r:id="rId80"/>
          <w:pgSz w:w="11906" w:h="16838"/>
          <w:pgMar w:top="1134" w:right="1134" w:bottom="1134" w:left="1134" w:header="709" w:footer="709" w:gutter="0"/>
          <w:cols w:space="708"/>
          <w:docGrid w:linePitch="360"/>
        </w:sectPr>
      </w:pPr>
      <w:r>
        <w:t xml:space="preserve"> </w:t>
      </w:r>
      <w:bookmarkEnd w:id="28"/>
    </w:p>
    <w:p w:rsidR="004D38C4" w:rsidRDefault="00BC2113">
      <w:pPr>
        <w:pStyle w:val="HEADER2NOTES"/>
        <w:rPr>
          <w:noProof/>
          <w:lang w:val="fr-BE"/>
        </w:rPr>
      </w:pPr>
      <w:bookmarkStart w:id="31" w:name="_DMBM_11297"/>
      <w:r>
        <w:rPr>
          <w:noProof/>
          <w:lang w:val="fr-BE"/>
        </w:rPr>
        <w:t xml:space="preserve">LEGAL </w:t>
      </w:r>
      <w:r>
        <w:rPr>
          <w:noProof/>
        </w:rPr>
        <w:t>BASIS</w:t>
      </w:r>
      <w:r>
        <w:rPr>
          <w:noProof/>
          <w:lang w:val="fr-BE"/>
        </w:rPr>
        <w:t xml:space="preserve"> AND ACCOUNTING RULES</w:t>
      </w:r>
    </w:p>
    <w:p w:rsidR="004D38C4" w:rsidRDefault="00BC2113">
      <w:pPr>
        <w:pStyle w:val="DGTextstand-alone"/>
      </w:pPr>
      <w:r>
        <w:t>The accounts of the EU are kept in accordance with Regulation (EU, Euratom) No 966/2012 of the European Parliament and of the Council of 25 October 2012 on the financial rules applicable to the general budget of the Union a</w:t>
      </w:r>
      <w:r>
        <w:t>nd repealing Council Regulation (EC, Euratom) No 1605/2002 (OJ L 298, 26 October 2012, p. 1) hereinafter referred to as the 'Financial Regulation' and Commission Delegated Regulation (EU) No 1268/2012 of 29 October 2012 (OJ L 362, 31 December 2012, p. 1) l</w:t>
      </w:r>
      <w:r>
        <w:t>aying down detailed rules of application of this Financial Regulation.</w:t>
      </w:r>
    </w:p>
    <w:p w:rsidR="004D38C4" w:rsidRDefault="00BC2113">
      <w:pPr>
        <w:pStyle w:val="DGTextstand-alone"/>
      </w:pPr>
      <w:r>
        <w:t>In accordance with article 143 of the Financial Regulation, the EU prepares its financial statements on the basis of accrual-based accounting rules that are based on International Publi</w:t>
      </w:r>
      <w:r>
        <w:t>c Sector Accounting Standards (IPSAS). These accounting rules, adopted by the Accounting Officer of the Commission, have to be applied by all the institutions and EU bodies falling within the scope of consolidation in order to establish a uniform set of ru</w:t>
      </w:r>
      <w:r>
        <w:t>les for accounting, valuation and presentation of the accounts with a view to harmonising the process for drawing up the financial statements and consolidation.</w:t>
      </w:r>
    </w:p>
    <w:p w:rsidR="004D38C4" w:rsidRDefault="00BC2113">
      <w:pPr>
        <w:pStyle w:val="HEADER5"/>
        <w:rPr>
          <w:noProof/>
        </w:rPr>
      </w:pPr>
      <w:r>
        <w:rPr>
          <w:noProof/>
        </w:rPr>
        <w:t>Application of new and amended European Union accounting rules (EAR)</w:t>
      </w:r>
    </w:p>
    <w:p w:rsidR="004D38C4" w:rsidRDefault="00BC2113">
      <w:pPr>
        <w:pStyle w:val="DGTextstand-alone"/>
        <w:rPr>
          <w:u w:val="single"/>
        </w:rPr>
      </w:pPr>
      <w:r>
        <w:rPr>
          <w:u w:val="single"/>
        </w:rPr>
        <w:t>Amendments to EAR which ar</w:t>
      </w:r>
      <w:r>
        <w:rPr>
          <w:u w:val="single"/>
        </w:rPr>
        <w:t>e effective for annual periods beginning on or after 1 January 2017</w:t>
      </w:r>
    </w:p>
    <w:p w:rsidR="004D38C4" w:rsidRDefault="00BC2113">
      <w:pPr>
        <w:pStyle w:val="DGTextstand-alone"/>
      </w:pPr>
      <w:r>
        <w:t>The following amendments have been adopted by the Accounting Officer of the Commission:</w:t>
      </w:r>
    </w:p>
    <w:p w:rsidR="004D38C4" w:rsidRDefault="00BC2113">
      <w:pPr>
        <w:pStyle w:val="DGTextstand-alone"/>
        <w:numPr>
          <w:ilvl w:val="0"/>
          <w:numId w:val="22"/>
        </w:numPr>
      </w:pPr>
      <w:r>
        <w:t xml:space="preserve">Amendments to EAR 1 "Financial Statements"; and </w:t>
      </w:r>
    </w:p>
    <w:p w:rsidR="004D38C4" w:rsidRDefault="00BC2113">
      <w:pPr>
        <w:pStyle w:val="DGTextstand-alone"/>
        <w:numPr>
          <w:ilvl w:val="0"/>
          <w:numId w:val="22"/>
        </w:numPr>
      </w:pPr>
      <w:r>
        <w:t xml:space="preserve">Amendments to EAR 14 "Accounting Policies, Changes </w:t>
      </w:r>
      <w:r>
        <w:t>in Accounting Estimates and Errors".</w:t>
      </w:r>
    </w:p>
    <w:p w:rsidR="004D38C4" w:rsidRDefault="00BC2113">
      <w:pPr>
        <w:pStyle w:val="DGTextstand-alone"/>
        <w:ind w:left="340"/>
      </w:pPr>
      <w:r>
        <w:t>These amendments stem from the recent changes to IPSAS 1 "Presentation of Financial Statements" and IPSAS 3 "Accounting Policies, Changes in Accounting Estimates and Errors", proposing improvements to ensure consistency among IPSAS standards. Consequently,</w:t>
      </w:r>
      <w:r>
        <w:t xml:space="preserve"> the related EARs have been updated and the main changes relate to the description of qualitative characteristics of financial reporting and updates to the hierarchy of sources to be used in the selection and application of accounting policies. </w:t>
      </w:r>
    </w:p>
    <w:p w:rsidR="004D38C4" w:rsidRDefault="00BC2113">
      <w:pPr>
        <w:pStyle w:val="DGTextstand-alone"/>
      </w:pPr>
      <w:r>
        <w:t xml:space="preserve">The </w:t>
      </w:r>
      <w:r>
        <w:t>adoption of these amendments has had no impact on the EU annual accounts 2017.</w:t>
      </w:r>
    </w:p>
    <w:p w:rsidR="004D38C4" w:rsidRDefault="00BC2113">
      <w:pPr>
        <w:pStyle w:val="DGTextstand-alone"/>
        <w:rPr>
          <w:u w:val="single"/>
        </w:rPr>
      </w:pPr>
      <w:r>
        <w:rPr>
          <w:u w:val="single"/>
        </w:rPr>
        <w:t>New and revised EARs adopted but not yet effective at 31 December 2017</w:t>
      </w:r>
    </w:p>
    <w:p w:rsidR="004D38C4" w:rsidRDefault="00BC2113">
      <w:pPr>
        <w:pStyle w:val="DGTextstand-alone"/>
      </w:pPr>
      <w:r>
        <w:t>The EU has not applied the following new and revised EARs, which have been adopted by the Accounting Offic</w:t>
      </w:r>
      <w:r>
        <w:t>er of the Commission, but which are not yet effective:</w:t>
      </w:r>
    </w:p>
    <w:p w:rsidR="004D38C4" w:rsidRDefault="00BC2113">
      <w:pPr>
        <w:pStyle w:val="DGTextstand-alone"/>
        <w:numPr>
          <w:ilvl w:val="0"/>
          <w:numId w:val="23"/>
        </w:numPr>
      </w:pPr>
      <w:r>
        <w:t>Revision to EAR 12 "Employee Benefits" (effective for annual periods beginning on or after 1 January 2018): The EAR 12 has been revised in line with the new IPSAS 39 "Employee Benefits". The main chang</w:t>
      </w:r>
      <w:r>
        <w:t>e is that any gain or loss resulting from changes in the actuarial assumptions is to be recognised directly in net assets, in contrast with the current requirement to recognise them in surplus or deficit.</w:t>
      </w:r>
    </w:p>
    <w:p w:rsidR="004D38C4" w:rsidRDefault="00BC2113">
      <w:pPr>
        <w:pStyle w:val="DGTextstand-alone"/>
        <w:ind w:left="340"/>
      </w:pPr>
      <w:r>
        <w:t>The EU is currently analysing the impact and practi</w:t>
      </w:r>
      <w:r>
        <w:t>cal consequences of applying this revised EAR. However, no significant impact is expected on the consolidated financial statements, except for the recognition of the actuarial assumptions in the net assets instead of the statement of financial performance.</w:t>
      </w:r>
    </w:p>
    <w:p w:rsidR="004D38C4" w:rsidRDefault="00BC2113">
      <w:pPr>
        <w:pStyle w:val="DGTextstand-alone"/>
        <w:numPr>
          <w:ilvl w:val="0"/>
          <w:numId w:val="23"/>
        </w:numPr>
      </w:pPr>
      <w:r>
        <w:t>New EAR 20 "Public Sector Combinations" (effective for annual periods beginning on or after 1 January 2019): The EAR 20, which is based on the IPSAS 40 "Public Sector Combinations", establishes the classification of a public sector combination into two di</w:t>
      </w:r>
      <w:r>
        <w:t>fferent types depending on whether the transaction takes place under common control or not: (i) amalgamation, in which the transaction is based on the carrying amounts of the entity combined with the EU; and (ii) acquisition, in which the transaction is ba</w:t>
      </w:r>
      <w:r>
        <w:t xml:space="preserve">sed on the acquisition date fair values of the entity acquired by the EU. Both have distinct requirements and levels of disclosure, in order to provide a better understanding of its effects to users of the financial statements of the EU. </w:t>
      </w:r>
    </w:p>
    <w:p w:rsidR="004D38C4" w:rsidRDefault="00BC2113">
      <w:pPr>
        <w:pStyle w:val="DGTextstand-alone"/>
        <w:ind w:left="340"/>
      </w:pPr>
      <w:r>
        <w:t>The impact on the</w:t>
      </w:r>
      <w:r>
        <w:t xml:space="preserve"> EU financial statements in the year of initial application will depend on whether in that period the EU would enter into a public sector combination transaction.</w:t>
      </w:r>
    </w:p>
    <w:p w:rsidR="004D38C4" w:rsidRDefault="00BC2113">
      <w:pPr>
        <w:pStyle w:val="HEADER2NOTES"/>
        <w:keepNext/>
        <w:rPr>
          <w:noProof/>
        </w:rPr>
      </w:pPr>
      <w:r>
        <w:rPr>
          <w:noProof/>
        </w:rPr>
        <w:t>ACCOUNTING PRINCIPLES</w:t>
      </w:r>
    </w:p>
    <w:p w:rsidR="004D38C4" w:rsidRDefault="00BC2113">
      <w:pPr>
        <w:pStyle w:val="DGTextstand-alone"/>
      </w:pPr>
      <w:r>
        <w:t>The objective of financial statements is to provide information about t</w:t>
      </w:r>
      <w:r>
        <w:t>he financial position, performance and cashflows of an entity that is useful to a wide range of users. For the EU as a public sector entity, the objectives are more specifically to provide information useful for decision making, and to demonstrate the acco</w:t>
      </w:r>
      <w:r>
        <w:t xml:space="preserve">untability of the entity for the resources entrusted to it. It is with these goals in mind that the present document has been drawn up. </w:t>
      </w:r>
    </w:p>
    <w:p w:rsidR="004D38C4" w:rsidRDefault="00BC2113">
      <w:pPr>
        <w:pStyle w:val="DGTextstand-alone"/>
      </w:pPr>
      <w:r>
        <w:t>The overall considerations (or accounting principles) to be followed when preparing the financial statements are laid d</w:t>
      </w:r>
      <w:r>
        <w:t>own in EU accounting rule 1 "Financial Statements" and are the same as those described in IPSAS 1: fair presentation, accrual basis, going concern, consistency of presentation, materiality, aggregation, offsetting and comparative information. The qualitati</w:t>
      </w:r>
      <w:r>
        <w:t>ve characteristics of financial reporting are relevance, faithful representation (reliability), understandability, timeliness, comparability and verifiability.</w:t>
      </w:r>
    </w:p>
    <w:p w:rsidR="004D38C4" w:rsidRDefault="00BC2113">
      <w:pPr>
        <w:pStyle w:val="HEADER2NOTES"/>
        <w:rPr>
          <w:noProof/>
        </w:rPr>
      </w:pPr>
      <w:r>
        <w:rPr>
          <w:noProof/>
        </w:rPr>
        <w:t>CONSOLIDATION</w:t>
      </w:r>
    </w:p>
    <w:p w:rsidR="004D38C4" w:rsidRDefault="00BC2113">
      <w:pPr>
        <w:pStyle w:val="HEADER5"/>
        <w:rPr>
          <w:b/>
          <w:noProof/>
        </w:rPr>
      </w:pPr>
      <w:r>
        <w:rPr>
          <w:noProof/>
        </w:rPr>
        <w:t>Scope of consolidation</w:t>
      </w:r>
    </w:p>
    <w:p w:rsidR="004D38C4" w:rsidRDefault="00BC2113">
      <w:pPr>
        <w:pStyle w:val="DGTextstand-alone"/>
      </w:pPr>
      <w:r>
        <w:t>The consolidated financial statements of the EU comprise al</w:t>
      </w:r>
      <w:r>
        <w:t xml:space="preserve">l significant controlled entities (i.e. the EU institutions (including the Commission) and the EU agencies), associates and joint ventures. The complete list of consolidated entities can be found in note </w:t>
      </w:r>
      <w:r>
        <w:rPr>
          <w:b/>
        </w:rPr>
        <w:t>9</w:t>
      </w:r>
      <w:r>
        <w:t xml:space="preserve"> of the EU financial statements. It now comprises 5</w:t>
      </w:r>
      <w:r>
        <w:t>2 controlled entities and 1 associate. Entities that fall under the consolidation scope, but which are immaterial to the EU consolidated financial statements as a whole, need not be consolidated or accounted for using equity method where to do so would res</w:t>
      </w:r>
      <w:r>
        <w:t xml:space="preserve">ult in excessive time or cost to the EU. Those entities are referred to as 'Minor entities' and are separately listed in note </w:t>
      </w:r>
      <w:r>
        <w:rPr>
          <w:b/>
        </w:rPr>
        <w:t>9</w:t>
      </w:r>
      <w:r>
        <w:t>. In 2017, 7 entities have been classified as minor entities.</w:t>
      </w:r>
    </w:p>
    <w:p w:rsidR="004D38C4" w:rsidRDefault="00BC2113">
      <w:pPr>
        <w:pStyle w:val="HEADER5"/>
        <w:rPr>
          <w:b/>
          <w:noProof/>
        </w:rPr>
      </w:pPr>
      <w:r>
        <w:rPr>
          <w:noProof/>
        </w:rPr>
        <w:t>Controlled entities</w:t>
      </w:r>
    </w:p>
    <w:p w:rsidR="004D38C4" w:rsidRDefault="00BC2113">
      <w:pPr>
        <w:pStyle w:val="DGTextstand-alone"/>
        <w:spacing w:after="0"/>
      </w:pPr>
      <w:r>
        <w:t xml:space="preserve">The decision to include an entity in the scope </w:t>
      </w:r>
      <w:r>
        <w:t>of consolidation is based on the control concept. Controlled entities are all entities for which the EU is exposed, or has right, to variable benefits from its involvement and has the ability to affect the nature and amount of those benefits through its po</w:t>
      </w:r>
      <w:r>
        <w:t>wer over the other entity. This power must be presently exercisable and must relate to the relevant activities of the entity. Controlled entities are fully consolidated. The consolidation begins at the first date on which control exists, and ends when such</w:t>
      </w:r>
      <w:r>
        <w:t xml:space="preserve"> control no longer exists.</w:t>
      </w:r>
    </w:p>
    <w:p w:rsidR="004D38C4" w:rsidRDefault="00BC2113">
      <w:pPr>
        <w:pStyle w:val="DGTextstand-alone"/>
      </w:pPr>
      <w:r>
        <w:t>The most common indicators of control within the EU are: creation of the entity through founding treaties or secondary legislation, financing of the entity from the EU budget, the existence of voting rights in the governing bodie</w:t>
      </w:r>
      <w:r>
        <w:t>s, audit by the European Court of Auditors and discharge by the European Parliament. An individual assessment for each entity is made in order to decide whether one or all of the criteria listed above are sufficient to result in control.</w:t>
      </w:r>
    </w:p>
    <w:p w:rsidR="004D38C4" w:rsidRDefault="00BC2113">
      <w:pPr>
        <w:pStyle w:val="DGTextstand-alone"/>
      </w:pPr>
      <w:r>
        <w:t>Under this approac</w:t>
      </w:r>
      <w:r>
        <w:t>h, the EU's institutions (except the European Central Bank) and agencies (excluding the agencies of the former 2nd pillar) are considered as under the exclusive control of the EU and are therefore included in the consolidation scope. Furthermore the Europe</w:t>
      </w:r>
      <w:r>
        <w:t xml:space="preserve">an Coal and Steel Community (ECSC) in Liquidation is also considered as a controlled entity. </w:t>
      </w:r>
    </w:p>
    <w:p w:rsidR="004D38C4" w:rsidRDefault="00BC2113">
      <w:pPr>
        <w:pStyle w:val="DGTextstand-alone"/>
      </w:pPr>
      <w:r>
        <w:t>All material "inter-entity transactions and balances" between EU controlled entities are eliminated, while unrealised gains and losses on such transactions are no</w:t>
      </w:r>
      <w:r>
        <w:t>t material and so have not been eliminated.</w:t>
      </w:r>
    </w:p>
    <w:p w:rsidR="004D38C4" w:rsidRDefault="00BC2113">
      <w:pPr>
        <w:rPr>
          <w:rFonts w:ascii="Verdana" w:hAnsi="Verdana"/>
          <w:noProof/>
          <w:color w:val="016794"/>
          <w:sz w:val="18"/>
          <w:szCs w:val="18"/>
        </w:rPr>
      </w:pPr>
      <w:r>
        <w:rPr>
          <w:noProof/>
        </w:rPr>
        <w:br w:type="page"/>
      </w:r>
    </w:p>
    <w:p w:rsidR="004D38C4" w:rsidRDefault="00BC2113">
      <w:pPr>
        <w:pStyle w:val="HEADER5"/>
        <w:rPr>
          <w:b/>
          <w:noProof/>
        </w:rPr>
      </w:pPr>
      <w:r>
        <w:rPr>
          <w:noProof/>
        </w:rPr>
        <w:t>Joint Arrangements</w:t>
      </w:r>
    </w:p>
    <w:p w:rsidR="004D38C4" w:rsidRDefault="00BC2113">
      <w:pPr>
        <w:pStyle w:val="DGTextstand-alone"/>
      </w:pPr>
      <w:r>
        <w:t>A joint arrangement is an agreement over which the EU and one or more parties have joint control. Joint control is contractually agreed sharing of control over an arrangement, which exists on</w:t>
      </w:r>
      <w:r>
        <w:t>ly when decisions about the relevant activities require the unanimous consent of parties sharing control. Joint agreements can be either joint operations or joint ventures. In case a joint arrangement is structured through a separate vehicle and parties to</w:t>
      </w:r>
      <w:r>
        <w:t xml:space="preserve"> the joint arrangement have rights to the net assets of the arrangement, this joint arrangement classifies as a joint venture. Participations in joint ventures are accounted for using the equity method (see note </w:t>
      </w:r>
      <w:r>
        <w:rPr>
          <w:b/>
        </w:rPr>
        <w:t>1.5.4</w:t>
      </w:r>
      <w:r>
        <w:t>). In case the parties have rights to t</w:t>
      </w:r>
      <w:r>
        <w:t>he assets, and obligations for the liabilities, related to the arrangement, this joint arrangement is classified as a joint operation. In relation to its interest in joint operations, the EU recognises in its financial statements: its assets and liabilitie</w:t>
      </w:r>
      <w:r>
        <w:t>s, revenue and expense, as well as its share of assets, liabilities, revenue and expense held or incurred jointly.</w:t>
      </w:r>
    </w:p>
    <w:p w:rsidR="004D38C4" w:rsidRDefault="00BC2113">
      <w:pPr>
        <w:pStyle w:val="HEADER5"/>
        <w:rPr>
          <w:b/>
          <w:noProof/>
        </w:rPr>
      </w:pPr>
      <w:r>
        <w:rPr>
          <w:noProof/>
        </w:rPr>
        <w:t>Associates</w:t>
      </w:r>
    </w:p>
    <w:p w:rsidR="004D38C4" w:rsidRDefault="00BC2113">
      <w:pPr>
        <w:pStyle w:val="DGTextstand-alone"/>
      </w:pPr>
      <w:r>
        <w:t xml:space="preserve">Associates are entities over which the EU has, directly or indirectly, significant influence but not control. It is presumed that </w:t>
      </w:r>
      <w:r>
        <w:t xml:space="preserve">significant influence exists if the EU holds directly or indirectly 20 % or more of the voting rights. Participations in associates are accounted for using the equity method (see note </w:t>
      </w:r>
      <w:r>
        <w:rPr>
          <w:b/>
        </w:rPr>
        <w:t>1.5.4</w:t>
      </w:r>
      <w:r>
        <w:t>).</w:t>
      </w:r>
    </w:p>
    <w:p w:rsidR="004D38C4" w:rsidRDefault="00BC2113">
      <w:pPr>
        <w:pStyle w:val="HEADER5"/>
        <w:rPr>
          <w:b/>
          <w:noProof/>
        </w:rPr>
      </w:pPr>
      <w:r>
        <w:rPr>
          <w:noProof/>
        </w:rPr>
        <w:t xml:space="preserve">Non-consolidated entities the funds of which are managed by the </w:t>
      </w:r>
      <w:r>
        <w:rPr>
          <w:noProof/>
        </w:rPr>
        <w:t>Commission</w:t>
      </w:r>
    </w:p>
    <w:p w:rsidR="004D38C4" w:rsidRDefault="00BC2113">
      <w:pPr>
        <w:pStyle w:val="DGTextstand-alone"/>
      </w:pPr>
      <w:r>
        <w:t>The funds of the Joint Sickness Insurance Scheme for staff of the EU, the European Development Fund and the Participants Guarantee Fund are managed by the Commission on their behalf. However, since these entities are not controlled by the EU, th</w:t>
      </w:r>
      <w:r>
        <w:t>ey are not consolidated in its financial statements.</w:t>
      </w:r>
    </w:p>
    <w:p w:rsidR="004D38C4" w:rsidRDefault="00BC2113">
      <w:pPr>
        <w:pStyle w:val="HEADER2NOTES"/>
        <w:rPr>
          <w:noProof/>
        </w:rPr>
      </w:pPr>
      <w:r>
        <w:rPr>
          <w:noProof/>
        </w:rPr>
        <w:t>BASIS OF PREPARATION</w:t>
      </w:r>
    </w:p>
    <w:p w:rsidR="004D38C4" w:rsidRDefault="00BC2113">
      <w:pPr>
        <w:pStyle w:val="DGTextstand-alone"/>
      </w:pPr>
      <w:r>
        <w:t>Financial statements are presented annually. The accounting year begins on 1 January and ends on 31 December.</w:t>
      </w:r>
    </w:p>
    <w:p w:rsidR="004D38C4" w:rsidRDefault="00BC2113">
      <w:pPr>
        <w:pStyle w:val="HEADER3NOTES"/>
        <w:rPr>
          <w:noProof/>
        </w:rPr>
      </w:pPr>
      <w:r>
        <w:rPr>
          <w:noProof/>
        </w:rPr>
        <w:t>Currency and basis for conversion</w:t>
      </w:r>
    </w:p>
    <w:p w:rsidR="004D38C4" w:rsidRDefault="00BC2113">
      <w:pPr>
        <w:pStyle w:val="HEADER5"/>
        <w:rPr>
          <w:b/>
          <w:noProof/>
        </w:rPr>
      </w:pPr>
      <w:r>
        <w:rPr>
          <w:noProof/>
        </w:rPr>
        <w:t>Functional and reporting currency</w:t>
      </w:r>
    </w:p>
    <w:p w:rsidR="004D38C4" w:rsidRDefault="00BC2113">
      <w:pPr>
        <w:pStyle w:val="DGTextstand-alone"/>
      </w:pPr>
      <w:r>
        <w:t xml:space="preserve">The </w:t>
      </w:r>
      <w:r>
        <w:t>financial statements are presented in millions of euros, unless stated otherwise, the euro being the EU's functional and reporting currency.</w:t>
      </w:r>
    </w:p>
    <w:p w:rsidR="004D38C4" w:rsidRDefault="00BC2113">
      <w:pPr>
        <w:pStyle w:val="HEADER5"/>
        <w:rPr>
          <w:b/>
          <w:noProof/>
        </w:rPr>
      </w:pPr>
      <w:r>
        <w:rPr>
          <w:noProof/>
        </w:rPr>
        <w:t>Transactions and balances</w:t>
      </w:r>
    </w:p>
    <w:p w:rsidR="004D38C4" w:rsidRDefault="00BC2113">
      <w:pPr>
        <w:pStyle w:val="DGTextstand-alone"/>
        <w:spacing w:after="0"/>
      </w:pPr>
      <w:r>
        <w:t>Foreign currency transactions are translated into euros using the exchange rates prevaili</w:t>
      </w:r>
      <w:r>
        <w:t>ng at the dates of the transactions. Foreign exchange gains and losses resulting from the settlement of foreign currency transactions and from the re-translation at year-end exchange rates of monetary assets and liabilities denominated in foreign currencie</w:t>
      </w:r>
      <w:r>
        <w:t>s are recognised in the statement of financial performance. Translation differences on non-monetary financial instruments classified as available for sale financial assets are included in the fair value reserve.</w:t>
      </w:r>
    </w:p>
    <w:p w:rsidR="004D38C4" w:rsidRDefault="00BC2113">
      <w:pPr>
        <w:pStyle w:val="DGTextstand-alone"/>
      </w:pPr>
      <w:r>
        <w:t>Different conversion methods apply to proper</w:t>
      </w:r>
      <w:r>
        <w:t>ty, plant and equipment and intangible assets, which retain their value in euros at the rate that applied at the date when they were purchased.</w:t>
      </w:r>
    </w:p>
    <w:p w:rsidR="004D38C4" w:rsidRDefault="00BC2113">
      <w:pPr>
        <w:pStyle w:val="DGTextstand-alone"/>
        <w:spacing w:after="120"/>
      </w:pPr>
      <w:r>
        <w:t xml:space="preserve">Year-end balances of monetary assets and liabilities denominated in foreign currencies are converted into euros </w:t>
      </w:r>
      <w:r>
        <w:t>on the basis of the European Central Bank (ECB) exchange rates applying on 31 December:</w:t>
      </w:r>
    </w:p>
    <w:p w:rsidR="004D38C4" w:rsidRDefault="00BC2113">
      <w:pPr>
        <w:pStyle w:val="HEADER5"/>
        <w:spacing w:after="120"/>
        <w:rPr>
          <w:noProof/>
        </w:rPr>
      </w:pPr>
      <w:r>
        <w:rPr>
          <w:noProof/>
        </w:rPr>
        <w:t xml:space="preserve">Euro exchange rates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25"/>
        <w:gridCol w:w="1624"/>
        <w:gridCol w:w="1625"/>
        <w:gridCol w:w="1624"/>
        <w:gridCol w:w="1625"/>
      </w:tblGrid>
      <w:tr w:rsidR="004D38C4">
        <w:tc>
          <w:tcPr>
            <w:tcW w:w="1624" w:type="dxa"/>
            <w:tcBorders>
              <w:top w:val="nil"/>
              <w:left w:val="nil"/>
              <w:bottom w:val="single" w:sz="4" w:space="0" w:color="016794"/>
              <w:right w:val="nil"/>
            </w:tcBorders>
            <w:shd w:val="clear" w:color="auto" w:fill="016794"/>
            <w:tcMar>
              <w:top w:w="0" w:type="dxa"/>
              <w:left w:w="108" w:type="dxa"/>
              <w:bottom w:w="0" w:type="dxa"/>
              <w:right w:w="108" w:type="dxa"/>
            </w:tcMar>
          </w:tcPr>
          <w:p w:rsidR="004D38C4" w:rsidRDefault="00BC2113">
            <w:pPr>
              <w:pStyle w:val="Heading10pNormalLeft"/>
              <w:rPr>
                <w:rFonts w:eastAsia="Verdana" w:cs="Verdana"/>
                <w:lang w:bidi="en-GB"/>
              </w:rPr>
            </w:pPr>
            <w:bookmarkStart w:id="32" w:name="DOC_TBL00005_1_1"/>
            <w:bookmarkEnd w:id="32"/>
            <w:r>
              <w:rPr>
                <w:rFonts w:eastAsia="Verdana" w:cs="Verdana"/>
                <w:lang w:bidi="en-GB"/>
              </w:rPr>
              <w:t>Currency</w:t>
            </w:r>
          </w:p>
        </w:tc>
        <w:tc>
          <w:tcPr>
            <w:tcW w:w="1625" w:type="dxa"/>
            <w:tcBorders>
              <w:top w:val="nil"/>
              <w:left w:val="nil"/>
              <w:bottom w:val="single" w:sz="4" w:space="0" w:color="016794"/>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31.12.2017</w:t>
            </w:r>
          </w:p>
        </w:tc>
        <w:tc>
          <w:tcPr>
            <w:tcW w:w="1624" w:type="dxa"/>
            <w:tcBorders>
              <w:top w:val="nil"/>
              <w:left w:val="nil"/>
              <w:bottom w:val="single" w:sz="4" w:space="0" w:color="016794"/>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31.12.2016</w:t>
            </w:r>
          </w:p>
        </w:tc>
        <w:tc>
          <w:tcPr>
            <w:tcW w:w="1625" w:type="dxa"/>
            <w:tcBorders>
              <w:top w:val="nil"/>
              <w:left w:val="nil"/>
              <w:bottom w:val="single" w:sz="4" w:space="0" w:color="016794"/>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Currency</w:t>
            </w:r>
          </w:p>
        </w:tc>
        <w:tc>
          <w:tcPr>
            <w:tcW w:w="1624" w:type="dxa"/>
            <w:tcBorders>
              <w:top w:val="nil"/>
              <w:left w:val="nil"/>
              <w:bottom w:val="single" w:sz="4" w:space="0" w:color="016794"/>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31.12.2017</w:t>
            </w:r>
          </w:p>
        </w:tc>
        <w:tc>
          <w:tcPr>
            <w:tcW w:w="1625" w:type="dxa"/>
            <w:tcBorders>
              <w:top w:val="nil"/>
              <w:left w:val="nil"/>
              <w:bottom w:val="single" w:sz="4" w:space="0" w:color="016794"/>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025"/>
              <w:ind w:left="0"/>
              <w:rPr>
                <w:rFonts w:eastAsia="Verdana" w:cs="Verdana"/>
                <w:lang w:bidi="en-GB"/>
              </w:rPr>
            </w:pPr>
            <w:r>
              <w:rPr>
                <w:rFonts w:eastAsia="Verdana" w:cs="Verdana"/>
                <w:lang w:bidi="en-GB"/>
              </w:rPr>
              <w:t>BGN</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1.9558</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1.9558</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PLN</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4.177</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4.4103</w:t>
            </w:r>
          </w:p>
        </w:tc>
      </w:tr>
      <w:tr w:rsidR="004D38C4">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025"/>
              <w:ind w:left="0"/>
              <w:rPr>
                <w:rFonts w:eastAsia="Verdana" w:cs="Verdana"/>
                <w:lang w:bidi="en-GB"/>
              </w:rPr>
            </w:pPr>
            <w:r>
              <w:rPr>
                <w:rFonts w:eastAsia="Verdana" w:cs="Verdana"/>
                <w:lang w:bidi="en-GB"/>
              </w:rPr>
              <w:t>CZK</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25.5350</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27.0210</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RON</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4.6585</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4.5390</w:t>
            </w:r>
          </w:p>
        </w:tc>
      </w:tr>
      <w:tr w:rsidR="004D38C4">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025"/>
              <w:ind w:left="0"/>
              <w:rPr>
                <w:rFonts w:eastAsia="Verdana" w:cs="Verdana"/>
                <w:lang w:bidi="en-GB"/>
              </w:rPr>
            </w:pPr>
            <w:r>
              <w:rPr>
                <w:rFonts w:eastAsia="Verdana" w:cs="Verdana"/>
                <w:lang w:bidi="en-GB"/>
              </w:rPr>
              <w:t>DKK</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7.4449</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7.4344</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SEK</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9.8438</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9.5525</w:t>
            </w:r>
          </w:p>
        </w:tc>
      </w:tr>
      <w:tr w:rsidR="004D38C4">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025"/>
              <w:ind w:left="0"/>
              <w:rPr>
                <w:rFonts w:eastAsia="Verdana" w:cs="Verdana"/>
                <w:lang w:bidi="en-GB"/>
              </w:rPr>
            </w:pPr>
            <w:r>
              <w:rPr>
                <w:rFonts w:eastAsia="Verdana" w:cs="Verdana"/>
                <w:lang w:bidi="en-GB"/>
              </w:rPr>
              <w:t>GBP</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0.8872</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0.8562</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CHF</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1.1702</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1.0739</w:t>
            </w:r>
          </w:p>
        </w:tc>
      </w:tr>
      <w:tr w:rsidR="004D38C4">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025"/>
              <w:ind w:left="0"/>
              <w:rPr>
                <w:rFonts w:eastAsia="Verdana" w:cs="Verdana"/>
                <w:lang w:bidi="en-GB"/>
              </w:rPr>
            </w:pPr>
            <w:r>
              <w:rPr>
                <w:rFonts w:eastAsia="Verdana" w:cs="Verdana"/>
                <w:lang w:bidi="en-GB"/>
              </w:rPr>
              <w:t>HRK</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7.4400</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7.5597</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JPY</w:t>
            </w:r>
          </w:p>
        </w:tc>
        <w:tc>
          <w:tcPr>
            <w:tcW w:w="162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135.01</w:t>
            </w:r>
          </w:p>
        </w:tc>
        <w:tc>
          <w:tcPr>
            <w:tcW w:w="162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123.4000</w:t>
            </w:r>
          </w:p>
        </w:tc>
      </w:tr>
      <w:tr w:rsidR="004D38C4">
        <w:tc>
          <w:tcPr>
            <w:tcW w:w="162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BoldLeft025"/>
              <w:ind w:left="0"/>
              <w:rPr>
                <w:rFonts w:eastAsia="Verdana" w:cs="Verdana"/>
                <w:lang w:bidi="en-GB"/>
              </w:rPr>
            </w:pPr>
            <w:r>
              <w:rPr>
                <w:rFonts w:eastAsia="Verdana" w:cs="Verdana"/>
                <w:lang w:bidi="en-GB"/>
              </w:rPr>
              <w:t>HUF</w:t>
            </w:r>
          </w:p>
        </w:tc>
        <w:tc>
          <w:tcPr>
            <w:tcW w:w="162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310.3300</w:t>
            </w:r>
          </w:p>
        </w:tc>
        <w:tc>
          <w:tcPr>
            <w:tcW w:w="162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309.8300</w:t>
            </w:r>
          </w:p>
        </w:tc>
        <w:tc>
          <w:tcPr>
            <w:tcW w:w="162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USD</w:t>
            </w:r>
          </w:p>
        </w:tc>
        <w:tc>
          <w:tcPr>
            <w:tcW w:w="162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1.1993</w:t>
            </w:r>
          </w:p>
        </w:tc>
        <w:tc>
          <w:tcPr>
            <w:tcW w:w="162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1.0541</w:t>
            </w:r>
          </w:p>
        </w:tc>
      </w:tr>
    </w:tbl>
    <w:p w:rsidR="004D38C4" w:rsidRDefault="00BC2113">
      <w:pPr>
        <w:pStyle w:val="HEADER3NOTES"/>
        <w:keepNext/>
        <w:rPr>
          <w:noProof/>
        </w:rPr>
      </w:pPr>
      <w:r>
        <w:rPr>
          <w:noProof/>
        </w:rPr>
        <w:t>Use of estimates</w:t>
      </w:r>
    </w:p>
    <w:p w:rsidR="004D38C4" w:rsidRDefault="00BC2113">
      <w:pPr>
        <w:pStyle w:val="DGTextstand-alone"/>
      </w:pPr>
      <w:r>
        <w:t xml:space="preserve">In accordance with IPSAS and generally accepted accounting principles, the financial </w:t>
      </w:r>
      <w:r>
        <w:t>statements necessarily include amounts based on estimates and assumptions by management based on the most reliable information available. Significant estimates include, but are not limited to: amounts for employee benefit liabilities, provisions, financial</w:t>
      </w:r>
      <w:r>
        <w:t xml:space="preserve"> risk on inventories and accounts receivable, accrued revenue and charges, contingent assets and liabilities, degree of impairment of intangible assets and property, plant and equipment and amounts disclosed in the notes concerning financial instruments. A</w:t>
      </w:r>
      <w:r>
        <w:t>ctual results could differ from those estimates. Changes in estimates are reflected in the period in which they become known.</w:t>
      </w:r>
    </w:p>
    <w:p w:rsidR="004D38C4" w:rsidRDefault="00BC2113">
      <w:pPr>
        <w:pStyle w:val="HEADER2NOTES"/>
        <w:rPr>
          <w:noProof/>
        </w:rPr>
      </w:pPr>
      <w:r>
        <w:rPr>
          <w:noProof/>
        </w:rPr>
        <w:t>BALANCE SHEET</w:t>
      </w:r>
    </w:p>
    <w:p w:rsidR="004D38C4" w:rsidRDefault="00BC2113">
      <w:pPr>
        <w:pStyle w:val="HEADER3NOTES"/>
        <w:rPr>
          <w:noProof/>
        </w:rPr>
      </w:pPr>
      <w:r>
        <w:rPr>
          <w:noProof/>
        </w:rPr>
        <w:t>Intangible assets</w:t>
      </w:r>
    </w:p>
    <w:p w:rsidR="004D38C4" w:rsidRDefault="00BC2113">
      <w:pPr>
        <w:pStyle w:val="DGTextstand-alone"/>
      </w:pPr>
      <w:r>
        <w:t xml:space="preserve">Acquired computer software licences are stated at historical cost less accumulated amortisation </w:t>
      </w:r>
      <w:r>
        <w:t>and impairment losses. The assets are amortised on a straight-line basis over their estimated useful lives (3</w:t>
      </w:r>
      <w:r>
        <w:noBreakHyphen/>
        <w:t>11 years). The estimated useful lives of intangible assets depend on their specific economic lifetime or legal lifetime determined by an agreement</w:t>
      </w:r>
      <w:r>
        <w:t>. Internally developed intangible assets are capitalised when the relevant criteria of the EU accounting rules are met and the expenses relate solely to the development phase of the asset. The costs capitalisable include all directly attributable costs nec</w:t>
      </w:r>
      <w:r>
        <w:t>essary to create, produce, and prepare the asset to be capable of operating in the manner intended by management. Costs associated with research activities, non-capitalisable development costs and maintenance costs are recognised as expenses as incurred.</w:t>
      </w:r>
      <w:r>
        <w:tab/>
      </w:r>
    </w:p>
    <w:p w:rsidR="004D38C4" w:rsidRDefault="00BC2113">
      <w:pPr>
        <w:pStyle w:val="HEADER3NOTES"/>
        <w:rPr>
          <w:noProof/>
        </w:rPr>
      </w:pPr>
      <w:r>
        <w:rPr>
          <w:noProof/>
        </w:rPr>
        <w:t>Property, plant and equipment</w:t>
      </w:r>
    </w:p>
    <w:p w:rsidR="004D38C4" w:rsidRDefault="00BC2113">
      <w:pPr>
        <w:pStyle w:val="DGTextstand-alone"/>
      </w:pPr>
      <w:r>
        <w:t>All property, plant and equipment are stated at historical cost less accumulated depreciation and impairment losses. Cost includes expenditure that is directly attributable to the acquisition, construction or transfer of the a</w:t>
      </w:r>
      <w:r>
        <w:t>sset.</w:t>
      </w:r>
    </w:p>
    <w:p w:rsidR="004D38C4" w:rsidRDefault="00BC2113">
      <w:pPr>
        <w:pStyle w:val="DGTextstand-alone"/>
        <w:spacing w:after="0"/>
      </w:pPr>
      <w:r>
        <w:t xml:space="preserve">Subsequent costs are included in the asset’s carrying amount or recognised as a separate asset, as appropriate, only when it is probable that future economic benefits or service potential associated with the item will flow to the EU and its cost can </w:t>
      </w:r>
      <w:r>
        <w:t>be measured reliably. Repairs and maintenance costs are charged to the statement of financial performance during the financial period in which they are incurred.</w:t>
      </w:r>
    </w:p>
    <w:p w:rsidR="004D38C4" w:rsidRDefault="00BC2113">
      <w:pPr>
        <w:pStyle w:val="DGTextstand-alone"/>
      </w:pPr>
      <w:r>
        <w:t>Land and works of art are not depreciated as they are deemed to have an indefinite useful life</w:t>
      </w:r>
      <w:r>
        <w:t>. Assets under construction are not depreciated as these assets are not yet available for use. Depreciation on other assets is calculated using the straight-line method to allocate their cost less their residual values over their estimated useful lives, as</w:t>
      </w:r>
      <w:r>
        <w:t xml:space="preserve">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969"/>
      </w:tblGrid>
      <w:tr w:rsidR="004D38C4">
        <w:tc>
          <w:tcPr>
            <w:tcW w:w="5778" w:type="dxa"/>
            <w:tcBorders>
              <w:top w:val="nil"/>
              <w:left w:val="nil"/>
              <w:bottom w:val="single" w:sz="4" w:space="0" w:color="016794"/>
              <w:right w:val="nil"/>
            </w:tcBorders>
            <w:shd w:val="clear" w:color="auto" w:fill="016794"/>
            <w:tcMar>
              <w:top w:w="0" w:type="dxa"/>
              <w:left w:w="108" w:type="dxa"/>
              <w:bottom w:w="0" w:type="dxa"/>
              <w:right w:w="108" w:type="dxa"/>
            </w:tcMar>
          </w:tcPr>
          <w:p w:rsidR="004D38C4" w:rsidRDefault="00BC2113">
            <w:pPr>
              <w:pStyle w:val="Heading10pNormalLeft"/>
              <w:rPr>
                <w:rFonts w:eastAsia="Verdana" w:cs="Verdana"/>
                <w:lang w:bidi="en-GB"/>
              </w:rPr>
            </w:pPr>
            <w:bookmarkStart w:id="33" w:name="DOC_TBL00006_1_1"/>
            <w:bookmarkEnd w:id="33"/>
            <w:r>
              <w:rPr>
                <w:rFonts w:eastAsia="Verdana" w:cs="Verdana"/>
                <w:lang w:bidi="en-GB"/>
              </w:rPr>
              <w:t>Type of asset</w:t>
            </w:r>
          </w:p>
        </w:tc>
        <w:tc>
          <w:tcPr>
            <w:tcW w:w="3969" w:type="dxa"/>
            <w:tcBorders>
              <w:top w:val="nil"/>
              <w:left w:val="nil"/>
              <w:bottom w:val="single" w:sz="4" w:space="0" w:color="016794"/>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Straight line depreciation rate</w:t>
            </w:r>
          </w:p>
        </w:tc>
      </w:tr>
      <w:tr w:rsidR="004D38C4">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Buildings</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Centered"/>
              <w:rPr>
                <w:rFonts w:eastAsia="Verdana" w:cs="Verdana"/>
                <w:lang w:bidi="en-GB"/>
              </w:rPr>
            </w:pPr>
            <w:r>
              <w:rPr>
                <w:rFonts w:eastAsia="Verdana" w:cs="Verdana"/>
                <w:lang w:bidi="en-GB"/>
              </w:rPr>
              <w:t>4 % to 10 %</w:t>
            </w:r>
          </w:p>
        </w:tc>
      </w:tr>
      <w:tr w:rsidR="004D38C4">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Space assets</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Centered"/>
              <w:rPr>
                <w:rFonts w:eastAsia="Verdana" w:cs="Verdana"/>
                <w:lang w:bidi="en-GB"/>
              </w:rPr>
            </w:pPr>
            <w:r>
              <w:rPr>
                <w:rFonts w:eastAsia="Verdana" w:cs="Verdana"/>
                <w:lang w:bidi="en-GB"/>
              </w:rPr>
              <w:t>8 % to 25 %</w:t>
            </w:r>
          </w:p>
        </w:tc>
      </w:tr>
      <w:tr w:rsidR="004D38C4">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Plant and equipment</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Centered"/>
              <w:rPr>
                <w:rFonts w:eastAsia="Verdana" w:cs="Verdana"/>
                <w:lang w:bidi="en-GB"/>
              </w:rPr>
            </w:pPr>
            <w:r>
              <w:rPr>
                <w:rFonts w:eastAsia="Verdana" w:cs="Verdana"/>
                <w:lang w:bidi="en-GB"/>
              </w:rPr>
              <w:t>10 % to 25 %</w:t>
            </w:r>
          </w:p>
        </w:tc>
      </w:tr>
      <w:tr w:rsidR="004D38C4">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Furniture and vehicles</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Centered"/>
              <w:rPr>
                <w:rFonts w:eastAsia="Verdana" w:cs="Verdana"/>
                <w:lang w:bidi="en-GB"/>
              </w:rPr>
            </w:pPr>
            <w:r>
              <w:rPr>
                <w:rFonts w:eastAsia="Verdana" w:cs="Verdana"/>
                <w:lang w:bidi="en-GB"/>
              </w:rPr>
              <w:t>10 % to 25 %</w:t>
            </w:r>
          </w:p>
        </w:tc>
      </w:tr>
      <w:tr w:rsidR="004D38C4">
        <w:tc>
          <w:tcPr>
            <w:tcW w:w="577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Computer hardware</w:t>
            </w:r>
          </w:p>
        </w:tc>
        <w:tc>
          <w:tcPr>
            <w:tcW w:w="39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Centered"/>
              <w:rPr>
                <w:rFonts w:eastAsia="Verdana" w:cs="Verdana"/>
                <w:lang w:bidi="en-GB"/>
              </w:rPr>
            </w:pPr>
            <w:r>
              <w:rPr>
                <w:rFonts w:eastAsia="Verdana" w:cs="Verdana"/>
                <w:lang w:bidi="en-GB"/>
              </w:rPr>
              <w:t>25 % to 33 %</w:t>
            </w:r>
          </w:p>
        </w:tc>
      </w:tr>
      <w:tr w:rsidR="004D38C4">
        <w:tc>
          <w:tcPr>
            <w:tcW w:w="577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396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Centered"/>
              <w:rPr>
                <w:rFonts w:eastAsia="Verdana" w:cs="Verdana"/>
                <w:lang w:bidi="en-GB"/>
              </w:rPr>
            </w:pPr>
            <w:r>
              <w:rPr>
                <w:rFonts w:eastAsia="Verdana" w:cs="Verdana"/>
                <w:lang w:bidi="en-GB"/>
              </w:rPr>
              <w:t>10 % to 33 %</w:t>
            </w:r>
          </w:p>
        </w:tc>
      </w:tr>
    </w:tbl>
    <w:p w:rsidR="004D38C4" w:rsidRDefault="00BC2113">
      <w:pPr>
        <w:pStyle w:val="DGTextstand-alone"/>
      </w:pPr>
      <w:r>
        <w:t xml:space="preserve">Gains or losses on </w:t>
      </w:r>
      <w:r>
        <w:t>disposals are determined by comparing proceeds less selling expenses with the carrying amount of the disposed asset and are included in the statement of financial performance.</w:t>
      </w:r>
    </w:p>
    <w:p w:rsidR="004D38C4" w:rsidRDefault="00BC2113">
      <w:pPr>
        <w:pStyle w:val="HEADER5"/>
        <w:keepNext/>
        <w:rPr>
          <w:b/>
          <w:noProof/>
        </w:rPr>
      </w:pPr>
      <w:r>
        <w:rPr>
          <w:noProof/>
        </w:rPr>
        <w:t>Leases</w:t>
      </w:r>
    </w:p>
    <w:p w:rsidR="004D38C4" w:rsidRDefault="00BC2113">
      <w:pPr>
        <w:pStyle w:val="DGTextstand-alone"/>
      </w:pPr>
      <w:r>
        <w:t>Leases of tangible assets, where the EU has substantially all the risks a</w:t>
      </w:r>
      <w:r>
        <w:t>nd rewards of ownership, are classified as finance leases. Finance leases are capitalised at the inception of the lease’s commencement at the lower of the fair value of the leased asset and the present value of the minimum lease payments. The interest elem</w:t>
      </w:r>
      <w:r>
        <w:t xml:space="preserve">ent of the finance lease payment is </w:t>
      </w:r>
      <w:r>
        <w:rPr>
          <w:color w:val="000000" w:themeColor="text1"/>
        </w:rPr>
        <w:t xml:space="preserve">charged to expenditure </w:t>
      </w:r>
      <w:r>
        <w:t>over the period of the lease at a constant periodic rate in relation to the balance outstanding. The rental obligations, net of finance charges, are included in financial liabilities (non-current a</w:t>
      </w:r>
      <w:r>
        <w:t>nd current). The interest element of the finance cost is charged to the statement of financial performance over the lease period so as to produce a constant periodic interest rate on the remaining balance of the liability for each period. The assets held u</w:t>
      </w:r>
      <w:r>
        <w:t>nder finance leases are depreciated over the shorter of the asset's useful life and the lease term.</w:t>
      </w:r>
    </w:p>
    <w:p w:rsidR="004D38C4" w:rsidRDefault="00BC2113">
      <w:pPr>
        <w:pStyle w:val="DGTextstand-alone"/>
      </w:pPr>
      <w:r>
        <w:t>Leases where the lessor retains a significant portion of the risks and rewards inherent to ownership are classified as operating leases. Operating lease pay</w:t>
      </w:r>
      <w:r>
        <w:t>ments are recognised as an expense in the statement of financial performance on a straight-line basis over the lease term.</w:t>
      </w:r>
    </w:p>
    <w:p w:rsidR="004D38C4" w:rsidRDefault="00BC2113">
      <w:pPr>
        <w:pStyle w:val="HEADER3NOTES"/>
        <w:rPr>
          <w:noProof/>
        </w:rPr>
      </w:pPr>
      <w:r>
        <w:rPr>
          <w:noProof/>
        </w:rPr>
        <w:t>Impairment of non-financial assets</w:t>
      </w:r>
    </w:p>
    <w:p w:rsidR="004D38C4" w:rsidRDefault="00BC2113">
      <w:pPr>
        <w:pStyle w:val="DGTextstand-alone"/>
      </w:pPr>
      <w:r>
        <w:t>Assets that have an indefinite useful life are not subject to amortisation/depreciation and are te</w:t>
      </w:r>
      <w:r>
        <w:t>sted annually for impairment. Assets that are subject to amortisation/depreciation are reviewed for impairment whenever events or changes in circumstances indicate that the carrying amount may not be recoverable. An impairment loss is recognised for the am</w:t>
      </w:r>
      <w:r>
        <w:t>ount by which the asset’s carrying amount exceeds its recoverable (service) amount. The recoverable (service) amount is the higher of an asset’s fair value less costs to sell and its value in use.</w:t>
      </w:r>
    </w:p>
    <w:p w:rsidR="004D38C4" w:rsidRDefault="00BC2113">
      <w:pPr>
        <w:pStyle w:val="DGTextstand-alone"/>
      </w:pPr>
      <w:r>
        <w:t>Intangible assets and property, plant and equipment residua</w:t>
      </w:r>
      <w:r>
        <w:t>l values and useful lives are reviewed, and adjusted if appropriate, at least once per year. An asset’s carrying amount is written down immediately to its recoverable (service) amount if the asset’s carrying amount is greater than its estimated recoverable</w:t>
      </w:r>
      <w:r>
        <w:t xml:space="preserve"> (service) amount. If the reasons for impairments recognised in previous years no longer apply, the impairment losses are reversed accordingly.</w:t>
      </w:r>
    </w:p>
    <w:p w:rsidR="004D38C4" w:rsidRDefault="00BC2113">
      <w:pPr>
        <w:pStyle w:val="HEADER3NOTES"/>
        <w:rPr>
          <w:noProof/>
        </w:rPr>
      </w:pPr>
      <w:r>
        <w:rPr>
          <w:noProof/>
        </w:rPr>
        <w:t>Investments accounted for using the equity method</w:t>
      </w:r>
    </w:p>
    <w:p w:rsidR="004D38C4" w:rsidRDefault="00BC2113">
      <w:pPr>
        <w:pStyle w:val="HEADER5"/>
        <w:rPr>
          <w:b/>
          <w:noProof/>
        </w:rPr>
      </w:pPr>
      <w:r>
        <w:rPr>
          <w:noProof/>
        </w:rPr>
        <w:t>Participations in associates and joint ventures</w:t>
      </w:r>
    </w:p>
    <w:p w:rsidR="004D38C4" w:rsidRDefault="00BC2113">
      <w:pPr>
        <w:pStyle w:val="DGTextstand-alone"/>
      </w:pPr>
      <w:r>
        <w:t>Investments ac</w:t>
      </w:r>
      <w:r>
        <w:t xml:space="preserve">counted for using the equity method are initially recognised at cost. The EU's interest in these investments is recognised in the statement of financial performance, and its share in the movements in reserves is recognised in the fair value reserve in net </w:t>
      </w:r>
      <w:r>
        <w:t>assets. The initial cost together with all movements (further contributions, share of economic results and reserve movements, impairments, and dividends) give the book value of the investment in the financial statements at the balance sheet date. Distribut</w:t>
      </w:r>
      <w:r>
        <w:t>ions received from the investment reduce the carrying amount of the asset.</w:t>
      </w:r>
    </w:p>
    <w:p w:rsidR="004D38C4" w:rsidRDefault="00BC2113">
      <w:pPr>
        <w:pStyle w:val="DGTextstand-alone"/>
      </w:pPr>
      <w:r>
        <w:t>If the EU's share of deficits of an investment accounted for using the equity method equals or exceeds its interest in the investment, the EU discontinues recognising its share of f</w:t>
      </w:r>
      <w:r>
        <w:t xml:space="preserve">urther losses ("unrecognised losses"). After the EU's interest is reduced to zero, additional losses are provided for and a liability is recognised, only to the extent that the EU has incurred legal or constructive obligation or made payments on behalf of </w:t>
      </w:r>
      <w:r>
        <w:t>the entity.</w:t>
      </w:r>
    </w:p>
    <w:p w:rsidR="004D38C4" w:rsidRDefault="00BC2113">
      <w:pPr>
        <w:pStyle w:val="DGTextstand-alone"/>
      </w:pPr>
      <w:r>
        <w:t xml:space="preserve">If there are indications of impairment, a write-down to the lower recoverable amount is necessary. The recoverable amount is determined as described under note </w:t>
      </w:r>
      <w:r>
        <w:rPr>
          <w:b/>
          <w:bCs/>
        </w:rPr>
        <w:t>1.5.3</w:t>
      </w:r>
      <w:r>
        <w:t xml:space="preserve">. If the reason for impairment ceases to apply at a later date, the impairment </w:t>
      </w:r>
      <w:r>
        <w:t>loss is reversed to the carrying amount that would have been determined had no impairment loss been recognised.</w:t>
      </w:r>
    </w:p>
    <w:p w:rsidR="004D38C4" w:rsidRDefault="00BC2113">
      <w:pPr>
        <w:pStyle w:val="DGTextstand-alone"/>
      </w:pPr>
      <w:r>
        <w:t xml:space="preserve">In cases where the EU holds 20 % or more of an investment capital fund, it does not seek to exert significant influence. Such funds are </w:t>
      </w:r>
      <w:r>
        <w:t>therefore treated as financial instruments and categorised as available for sale financial assets.</w:t>
      </w:r>
    </w:p>
    <w:p w:rsidR="004D38C4" w:rsidRDefault="00BC2113">
      <w:pPr>
        <w:pStyle w:val="DGTextstand-alone"/>
      </w:pPr>
      <w:r>
        <w:t>Associates and joint ventures classified as minor entities are not accounted for under the equity method. EU contributions to those entities are accounted fo</w:t>
      </w:r>
      <w:r>
        <w:t xml:space="preserve">r as an expense of the period. </w:t>
      </w:r>
    </w:p>
    <w:p w:rsidR="004D38C4" w:rsidRDefault="00BC2113">
      <w:pPr>
        <w:pStyle w:val="HEADER3NOTES"/>
        <w:keepNext/>
        <w:rPr>
          <w:noProof/>
        </w:rPr>
      </w:pPr>
      <w:r>
        <w:rPr>
          <w:noProof/>
        </w:rPr>
        <w:t>Financial assets</w:t>
      </w:r>
    </w:p>
    <w:p w:rsidR="004D38C4" w:rsidRDefault="00BC2113">
      <w:pPr>
        <w:pStyle w:val="HEADER5"/>
        <w:rPr>
          <w:b/>
          <w:noProof/>
        </w:rPr>
      </w:pPr>
      <w:r>
        <w:rPr>
          <w:noProof/>
        </w:rPr>
        <w:t>Classification</w:t>
      </w:r>
    </w:p>
    <w:p w:rsidR="004D38C4" w:rsidRDefault="00BC2113">
      <w:pPr>
        <w:pStyle w:val="DGTextstand-alone"/>
      </w:pPr>
      <w:r>
        <w:t xml:space="preserve">The EU classifies their financial assets in the following categories: financial assets at fair value through surplus or deficit; loans and receivables; held-to-maturity investments; and </w:t>
      </w:r>
      <w:r>
        <w:t>available for sale financial assets. The classification of financial instruments is determined at initial recognition and re-evaluated at each balance sheet date.</w:t>
      </w:r>
    </w:p>
    <w:p w:rsidR="004D38C4" w:rsidRDefault="00BC2113">
      <w:pPr>
        <w:pStyle w:val="TextSubtitlenumberingRCItalic"/>
        <w:rPr>
          <w:noProof/>
        </w:rPr>
      </w:pPr>
      <w:r>
        <w:rPr>
          <w:noProof/>
        </w:rPr>
        <w:t>Financial assets at fair value through surplus or deficit</w:t>
      </w:r>
    </w:p>
    <w:p w:rsidR="004D38C4" w:rsidRDefault="00BC2113">
      <w:pPr>
        <w:pStyle w:val="DGTextstand-alone"/>
      </w:pPr>
      <w:r>
        <w:t xml:space="preserve">A financial asset is classified in </w:t>
      </w:r>
      <w:r>
        <w:t>this category if acquired principally for the purpose of selling in the short term. Derivatives are also categorised in this category. Assets in this category are classified as current assets if they are expected to be realised within 12 months of the bala</w:t>
      </w:r>
      <w:r>
        <w:t>nce sheet date.</w:t>
      </w:r>
    </w:p>
    <w:p w:rsidR="004D38C4" w:rsidRDefault="00BC2113">
      <w:pPr>
        <w:pStyle w:val="TextSubtitlenumberingRCItalic"/>
        <w:keepNext/>
        <w:rPr>
          <w:noProof/>
        </w:rPr>
      </w:pPr>
      <w:r>
        <w:rPr>
          <w:noProof/>
        </w:rPr>
        <w:t>Loans and receivables</w:t>
      </w:r>
    </w:p>
    <w:p w:rsidR="004D38C4" w:rsidRDefault="00BC2113">
      <w:pPr>
        <w:pStyle w:val="DGTextstand-alone"/>
      </w:pPr>
      <w:r>
        <w:t xml:space="preserve">Loans and receivables are non-derivative financial assets with fixed or determinable payments that are not quoted in an active market. They arise when the EU provides money, goods or services directly to a debtor with </w:t>
      </w:r>
      <w:r>
        <w:t>no intention of trading the receivable, or in case the EU is subrogated to the rights of the original lender following a payment made by the EU under a guarantee contract. Payments due within 12 months of the balance sheet date are classified as current as</w:t>
      </w:r>
      <w:r>
        <w:t>sets. Payments due after 12 months from the balance sheet date are classified as non-current assets. Loans and receivables include term deposits with the original maturity above three months.</w:t>
      </w:r>
    </w:p>
    <w:p w:rsidR="004D38C4" w:rsidRDefault="00BC2113">
      <w:pPr>
        <w:pStyle w:val="TextSubtitlenumberingRCItalic"/>
        <w:rPr>
          <w:noProof/>
        </w:rPr>
      </w:pPr>
      <w:r>
        <w:rPr>
          <w:noProof/>
        </w:rPr>
        <w:t>Held-to-maturity investments</w:t>
      </w:r>
    </w:p>
    <w:p w:rsidR="004D38C4" w:rsidRDefault="00BC2113">
      <w:pPr>
        <w:pStyle w:val="DGTextstand-alone"/>
      </w:pPr>
      <w:r>
        <w:t>Held-to-maturity investments are no</w:t>
      </w:r>
      <w:r>
        <w:t xml:space="preserve">n-derivative financial assets with fixed or determinable payments and fixed maturities that the EU has the positive intention and ability to hold to maturity. During this financial year, the EU did not hold any investments in this category. </w:t>
      </w:r>
    </w:p>
    <w:p w:rsidR="004D38C4" w:rsidRDefault="00BC2113">
      <w:pPr>
        <w:pStyle w:val="TextSubtitlenumberingRCItalic"/>
        <w:rPr>
          <w:noProof/>
        </w:rPr>
      </w:pPr>
      <w:r>
        <w:rPr>
          <w:noProof/>
        </w:rPr>
        <w:t xml:space="preserve">Available for </w:t>
      </w:r>
      <w:r>
        <w:rPr>
          <w:noProof/>
        </w:rPr>
        <w:t>sale financial assets</w:t>
      </w:r>
    </w:p>
    <w:p w:rsidR="004D38C4" w:rsidRDefault="00BC2113">
      <w:pPr>
        <w:pStyle w:val="DGTextstand-alone"/>
      </w:pPr>
      <w:r>
        <w:t>Available for sale financial assets are non-derivatives that are either designated in this category or not classified in any of the other categories. They are classified as either current or non-current assets, depending on the period</w:t>
      </w:r>
      <w:r>
        <w:t xml:space="preserve"> of time the EU expects to hold them. Investments in entities that are neither consolidated nor accounted for using the equity method and other equity-type investments (e.g. Risk Capital Operations) are also classified as available for sale financial asset</w:t>
      </w:r>
      <w:r>
        <w:t>s.</w:t>
      </w:r>
    </w:p>
    <w:p w:rsidR="004D38C4" w:rsidRDefault="00BC2113">
      <w:pPr>
        <w:pStyle w:val="HEADER5"/>
        <w:rPr>
          <w:b/>
          <w:noProof/>
        </w:rPr>
      </w:pPr>
      <w:r>
        <w:rPr>
          <w:noProof/>
        </w:rPr>
        <w:t>Initial recognition and measurement</w:t>
      </w:r>
    </w:p>
    <w:p w:rsidR="004D38C4" w:rsidRDefault="00BC2113">
      <w:pPr>
        <w:pStyle w:val="DGTextstand-alone"/>
      </w:pPr>
      <w:r>
        <w:t xml:space="preserve">Purchases and sales of financial assets at fair value through surplus or deficit, held-to-maturity and available for sale are recognised on trade-date – the date on which the EU commits to purchase or sell the asset. </w:t>
      </w:r>
      <w:r>
        <w:t>Cash equivalents and loans are recognised when cash is advanced to the borrowers. Financial instruments are initially recognised at fair value. For all financial assets not carried at fair value through surplus or deficit transactions costs are added to th</w:t>
      </w:r>
      <w:r>
        <w:t>e fair value at initial recognition. Financial assets carried at fair value through surplus or deficit are initially recognised at fair value and transaction costs are expensed in the statement of financial performance.</w:t>
      </w:r>
    </w:p>
    <w:p w:rsidR="004D38C4" w:rsidRDefault="00BC2113">
      <w:pPr>
        <w:pStyle w:val="DGTextstand-alone"/>
      </w:pPr>
      <w:r>
        <w:t xml:space="preserve">The fair value of a financial asset </w:t>
      </w:r>
      <w:r>
        <w:t>on initial recognition is normally the transaction price (i.e. the fair value of the consideration received), unless the fair value of that instrument is evidenced by comparison with other observable current market transactions in the same instrument or ba</w:t>
      </w:r>
      <w:r>
        <w:t>sed on a valuation technique whose variables include only data from observable markets (e.g. in case of some derivative contracts). However, when a long-term loan that carries no interest or an interest below market conditions is granted, its fair value ca</w:t>
      </w:r>
      <w:r>
        <w:t>n be estimated as the present value of all future cash receipts discounted using the prevailing market rate of interest for a similar instrument with a similar credit rating.</w:t>
      </w:r>
    </w:p>
    <w:p w:rsidR="004D38C4" w:rsidRDefault="00BC2113">
      <w:pPr>
        <w:pStyle w:val="DGTextstand-alone"/>
      </w:pPr>
      <w:r>
        <w:t>Loans granted are measured at their nominal amount, which is considered to be the</w:t>
      </w:r>
      <w:r>
        <w:t xml:space="preserve"> fair value of the loan. The reasoning for this is as follows:</w:t>
      </w:r>
    </w:p>
    <w:p w:rsidR="004D38C4" w:rsidRDefault="00BC2113">
      <w:pPr>
        <w:pStyle w:val="DGTextstand-alone"/>
        <w:numPr>
          <w:ilvl w:val="0"/>
          <w:numId w:val="24"/>
        </w:numPr>
      </w:pPr>
      <w:r>
        <w:t xml:space="preserve">The “market environment” for EU lending is very specific and different from the capital market used to issue commercial or government bonds. As lenders in these markets have the opportunity to </w:t>
      </w:r>
      <w:r>
        <w:t>choose alternative investments, the opportunity possibility is factored into market prices. However, this opportunity for alternative investments does not exist for the EU which is not allowed to invest money on the capital markets; it only borrows funds f</w:t>
      </w:r>
      <w:r>
        <w:t xml:space="preserve">or the purpose of lending at the same rate. This means that there is no alternative lending or investment option available to the EU for the sums borrowed. Thus, there is no opportunity cost and therefore no basis of comparison with market rates. In fact, </w:t>
      </w:r>
      <w:r>
        <w:t xml:space="preserve">the EU lending operation itself represents the market. Essentially, since the opportunity cost "option" is not applicable, the market price does not fairly reflect the substance of the EU lending transactions. Therefore, it is not appropriate to determine </w:t>
      </w:r>
      <w:r>
        <w:t>the fair value of EU lending with reference to commercial or government bonds.</w:t>
      </w:r>
    </w:p>
    <w:p w:rsidR="004D38C4" w:rsidRDefault="00BC2113">
      <w:pPr>
        <w:pStyle w:val="DGTextstand-alone"/>
        <w:numPr>
          <w:ilvl w:val="0"/>
          <w:numId w:val="24"/>
        </w:numPr>
      </w:pPr>
      <w:r>
        <w:t xml:space="preserve">Furthermore as there is no active market or similar transactions to compare with, the interest rate to be used by the EU for fair valuing its lending operations under the EFSM, </w:t>
      </w:r>
      <w:r>
        <w:t>BOP and other such loans, should be the interest rate charged.</w:t>
      </w:r>
    </w:p>
    <w:p w:rsidR="004D38C4" w:rsidRDefault="00BC2113">
      <w:pPr>
        <w:pStyle w:val="DGTextstand-alone"/>
        <w:numPr>
          <w:ilvl w:val="0"/>
          <w:numId w:val="24"/>
        </w:numPr>
      </w:pPr>
      <w:r>
        <w:t>In addition, for these loans, there are compensating effects between loans and borrowings due to their back-to-back character. Thus, the effective interest for the loan equals the effective int</w:t>
      </w:r>
      <w:r>
        <w:t>erest rate for the related borrowings. The transaction costs incurred by the EU and then recharged to the beneficiary of the loan are directly recognised in the statement of financial performance.</w:t>
      </w:r>
    </w:p>
    <w:p w:rsidR="004D38C4" w:rsidRDefault="00BC2113">
      <w:pPr>
        <w:pStyle w:val="DGTextstand-alone"/>
      </w:pPr>
      <w:r>
        <w:t>Financial instruments are derecognised when the rights to r</w:t>
      </w:r>
      <w:r>
        <w:t>eceive cashflows from the investments have expired or the EU has transferred substantially all risks and rewards of ownership to another party.</w:t>
      </w:r>
    </w:p>
    <w:p w:rsidR="004D38C4" w:rsidRDefault="00BC2113">
      <w:pPr>
        <w:pStyle w:val="HEADER5"/>
        <w:rPr>
          <w:noProof/>
        </w:rPr>
      </w:pPr>
      <w:r>
        <w:rPr>
          <w:noProof/>
        </w:rPr>
        <w:t>Subsequent measurement</w:t>
      </w:r>
    </w:p>
    <w:p w:rsidR="004D38C4" w:rsidRDefault="00BC2113">
      <w:pPr>
        <w:pStyle w:val="DGTextstand-alone"/>
        <w:numPr>
          <w:ilvl w:val="0"/>
          <w:numId w:val="25"/>
        </w:numPr>
      </w:pPr>
      <w:r>
        <w:t>Financial assets at fair value through surplus or deficit are subsequently carried at fai</w:t>
      </w:r>
      <w:r>
        <w:t>r value. Gains and losses arising from changes in the fair value of the ‘financial instruments at fair value through surplus or deficit’ category are included in the statement of financial performance in the period in which they arise.</w:t>
      </w:r>
    </w:p>
    <w:p w:rsidR="004D38C4" w:rsidRDefault="00BC2113">
      <w:pPr>
        <w:pStyle w:val="DGTextstand-alone"/>
        <w:numPr>
          <w:ilvl w:val="0"/>
          <w:numId w:val="25"/>
        </w:numPr>
      </w:pPr>
      <w:r>
        <w:t>Loans and receivable</w:t>
      </w:r>
      <w:r>
        <w:t>s are carried at amortised cost using the effective interest method. In the case of loans granted on borrowed funds, the same effective interest rate is applied to both the loans and borrowings since these loans have the characteristics of 'back-to-back op</w:t>
      </w:r>
      <w:r>
        <w:t>erations' and the differences between the loan and the borrowing conditions and amounts are not material. The transaction costs incurred by the EU and then recharged to the beneficiary of the loan are directly recognised in the statement of financial perfo</w:t>
      </w:r>
      <w:r>
        <w:t>rmance.</w:t>
      </w:r>
    </w:p>
    <w:p w:rsidR="004D38C4" w:rsidRDefault="00BC2113">
      <w:pPr>
        <w:pStyle w:val="DGTextstand-alone"/>
        <w:numPr>
          <w:ilvl w:val="0"/>
          <w:numId w:val="25"/>
        </w:numPr>
      </w:pPr>
      <w:r>
        <w:t>Held to maturity assets are carried at amortised cost using the effective interest method. The EU currently holds no held to maturity investments.</w:t>
      </w:r>
    </w:p>
    <w:p w:rsidR="004D38C4" w:rsidRDefault="00BC2113">
      <w:pPr>
        <w:pStyle w:val="DGTextstand-alone"/>
        <w:numPr>
          <w:ilvl w:val="0"/>
          <w:numId w:val="25"/>
        </w:numPr>
      </w:pPr>
      <w:r>
        <w:t xml:space="preserve">Available for sale financial assets are subsequently carried at fair value. Gains and losses arising </w:t>
      </w:r>
      <w:r>
        <w:t xml:space="preserve">from changes in the fair value of available for sale financial assets are recognised in the fair value reserve, except for translation differences on monetary assets which are recognised in the statement of financial performance. When assets classified as </w:t>
      </w:r>
      <w:r>
        <w:t>available for sale financial assets are derecognised or impaired, the cumulative fair value adjustments previously recognised in the fair value reserve are recognised in the statement of financial performance. Interest on available for sale financial asset</w:t>
      </w:r>
      <w:r>
        <w:t>s calculated using the effective interest method is recognised in the statement of financial performance. Dividends on available for sale equity instruments are recognised when the EU's right to receive payment is established.</w:t>
      </w:r>
    </w:p>
    <w:p w:rsidR="004D38C4" w:rsidRDefault="00BC2113">
      <w:pPr>
        <w:pStyle w:val="DGTextstand-alone"/>
      </w:pPr>
      <w:r>
        <w:t>The fair values of quoted inv</w:t>
      </w:r>
      <w:r>
        <w:t>estments in active markets are based on current bid prices. If the market for a financial asset is not active (and for unlisted securities and over-the–counter derivatives), the EU establishes a fair value by using valuation techniques. These include the u</w:t>
      </w:r>
      <w:r>
        <w:t xml:space="preserve">se of recent arm’s length transactions, reference to other instruments that are substantially the same, discounted cashflow analysis, option pricing models and other valuation techniques commonly used by market participants. </w:t>
      </w:r>
    </w:p>
    <w:p w:rsidR="004D38C4" w:rsidRDefault="00BC2113">
      <w:pPr>
        <w:pStyle w:val="DGTextstand-alone"/>
      </w:pPr>
      <w:r>
        <w:t>Investments in Venture Capital</w:t>
      </w:r>
      <w:r>
        <w:t xml:space="preserve"> Funds, classified as available for sale financial assets, which do not have a quoted market price in an active market are valued at the attributable net asset value, which is considered as an equivalent of their fair value.</w:t>
      </w:r>
    </w:p>
    <w:p w:rsidR="004D38C4" w:rsidRDefault="00BC2113">
      <w:pPr>
        <w:pStyle w:val="DGTextstand-alone"/>
      </w:pPr>
      <w:r>
        <w:t>In cases where the fair value o</w:t>
      </w:r>
      <w:r>
        <w:t>f investments in equity instruments that do not have a quoted market price in an active market cannot be reliably measured, these investments are valued at cost less impairment losses.</w:t>
      </w:r>
    </w:p>
    <w:p w:rsidR="004D38C4" w:rsidRDefault="00BC2113">
      <w:pPr>
        <w:pStyle w:val="HEADER5"/>
        <w:rPr>
          <w:b/>
          <w:noProof/>
        </w:rPr>
      </w:pPr>
      <w:r>
        <w:rPr>
          <w:noProof/>
        </w:rPr>
        <w:t>Impairment of financial assets</w:t>
      </w:r>
    </w:p>
    <w:p w:rsidR="004D38C4" w:rsidRDefault="00BC2113">
      <w:pPr>
        <w:pStyle w:val="DGTextstand-alone"/>
      </w:pPr>
      <w:r>
        <w:t xml:space="preserve">The EU assesses at each balance sheet </w:t>
      </w:r>
      <w:r>
        <w:t>date whether there is objective evidence that a financial asset is impaired. A financial asset is impaired and impairment losses are incurred if, and only if, there is objective evidence of impairment as a result of one or more events that occurred after t</w:t>
      </w:r>
      <w:r>
        <w:t>he initial recognition of the asset and that loss event (or events) has an impact on the estimated future cashflows of the financial asset that can be reliably estimated.</w:t>
      </w:r>
    </w:p>
    <w:p w:rsidR="004D38C4" w:rsidRDefault="00BC2113">
      <w:pPr>
        <w:pStyle w:val="TextSubtitleItalicnumberinglettera"/>
        <w:rPr>
          <w:noProof/>
        </w:rPr>
      </w:pPr>
      <w:r>
        <w:rPr>
          <w:noProof/>
        </w:rPr>
        <w:t>Assets carried at amortised cost</w:t>
      </w:r>
    </w:p>
    <w:p w:rsidR="004D38C4" w:rsidRDefault="00BC2113">
      <w:pPr>
        <w:pStyle w:val="DGTextstand-alone"/>
      </w:pPr>
      <w:r>
        <w:t>If there is objective evidence that an impairment lo</w:t>
      </w:r>
      <w:r>
        <w:t>ss on loans and receivables or held-to-maturity investments carried at amortised cost has been incurred, the amount of the loss is measured as the difference between the asset’s carrying amount and the present value of estimated future cashflows (excluding</w:t>
      </w:r>
      <w:r>
        <w:t xml:space="preserve"> future credit losses that have not been incurred) discounted at the financial asset’s original effective interest rate. The carrying amount of the asset is reduced and the amount of the loss is recognised in the statement of financial performance. If a lo</w:t>
      </w:r>
      <w:r>
        <w:t>an or held-to-maturity investment has a variable interest rate, the discount rate for measuring any impairment loss is the current effective interest rate determined under the contract. The calculation of the present value of the estimated future cashflows</w:t>
      </w:r>
      <w:r>
        <w:t xml:space="preserve"> of a collateralised financial asset reflects the cashflows that may result from foreclosure less costs for obtaining and selling the collateral, whether or not foreclosure is probable. If, in a subsequent period, the amount of the impairment loss decrease</w:t>
      </w:r>
      <w:r>
        <w:t>s and the decrease can be related objectively to an event occurring after the impairment was recognised, the previously recognised impairment loss is reversed through the statement of financial performance.</w:t>
      </w:r>
    </w:p>
    <w:p w:rsidR="004D38C4" w:rsidRDefault="00BC2113">
      <w:pPr>
        <w:pStyle w:val="TextSubtitleItalicnumberinglettera"/>
        <w:rPr>
          <w:noProof/>
        </w:rPr>
      </w:pPr>
      <w:r>
        <w:rPr>
          <w:noProof/>
        </w:rPr>
        <w:t>Assets carried at fair value</w:t>
      </w:r>
    </w:p>
    <w:p w:rsidR="004D38C4" w:rsidRDefault="00BC2113">
      <w:pPr>
        <w:pStyle w:val="DGTextstand-alone"/>
      </w:pPr>
      <w:r>
        <w:t>In the case of equit</w:t>
      </w:r>
      <w:r>
        <w:t>y investments classified as available for sale financial assets, a significant or permanent (prolonged) decline in the fair value of the security below its cost is considered in determining whether the securities are impaired. If any such evidence exists f</w:t>
      </w:r>
      <w:r>
        <w:t>or available for sale financial assets, the cumulative loss – measured as the difference between the acquisition cost and the current fair value, less any impairment loss on that financial asset previously recognised in the statement of financial performan</w:t>
      </w:r>
      <w:r>
        <w:t>ce – is removed from reserves and recognised in the statement of financial performance. Impairment losses recognised in the statement of financial performance on equity instruments are not reversed through the statement of financial performance. If, in a s</w:t>
      </w:r>
      <w:r>
        <w:t>ubsequent period, the fair value of a debt instrument classified as available for sale financial asset increases and the increase can be objectively related to an event occurring after the impairment loss was recognised, the impairment loss is reversed thr</w:t>
      </w:r>
      <w:r>
        <w:t>ough the statement of financial performance.</w:t>
      </w:r>
    </w:p>
    <w:p w:rsidR="004D38C4" w:rsidRDefault="00BC2113">
      <w:pPr>
        <w:pStyle w:val="HEADER3NOTES"/>
        <w:rPr>
          <w:noProof/>
        </w:rPr>
      </w:pPr>
      <w:r>
        <w:rPr>
          <w:noProof/>
        </w:rPr>
        <w:t>Inventories</w:t>
      </w:r>
    </w:p>
    <w:p w:rsidR="004D38C4" w:rsidRDefault="00BC2113">
      <w:pPr>
        <w:pStyle w:val="DGTextstand-alone"/>
        <w:spacing w:after="0"/>
      </w:pPr>
      <w:r>
        <w:t>Inventories are stated at the lower of cost and net realisable value. Cost is determined using the first-in, first-out (FIFO) method. The cost of finished goods and work in progress comprises raw mat</w:t>
      </w:r>
      <w:r>
        <w:t>erials, direct labour, other directly attributable costs and related production overheads (based on normal operating capacity). Net realisable value is the estimated selling price in the ordinary course of business, less the costs of completion and selling</w:t>
      </w:r>
      <w:r>
        <w:t xml:space="preserve"> expenses. When inventories are held for distribution at no charge or for a nominal charge, they are measured at the lower of cost and current replacement cost. Current replacement cost is the cost the EU would incur to acquire the asset on the reporting d</w:t>
      </w:r>
      <w:r>
        <w:t>ate.</w:t>
      </w:r>
    </w:p>
    <w:p w:rsidR="004D38C4" w:rsidRDefault="00BC2113">
      <w:pPr>
        <w:pStyle w:val="HEADER3NOTES"/>
        <w:rPr>
          <w:noProof/>
        </w:rPr>
      </w:pPr>
      <w:r>
        <w:rPr>
          <w:noProof/>
        </w:rPr>
        <w:t>Pre-financing amounts</w:t>
      </w:r>
    </w:p>
    <w:p w:rsidR="004D38C4" w:rsidRDefault="00BC2113">
      <w:pPr>
        <w:pStyle w:val="DGTextstand-alone"/>
      </w:pPr>
      <w:r>
        <w:t>Pre-financing is a payment intended to provide the beneficiary with a cash advance, i.e. a float. It may be split into a number of payments over a period defined in the particular contract, decision, agreement or basic legal act.</w:t>
      </w:r>
      <w:r>
        <w:t xml:space="preserve"> The float or advance is either used for the purpose for which it was provided during the period defined in the agreement or it is repaid. If the beneficiary does not incur eligible expenditure, they have the obligation to return the pre-financing advance </w:t>
      </w:r>
      <w:r>
        <w:t xml:space="preserve">to the EU. The amount of the pre-financing may be reduced (wholly or partially) by the acceptance of eligible costs (which are recognised as expenses). </w:t>
      </w:r>
    </w:p>
    <w:p w:rsidR="004D38C4" w:rsidRDefault="00BC2113">
      <w:pPr>
        <w:pStyle w:val="DGTextstand-alone"/>
      </w:pPr>
      <w:r>
        <w:t>Pre-financing is, on subsequent balance sheet dates, measured at the amount initially recognised on the</w:t>
      </w:r>
      <w:r>
        <w:t xml:space="preserve"> balance sheet less eligible expenses (including estimated amounts where necessary) incurred during the period. </w:t>
      </w:r>
    </w:p>
    <w:p w:rsidR="004D38C4" w:rsidRDefault="00BC2113">
      <w:pPr>
        <w:pStyle w:val="DGTextstand-alone"/>
      </w:pPr>
      <w:r>
        <w:t>Interest on pre-financing is recognised as it is earned in accordance with the provisions of the relevant agreement. An estimate of the accrued</w:t>
      </w:r>
      <w:r>
        <w:t xml:space="preserve"> interest revenue, based on the most reliable information, is made at the year-end and included on the balance sheet.</w:t>
      </w:r>
    </w:p>
    <w:p w:rsidR="004D38C4" w:rsidRDefault="00BC2113">
      <w:pPr>
        <w:pStyle w:val="DGTextstand-alone"/>
      </w:pPr>
      <w:r>
        <w:t>Other advances to Member States which originate from reimbursement by the EU of amounts paid as advances by the Member States to their ben</w:t>
      </w:r>
      <w:r>
        <w:t>eficiaries (including "financial instruments under shared management") are recognised as assets and presented under the pre-financing heading. Other advances to Member States are subsequently measured at the amount initially recognised on the balance sheet</w:t>
      </w:r>
      <w:r>
        <w:t xml:space="preserve"> less a best estimate of the eligible expenses incurred by final beneficiaries, calculated on the basis of reasonable and supportable assumptions.</w:t>
      </w:r>
    </w:p>
    <w:p w:rsidR="004D38C4" w:rsidRDefault="00BC2113">
      <w:pPr>
        <w:pStyle w:val="DGTextstand-alone"/>
      </w:pPr>
      <w:r>
        <w:t>The EU contributions to the trust funds of the European Development Fund or other unconsolidated entities are</w:t>
      </w:r>
      <w:r>
        <w:t xml:space="preserve"> also classified as pre-financing since their purpose is to give a float to the trust fund to allow it to finance specific actions defined under the trust fund's objectives. The EU contributions to trust funds are measured at the initial amount of the EU c</w:t>
      </w:r>
      <w:r>
        <w:t>ontribution less eligible expenses, including estimated amounts where necessary, incurred by the trust fund during the reporting period and allocated to the EU contribution in accordance with the underlying agreement.</w:t>
      </w:r>
    </w:p>
    <w:p w:rsidR="004D38C4" w:rsidRDefault="00BC2113">
      <w:pPr>
        <w:pStyle w:val="HEADER3NOTES"/>
        <w:rPr>
          <w:noProof/>
        </w:rPr>
      </w:pPr>
      <w:r>
        <w:rPr>
          <w:noProof/>
        </w:rPr>
        <w:t xml:space="preserve">Exchange receivables and non-exchange </w:t>
      </w:r>
      <w:r>
        <w:rPr>
          <w:noProof/>
        </w:rPr>
        <w:t>recoverables</w:t>
      </w:r>
    </w:p>
    <w:p w:rsidR="004D38C4" w:rsidRDefault="00BC2113">
      <w:pPr>
        <w:pStyle w:val="DGTextstand-alone"/>
      </w:pPr>
      <w:r>
        <w:t>As the EU accounting rules require a separate presentation of exchange and non-exchange transactions, for the purpose of drawing up the accounts, receivables are defined as stemming from exchange transactions and recoverables are defined as st</w:t>
      </w:r>
      <w:r>
        <w:t>emming from non-exchange transactions, i.e. when the EU receives value from another entity without directly giving approximately equal value in exchange (for example recoverables from Member States related to own resources).</w:t>
      </w:r>
    </w:p>
    <w:p w:rsidR="004D38C4" w:rsidRDefault="00BC2113">
      <w:pPr>
        <w:pStyle w:val="DGTextstand-alone"/>
      </w:pPr>
      <w:r>
        <w:t>Receivables from exchange trans</w:t>
      </w:r>
      <w:r>
        <w:t xml:space="preserve">actions meet the definition of financial instruments and are thus classified as loans and receivables and measured accordingly (see note </w:t>
      </w:r>
      <w:r>
        <w:rPr>
          <w:b/>
        </w:rPr>
        <w:t>1.5.5</w:t>
      </w:r>
      <w:r>
        <w:t xml:space="preserve">). The financial instruments notes disclosures concerning receivables from exchange transactions include accrued </w:t>
      </w:r>
      <w:r>
        <w:t>revenue and deferred charges from exchange transactions as they are not material.</w:t>
      </w:r>
    </w:p>
    <w:p w:rsidR="004D38C4" w:rsidRDefault="00BC2113">
      <w:pPr>
        <w:pStyle w:val="DGTextstand-alone"/>
        <w:spacing w:after="0"/>
      </w:pPr>
      <w:r>
        <w:t>Recoverables from non-exchange transactions are carried at original amount (adjusted for interest and penalties) less write-down for impairment. A write-down for impairment o</w:t>
      </w:r>
      <w:r>
        <w:t xml:space="preserve">f recoverables from </w:t>
      </w:r>
      <w:r>
        <w:br/>
        <w:t>non-exchange transactions is established when there is objective evidence that the EU will not be able to collect all amounts due according to the original terms of recoverables from non-exchange transactions. The amount of the write-d</w:t>
      </w:r>
      <w:r>
        <w:t>own is the difference between the asset’s carrying amount and the recoverable amount. The amount of the write-down is recognised in the statement of financial performance. A general write-down, based on past experience, is also made for outstanding recover</w:t>
      </w:r>
      <w:r>
        <w:t xml:space="preserve">y orders not already subject to a specific write-down. See note </w:t>
      </w:r>
      <w:r>
        <w:rPr>
          <w:b/>
        </w:rPr>
        <w:t>1.5.14</w:t>
      </w:r>
      <w:r>
        <w:t xml:space="preserve"> concerning the treatment of accrued revenue at year-end. Amounts displayed and disclosed as recoverables from non-exchanges transactions are not financial instruments as they do not ari</w:t>
      </w:r>
      <w:r>
        <w:t>se from a contract that would give rise to a financial liability or equity instrument. However, in the notes to the financial statements recoverables from non-exchange transactions are disclosed together with receivables from exchange transactions where ap</w:t>
      </w:r>
      <w:r>
        <w:t>propriate.</w:t>
      </w:r>
    </w:p>
    <w:p w:rsidR="004D38C4" w:rsidRDefault="00BC2113">
      <w:pPr>
        <w:pStyle w:val="HEADER3NOTES"/>
        <w:rPr>
          <w:noProof/>
        </w:rPr>
      </w:pPr>
      <w:r>
        <w:rPr>
          <w:noProof/>
        </w:rPr>
        <w:t>Cash and cash equivalents</w:t>
      </w:r>
    </w:p>
    <w:p w:rsidR="004D38C4" w:rsidRDefault="00BC2113">
      <w:pPr>
        <w:pStyle w:val="DGTextstand-alone"/>
      </w:pPr>
      <w:r>
        <w:t>Cash and cash equivalents are financial instruments and include cash at hand, deposits held at call or at short notice with banks and other short-term highly liquid investments with original maturities of three months o</w:t>
      </w:r>
      <w:r>
        <w:t>r less.</w:t>
      </w:r>
    </w:p>
    <w:p w:rsidR="004D38C4" w:rsidRDefault="00BC2113">
      <w:pPr>
        <w:pStyle w:val="HEADER3NOTES"/>
        <w:rPr>
          <w:noProof/>
        </w:rPr>
      </w:pPr>
      <w:r>
        <w:rPr>
          <w:noProof/>
        </w:rPr>
        <w:t>Pension and other employee benefits</w:t>
      </w:r>
    </w:p>
    <w:p w:rsidR="004D38C4" w:rsidRDefault="00BC2113">
      <w:pPr>
        <w:pStyle w:val="HEADER5"/>
        <w:rPr>
          <w:b/>
          <w:noProof/>
        </w:rPr>
      </w:pPr>
      <w:r>
        <w:rPr>
          <w:noProof/>
        </w:rPr>
        <w:t>Pension obligations</w:t>
      </w:r>
    </w:p>
    <w:p w:rsidR="004D38C4" w:rsidRDefault="00BC2113">
      <w:pPr>
        <w:pStyle w:val="DGTextstand-alone"/>
      </w:pPr>
      <w:r>
        <w:t>The EU operates defined benefit pension plans. Whilst staff contribute from their salaries one third of the expected cost of these benefits, the liability is not funded. The liability recognis</w:t>
      </w:r>
      <w:r>
        <w:t>ed in the balance sheet in respect of defined benefit pension plans is the present value of the defined benefit obligation at the balance sheet date less the fair value of any plan assets. The defined benefit obligation is calculated by actuaries using the</w:t>
      </w:r>
      <w:r>
        <w:t xml:space="preserve"> projected unit credit method. The present value of the defined benefit obligation is determined by discounting the estimated future cash outflows using interest rates of government bonds that are denominated in the currency in which the benefits will be p</w:t>
      </w:r>
      <w:r>
        <w:t>aid, and that have terms to maturity approximating to the terms of the related pension liability.</w:t>
      </w:r>
    </w:p>
    <w:p w:rsidR="004D38C4" w:rsidRDefault="00BC2113">
      <w:pPr>
        <w:pStyle w:val="DGTextstand-alone"/>
      </w:pPr>
      <w:r>
        <w:t>Actuarial gains and losses arising from experience adjustments and changes in actuarial assumptions are recognised immediately in the statement of financial p</w:t>
      </w:r>
      <w:r>
        <w:t>erformance. Past-service costs are recognised immediately in statement of financial performance, unless the changes to the pension plan are conditional on the employees remaining in service for a specified period of time (the vesting period). In this case,</w:t>
      </w:r>
      <w:r>
        <w:t xml:space="preserve"> the past-service costs are amortised on a straight-line basis over the vesting period.</w:t>
      </w:r>
    </w:p>
    <w:p w:rsidR="004D38C4" w:rsidRDefault="00BC2113">
      <w:pPr>
        <w:pStyle w:val="HEADER5"/>
        <w:rPr>
          <w:b/>
          <w:noProof/>
        </w:rPr>
      </w:pPr>
      <w:r>
        <w:rPr>
          <w:noProof/>
        </w:rPr>
        <w:t>Post-employment sickness benefits</w:t>
      </w:r>
    </w:p>
    <w:p w:rsidR="004D38C4" w:rsidRDefault="00BC2113">
      <w:pPr>
        <w:pStyle w:val="DGTextstand-alone"/>
      </w:pPr>
      <w:r>
        <w:t>The EU provides health benefits to its employees through the reimbursement of medical expenses. A separate fund has been created for i</w:t>
      </w:r>
      <w:r>
        <w:t>ts day-to-day administration. Both current employees, pensioners, widowers and their relatives benefit from the system. The benefits granted to the "inactives" (pensioners, orphans, etc.) are classified as "Post-Employment Employee Benefits". Given the nat</w:t>
      </w:r>
      <w:r>
        <w:t>ure of these benefits, an actuarial calculation is required. The liability in the balance sheet is determined on a similar basis as that for the pension obligations (see above).</w:t>
      </w:r>
    </w:p>
    <w:p w:rsidR="004D38C4" w:rsidRDefault="00BC2113">
      <w:pPr>
        <w:pStyle w:val="HEADER3NOTES"/>
        <w:rPr>
          <w:noProof/>
        </w:rPr>
      </w:pPr>
      <w:r>
        <w:rPr>
          <w:noProof/>
        </w:rPr>
        <w:t>Provisions</w:t>
      </w:r>
    </w:p>
    <w:p w:rsidR="004D38C4" w:rsidRDefault="00BC2113">
      <w:pPr>
        <w:pStyle w:val="DGTextstand-alone"/>
      </w:pPr>
      <w:r>
        <w:t>Provisions are recognised when the EU has a present legal or constr</w:t>
      </w:r>
      <w:r>
        <w:t>uctive obligation towards third parties as a result of past events, it is more likely than not that an outflow of resources will be required to settle the obligation, and the amount can be reliably estimated. Provisions are not recognised for future operat</w:t>
      </w:r>
      <w:r>
        <w:t xml:space="preserve">ing losses. The amount of the provision is the best estimate of the expenses expected to be required to settle the present obligation at the reporting date. Where the provision involves a large number of items, the obligation is estimated by weighting all </w:t>
      </w:r>
      <w:r>
        <w:t>possible outcomes by their associated probabilities (“expected value” method).</w:t>
      </w:r>
    </w:p>
    <w:p w:rsidR="004D38C4" w:rsidRDefault="00BC2113">
      <w:pPr>
        <w:pStyle w:val="HEADER3NOTES"/>
        <w:rPr>
          <w:noProof/>
        </w:rPr>
      </w:pPr>
      <w:r>
        <w:rPr>
          <w:noProof/>
        </w:rPr>
        <w:t>Financial liabilities</w:t>
      </w:r>
    </w:p>
    <w:p w:rsidR="004D38C4" w:rsidRDefault="00BC2113">
      <w:pPr>
        <w:pStyle w:val="DGTextstand-alone"/>
      </w:pPr>
      <w:r>
        <w:t xml:space="preserve">Financial liabilities are classified as financial liabilities at fair value through surplus or deficit, financial liabilities carried at amortised cost or </w:t>
      </w:r>
      <w:r>
        <w:t>as financial guarantee liabilities.</w:t>
      </w:r>
    </w:p>
    <w:p w:rsidR="004D38C4" w:rsidRDefault="00BC2113">
      <w:pPr>
        <w:pStyle w:val="DGTextstand-alone"/>
      </w:pPr>
      <w:r>
        <w:t>Borrowings are composed of borrowings from credit institutions and debts evidenced by certificates. They are recognised initially at fair value, being their issue proceeds (fair value of consideration received) net of tr</w:t>
      </w:r>
      <w:r>
        <w:t xml:space="preserve">ansaction costs incurred, then subsequently carried at amortised cost using the effective interest method; any difference between proceeds, net of transaction costs, and the redemption value is recognised in the statement of financial performance over the </w:t>
      </w:r>
      <w:r>
        <w:t>period of the borrowings using the effective interest method. In the case of loans granted on borrowed funds, the effective interest method may not be applied to loans and borrowings, based on materiality considerations. The transaction costs incurred by t</w:t>
      </w:r>
      <w:r>
        <w:t>he EU and then recharged to the beneficiary of the loan are directly recognised in the statement of financial performance.</w:t>
      </w:r>
    </w:p>
    <w:p w:rsidR="004D38C4" w:rsidRDefault="00BC2113">
      <w:pPr>
        <w:pStyle w:val="DGTextstand-alone"/>
      </w:pPr>
      <w:r>
        <w:t>Financial liabilities categorised at fair value through surplus or deficit include derivatives which fair value is negative. They fol</w:t>
      </w:r>
      <w:r>
        <w:t xml:space="preserve">low the same accounting treatment as financial assets at fair value through surplus or deficit, see note </w:t>
      </w:r>
      <w:r>
        <w:rPr>
          <w:b/>
        </w:rPr>
        <w:t>1.5.5</w:t>
      </w:r>
      <w:r>
        <w:t xml:space="preserve">. </w:t>
      </w:r>
    </w:p>
    <w:p w:rsidR="004D38C4" w:rsidRDefault="00BC2113">
      <w:pPr>
        <w:pStyle w:val="DGTextstand-alone"/>
      </w:pPr>
      <w:r>
        <w:t>Financial guarantee liabilities are initially recognised at fair value, being the premium received. Subsequently, financial guarantee liabiliti</w:t>
      </w:r>
      <w:r>
        <w:t>es are measured at the higher of the best estimate of the expenses expected to be required to settle the financial guarantee liability and the amount initially recognised less, when appropriate, cumulative amortisation. The EU recognises a financial guaran</w:t>
      </w:r>
      <w:r>
        <w:t>tee liability when it receives consideration for granting of the guarantee, that is at market terms, or when the fair value of the guarantee can be measured reliably. In case no active market for a directly equivalent guarantee contract exists, the EU disc</w:t>
      </w:r>
      <w:r>
        <w:t xml:space="preserve">loses the guarantee given as a contingent liability (see note </w:t>
      </w:r>
      <w:r>
        <w:rPr>
          <w:b/>
        </w:rPr>
        <w:t>1.7.2</w:t>
      </w:r>
      <w:r>
        <w:t xml:space="preserve">) or - when it is more likely than not that an outflow of resources will be required to settle the obligation – the EU recognises a provision (see note </w:t>
      </w:r>
      <w:r>
        <w:rPr>
          <w:b/>
        </w:rPr>
        <w:t>1.5.11</w:t>
      </w:r>
      <w:r>
        <w:t>).</w:t>
      </w:r>
    </w:p>
    <w:p w:rsidR="004D38C4" w:rsidRDefault="00BC2113">
      <w:pPr>
        <w:pStyle w:val="DGTextstand-alone"/>
      </w:pPr>
      <w:r>
        <w:t>Financial liabilities are cl</w:t>
      </w:r>
      <w:r>
        <w:t xml:space="preserve">assified as non-current liabilities, except for maturities less than 12 months after the balance sheet date. </w:t>
      </w:r>
    </w:p>
    <w:p w:rsidR="004D38C4" w:rsidRDefault="00BC2113">
      <w:pPr>
        <w:pStyle w:val="DGTextstand-alone"/>
      </w:pPr>
      <w:r>
        <w:t>EU trust funds that are considered as part of the Commission's operational activities are accounted for in the Commission accounts and further con</w:t>
      </w:r>
      <w:r>
        <w:t>solidated in the EU annual accounts. Therefore, contributions from other donors to the EU trust funds fulfil the criteria of revenues from non-exchange transactions under conditions and they are presented as financial liabilities until the conditions attac</w:t>
      </w:r>
      <w:r>
        <w:t>hed to the contributions transferred are met, i.e. eligible costs are incurred by the trust fund. The trust fund is required to finance specific projects and return remaining funds at the time of winding-up. At the balance sheet date the outstanding contri</w:t>
      </w:r>
      <w:r>
        <w:t xml:space="preserve">bution liabilities are measured at contributions received less the expenses incurred by the trust fund, including estimated amounts when necessary. For reporting purposes the net expenses are allocated to the contributions of other donors in proportion to </w:t>
      </w:r>
      <w:r>
        <w:t>net contributions paid as at 31 December. This allocation of contributions is only indicative. When the trust fund is wound up the actual split of remaining resources will be decided by the trust fund board.</w:t>
      </w:r>
    </w:p>
    <w:p w:rsidR="004D38C4" w:rsidRDefault="00BC2113">
      <w:pPr>
        <w:pStyle w:val="HEADER3NOTES"/>
        <w:rPr>
          <w:noProof/>
        </w:rPr>
      </w:pPr>
      <w:r>
        <w:rPr>
          <w:noProof/>
        </w:rPr>
        <w:t>Payables</w:t>
      </w:r>
    </w:p>
    <w:p w:rsidR="004D38C4" w:rsidRDefault="00BC2113">
      <w:pPr>
        <w:pStyle w:val="DGTextstand-alone"/>
      </w:pPr>
      <w:r>
        <w:t>A significant amount of the payables of</w:t>
      </w:r>
      <w:r>
        <w:t xml:space="preserve"> the EU are unpaid cost claims from beneficiaries of grants or other EU funding (non-exchange transactions). They are recorded as payables for the requested amount when the cost claim is received. Upon verification and acceptance of the eligible costs, the</w:t>
      </w:r>
      <w:r>
        <w:t xml:space="preserve"> payables are valued at the accepted and eligible amount.</w:t>
      </w:r>
    </w:p>
    <w:p w:rsidR="004D38C4" w:rsidRDefault="00BC2113">
      <w:pPr>
        <w:pStyle w:val="DGTextstand-alone"/>
      </w:pPr>
      <w:r>
        <w:t>Payables arising from the purchase of goods and services are recognised at invoice reception for the original amount and corresponding expenses are entered in the accounts when the supplies or servi</w:t>
      </w:r>
      <w:r>
        <w:t>ces are delivered and accepted by the EU.</w:t>
      </w:r>
    </w:p>
    <w:p w:rsidR="004D38C4" w:rsidRDefault="00BC2113">
      <w:pPr>
        <w:pStyle w:val="HEADER3NOTES"/>
        <w:keepNext/>
        <w:rPr>
          <w:noProof/>
        </w:rPr>
      </w:pPr>
      <w:r>
        <w:rPr>
          <w:noProof/>
        </w:rPr>
        <w:t>Accrued and deferred revenue and charges</w:t>
      </w:r>
    </w:p>
    <w:p w:rsidR="004D38C4" w:rsidRDefault="00BC2113">
      <w:pPr>
        <w:pStyle w:val="DGTextstand-alone"/>
      </w:pPr>
      <w:r>
        <w:t xml:space="preserve">Transactions and events are recognised in the financial statements in the period to which they relate. At year-end, if an invoice is not yet issued but the service has been </w:t>
      </w:r>
      <w:r>
        <w:t>rendered, the supplies have been delivered by the EU or a contractual agreement exists (e.g. by reference to a treaty), an accrued revenue will be recognised in the financial statements. In addition, at year-end, if an invoice is issued but the services ha</w:t>
      </w:r>
      <w:r>
        <w:t>ve not yet been rendered or the goods supplied have not yet been delivered, the revenue will be deferred and recognised in the subsequent accounting period.</w:t>
      </w:r>
    </w:p>
    <w:p w:rsidR="004D38C4" w:rsidRDefault="00BC2113">
      <w:pPr>
        <w:pStyle w:val="DGTextstand-alone"/>
      </w:pPr>
      <w:r>
        <w:t>Expenses are also accounted for in the period to which they relate. At the end of the accounting pe</w:t>
      </w:r>
      <w:r>
        <w:t xml:space="preserve">riod, accrued expenses are recognised based on an estimated amount of the transfer obligation of the period. The calculation of accrued expenses is done in accordance with detailed operational and practical guidelines issued by the Commission which aim at </w:t>
      </w:r>
      <w:r>
        <w:t xml:space="preserve">ensuring that the financial statements provide a faithful representation of the economic and other phenomena they purport to represent. By analogy, if payment has been made in advance for services or goods that have not yet been received, the expense will </w:t>
      </w:r>
      <w:r>
        <w:t>be deferred and recognised in the subsequent accounting period.</w:t>
      </w:r>
    </w:p>
    <w:p w:rsidR="004D38C4" w:rsidRDefault="00BC2113">
      <w:pPr>
        <w:pStyle w:val="HEADER2NOTES"/>
        <w:rPr>
          <w:noProof/>
        </w:rPr>
      </w:pPr>
      <w:r>
        <w:rPr>
          <w:noProof/>
        </w:rPr>
        <w:t>STATEMENT OF FINANCIAL PERFORMANCE</w:t>
      </w:r>
    </w:p>
    <w:p w:rsidR="004D38C4" w:rsidRDefault="00BC2113">
      <w:pPr>
        <w:pStyle w:val="HEADER3NOTES"/>
        <w:rPr>
          <w:noProof/>
        </w:rPr>
      </w:pPr>
      <w:r>
        <w:rPr>
          <w:noProof/>
        </w:rPr>
        <w:t>Revenue</w:t>
      </w:r>
    </w:p>
    <w:p w:rsidR="004D38C4" w:rsidRDefault="00BC2113">
      <w:pPr>
        <w:pStyle w:val="HEADER5"/>
        <w:rPr>
          <w:b/>
          <w:noProof/>
        </w:rPr>
      </w:pPr>
      <w:r>
        <w:rPr>
          <w:noProof/>
        </w:rPr>
        <w:t>REVENUE FROM NON-EXCHANGE TRANSACTIONS</w:t>
      </w:r>
    </w:p>
    <w:p w:rsidR="004D38C4" w:rsidRDefault="00BC2113">
      <w:pPr>
        <w:pStyle w:val="DGTextstand-alone"/>
      </w:pPr>
      <w:r>
        <w:t>The vast majority of the EU's revenue relates to non-exchange transactions:</w:t>
      </w:r>
    </w:p>
    <w:p w:rsidR="004D38C4" w:rsidRDefault="00BC2113">
      <w:pPr>
        <w:pStyle w:val="HEADER5"/>
        <w:rPr>
          <w:b/>
          <w:noProof/>
        </w:rPr>
      </w:pPr>
      <w:r>
        <w:rPr>
          <w:noProof/>
        </w:rPr>
        <w:t>GNI based resources and VAT resour</w:t>
      </w:r>
      <w:r>
        <w:rPr>
          <w:noProof/>
        </w:rPr>
        <w:t>ces</w:t>
      </w:r>
    </w:p>
    <w:p w:rsidR="004D38C4" w:rsidRDefault="00BC2113">
      <w:pPr>
        <w:pStyle w:val="DGTextstand-alone"/>
      </w:pPr>
      <w:r>
        <w:t>Revenue is recognised for the period for which the Commission sends out a call for funds to the Member States claiming their contribution. They are measured at their “called amount”. As VAT and GNI resources are based on estimates of the data for the b</w:t>
      </w:r>
      <w:r>
        <w:t>udgetary year concerned, they may be revised as changes occur until the final data are issued by the Member States. The effect of a change in estimate is included when determining the net surplus or deficit for the period in which the change occurred.</w:t>
      </w:r>
    </w:p>
    <w:p w:rsidR="004D38C4" w:rsidRDefault="00BC2113">
      <w:pPr>
        <w:pStyle w:val="HEADER5"/>
        <w:rPr>
          <w:b/>
          <w:noProof/>
        </w:rPr>
      </w:pPr>
      <w:r>
        <w:rPr>
          <w:noProof/>
        </w:rPr>
        <w:t>Trad</w:t>
      </w:r>
      <w:r>
        <w:rPr>
          <w:noProof/>
        </w:rPr>
        <w:t>itional own resources</w:t>
      </w:r>
    </w:p>
    <w:p w:rsidR="004D38C4" w:rsidRDefault="00BC2113">
      <w:pPr>
        <w:pStyle w:val="DGTextstand-alone"/>
      </w:pPr>
      <w:r>
        <w:t>Recoverables from non-exchange transactions and related revenues are recognised when the relevant monthly "A" statements (including duties collected and amounts due that are guaranteed and not contested) are received from the Member S</w:t>
      </w:r>
      <w:r>
        <w:t xml:space="preserve">tates. At the reporting date, revenue collected by the Member States for the period but not yet paid to the Commission is estimated and recognised as accrued revenue. The quarterly "B" statements (including duties neither collected nor guaranteed, as well </w:t>
      </w:r>
      <w:r>
        <w:t>as guaranteed amounts that have been contested by the debtor) received from the Member States are recognised as revenue less the collection costs to which they are entitled. In addition, a value reduction is recognised for the amount of the estimated recov</w:t>
      </w:r>
      <w:r>
        <w:t>ery gap.</w:t>
      </w:r>
    </w:p>
    <w:p w:rsidR="004D38C4" w:rsidRDefault="00BC2113">
      <w:pPr>
        <w:pStyle w:val="HEADER5"/>
        <w:rPr>
          <w:b/>
          <w:noProof/>
        </w:rPr>
      </w:pPr>
      <w:r>
        <w:rPr>
          <w:noProof/>
        </w:rPr>
        <w:t>Fines</w:t>
      </w:r>
    </w:p>
    <w:p w:rsidR="004D38C4" w:rsidRDefault="00BC2113">
      <w:pPr>
        <w:pStyle w:val="DGTextstand-alone"/>
      </w:pPr>
      <w:r>
        <w:t xml:space="preserve">Revenue from fines is recognised when the EU's decision imposing a fine has been taken and it is officially notified to the addressee. If there are doubts about the undertaking's solvency, a value reduction on the entitlement is recognised. </w:t>
      </w:r>
      <w:r>
        <w:t>After the decision to impose a fine, the debtors have two months from the date of notification:</w:t>
      </w:r>
    </w:p>
    <w:p w:rsidR="004D38C4" w:rsidRDefault="00BC2113">
      <w:pPr>
        <w:pStyle w:val="DGTextstand-alone"/>
        <w:numPr>
          <w:ilvl w:val="0"/>
          <w:numId w:val="26"/>
        </w:numPr>
      </w:pPr>
      <w:r>
        <w:t>either to accept the decision, in which case they must pay the fine within the time limit laid down and the amount is definitively collected by the EU;</w:t>
      </w:r>
    </w:p>
    <w:p w:rsidR="004D38C4" w:rsidRDefault="00BC2113">
      <w:pPr>
        <w:pStyle w:val="DGTextstand-alone"/>
        <w:numPr>
          <w:ilvl w:val="0"/>
          <w:numId w:val="26"/>
        </w:numPr>
      </w:pPr>
      <w:r>
        <w:t>or not t</w:t>
      </w:r>
      <w:r>
        <w:t xml:space="preserve">o accept the decision, in which case they lodge an appeal under EU law. </w:t>
      </w:r>
    </w:p>
    <w:p w:rsidR="004D38C4" w:rsidRDefault="00BC2113">
      <w:pPr>
        <w:pStyle w:val="DGTextstand-alone"/>
      </w:pPr>
      <w:r>
        <w:t>However, even if appealed, the fine must be paid within the time limit of three months laid down as the appeal does not have suspensory effect (Article 278 of the EU Treaty) or, under</w:t>
      </w:r>
      <w:r>
        <w:t xml:space="preserve"> certain circumstances and subject to the agreement of the Commission's Accounting Officer, the debtor may present a bank guarantee for the amount instead.</w:t>
      </w:r>
    </w:p>
    <w:p w:rsidR="004D38C4" w:rsidRDefault="00BC2113">
      <w:pPr>
        <w:pStyle w:val="DGTextstand-alone"/>
      </w:pPr>
      <w:r>
        <w:t>If the undertaking appeals against the decision, and has already provisionally paid the fine, the am</w:t>
      </w:r>
      <w:r>
        <w:t>ount is disclosed as a contingent liability. However, since an appeal against an EU decision by the addressee does not have suspensory effect, the cash received is used to clear the recoverable. If a guarantee is received instead of payment, the fine remai</w:t>
      </w:r>
      <w:r>
        <w:t>ns as a recoverable. If it appears probable that the General Court may not rule in favour of the EU, a provision is recognised to cover this risk. If a guarantee had been given instead, then the recoverable outstanding is written-down as required. The accu</w:t>
      </w:r>
      <w:r>
        <w:t>mulated interest received by the Commission on the bank accounts where received payments are deposited is recognised as revenue, and any contingent liability is increased accordingly.</w:t>
      </w:r>
    </w:p>
    <w:p w:rsidR="004D38C4" w:rsidRDefault="00BC2113">
      <w:pPr>
        <w:pStyle w:val="DGTextstand-alone"/>
      </w:pPr>
      <w:r>
        <w:t>Since 2010, all provisionally cashed fines are managed by the Commission</w:t>
      </w:r>
      <w:r>
        <w:t xml:space="preserve"> in a specifically created fund (BUFI) and invested in financial instruments.</w:t>
      </w:r>
    </w:p>
    <w:p w:rsidR="004D38C4" w:rsidRDefault="00BC2113">
      <w:pPr>
        <w:pStyle w:val="HEADER5"/>
        <w:rPr>
          <w:b/>
          <w:noProof/>
        </w:rPr>
      </w:pPr>
      <w:r>
        <w:rPr>
          <w:noProof/>
        </w:rPr>
        <w:t>REVENUE FROM EXCHANGE TRANSACTIONS</w:t>
      </w:r>
    </w:p>
    <w:p w:rsidR="004D38C4" w:rsidRDefault="00BC2113">
      <w:pPr>
        <w:pStyle w:val="DGTextstand-alone"/>
      </w:pPr>
      <w:r>
        <w:t xml:space="preserve">Revenue from the sale of goods and services is recognised when the significant risk and rewards of ownership of the goods are transferred to </w:t>
      </w:r>
      <w:r>
        <w:t>the purchaser. Revenue associated with a transaction involving the provision of services is recognised by reference to the stage of completion of the transaction at the reporting date.</w:t>
      </w:r>
    </w:p>
    <w:p w:rsidR="004D38C4" w:rsidRDefault="00BC2113">
      <w:pPr>
        <w:pStyle w:val="HEADER5"/>
        <w:rPr>
          <w:b/>
          <w:noProof/>
        </w:rPr>
      </w:pPr>
      <w:r>
        <w:rPr>
          <w:noProof/>
        </w:rPr>
        <w:t>Interest revenue and expense</w:t>
      </w:r>
    </w:p>
    <w:p w:rsidR="004D38C4" w:rsidRDefault="00BC2113">
      <w:pPr>
        <w:pStyle w:val="DGTextstand-alone"/>
      </w:pPr>
      <w:r>
        <w:t>Interest revenue and expense are recognise</w:t>
      </w:r>
      <w:r>
        <w:t>d in the statement of financial performance using the effective interest method. This is a method of calculating the amortised cost of a financial asset or a financial liability and of allocating the interest revenue or interest expense over the relevant p</w:t>
      </w:r>
      <w:r>
        <w:t>eriod. When calculating the effective interest rate, the EU estimates cashflows considering all contractual terms of the financial instrument (for example prepayment options) but does not consider future credit losses. The calculation includes all fees and</w:t>
      </w:r>
      <w:r>
        <w:t xml:space="preserve"> points paid or received between parties to the contract that are an integral part of the effective interest rate, transaction costs and all other premiums or discounts.</w:t>
      </w:r>
    </w:p>
    <w:p w:rsidR="004D38C4" w:rsidRDefault="00BC2113">
      <w:pPr>
        <w:pStyle w:val="DGTextstand-alone"/>
      </w:pPr>
      <w:r>
        <w:t>Once a financial asset or a group of similar financial assets has been written down as</w:t>
      </w:r>
      <w:r>
        <w:t xml:space="preserve"> a result of an impairment loss, interest revenue is recognised using the rate of interest to discount the future cashflows for the purpose of measuring the impairment loss.</w:t>
      </w:r>
    </w:p>
    <w:p w:rsidR="004D38C4" w:rsidRDefault="00BC2113">
      <w:pPr>
        <w:pStyle w:val="HEADER5"/>
        <w:rPr>
          <w:b/>
          <w:noProof/>
        </w:rPr>
      </w:pPr>
      <w:r>
        <w:rPr>
          <w:noProof/>
        </w:rPr>
        <w:t>Revenue from dividends</w:t>
      </w:r>
    </w:p>
    <w:p w:rsidR="004D38C4" w:rsidRDefault="00BC2113">
      <w:pPr>
        <w:pStyle w:val="DGTextstand-alone"/>
      </w:pPr>
      <w:r>
        <w:t>Revenue from dividends and similar distributions is recogni</w:t>
      </w:r>
      <w:r>
        <w:t>sed when the right to receive payment is established.</w:t>
      </w:r>
    </w:p>
    <w:p w:rsidR="004D38C4" w:rsidRDefault="00BC2113">
      <w:pPr>
        <w:pStyle w:val="HEADER3NOTES"/>
        <w:rPr>
          <w:noProof/>
        </w:rPr>
      </w:pPr>
      <w:r>
        <w:rPr>
          <w:noProof/>
        </w:rPr>
        <w:t>Expenses</w:t>
      </w:r>
    </w:p>
    <w:p w:rsidR="004D38C4" w:rsidRDefault="00BC2113">
      <w:pPr>
        <w:pStyle w:val="DGTextstand-alone"/>
      </w:pPr>
      <w:r>
        <w:t>Expenses from non-exchange transactions account for the majority of the EU's expenses. They relate to transfers to beneficiaries and can be of three types: entitlements, transfers under agreeme</w:t>
      </w:r>
      <w:r>
        <w:t>nt and discretionary grants, contributions and donations.</w:t>
      </w:r>
    </w:p>
    <w:p w:rsidR="004D38C4" w:rsidRDefault="00BC2113">
      <w:pPr>
        <w:pStyle w:val="DGTextstand-alone"/>
      </w:pPr>
      <w:r>
        <w:t>Transfers are recognised as expenses in the period during which the events giving rise to the transfer occurred, as long as the nature of the transfer is allowed by regulation (Financial Regulation,</w:t>
      </w:r>
      <w:r>
        <w:t xml:space="preserve"> Staff Regulations, or other regulation) or an agreement has been signed authorising the transfer; any eligibility criteria have been met by the beneficiary; and a reasonable estimate of the amount can be made.</w:t>
      </w:r>
    </w:p>
    <w:p w:rsidR="004D38C4" w:rsidRDefault="00BC2113">
      <w:pPr>
        <w:pStyle w:val="DGTextstand-alone"/>
      </w:pPr>
      <w:r>
        <w:t>When a request for payment or cost claim is r</w:t>
      </w:r>
      <w:r>
        <w:t>eceived and meets the recognition criteria, it is recognised as an expense for the eligible amount. At year-end, incurred eligible expenses due to the beneficiaries but not yet reported are estimated and recorded as accrued expenses.</w:t>
      </w:r>
    </w:p>
    <w:p w:rsidR="004D38C4" w:rsidRDefault="00BC2113">
      <w:pPr>
        <w:pStyle w:val="DGTextstand-alone"/>
      </w:pPr>
      <w:r>
        <w:t>Expenses from exchange</w:t>
      </w:r>
      <w:r>
        <w:t xml:space="preserve"> transactions arising from the purchase of goods and services are recognised when the supplies are delivered and accepted by the EU. They are valued at original invoice amount. Furthermore, at the balance sheet date expenses related to the service delivere</w:t>
      </w:r>
      <w:r>
        <w:t>d during the period for which an invoice has not yet been received or accepted are estimated and recognised in the statement of financial performance.</w:t>
      </w:r>
    </w:p>
    <w:p w:rsidR="004D38C4" w:rsidRDefault="00BC2113">
      <w:pPr>
        <w:pStyle w:val="HEADER2NOTES"/>
        <w:keepNext/>
        <w:rPr>
          <w:noProof/>
        </w:rPr>
      </w:pPr>
      <w:r>
        <w:rPr>
          <w:noProof/>
        </w:rPr>
        <w:t>CONTINGENT ASSETS AND LIABILITIES</w:t>
      </w:r>
    </w:p>
    <w:p w:rsidR="004D38C4" w:rsidRDefault="00BC2113">
      <w:pPr>
        <w:pStyle w:val="HEADER3NOTES"/>
        <w:keepNext/>
        <w:rPr>
          <w:noProof/>
        </w:rPr>
      </w:pPr>
      <w:r>
        <w:rPr>
          <w:noProof/>
        </w:rPr>
        <w:t>Contingent assets</w:t>
      </w:r>
    </w:p>
    <w:p w:rsidR="004D38C4" w:rsidRDefault="00BC2113">
      <w:pPr>
        <w:pStyle w:val="DGTextstand-alone"/>
      </w:pPr>
      <w:r>
        <w:t>A contingent asset is a possible asset that arises fr</w:t>
      </w:r>
      <w:r>
        <w:t>om past events and of which the existence will be confirmed only by the occurrence or non-occurrence of one or more uncertain future events not wholly within the control of the EU. A contingent asset is disclosed when an inflow of economic benefits or serv</w:t>
      </w:r>
      <w:r>
        <w:t>ice potential is probable.</w:t>
      </w:r>
    </w:p>
    <w:p w:rsidR="004D38C4" w:rsidRDefault="00BC2113">
      <w:pPr>
        <w:pStyle w:val="HEADER3NOTES"/>
        <w:rPr>
          <w:noProof/>
        </w:rPr>
      </w:pPr>
      <w:r>
        <w:rPr>
          <w:noProof/>
        </w:rPr>
        <w:t>Contingent liabilities</w:t>
      </w:r>
    </w:p>
    <w:p w:rsidR="004D38C4" w:rsidRDefault="00BC2113">
      <w:pPr>
        <w:pStyle w:val="DGTextstand-alone"/>
      </w:pPr>
      <w:r>
        <w:t xml:space="preserve">A contingent liability is a possible obligation that arises from past events and of which the existence will be confirmed only by the occurrence or non-occurrence of one or more uncertain future events not </w:t>
      </w:r>
      <w:r>
        <w:t>wholly within the control of the EU; or a present obligation that arises from past events but is not recognised because: it is not probable that an outflow of resources embodying economic benefits or service potential will be required to settle the obligat</w:t>
      </w:r>
      <w:r>
        <w:t>ion or in the rare circumstances where the amount of the obligation cannot be measured with sufficient reliability.</w:t>
      </w:r>
    </w:p>
    <w:p w:rsidR="004D38C4" w:rsidRDefault="00BC2113">
      <w:pPr>
        <w:pStyle w:val="HEADER2NOTES"/>
        <w:rPr>
          <w:noProof/>
        </w:rPr>
      </w:pPr>
      <w:r>
        <w:rPr>
          <w:noProof/>
        </w:rPr>
        <w:t>CASHFLOW STATEMENT</w:t>
      </w:r>
    </w:p>
    <w:p w:rsidR="004D38C4" w:rsidRDefault="00BC2113">
      <w:pPr>
        <w:pStyle w:val="DGTextstand-alone"/>
      </w:pPr>
      <w:r>
        <w:t>Cashflow information is used to provide a basis for assessing the ability of the EU to generate cash and cash equivalents</w:t>
      </w:r>
      <w:r>
        <w:t>, and its needs to utilise those cashflows.</w:t>
      </w:r>
    </w:p>
    <w:p w:rsidR="004D38C4" w:rsidRDefault="00BC2113">
      <w:pPr>
        <w:pStyle w:val="DGTextstand-alone"/>
      </w:pPr>
      <w:r>
        <w:t>The cashflow statement is prepared using the indirect method. This means that the economic result for the financial year is adjusted for the effects of transactions of a non-cash nature, any deferrals or accruals</w:t>
      </w:r>
      <w:r>
        <w:t xml:space="preserve"> of past or future operating cash receipts or payments, and items of revenue or expense associated with investing cashflows.</w:t>
      </w:r>
    </w:p>
    <w:p w:rsidR="004D38C4" w:rsidRDefault="00BC2113">
      <w:pPr>
        <w:pStyle w:val="DGTextstand-alone"/>
      </w:pPr>
      <w:r>
        <w:t>Cashflows arising from transactions in a foreign currency are recorded in the EU’s reporting currency (Euro), by applying to the fo</w:t>
      </w:r>
      <w:r>
        <w:t>reign currency amount the exchange rate between the euro and the foreign currency at the date of the cashflow.</w:t>
      </w:r>
    </w:p>
    <w:p w:rsidR="004D38C4" w:rsidRDefault="00BC2113">
      <w:pPr>
        <w:pStyle w:val="DGTextstand-alone"/>
      </w:pPr>
      <w:r>
        <w:t>The cashflow statement reports cashflows during the period classified by operating and investing activities (the EU does not have financing activ</w:t>
      </w:r>
      <w:r>
        <w:t>ities).</w:t>
      </w:r>
    </w:p>
    <w:p w:rsidR="004D38C4" w:rsidRDefault="00BC2113">
      <w:pPr>
        <w:pStyle w:val="DGTextstand-alone"/>
      </w:pPr>
      <w:r>
        <w:t>Operating activities are the activities of the EU that are not investing activities. These are the majority of the activities performed. Loans granted to beneficiaries (and the related borrowings, when applicable) are not considered as investing (o</w:t>
      </w:r>
      <w:r>
        <w:t xml:space="preserve">r financing) activities as they are part of the general objectives and thus daily operations of the EU. </w:t>
      </w:r>
    </w:p>
    <w:p w:rsidR="004D38C4" w:rsidRDefault="00BC2113">
      <w:pPr>
        <w:pStyle w:val="DGTextstand-alone"/>
      </w:pPr>
      <w:r>
        <w:t>Investing activities are the acquisition and disposal of intangible assets and property, plant and equipment and of other investments which are not inc</w:t>
      </w:r>
      <w:r>
        <w:t>luded in cash equivalents. Investing activities do not include loans granted to beneficiaries. The objective is to show the real investments made by the EU.</w:t>
      </w:r>
    </w:p>
    <w:p w:rsidR="004D38C4" w:rsidRDefault="00BC2113">
      <w:pPr>
        <w:pStyle w:val="DGTextstand-alone"/>
        <w:sectPr w:rsidR="004D38C4">
          <w:type w:val="continuous"/>
          <w:pgSz w:w="11906" w:h="16838"/>
          <w:pgMar w:top="1134" w:right="1134" w:bottom="1134" w:left="1134" w:header="708" w:footer="708" w:gutter="0"/>
          <w:cols w:space="708"/>
          <w:docGrid w:linePitch="360"/>
        </w:sectPr>
      </w:pPr>
      <w:r>
        <w:t xml:space="preserve"> </w:t>
      </w:r>
      <w:bookmarkEnd w:id="31"/>
    </w:p>
    <w:p w:rsidR="004D38C4" w:rsidRDefault="00BC2113">
      <w:pPr>
        <w:pStyle w:val="HEADER1NOTES"/>
        <w:rPr>
          <w:noProof/>
        </w:rPr>
      </w:pPr>
      <w:bookmarkStart w:id="34" w:name="_Toc517247541"/>
      <w:bookmarkStart w:id="35" w:name="_DMBM_10995"/>
      <w:r>
        <w:rPr>
          <w:noProof/>
        </w:rPr>
        <w:t>NOTES TO THE BALANCE SHEET</w:t>
      </w:r>
      <w:bookmarkEnd w:id="34"/>
      <w:r>
        <w:rPr>
          <w:noProof/>
        </w:rPr>
        <w:t xml:space="preserve"> </w:t>
      </w:r>
    </w:p>
    <w:bookmarkEnd w:id="35"/>
    <w:p w:rsidR="004D38C4" w:rsidRDefault="004D38C4">
      <w:pPr>
        <w:pStyle w:val="DGTextstand-alone"/>
        <w:sectPr w:rsidR="004D38C4">
          <w:headerReference w:type="even" r:id="rId81"/>
          <w:headerReference w:type="default" r:id="rId82"/>
          <w:footerReference w:type="even" r:id="rId83"/>
          <w:footerReference w:type="default" r:id="rId84"/>
          <w:headerReference w:type="first" r:id="rId85"/>
          <w:footerReference w:type="first" r:id="rId86"/>
          <w:pgSz w:w="11906" w:h="16838"/>
          <w:pgMar w:top="1134" w:right="1134" w:bottom="1134" w:left="1134" w:header="709" w:footer="709" w:gutter="0"/>
          <w:cols w:space="708"/>
          <w:docGrid w:linePitch="360"/>
        </w:sectPr>
      </w:pPr>
    </w:p>
    <w:p w:rsidR="004D38C4" w:rsidRDefault="00BC2113">
      <w:pPr>
        <w:pStyle w:val="HEADERTABLE"/>
        <w:spacing w:after="0"/>
        <w:rPr>
          <w:noProof/>
          <w:lang w:val="fr-BE"/>
        </w:rPr>
      </w:pPr>
      <w:bookmarkStart w:id="36" w:name="_DMBM_10978"/>
      <w:r>
        <w:rPr>
          <w:noProof/>
          <w:lang w:val="fr-BE"/>
        </w:rPr>
        <w:t>ASSETS</w:t>
      </w:r>
    </w:p>
    <w:p w:rsidR="004D38C4" w:rsidRDefault="00BC2113">
      <w:pPr>
        <w:rPr>
          <w:noProof/>
          <w:lang w:val="fr-BE"/>
        </w:rPr>
        <w:sectPr w:rsidR="004D38C4">
          <w:headerReference w:type="even" r:id="rId87"/>
          <w:headerReference w:type="default" r:id="rId88"/>
          <w:footerReference w:type="even" r:id="rId89"/>
          <w:footerReference w:type="default" r:id="rId90"/>
          <w:headerReference w:type="first" r:id="rId91"/>
          <w:footerReference w:type="first" r:id="rId92"/>
          <w:type w:val="continuous"/>
          <w:pgSz w:w="11906" w:h="16838"/>
          <w:pgMar w:top="1134" w:right="1134" w:bottom="1134" w:left="1134" w:header="709" w:footer="709" w:gutter="0"/>
          <w:cols w:space="708"/>
          <w:docGrid w:linePitch="360"/>
        </w:sectPr>
      </w:pPr>
      <w:r>
        <w:rPr>
          <w:noProof/>
          <w:lang w:val="fr-BE"/>
        </w:rPr>
        <w:t xml:space="preserve"> </w:t>
      </w:r>
      <w:bookmarkEnd w:id="36"/>
    </w:p>
    <w:p w:rsidR="004D38C4" w:rsidRDefault="00BC2113">
      <w:pPr>
        <w:pStyle w:val="HEADER2NOTES"/>
        <w:rPr>
          <w:noProof/>
        </w:rPr>
      </w:pPr>
      <w:bookmarkStart w:id="37" w:name="_DMBM_10973"/>
      <w:r>
        <w:rPr>
          <w:noProof/>
        </w:rPr>
        <w:t>INTANGIBLE ASSETS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4D38C4">
        <w:tc>
          <w:tcPr>
            <w:tcW w:w="7621"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38" w:name="DOC_TBL00007_1_1"/>
            <w:bookmarkEnd w:id="38"/>
          </w:p>
        </w:tc>
        <w:tc>
          <w:tcPr>
            <w:tcW w:w="2126"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c>
          <w:tcPr>
            <w:tcW w:w="762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cs="Verdana"/>
              </w:rPr>
            </w:pPr>
          </w:p>
        </w:tc>
        <w:tc>
          <w:tcPr>
            <w:tcW w:w="2126"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Right025"/>
              <w:rPr>
                <w:rFonts w:cs="Verdana"/>
              </w:rPr>
            </w:pP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Gross carrying amount at 31.12.2016</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252</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Additions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26</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Disposals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Transfer between asset categories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4</w:t>
            </w:r>
          </w:p>
        </w:tc>
      </w:tr>
      <w:tr w:rsidR="004D38C4">
        <w:tc>
          <w:tcPr>
            <w:tcW w:w="762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Left"/>
              <w:rPr>
                <w:rFonts w:cs="Verdana"/>
              </w:rPr>
            </w:pPr>
            <w:r>
              <w:rPr>
                <w:rFonts w:cs="Verdana"/>
              </w:rPr>
              <w:t>Other changes</w:t>
            </w:r>
          </w:p>
        </w:tc>
        <w:tc>
          <w:tcPr>
            <w:tcW w:w="2126"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12</w:t>
            </w:r>
          </w:p>
        </w:tc>
      </w:tr>
      <w:tr w:rsidR="004D38C4">
        <w:tc>
          <w:tcPr>
            <w:tcW w:w="7621"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Text9pBoldLeft"/>
              <w:rPr>
                <w:rFonts w:cs="Verdana"/>
              </w:rPr>
            </w:pPr>
            <w:r>
              <w:rPr>
                <w:rFonts w:cs="Verdana"/>
              </w:rPr>
              <w:t>Gross carrying amount at 31.12.2017</w:t>
            </w:r>
          </w:p>
        </w:tc>
        <w:tc>
          <w:tcPr>
            <w:tcW w:w="2126"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 xml:space="preserve"> 292</w:t>
            </w:r>
          </w:p>
        </w:tc>
      </w:tr>
      <w:tr w:rsidR="004D38C4">
        <w:tc>
          <w:tcPr>
            <w:tcW w:w="7621"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Accumulated amortisation at 31.12.2016</w:t>
            </w:r>
          </w:p>
        </w:tc>
        <w:tc>
          <w:tcPr>
            <w:tcW w:w="2126"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(116)</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Amortisation charge for the year</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(27)</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Amortisation written back</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Disposals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Transfer between asset categories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w:t>
            </w:r>
          </w:p>
        </w:tc>
      </w:tr>
      <w:tr w:rsidR="004D38C4">
        <w:tc>
          <w:tcPr>
            <w:tcW w:w="7621"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9pItalicLeft"/>
              <w:rPr>
                <w:rFonts w:cs="Verdana"/>
              </w:rPr>
            </w:pPr>
            <w:r>
              <w:rPr>
                <w:rFonts w:cs="Verdana"/>
              </w:rPr>
              <w:t>Other changes</w:t>
            </w:r>
          </w:p>
        </w:tc>
        <w:tc>
          <w:tcPr>
            <w:tcW w:w="2126"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(0)</w:t>
            </w:r>
          </w:p>
        </w:tc>
      </w:tr>
      <w:tr w:rsidR="004D38C4">
        <w:tc>
          <w:tcPr>
            <w:tcW w:w="7621"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Accumulated amortisation at 31.12.2017</w:t>
            </w:r>
          </w:p>
        </w:tc>
        <w:tc>
          <w:tcPr>
            <w:tcW w:w="2126"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9pBoldRight025"/>
              <w:rPr>
                <w:rFonts w:cs="Verdana"/>
              </w:rPr>
            </w:pPr>
            <w:r>
              <w:rPr>
                <w:rFonts w:cs="Verdana"/>
              </w:rPr>
              <w:t xml:space="preserve"> (143)</w:t>
            </w:r>
          </w:p>
        </w:tc>
      </w:tr>
      <w:tr w:rsidR="004D38C4">
        <w:tc>
          <w:tcPr>
            <w:tcW w:w="7621" w:type="dxa"/>
            <w:tcBorders>
              <w:top w:val="nil"/>
              <w:left w:val="nil"/>
              <w:bottom w:val="single" w:sz="4" w:space="0" w:color="FFFFFF"/>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NET CARRYING AMOUNT AT 31.12.2017</w:t>
            </w:r>
          </w:p>
        </w:tc>
        <w:tc>
          <w:tcPr>
            <w:tcW w:w="2126" w:type="dxa"/>
            <w:tcBorders>
              <w:top w:val="nil"/>
              <w:left w:val="nil"/>
              <w:bottom w:val="single" w:sz="4" w:space="0" w:color="FFFFFF"/>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 xml:space="preserve"> 149</w:t>
            </w:r>
          </w:p>
        </w:tc>
      </w:tr>
      <w:tr w:rsidR="004D38C4">
        <w:tc>
          <w:tcPr>
            <w:tcW w:w="7621" w:type="dxa"/>
            <w:tcBorders>
              <w:top w:val="single" w:sz="4" w:space="0" w:color="FFFFFF"/>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NET CARRYING AMOUNT AT 31.12.2016</w:t>
            </w:r>
          </w:p>
        </w:tc>
        <w:tc>
          <w:tcPr>
            <w:tcW w:w="2126" w:type="dxa"/>
            <w:tcBorders>
              <w:top w:val="single" w:sz="4" w:space="0" w:color="FFFFFF"/>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135</w:t>
            </w:r>
          </w:p>
        </w:tc>
      </w:tr>
    </w:tbl>
    <w:p w:rsidR="004D38C4" w:rsidRDefault="00BC2113">
      <w:pPr>
        <w:pStyle w:val="Textstand-alone"/>
        <w:rPr>
          <w:lang w:val="fr-BE" w:bidi="en-GB"/>
        </w:rPr>
        <w:sectPr w:rsidR="004D38C4">
          <w:headerReference w:type="even" r:id="rId93"/>
          <w:headerReference w:type="default" r:id="rId94"/>
          <w:footerReference w:type="even" r:id="rId95"/>
          <w:footerReference w:type="default" r:id="rId96"/>
          <w:headerReference w:type="first" r:id="rId97"/>
          <w:footerReference w:type="first" r:id="rId98"/>
          <w:type w:val="continuous"/>
          <w:pgSz w:w="11906" w:h="16838"/>
          <w:pgMar w:top="1134" w:right="1134" w:bottom="1134" w:left="1134" w:header="709" w:footer="709" w:gutter="0"/>
          <w:cols w:space="708"/>
          <w:docGrid w:linePitch="360"/>
        </w:sectPr>
      </w:pPr>
      <w:r>
        <w:rPr>
          <w:lang w:val="fr-BE" w:bidi="en-GB"/>
        </w:rPr>
        <w:t xml:space="preserve"> </w:t>
      </w:r>
      <w:bookmarkEnd w:id="37"/>
    </w:p>
    <w:p w:rsidR="004D38C4" w:rsidRDefault="00BC2113">
      <w:pPr>
        <w:pStyle w:val="HEADER2NOTES"/>
        <w:rPr>
          <w:noProof/>
        </w:rPr>
      </w:pPr>
      <w:bookmarkStart w:id="39" w:name="_DMBM_10982"/>
      <w:r>
        <w:rPr>
          <w:noProof/>
        </w:rPr>
        <w:t>PROPERTY, PLANT AND EQUIPMENT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34"/>
        <w:gridCol w:w="992"/>
        <w:gridCol w:w="1276"/>
        <w:gridCol w:w="1417"/>
        <w:gridCol w:w="1134"/>
        <w:gridCol w:w="992"/>
        <w:gridCol w:w="1134"/>
        <w:gridCol w:w="1418"/>
        <w:gridCol w:w="1134"/>
      </w:tblGrid>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40" w:name="DOC_TBL00008_1_1"/>
            <w:bookmarkEnd w:id="40"/>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2552"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 millions</w:t>
            </w:r>
          </w:p>
        </w:tc>
      </w:tr>
      <w:tr w:rsidR="004D38C4">
        <w:trPr>
          <w:trHeight w:val="437"/>
        </w:trPr>
        <w:tc>
          <w:tcPr>
            <w:tcW w:w="3936"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Left"/>
              <w:rPr>
                <w:rFonts w:eastAsia="Verdana" w:cs="Verdana"/>
                <w:noProof/>
                <w:lang w:val="fr-BE" w:bidi="en-GB"/>
              </w:rPr>
            </w:pP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Land and buildings</w:t>
            </w:r>
          </w:p>
        </w:tc>
        <w:tc>
          <w:tcPr>
            <w:tcW w:w="992"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Space assets</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Plant and equipment</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 xml:space="preserve">Furniture and vehicles </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Computer hardware</w:t>
            </w:r>
          </w:p>
        </w:tc>
        <w:tc>
          <w:tcPr>
            <w:tcW w:w="992"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Other</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 xml:space="preserve">Finance leases </w:t>
            </w:r>
          </w:p>
        </w:tc>
        <w:tc>
          <w:tcPr>
            <w:tcW w:w="141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Assets under construction</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val="fr-BE" w:bidi="en-GB"/>
              </w:rPr>
            </w:pPr>
            <w:r>
              <w:rPr>
                <w:rFonts w:eastAsia="Verdana" w:cs="Verdana"/>
                <w:lang w:val="fr-BE" w:bidi="en-GB"/>
              </w:rPr>
              <w:t>TOTAL</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Gross carrying amount at 31.12.2016</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1 436</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3 602</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257</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74</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248</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155</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1 550</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1 925</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9 247</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Additions</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28</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7</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18</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8</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1 265</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1 333</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Disposals</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(20)</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(6)</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(6)</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(19)</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(56)</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Transfer between asset categories</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3</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641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(5)</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(646)</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w:t>
            </w:r>
          </w:p>
        </w:tc>
      </w:tr>
      <w:tr w:rsidR="004D38C4">
        <w:tc>
          <w:tcPr>
            <w:tcW w:w="393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Other changes</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21</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24</w:t>
            </w:r>
          </w:p>
        </w:tc>
      </w:tr>
      <w:tr w:rsidR="004D38C4">
        <w:tc>
          <w:tcPr>
            <w:tcW w:w="393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val="fr-BE" w:bidi="en-GB"/>
              </w:rPr>
            </w:pPr>
            <w:r>
              <w:rPr>
                <w:rFonts w:eastAsia="Verdana" w:cs="Verdana"/>
                <w:lang w:val="fr-BE" w:bidi="en-GB"/>
              </w:rPr>
              <w:t>Gross carrying amount at 31.12.2017</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1 448</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4 264</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260</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71</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248</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156</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1 552</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2 544</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10 544</w:t>
            </w:r>
          </w:p>
        </w:tc>
      </w:tr>
      <w:tr w:rsidR="004D38C4">
        <w:tc>
          <w:tcPr>
            <w:tcW w:w="393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Accumulated depreciation at 31.12.2016</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(806)</w:t>
            </w: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(300)</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(233)</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(58)</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(201)</w:t>
            </w: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(112)</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(705)</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(2 415)</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 xml:space="preserve">Depreciation charge </w:t>
            </w:r>
            <w:r>
              <w:rPr>
                <w:rFonts w:eastAsia="Verdana" w:cs="Verdana"/>
                <w:lang w:bidi="en-GB"/>
              </w:rPr>
              <w:t>for the year</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bidi="en-GB"/>
              </w:rPr>
              <w:t xml:space="preserve"> </w:t>
            </w:r>
            <w:r>
              <w:rPr>
                <w:rFonts w:eastAsia="Verdana" w:cs="Verdana"/>
                <w:lang w:val="fr-BE" w:bidi="en-GB"/>
              </w:rPr>
              <w:t>(44)</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(480)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(12)</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(24)</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(13)</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(53)</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(630)</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Depreciation written back</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Disposals</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10</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6</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6</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19</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46</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Transfer between asset categories</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3</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w:t>
            </w:r>
          </w:p>
        </w:tc>
      </w:tr>
      <w:tr w:rsidR="004D38C4">
        <w:tc>
          <w:tcPr>
            <w:tcW w:w="393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Other changes</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(3)</w:t>
            </w:r>
          </w:p>
        </w:tc>
      </w:tr>
      <w:tr w:rsidR="004D38C4">
        <w:tc>
          <w:tcPr>
            <w:tcW w:w="393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val="fr-BE" w:bidi="en-GB"/>
              </w:rPr>
            </w:pPr>
            <w:r>
              <w:rPr>
                <w:rFonts w:eastAsia="Verdana" w:cs="Verdana"/>
                <w:lang w:val="fr-BE" w:bidi="en-GB"/>
              </w:rPr>
              <w:t>Accumulated depreciation at 31.12.2017</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(840)</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(780)</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(240)</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(57)</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(207)</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(121)</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(756)</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(3 000)</w:t>
            </w:r>
          </w:p>
        </w:tc>
      </w:tr>
      <w:tr w:rsidR="004D38C4">
        <w:tc>
          <w:tcPr>
            <w:tcW w:w="393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val="fr-BE" w:bidi="en-GB"/>
              </w:rPr>
            </w:pPr>
          </w:p>
        </w:tc>
      </w:tr>
      <w:tr w:rsidR="004D38C4">
        <w:tc>
          <w:tcPr>
            <w:tcW w:w="393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8pBoldLeft"/>
              <w:rPr>
                <w:rFonts w:eastAsia="Verdana" w:cs="Verdana"/>
                <w:lang w:val="fr-BE" w:bidi="en-GB"/>
              </w:rPr>
            </w:pPr>
            <w:r>
              <w:rPr>
                <w:rFonts w:eastAsia="Verdana" w:cs="Verdana"/>
                <w:lang w:val="fr-BE" w:bidi="en-GB"/>
              </w:rPr>
              <w:t>NET CARRYING AMOUNT AT 31.12.2017</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608</w:t>
            </w:r>
          </w:p>
        </w:tc>
        <w:tc>
          <w:tcPr>
            <w:tcW w:w="99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3 484</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21</w:t>
            </w:r>
          </w:p>
        </w:tc>
        <w:tc>
          <w:tcPr>
            <w:tcW w:w="141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14</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41</w:t>
            </w:r>
          </w:p>
        </w:tc>
        <w:tc>
          <w:tcPr>
            <w:tcW w:w="99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35</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 xml:space="preserve"> 797</w:t>
            </w:r>
          </w:p>
        </w:tc>
        <w:tc>
          <w:tcPr>
            <w:tcW w:w="1418"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2 544</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val="fr-BE" w:bidi="en-GB"/>
              </w:rPr>
            </w:pPr>
            <w:r>
              <w:rPr>
                <w:rFonts w:eastAsia="Verdana" w:cs="Verdana"/>
                <w:lang w:val="fr-BE" w:bidi="en-GB"/>
              </w:rPr>
              <w:t>7 544</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val="fr-BE" w:bidi="en-GB"/>
              </w:rPr>
            </w:pPr>
            <w:r>
              <w:rPr>
                <w:rFonts w:eastAsia="Verdana" w:cs="Verdana"/>
                <w:lang w:val="fr-BE" w:bidi="en-GB"/>
              </w:rPr>
              <w:t>NET CARRYING AMOUNT AT 31.12.2016</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631</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3 302</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24</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16</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47</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43</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 xml:space="preserve"> 844</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1 925</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val="fr-BE" w:bidi="en-GB"/>
              </w:rPr>
            </w:pPr>
            <w:r>
              <w:rPr>
                <w:rFonts w:eastAsia="Verdana" w:cs="Verdana"/>
                <w:lang w:val="fr-BE" w:bidi="en-GB"/>
              </w:rPr>
              <w:t>6 832</w:t>
            </w:r>
          </w:p>
        </w:tc>
      </w:tr>
    </w:tbl>
    <w:p w:rsidR="004D38C4" w:rsidRDefault="00BC2113">
      <w:pPr>
        <w:pStyle w:val="Textstand-alone"/>
        <w:rPr>
          <w:lang w:val="fr-BE" w:bidi="en-GB"/>
        </w:rPr>
        <w:sectPr w:rsidR="004D38C4">
          <w:headerReference w:type="even" r:id="rId99"/>
          <w:headerReference w:type="default" r:id="rId100"/>
          <w:footerReference w:type="even" r:id="rId101"/>
          <w:footerReference w:type="default" r:id="rId102"/>
          <w:headerReference w:type="first" r:id="rId103"/>
          <w:footerReference w:type="first" r:id="rId104"/>
          <w:pgSz w:w="16838" w:h="11906" w:orient="landscape"/>
          <w:pgMar w:top="1134" w:right="1134" w:bottom="1134" w:left="1134" w:header="708" w:footer="708" w:gutter="0"/>
          <w:cols w:space="708"/>
          <w:docGrid w:linePitch="360"/>
        </w:sectPr>
      </w:pPr>
      <w:r>
        <w:rPr>
          <w:lang w:val="fr-BE" w:bidi="en-GB"/>
        </w:rPr>
        <w:t xml:space="preserve"> </w:t>
      </w:r>
      <w:bookmarkEnd w:id="39"/>
    </w:p>
    <w:p w:rsidR="004D38C4" w:rsidRDefault="00BC2113">
      <w:pPr>
        <w:pStyle w:val="HEADER2NOTES"/>
        <w:rPr>
          <w:noProof/>
        </w:rPr>
      </w:pPr>
      <w:bookmarkStart w:id="41" w:name="_DMBM_10979"/>
      <w:r>
        <w:rPr>
          <w:noProof/>
        </w:rPr>
        <w:t>INVESTMENTS ACCOUNTED FOR USING THE EQUITY METHOD</w:t>
      </w:r>
    </w:p>
    <w:p w:rsidR="004D38C4" w:rsidRDefault="00BC2113">
      <w:pPr>
        <w:pStyle w:val="DGTextstand-alone"/>
      </w:pPr>
      <w:r>
        <w:t xml:space="preserve">The participation of the EU represented by the Commission in the </w:t>
      </w:r>
      <w:r>
        <w:t>European Investment Fund (EIF) is treated as an associate using the equity method of accounting. At 31 December 2017, the EU holds 29.7 % of the ownership interest in EIF (2016: 28.1 %).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42" w:name="DOC_TBL00009_1_1"/>
            <w:bookmarkEnd w:id="42"/>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9747" w:type="dxa"/>
            <w:gridSpan w:val="2"/>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European Investment Fund</w:t>
            </w:r>
          </w:p>
        </w:tc>
      </w:tr>
      <w:tr w:rsidR="004D38C4">
        <w:tc>
          <w:tcPr>
            <w:tcW w:w="762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Participation at 31.12.2016</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528</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Contributions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44</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Dividends received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Share of net result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Share in the net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w:t>
            </w:r>
          </w:p>
        </w:tc>
      </w:tr>
      <w:tr w:rsidR="004D38C4">
        <w:tc>
          <w:tcPr>
            <w:tcW w:w="762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Participation at 31.12.2017</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581</w:t>
            </w:r>
          </w:p>
        </w:tc>
      </w:tr>
    </w:tbl>
    <w:p w:rsidR="004D38C4" w:rsidRDefault="00BC2113">
      <w:pPr>
        <w:pStyle w:val="DGTextstand-alone"/>
      </w:pPr>
      <w:r>
        <w:t>EIF summarised financial information:</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43" w:name="DOC_TBL00010_1_1"/>
            <w:bookmarkEnd w:id="43"/>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Total EIF</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Total EIF</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2 488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2 </w:t>
            </w:r>
            <w:r>
              <w:rPr>
                <w:rFonts w:eastAsia="Verdana" w:cs="Verdana"/>
                <w:lang w:bidi="en-GB"/>
              </w:rPr>
              <w:t>301</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Liabilities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(532)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(423)</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Revenue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263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240</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Expenses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(153)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(118)</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Surplus/(deficit)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110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122</w:t>
            </w:r>
          </w:p>
        </w:tc>
      </w:tr>
    </w:tbl>
    <w:p w:rsidR="004D38C4" w:rsidRDefault="00BC2113">
      <w:pPr>
        <w:pStyle w:val="DGTextstand-alone"/>
      </w:pPr>
      <w:r>
        <w:t>Reconciliation of the above summarised financial information to the carrying amount of the interest held in the EIF is as follows: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44" w:name="DOC_TBL00011_1_1"/>
            <w:bookmarkEnd w:id="44"/>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Net assets of the associate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1 956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1 878</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EC ownership interests in EIF</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29.7%</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28.1%</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Carrying amount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581</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528</w:t>
            </w:r>
          </w:p>
        </w:tc>
      </w:tr>
    </w:tbl>
    <w:p w:rsidR="004D38C4" w:rsidRDefault="00BC2113">
      <w:pPr>
        <w:pStyle w:val="DGTextstand-alone"/>
      </w:pPr>
      <w:r>
        <w:t>The Commission has paid-in 20 % of its subscribed shares in the EIF capital at 31 December 2017, the amount uncalled being</w:t>
      </w:r>
      <w:r>
        <w:t xml:space="preserve"> as follows: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45" w:name="DOC_TBL00012_1_1"/>
            <w:bookmarkEnd w:id="45"/>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Total EIF capital</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EU subscription</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Total share capital</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4 500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1 337</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Paid-in</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(900)</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(267)</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Uncalled</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3 600</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1 070</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bl>
    <w:p w:rsidR="004D38C4" w:rsidRDefault="00BC2113">
      <w:pPr>
        <w:pStyle w:val="DGTextstand-alone"/>
        <w:rPr>
          <w:lang w:bidi="en-GB"/>
        </w:rPr>
        <w:sectPr w:rsidR="004D38C4">
          <w:headerReference w:type="even" r:id="rId105"/>
          <w:headerReference w:type="default" r:id="rId106"/>
          <w:footerReference w:type="even" r:id="rId107"/>
          <w:footerReference w:type="default" r:id="rId108"/>
          <w:headerReference w:type="first" r:id="rId109"/>
          <w:footerReference w:type="first" r:id="rId110"/>
          <w:pgSz w:w="11906" w:h="16838"/>
          <w:pgMar w:top="1134" w:right="1134" w:bottom="1134" w:left="1134" w:header="709" w:footer="709" w:gutter="0"/>
          <w:cols w:space="708"/>
          <w:docGrid w:linePitch="360"/>
        </w:sectPr>
      </w:pPr>
      <w:r>
        <w:rPr>
          <w:lang w:bidi="en-GB"/>
        </w:rPr>
        <w:t xml:space="preserve"> </w:t>
      </w:r>
      <w:bookmarkEnd w:id="41"/>
    </w:p>
    <w:p w:rsidR="004D38C4" w:rsidRDefault="00BC2113">
      <w:pPr>
        <w:pStyle w:val="HEADER2NOTES"/>
        <w:rPr>
          <w:noProof/>
        </w:rPr>
      </w:pPr>
      <w:bookmarkStart w:id="46" w:name="_DMBM_11025"/>
      <w:r>
        <w:rPr>
          <w:noProof/>
        </w:rPr>
        <w:t>FINANCIAL ASSETS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47" w:name="DOC_TBL00013_1_1"/>
            <w:bookmarkEnd w:id="47"/>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cantSplit/>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Non-current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Available for sale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2.4.1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10 410</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7 721</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 assets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2.4.2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Loans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2.4.3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48 107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53 012</w:t>
            </w: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58 </w:t>
            </w:r>
            <w:r>
              <w:rPr>
                <w:rFonts w:eastAsia="Verdana" w:cs="Verdana"/>
                <w:lang w:bidi="en-GB"/>
              </w:rPr>
              <w:t>533</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60 733</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Current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Available for sale financial assets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2.4.1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1 563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1 035</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 assets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2.4.2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Loans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2.4.3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6 770</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2 260</w:t>
            </w: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8 339</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3 296</w:t>
            </w:r>
          </w:p>
        </w:tc>
      </w:tr>
      <w:tr w:rsidR="004D38C4">
        <w:trPr>
          <w:cantSplit/>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66 872</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64 029</w:t>
            </w:r>
          </w:p>
        </w:tc>
      </w:tr>
      <w:tr w:rsidR="004D38C4">
        <w:trPr>
          <w:cantSplit/>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bl>
    <w:p w:rsidR="004D38C4" w:rsidRDefault="00BC2113">
      <w:pPr>
        <w:pStyle w:val="HEADER3NOTES"/>
        <w:rPr>
          <w:noProof/>
        </w:rPr>
      </w:pPr>
      <w:r>
        <w:rPr>
          <w:noProof/>
        </w:rPr>
        <w:t xml:space="preserve"> Available for sale financial assets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48" w:name="DOC_TBL00014_1_1"/>
            <w:bookmarkEnd w:id="48"/>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BUFI investments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2 158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2 013</w:t>
            </w:r>
          </w:p>
        </w:tc>
      </w:tr>
      <w:tr w:rsidR="004D38C4">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European Bank for Reconstruction and Development</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188</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188</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BoldRight025"/>
              <w:rPr>
                <w:rFonts w:eastAsia="Verdana" w:cs="Verdana"/>
                <w:lang w:bidi="en-GB"/>
              </w:rPr>
            </w:pPr>
            <w:r>
              <w:rPr>
                <w:rFonts w:eastAsia="Verdana" w:cs="Verdana"/>
                <w:lang w:bidi="en-GB"/>
              </w:rPr>
              <w:t>2 346</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BoldRight025"/>
              <w:rPr>
                <w:rFonts w:eastAsia="Verdana" w:cs="Verdana"/>
                <w:lang w:bidi="en-GB"/>
              </w:rPr>
            </w:pPr>
            <w:r>
              <w:rPr>
                <w:rFonts w:eastAsia="Verdana" w:cs="Verdana"/>
                <w:lang w:bidi="en-GB"/>
              </w:rPr>
              <w:t>2 201</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Guarantee Funds for budgetary guarantees:</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BlueRight"/>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BlueRight"/>
              <w:rPr>
                <w:rFonts w:eastAsia="Verdana" w:cs="Verdana"/>
                <w:lang w:bidi="en-GB"/>
              </w:rPr>
            </w:pP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Guarantee Fund for external </w:t>
            </w:r>
            <w:r>
              <w:rPr>
                <w:rFonts w:eastAsia="Verdana" w:cs="Verdana"/>
                <w:lang w:bidi="en-GB"/>
              </w:rPr>
              <w:t>actions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2 199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2 069</w:t>
            </w:r>
          </w:p>
        </w:tc>
      </w:tr>
      <w:tr w:rsidR="004D38C4">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EFSI Guarantee Fund</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3 414</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948</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BoldRight025"/>
              <w:rPr>
                <w:rFonts w:eastAsia="Verdana" w:cs="Verdana"/>
                <w:lang w:bidi="en-GB"/>
              </w:rPr>
            </w:pPr>
            <w:r>
              <w:rPr>
                <w:rFonts w:eastAsia="Verdana" w:cs="Verdana"/>
                <w:lang w:bidi="en-GB"/>
              </w:rPr>
              <w:t>5 613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BoldRight025"/>
              <w:rPr>
                <w:rFonts w:eastAsia="Verdana" w:cs="Verdana"/>
                <w:lang w:bidi="en-GB"/>
              </w:rPr>
            </w:pPr>
            <w:r>
              <w:rPr>
                <w:rFonts w:eastAsia="Verdana" w:cs="Verdana"/>
                <w:lang w:bidi="en-GB"/>
              </w:rPr>
              <w:t>3 017</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Financial instruments supported by the EU budget: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BlueRight"/>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BlueRight"/>
              <w:rPr>
                <w:rFonts w:eastAsia="Verdana" w:cs="Verdana"/>
                <w:lang w:bidi="en-GB"/>
              </w:rPr>
            </w:pP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Horizon 2020</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1 730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1 213</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Risk Sharing Finance Facility</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665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719</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Connecting Europe Facility</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482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483</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ETF start up</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483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476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Risk </w:t>
            </w:r>
            <w:r>
              <w:rPr>
                <w:rFonts w:eastAsia="Verdana" w:cs="Verdana"/>
                <w:lang w:bidi="en-GB"/>
              </w:rPr>
              <w:t>Capital Operations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132</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European Fund for South East Europe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118</w:t>
            </w:r>
          </w:p>
        </w:tc>
      </w:tr>
      <w:tr w:rsidR="004D38C4">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422</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398</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BoldRight025"/>
              <w:rPr>
                <w:rFonts w:eastAsia="Verdana" w:cs="Verdana"/>
                <w:lang w:bidi="en-GB"/>
              </w:rPr>
            </w:pPr>
            <w:r>
              <w:rPr>
                <w:rFonts w:eastAsia="Verdana" w:cs="Verdana"/>
                <w:lang w:bidi="en-GB"/>
              </w:rPr>
              <w:t>4 014</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BoldRight025"/>
              <w:rPr>
                <w:rFonts w:eastAsia="Verdana" w:cs="Verdana"/>
                <w:lang w:bidi="en-GB"/>
              </w:rPr>
            </w:pPr>
            <w:r>
              <w:rPr>
                <w:rFonts w:eastAsia="Verdana" w:cs="Verdana"/>
                <w:lang w:bidi="en-GB"/>
              </w:rPr>
              <w:t>3 539</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11 973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8 757</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10 410</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7 721</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1 563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1 035</w:t>
            </w:r>
          </w:p>
        </w:tc>
      </w:tr>
    </w:tbl>
    <w:p w:rsidR="004D38C4" w:rsidRDefault="004D38C4">
      <w:pPr>
        <w:pStyle w:val="Text8pItalicLeft"/>
        <w:rPr>
          <w:b/>
          <w:lang w:bidi="en-GB"/>
        </w:rPr>
      </w:pPr>
    </w:p>
    <w:p w:rsidR="004D38C4" w:rsidRDefault="00BC2113">
      <w:pPr>
        <w:pStyle w:val="HEADER3NOTES"/>
        <w:rPr>
          <w:noProof/>
        </w:rPr>
      </w:pPr>
      <w:r>
        <w:rPr>
          <w:noProof/>
        </w:rPr>
        <w:t>Financial assets at fair value through surplus or deficit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49" w:name="DOC_TBL00015_1_1"/>
            <w:bookmarkEnd w:id="49"/>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79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2976" w:type="dxa"/>
            <w:gridSpan w:val="2"/>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Centered"/>
              <w:rPr>
                <w:rFonts w:eastAsia="Verdana" w:cs="Verdana"/>
                <w:lang w:bidi="en-GB"/>
              </w:rPr>
            </w:pPr>
            <w:r>
              <w:rPr>
                <w:rFonts w:eastAsia="Verdana" w:cs="Verdana"/>
                <w:lang w:bidi="en-GB"/>
              </w:rPr>
              <w:t>31.12.2017</w:t>
            </w:r>
          </w:p>
        </w:tc>
        <w:tc>
          <w:tcPr>
            <w:tcW w:w="2977" w:type="dxa"/>
            <w:gridSpan w:val="2"/>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Centered"/>
              <w:rPr>
                <w:rFonts w:eastAsia="Verdana" w:cs="Verdana"/>
                <w:lang w:bidi="en-GB"/>
              </w:rPr>
            </w:pPr>
            <w:r>
              <w:rPr>
                <w:rFonts w:eastAsia="Verdana" w:cs="Verdana"/>
                <w:lang w:bidi="en-GB"/>
              </w:rPr>
              <w:t>31.12.2016</w:t>
            </w:r>
          </w:p>
        </w:tc>
      </w:tr>
      <w:tr w:rsidR="004D38C4">
        <w:tc>
          <w:tcPr>
            <w:tcW w:w="379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Left"/>
              <w:rPr>
                <w:rFonts w:eastAsia="Verdana" w:cs="Verdana"/>
                <w:lang w:bidi="en-GB"/>
              </w:rPr>
            </w:pPr>
            <w:r>
              <w:rPr>
                <w:rFonts w:eastAsia="Verdana" w:cs="Verdana"/>
                <w:lang w:bidi="en-GB"/>
              </w:rPr>
              <w:t>Type of derivative</w:t>
            </w:r>
          </w:p>
        </w:tc>
        <w:tc>
          <w:tcPr>
            <w:tcW w:w="14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 xml:space="preserve">Notional amount </w:t>
            </w:r>
          </w:p>
        </w:tc>
        <w:tc>
          <w:tcPr>
            <w:tcW w:w="14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Fair value</w:t>
            </w:r>
          </w:p>
        </w:tc>
        <w:tc>
          <w:tcPr>
            <w:tcW w:w="141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 xml:space="preserve">Notional amount </w:t>
            </w:r>
          </w:p>
        </w:tc>
        <w:tc>
          <w:tcPr>
            <w:tcW w:w="1559"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Fair value</w:t>
            </w: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Foreign currency forward contract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634</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6</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50</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0</w:t>
            </w:r>
          </w:p>
        </w:tc>
      </w:tr>
      <w:tr w:rsidR="004D38C4">
        <w:tc>
          <w:tcPr>
            <w:tcW w:w="3794"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EFSI guarantee on equity portfolio</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258</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16</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r>
      <w:tr w:rsidR="004D38C4">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892</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23</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50</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0</w:t>
            </w:r>
          </w:p>
        </w:tc>
      </w:tr>
      <w:tr w:rsidR="004D38C4">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258</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16</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w:t>
            </w: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634</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6</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50</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 xml:space="preserve"> 0</w:t>
            </w:r>
          </w:p>
        </w:tc>
      </w:tr>
    </w:tbl>
    <w:p w:rsidR="004D38C4" w:rsidRDefault="004D38C4">
      <w:pPr>
        <w:pStyle w:val="Text7pItalicRight025"/>
        <w:rPr>
          <w:lang w:bidi="en-GB"/>
        </w:rPr>
      </w:pPr>
    </w:p>
    <w:p w:rsidR="004D38C4" w:rsidRDefault="00BC2113">
      <w:pPr>
        <w:rPr>
          <w:rFonts w:ascii="Verdana" w:hAnsi="Verdana"/>
          <w:noProof/>
          <w:color w:val="016794"/>
          <w:sz w:val="18"/>
          <w:szCs w:val="18"/>
        </w:rPr>
      </w:pPr>
      <w:r>
        <w:rPr>
          <w:noProof/>
        </w:rPr>
        <w:br w:type="page"/>
      </w:r>
    </w:p>
    <w:p w:rsidR="004D38C4" w:rsidRDefault="00BC2113">
      <w:pPr>
        <w:pStyle w:val="HEADER5"/>
        <w:rPr>
          <w:noProof/>
        </w:rPr>
      </w:pPr>
      <w:r>
        <w:rPr>
          <w:noProof/>
        </w:rPr>
        <w:t>Fair value hierarchy of financial assets measured at fair value</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50" w:name="DOC_TBL00016_1_1"/>
            <w:bookmarkEnd w:id="50"/>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Level 1: Quoted prices in active markets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10 325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7 224</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Level 2: Observable inputs other than quoted prices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510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231</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Level 3: </w:t>
            </w:r>
            <w:r>
              <w:rPr>
                <w:rFonts w:eastAsia="Verdana" w:cs="Verdana"/>
                <w:lang w:bidi="en-GB"/>
              </w:rPr>
              <w:t>Valuation techniques with inputs not based on observable market data</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1 161</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1 302</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11 996</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8 757</w:t>
            </w:r>
          </w:p>
        </w:tc>
      </w:tr>
    </w:tbl>
    <w:p w:rsidR="004D38C4" w:rsidRDefault="004D38C4">
      <w:pPr>
        <w:pStyle w:val="DGTextstand-alone"/>
        <w:rPr>
          <w:lang w:bidi="en-GB"/>
        </w:rPr>
      </w:pPr>
    </w:p>
    <w:p w:rsidR="004D38C4" w:rsidRDefault="00BC2113">
      <w:pPr>
        <w:pStyle w:val="HEADER5"/>
        <w:rPr>
          <w:noProof/>
        </w:rPr>
      </w:pPr>
      <w:r>
        <w:rPr>
          <w:noProof/>
        </w:rPr>
        <w:t>Reconciliation of financial assets measured using valuation techniques with inputs not based on observable market data (level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51" w:name="DOC_TBL00017_1_1"/>
            <w:bookmarkEnd w:id="51"/>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762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Right025"/>
              <w:rPr>
                <w:rFonts w:eastAsia="Verdana" w:cs="Verdana"/>
                <w:lang w:bidi="en-GB"/>
              </w:rPr>
            </w:pP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Opening balance at 31.12.2016</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1 302</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Purchases and sales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39</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Gains or losses for the period in financial income or finance costs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Gains or losses in net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30</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Transfers into level 3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Transfers out of level 3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(188)</w:t>
            </w:r>
          </w:p>
        </w:tc>
      </w:tr>
      <w:tr w:rsidR="004D38C4">
        <w:tc>
          <w:tcPr>
            <w:tcW w:w="762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c>
          <w:tcPr>
            <w:tcW w:w="762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 xml:space="preserve">Closing </w:t>
            </w:r>
            <w:r>
              <w:rPr>
                <w:rFonts w:eastAsia="Verdana" w:cs="Verdana"/>
                <w:lang w:bidi="en-GB"/>
              </w:rPr>
              <w:t>balance at 31.12.2017</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1 161</w:t>
            </w:r>
          </w:p>
        </w:tc>
      </w:tr>
    </w:tbl>
    <w:p w:rsidR="004D38C4" w:rsidRDefault="00BC2113">
      <w:pPr>
        <w:pStyle w:val="HEADER3NOTES"/>
        <w:rPr>
          <w:noProof/>
        </w:rPr>
      </w:pPr>
      <w:r>
        <w:rPr>
          <w:noProof/>
        </w:rPr>
        <w:t xml:space="preserve"> Loans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517"/>
        <w:gridCol w:w="2529"/>
        <w:gridCol w:w="1521"/>
      </w:tblGrid>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52" w:name="DOC_TBL00018_1_1"/>
            <w:bookmarkEnd w:id="52"/>
          </w:p>
        </w:tc>
        <w:tc>
          <w:tcPr>
            <w:tcW w:w="2551" w:type="dxa"/>
            <w:tcBorders>
              <w:top w:val="nil"/>
              <w:left w:val="nil"/>
              <w:bottom w:val="nil"/>
              <w:right w:val="nil"/>
            </w:tcBorders>
            <w:shd w:val="clear" w:color="auto" w:fill="auto"/>
            <w:tcMar>
              <w:top w:w="0" w:type="dxa"/>
              <w:left w:w="108" w:type="dxa"/>
              <w:bottom w:w="0" w:type="dxa"/>
              <w:right w:w="108" w:type="dxa"/>
            </w:tcMar>
          </w:tcPr>
          <w:p w:rsidR="004D38C4" w:rsidRDefault="004D38C4">
            <w:pPr>
              <w:rPr>
                <w:noProof/>
                <w:lang w:bidi="en-GB"/>
              </w:rPr>
            </w:pPr>
          </w:p>
        </w:tc>
        <w:tc>
          <w:tcPr>
            <w:tcW w:w="2552" w:type="dxa"/>
            <w:tcBorders>
              <w:top w:val="nil"/>
              <w:left w:val="nil"/>
              <w:bottom w:val="nil"/>
              <w:right w:val="nil"/>
            </w:tcBorders>
            <w:shd w:val="clear" w:color="auto" w:fill="auto"/>
            <w:tcMar>
              <w:top w:w="0" w:type="dxa"/>
              <w:left w:w="108" w:type="dxa"/>
              <w:bottom w:w="0" w:type="dxa"/>
              <w:right w:w="108" w:type="dxa"/>
            </w:tcMar>
          </w:tcPr>
          <w:p w:rsidR="004D38C4" w:rsidRDefault="004D38C4">
            <w:pPr>
              <w:rPr>
                <w:noProof/>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22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55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jc w:val="center"/>
              <w:rPr>
                <w:rFonts w:eastAsia="Verdana" w:cs="Verdana"/>
                <w:lang w:bidi="en-GB"/>
              </w:rPr>
            </w:pPr>
            <w:r>
              <w:rPr>
                <w:rFonts w:eastAsia="Verdana" w:cs="Verdana"/>
                <w:lang w:bidi="en-GB"/>
              </w:rPr>
              <w:t>Note</w:t>
            </w:r>
          </w:p>
        </w:tc>
        <w:tc>
          <w:tcPr>
            <w:tcW w:w="255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jc w:val="center"/>
              <w:rPr>
                <w:rFonts w:eastAsia="Verdana" w:cs="Verdana"/>
                <w:lang w:bidi="en-GB"/>
              </w:rPr>
            </w:pPr>
            <w:r>
              <w:rPr>
                <w:rFonts w:eastAsia="Verdana" w:cs="Verdana"/>
                <w:lang w:bidi="en-GB"/>
              </w:rPr>
              <w:t>31.12.2017</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jc w:val="center"/>
              <w:rPr>
                <w:rFonts w:eastAsia="Verdana" w:cs="Verdana"/>
                <w:lang w:bidi="en-GB"/>
              </w:rPr>
            </w:pPr>
            <w:r>
              <w:rPr>
                <w:rFonts w:eastAsia="Verdana" w:cs="Verdana"/>
                <w:lang w:bidi="en-GB"/>
              </w:rPr>
              <w:t>31.12.2016</w:t>
            </w:r>
          </w:p>
        </w:tc>
      </w:tr>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Loans for financial assistance</w:t>
            </w:r>
          </w:p>
        </w:tc>
        <w:tc>
          <w:tcPr>
            <w:tcW w:w="25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2.4.3.1</w:t>
            </w:r>
          </w:p>
        </w:tc>
        <w:tc>
          <w:tcPr>
            <w:tcW w:w="255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54 744</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54 944</w:t>
            </w:r>
          </w:p>
        </w:tc>
      </w:tr>
      <w:tr w:rsidR="004D38C4">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loans</w:t>
            </w:r>
          </w:p>
        </w:tc>
        <w:tc>
          <w:tcPr>
            <w:tcW w:w="25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2.4.3.2</w:t>
            </w:r>
          </w:p>
        </w:tc>
        <w:tc>
          <w:tcPr>
            <w:tcW w:w="255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133</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328</w:t>
            </w:r>
          </w:p>
        </w:tc>
      </w:tr>
      <w:tr w:rsidR="004D38C4">
        <w:tc>
          <w:tcPr>
            <w:tcW w:w="322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5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255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54 877</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55 272</w:t>
            </w:r>
          </w:p>
        </w:tc>
      </w:tr>
      <w:tr w:rsidR="004D38C4">
        <w:tc>
          <w:tcPr>
            <w:tcW w:w="322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color w:val="016794"/>
                <w:lang w:bidi="en-GB"/>
              </w:rPr>
            </w:pPr>
            <w:r>
              <w:rPr>
                <w:rFonts w:eastAsia="Verdana" w:cs="Verdana"/>
                <w:color w:val="016794"/>
                <w:lang w:bidi="en-GB"/>
              </w:rPr>
              <w:t>Non-current</w:t>
            </w:r>
          </w:p>
        </w:tc>
        <w:tc>
          <w:tcPr>
            <w:tcW w:w="255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BlueRight"/>
              <w:rPr>
                <w:rFonts w:eastAsia="Verdana" w:cs="Verdana"/>
                <w:i w:val="0"/>
                <w:color w:val="auto"/>
                <w:lang w:bidi="en-GB"/>
              </w:rPr>
            </w:pPr>
          </w:p>
        </w:tc>
        <w:tc>
          <w:tcPr>
            <w:tcW w:w="255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48 107</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53 012</w:t>
            </w:r>
          </w:p>
        </w:tc>
      </w:tr>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color w:val="016794"/>
                <w:lang w:bidi="en-GB"/>
              </w:rPr>
            </w:pPr>
            <w:r>
              <w:rPr>
                <w:rFonts w:eastAsia="Verdana" w:cs="Verdana"/>
                <w:color w:val="016794"/>
                <w:lang w:bidi="en-GB"/>
              </w:rPr>
              <w:t>Current</w:t>
            </w:r>
          </w:p>
        </w:tc>
        <w:tc>
          <w:tcPr>
            <w:tcW w:w="25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BlueRight"/>
              <w:rPr>
                <w:rFonts w:eastAsia="Verdana" w:cs="Verdana"/>
                <w:i w:val="0"/>
                <w:color w:val="auto"/>
                <w:lang w:bidi="en-GB"/>
              </w:rPr>
            </w:pPr>
          </w:p>
        </w:tc>
        <w:tc>
          <w:tcPr>
            <w:tcW w:w="255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6 770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2 260</w:t>
            </w:r>
          </w:p>
        </w:tc>
      </w:tr>
    </w:tbl>
    <w:p w:rsidR="004D38C4" w:rsidRDefault="00BC2113">
      <w:pPr>
        <w:pStyle w:val="HEADER4Part1"/>
        <w:rPr>
          <w:noProof/>
        </w:rPr>
      </w:pPr>
      <w:r>
        <w:rPr>
          <w:noProof/>
        </w:rPr>
        <w:t xml:space="preserve">Loans for </w:t>
      </w:r>
      <w:r>
        <w:rPr>
          <w:noProof/>
        </w:rPr>
        <w:t>financial assistance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270"/>
        <w:gridCol w:w="1306"/>
        <w:gridCol w:w="1273"/>
        <w:gridCol w:w="1271"/>
        <w:gridCol w:w="1417"/>
      </w:tblGrid>
      <w:tr w:rsidR="004D38C4">
        <w:trPr>
          <w:cantSplit/>
        </w:trPr>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53" w:name="DOC_TBL00019_1_1"/>
            <w:bookmarkEnd w:id="53"/>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cantSplit/>
        </w:trPr>
        <w:tc>
          <w:tcPr>
            <w:tcW w:w="32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EFSM</w:t>
            </w:r>
          </w:p>
        </w:tc>
        <w:tc>
          <w:tcPr>
            <w:tcW w:w="130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BOP</w:t>
            </w:r>
          </w:p>
        </w:tc>
        <w:tc>
          <w:tcPr>
            <w:tcW w:w="127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MFA</w:t>
            </w:r>
          </w:p>
        </w:tc>
        <w:tc>
          <w:tcPr>
            <w:tcW w:w="127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Euratom</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Total</w:t>
            </w:r>
          </w:p>
        </w:tc>
      </w:tr>
      <w:tr w:rsidR="004D38C4">
        <w:trPr>
          <w:cantSplit/>
        </w:trPr>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Total at 31.12.2016</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47 456</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4 272</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2 964</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252</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54 944</w:t>
            </w:r>
          </w:p>
        </w:tc>
      </w:tr>
      <w:tr w:rsidR="004D38C4">
        <w:trPr>
          <w:cantSplit/>
        </w:trPr>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New loans</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1 013</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1 063</w:t>
            </w:r>
          </w:p>
        </w:tc>
      </w:tr>
      <w:tr w:rsidR="004D38C4">
        <w:trPr>
          <w:cantSplit/>
        </w:trPr>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Repayments</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(1 150)</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(58)</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(51)</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(1 260)</w:t>
            </w:r>
          </w:p>
        </w:tc>
      </w:tr>
      <w:tr w:rsidR="004D38C4">
        <w:trPr>
          <w:cantSplit/>
        </w:trPr>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Exchange differences</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r>
      <w:tr w:rsidR="004D38C4">
        <w:trPr>
          <w:cantSplit/>
        </w:trPr>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Changes in carrying </w:t>
            </w:r>
            <w:r>
              <w:rPr>
                <w:rFonts w:eastAsia="Verdana" w:cs="Verdana"/>
                <w:lang w:bidi="en-GB"/>
              </w:rPr>
              <w:t>amount</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r>
      <w:tr w:rsidR="004D38C4">
        <w:trPr>
          <w:cantSplit/>
        </w:trPr>
        <w:tc>
          <w:tcPr>
            <w:tcW w:w="321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Impairment</w:t>
            </w:r>
          </w:p>
        </w:tc>
        <w:tc>
          <w:tcPr>
            <w:tcW w:w="127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w:t>
            </w:r>
          </w:p>
        </w:tc>
        <w:tc>
          <w:tcPr>
            <w:tcW w:w="130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w:t>
            </w:r>
          </w:p>
        </w:tc>
        <w:tc>
          <w:tcPr>
            <w:tcW w:w="127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w:t>
            </w:r>
          </w:p>
        </w:tc>
        <w:tc>
          <w:tcPr>
            <w:tcW w:w="127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w:t>
            </w:r>
          </w:p>
        </w:tc>
      </w:tr>
      <w:tr w:rsidR="004D38C4">
        <w:trPr>
          <w:cantSplit/>
        </w:trPr>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 at 31.12.2017</w:t>
            </w: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47 456</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3 114</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3 924</w:t>
            </w:r>
          </w:p>
        </w:tc>
        <w:tc>
          <w:tcPr>
            <w:tcW w:w="127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250</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54 744</w:t>
            </w:r>
          </w:p>
        </w:tc>
      </w:tr>
      <w:tr w:rsidR="004D38C4">
        <w:trPr>
          <w:cantSplit/>
        </w:trPr>
        <w:tc>
          <w:tcPr>
            <w:tcW w:w="321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127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42 300</w:t>
            </w:r>
          </w:p>
        </w:tc>
        <w:tc>
          <w:tcPr>
            <w:tcW w:w="130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1 700</w:t>
            </w: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3 846</w:t>
            </w:r>
          </w:p>
        </w:tc>
        <w:tc>
          <w:tcPr>
            <w:tcW w:w="127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 xml:space="preserve"> 203</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48 049</w:t>
            </w:r>
          </w:p>
        </w:tc>
      </w:tr>
      <w:tr w:rsidR="004D38C4">
        <w:trPr>
          <w:cantSplit/>
        </w:trPr>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5 156</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1 414</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78</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 xml:space="preserve"> 47</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6 695</w:t>
            </w:r>
          </w:p>
        </w:tc>
      </w:tr>
    </w:tbl>
    <w:p w:rsidR="004D38C4" w:rsidRDefault="00BC2113">
      <w:pPr>
        <w:pStyle w:val="DGTextstand-alone"/>
      </w:pPr>
      <w:r>
        <w:t xml:space="preserve">The change in carrying amount corresponds to the change in accrued </w:t>
      </w:r>
      <w:r>
        <w:t>interests.</w:t>
      </w:r>
    </w:p>
    <w:p w:rsidR="004D38C4" w:rsidRDefault="00BC2113">
      <w:pPr>
        <w:pStyle w:val="DGTextstand-alone"/>
      </w:pPr>
      <w:r>
        <w:t>Nominal value of loans for financial assistance at 31 December 2017 total EUR 54 000 million (2016: EUR 54 198 million).</w:t>
      </w:r>
    </w:p>
    <w:p w:rsidR="004D38C4" w:rsidRDefault="00BC2113">
      <w:pPr>
        <w:rPr>
          <w:rFonts w:ascii="Verdana" w:hAnsi="Verdana"/>
          <w:noProof/>
          <w:color w:val="016794"/>
          <w:sz w:val="18"/>
          <w:szCs w:val="18"/>
        </w:rPr>
      </w:pPr>
      <w:r>
        <w:rPr>
          <w:noProof/>
        </w:rPr>
        <w:br w:type="page"/>
      </w:r>
    </w:p>
    <w:p w:rsidR="004D38C4" w:rsidRDefault="00BC2113">
      <w:pPr>
        <w:pStyle w:val="HEADER5"/>
        <w:rPr>
          <w:noProof/>
        </w:rPr>
      </w:pPr>
      <w:r>
        <w:rPr>
          <w:noProof/>
        </w:rPr>
        <w:t>Loans effective interest rates (expressed as a range of interest rates)</w:t>
      </w:r>
    </w:p>
    <w:p w:rsidR="004D38C4" w:rsidRDefault="004D38C4">
      <w:pPr>
        <w:pStyle w:val="HEADER5"/>
        <w:rPr>
          <w:noProof/>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cs="Verdana"/>
              </w:rPr>
            </w:pPr>
            <w:bookmarkStart w:id="54" w:name="DOC_TBL00020_1_1"/>
            <w:bookmarkEnd w:id="54"/>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31.12.2016</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 xml:space="preserve">Macro Financial </w:t>
            </w:r>
            <w:r>
              <w:rPr>
                <w:rFonts w:cs="Verdana"/>
              </w:rPr>
              <w:t>Assistance (MFA)</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0 % - 4.54 %</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0 % - 4.54 %</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Euratom</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0.08 % - 5.76 %</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0 % - 5.76 %</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Balance of Payment (BOP)</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2.88 % - 3.38 %</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2.37 % - 3.37 %</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European Financial Stability Mechanism (EFSM)</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0.62 % - 3.75 %</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0.62 % - 3.75 %</w:t>
            </w:r>
          </w:p>
        </w:tc>
      </w:tr>
    </w:tbl>
    <w:p w:rsidR="004D38C4" w:rsidRDefault="004D38C4">
      <w:pPr>
        <w:pStyle w:val="DGTextstand-alone"/>
        <w:spacing w:before="0" w:after="0"/>
        <w:rPr>
          <w:lang w:bidi="en-GB"/>
        </w:rPr>
      </w:pPr>
    </w:p>
    <w:p w:rsidR="004D38C4" w:rsidRDefault="00BC2113">
      <w:pPr>
        <w:pStyle w:val="HEADER4Part1"/>
        <w:rPr>
          <w:noProof/>
        </w:rPr>
      </w:pPr>
      <w:r>
        <w:rPr>
          <w:noProof/>
        </w:rPr>
        <w:t>Other loans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55" w:name="DOC_TBL00021_1_1"/>
            <w:bookmarkEnd w:id="55"/>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Loans with special conditions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93</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Term deposits over 3 months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55</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235</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133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328</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59</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74</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75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254</w:t>
            </w:r>
          </w:p>
        </w:tc>
      </w:tr>
    </w:tbl>
    <w:p w:rsidR="004D38C4" w:rsidRDefault="00BC2113">
      <w:pPr>
        <w:pStyle w:val="DGTextstand-alone"/>
        <w:rPr>
          <w:b/>
          <w:lang w:bidi="en-GB"/>
        </w:rPr>
      </w:pPr>
      <w:r>
        <w:rPr>
          <w:lang w:bidi="en-GB"/>
        </w:rPr>
        <w:t>Nominal value of other loans at 31 December 2017 total EUR 557 million (2016: EUR 668 million).</w:t>
      </w:r>
    </w:p>
    <w:p w:rsidR="004D38C4" w:rsidRDefault="00BC2113">
      <w:pPr>
        <w:pStyle w:val="HEADER5"/>
        <w:rPr>
          <w:noProof/>
        </w:rPr>
      </w:pPr>
      <w:r>
        <w:rPr>
          <w:noProof/>
        </w:rPr>
        <w:t>Impairment on other loans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417"/>
        <w:gridCol w:w="1276"/>
        <w:gridCol w:w="1276"/>
        <w:gridCol w:w="1417"/>
      </w:tblGrid>
      <w:tr w:rsidR="004D38C4">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56" w:name="DOC_TBL00022_1_1"/>
            <w:bookmarkEnd w:id="56"/>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millions</w:t>
            </w:r>
          </w:p>
        </w:tc>
      </w:tr>
      <w:tr w:rsidR="004D38C4">
        <w:trPr>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31.12.2016</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Additions</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Reversals</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 xml:space="preserve">Write-off </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Other</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31.12.2017</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Loans with special conditions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7</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8</w:t>
            </w:r>
          </w:p>
        </w:tc>
      </w:tr>
      <w:tr w:rsidR="004D38C4">
        <w:trPr>
          <w:trHeight w:val="247"/>
        </w:trPr>
        <w:tc>
          <w:tcPr>
            <w:tcW w:w="180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Subrogated loans</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i w:val="0"/>
                <w:lang w:bidi="en-GB"/>
              </w:rPr>
            </w:pPr>
            <w:r>
              <w:rPr>
                <w:rFonts w:eastAsia="Verdana" w:cs="Verdana"/>
                <w:i w:val="0"/>
                <w:lang w:bidi="en-GB"/>
              </w:rPr>
              <w:t xml:space="preserve"> 332</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i w:val="0"/>
                <w:lang w:bidi="en-GB"/>
              </w:rPr>
            </w:pPr>
            <w:r>
              <w:rPr>
                <w:rFonts w:eastAsia="Verdana" w:cs="Verdana"/>
                <w:i w:val="0"/>
                <w:lang w:bidi="en-GB"/>
              </w:rPr>
              <w:t xml:space="preserve"> 100</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i w:val="0"/>
                <w:lang w:bidi="en-GB"/>
              </w:rPr>
            </w:pPr>
            <w:r>
              <w:rPr>
                <w:rFonts w:eastAsia="Verdana" w:cs="Verdana"/>
                <w:i w:val="0"/>
                <w:lang w:bidi="en-GB"/>
              </w:rPr>
              <w:t xml:space="preserve"> (0)</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i w:val="0"/>
                <w:lang w:bidi="en-GB"/>
              </w:rPr>
            </w:pPr>
            <w:r>
              <w:rPr>
                <w:rFonts w:eastAsia="Verdana" w:cs="Verdana"/>
                <w:i w:val="0"/>
                <w:lang w:bidi="en-GB"/>
              </w:rPr>
              <w:t>–</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i w:val="0"/>
                <w:lang w:bidi="en-GB"/>
              </w:rPr>
            </w:pPr>
            <w:r>
              <w:rPr>
                <w:rFonts w:eastAsia="Verdana" w:cs="Verdana"/>
                <w:i w:val="0"/>
                <w:lang w:bidi="en-GB"/>
              </w:rPr>
              <w:t>–</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i w:val="0"/>
                <w:lang w:bidi="en-GB"/>
              </w:rPr>
            </w:pPr>
            <w:r>
              <w:rPr>
                <w:rFonts w:eastAsia="Verdana" w:cs="Verdana"/>
                <w:i w:val="0"/>
                <w:lang w:bidi="en-GB"/>
              </w:rPr>
              <w:t xml:space="preserve"> 432</w:t>
            </w:r>
          </w:p>
        </w:tc>
      </w:tr>
      <w:tr w:rsidR="004D38C4">
        <w:trPr>
          <w:trHeight w:val="247"/>
        </w:trPr>
        <w:tc>
          <w:tcPr>
            <w:tcW w:w="18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Total</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b w:val="0"/>
                <w:lang w:bidi="en-GB"/>
              </w:rPr>
            </w:pPr>
            <w:r>
              <w:rPr>
                <w:rFonts w:eastAsia="Verdana" w:cs="Verdana"/>
                <w:b w:val="0"/>
                <w:lang w:bidi="en-GB"/>
              </w:rPr>
              <w:t xml:space="preserve"> 339</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b w:val="0"/>
                <w:lang w:bidi="en-GB"/>
              </w:rPr>
            </w:pPr>
            <w:r>
              <w:rPr>
                <w:rFonts w:eastAsia="Verdana" w:cs="Verdana"/>
                <w:b w:val="0"/>
                <w:lang w:bidi="en-GB"/>
              </w:rPr>
              <w:t xml:space="preserve"> 101</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b w:val="0"/>
                <w:lang w:bidi="en-GB"/>
              </w:rPr>
            </w:pPr>
            <w:r>
              <w:rPr>
                <w:rFonts w:eastAsia="Verdana" w:cs="Verdana"/>
                <w:b w:val="0"/>
                <w:lang w:bidi="en-GB"/>
              </w:rPr>
              <w:t xml:space="preserve"> (0)</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b w:val="0"/>
                <w:lang w:bidi="en-GB"/>
              </w:rPr>
            </w:pPr>
            <w:r>
              <w:rPr>
                <w:rFonts w:eastAsia="Verdana" w:cs="Verdana"/>
                <w:b w:val="0"/>
                <w:lang w:bidi="en-GB"/>
              </w:rPr>
              <w:t>–</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b w:val="0"/>
                <w:lang w:bidi="en-GB"/>
              </w:rPr>
            </w:pPr>
            <w:r>
              <w:rPr>
                <w:rFonts w:eastAsia="Verdana" w:cs="Verdana"/>
                <w:b w:val="0"/>
                <w:lang w:bidi="en-GB"/>
              </w:rPr>
              <w:t>–</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b w:val="0"/>
                <w:lang w:bidi="en-GB"/>
              </w:rPr>
            </w:pPr>
            <w:r>
              <w:rPr>
                <w:rFonts w:eastAsia="Verdana" w:cs="Verdana"/>
                <w:b w:val="0"/>
                <w:lang w:bidi="en-GB"/>
              </w:rPr>
              <w:t xml:space="preserve"> 440</w:t>
            </w:r>
          </w:p>
        </w:tc>
      </w:tr>
    </w:tbl>
    <w:p w:rsidR="004D38C4" w:rsidRDefault="004D38C4">
      <w:pPr>
        <w:pStyle w:val="DGTextstand-alone"/>
        <w:spacing w:before="0"/>
      </w:pPr>
    </w:p>
    <w:p w:rsidR="004D38C4" w:rsidRDefault="00BC2113">
      <w:pPr>
        <w:pStyle w:val="HEADER2NOTES"/>
        <w:rPr>
          <w:noProof/>
        </w:rPr>
      </w:pPr>
      <w:r>
        <w:rPr>
          <w:noProof/>
        </w:rPr>
        <w:t xml:space="preserve"> </w:t>
      </w:r>
      <w:bookmarkStart w:id="57" w:name="_DMBM_11002"/>
      <w:bookmarkEnd w:id="46"/>
      <w:r>
        <w:rPr>
          <w:noProof/>
        </w:rPr>
        <w:t>PRE-FINANCING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58" w:name="DOC_TBL00023_1_1"/>
            <w:bookmarkEnd w:id="58"/>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 xml:space="preserve">EUR </w:t>
            </w:r>
            <w:r>
              <w:rPr>
                <w:rFonts w:eastAsia="Verdana" w:cs="Verdana"/>
                <w:lang w:val="fr-BE" w:bidi="en-GB"/>
              </w:rPr>
              <w:t>millions</w:t>
            </w:r>
          </w:p>
        </w:tc>
      </w:tr>
      <w:tr w:rsidR="004D38C4">
        <w:trPr>
          <w:cantSplit/>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val="fr-BE"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val="fr-BE" w:bidi="en-GB"/>
              </w:rPr>
            </w:pPr>
            <w:r>
              <w:rPr>
                <w:rFonts w:eastAsia="Verdana" w:cs="Verdana"/>
                <w:lang w:val="fr-BE"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31.12.2016</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Non-current pre-financing</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val="fr-BE" w:bidi="en-GB"/>
              </w:rPr>
            </w:pP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Pre-financing</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val="fr-BE" w:bidi="en-GB"/>
              </w:rPr>
            </w:pPr>
            <w:r>
              <w:rPr>
                <w:rFonts w:eastAsia="Verdana" w:cs="Verdana"/>
                <w:lang w:val="fr-BE" w:bidi="en-GB"/>
              </w:rPr>
              <w:t>2.5.1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21 663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20 095</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advances to Member States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val="fr-BE" w:bidi="en-GB"/>
              </w:rPr>
            </w:pPr>
            <w:r>
              <w:rPr>
                <w:rFonts w:eastAsia="Verdana" w:cs="Verdana"/>
                <w:lang w:val="fr-BE" w:bidi="en-GB"/>
              </w:rPr>
              <w:t>2.5.2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3 018</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1 651</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Contribution to Trust Funds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64</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31</w:t>
            </w: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BoldLeft"/>
              <w:rPr>
                <w:rFonts w:eastAsia="Verdana" w:cs="Verdana"/>
                <w:lang w:val="fr-BE"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val="fr-BE"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24 745</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21 777</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Current pre-financing</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val="fr-BE" w:bidi="en-GB"/>
              </w:rPr>
            </w:pP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Pre-financing</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val="fr-BE" w:bidi="en-GB"/>
              </w:rPr>
            </w:pPr>
            <w:r>
              <w:rPr>
                <w:rFonts w:eastAsia="Verdana" w:cs="Verdana"/>
                <w:lang w:val="fr-BE" w:bidi="en-GB"/>
              </w:rPr>
              <w:t>2.5.1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22 908</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21 781</w:t>
            </w:r>
          </w:p>
        </w:tc>
      </w:tr>
      <w:tr w:rsidR="004D38C4">
        <w:trPr>
          <w:cantSplit/>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advances to Member States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val="fr-BE" w:bidi="en-GB"/>
              </w:rPr>
            </w:pPr>
            <w:r>
              <w:rPr>
                <w:rFonts w:eastAsia="Verdana" w:cs="Verdana"/>
                <w:lang w:val="fr-BE" w:bidi="en-GB"/>
              </w:rPr>
              <w:t>2.5.2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1 645</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2 183</w:t>
            </w:r>
          </w:p>
        </w:tc>
      </w:tr>
      <w:tr w:rsidR="004D38C4">
        <w:trPr>
          <w:cantSplit/>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BoldLeft"/>
              <w:rPr>
                <w:rFonts w:eastAsia="Verdana" w:cs="Verdana"/>
                <w:lang w:val="fr-BE"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val="fr-BE"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24 552</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23 964</w:t>
            </w:r>
          </w:p>
        </w:tc>
      </w:tr>
      <w:tr w:rsidR="004D38C4">
        <w:trPr>
          <w:cantSplit/>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Total</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val="fr-BE"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49 297</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45 741</w:t>
            </w:r>
          </w:p>
        </w:tc>
      </w:tr>
    </w:tbl>
    <w:p w:rsidR="004D38C4" w:rsidRDefault="004D38C4">
      <w:pPr>
        <w:pStyle w:val="HEADER3NOTES"/>
        <w:numPr>
          <w:ilvl w:val="0"/>
          <w:numId w:val="0"/>
        </w:numPr>
        <w:rPr>
          <w:noProof/>
          <w:lang w:val="fr-BE"/>
        </w:rPr>
      </w:pPr>
    </w:p>
    <w:p w:rsidR="004D38C4" w:rsidRDefault="00BC2113">
      <w:pPr>
        <w:rPr>
          <w:rFonts w:ascii="Verdana" w:hAnsi="Verdana"/>
          <w:noProof/>
          <w:color w:val="016794"/>
          <w:sz w:val="20"/>
          <w:szCs w:val="20"/>
          <w:lang w:val="fr-BE"/>
        </w:rPr>
      </w:pPr>
      <w:r>
        <w:rPr>
          <w:noProof/>
          <w:lang w:val="fr-BE"/>
        </w:rPr>
        <w:br w:type="page"/>
      </w:r>
    </w:p>
    <w:p w:rsidR="004D38C4" w:rsidRDefault="00BC2113">
      <w:pPr>
        <w:pStyle w:val="HEADER3NOTES"/>
        <w:rPr>
          <w:noProof/>
          <w:lang w:val="fr-BE"/>
        </w:rPr>
      </w:pPr>
      <w:r>
        <w:rPr>
          <w:noProof/>
          <w:lang w:val="fr-BE"/>
        </w:rPr>
        <w:t>Pre-financing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417"/>
        <w:gridCol w:w="1276"/>
        <w:gridCol w:w="1276"/>
        <w:gridCol w:w="1417"/>
      </w:tblGrid>
      <w:tr w:rsidR="004D38C4">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59" w:name="DOC_TBL00024_1_1"/>
            <w:bookmarkEnd w:id="59"/>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millions</w:t>
            </w:r>
          </w:p>
        </w:tc>
      </w:tr>
      <w:tr w:rsidR="004D38C4">
        <w:trPr>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Gross amount</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Cleared via cut-off</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Net amount at 31.12.2017</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Gross amount</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Cleared via cut-off</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 xml:space="preserve">Net amount at </w:t>
            </w:r>
            <w:r>
              <w:rPr>
                <w:rFonts w:eastAsia="Verdana" w:cs="Verdana"/>
                <w:lang w:bidi="en-GB"/>
              </w:rPr>
              <w:t>31.12.2016</w:t>
            </w:r>
          </w:p>
        </w:tc>
      </w:tr>
      <w:tr w:rsidR="004D38C4">
        <w:trPr>
          <w:trHeight w:val="247"/>
        </w:trPr>
        <w:tc>
          <w:tcPr>
            <w:tcW w:w="3085"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jc w:val="left"/>
              <w:rPr>
                <w:rFonts w:eastAsia="Verdana" w:cs="Verdana"/>
                <w:lang w:bidi="en-GB"/>
              </w:rPr>
            </w:pPr>
            <w:r>
              <w:rPr>
                <w:rFonts w:eastAsia="Verdana" w:cs="Verdana"/>
                <w:lang w:bidi="en-GB"/>
              </w:rPr>
              <w:t>Shared Management</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EAFRD &amp; other rural development instruments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3 735</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3 735</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3 955</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3 955</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ERDF &amp; CF</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20 561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(5 678)</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14 883</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19 858</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(4 727)</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15 131</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ESF</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6 792</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(1 182)</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5 610</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6 477</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(617)</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5 860</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Other</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5 037</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(2 267)</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2 770</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4 219</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(2 393)</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1 826</w:t>
            </w:r>
          </w:p>
        </w:tc>
      </w:tr>
      <w:tr w:rsidR="004D38C4">
        <w:trPr>
          <w:trHeight w:val="247"/>
        </w:trPr>
        <w:tc>
          <w:tcPr>
            <w:tcW w:w="3085"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jc w:val="left"/>
              <w:rPr>
                <w:rFonts w:eastAsia="Verdana" w:cs="Verdana"/>
                <w:lang w:bidi="en-GB"/>
              </w:rPr>
            </w:pPr>
            <w:r>
              <w:rPr>
                <w:rFonts w:eastAsia="Verdana" w:cs="Verdana"/>
                <w:lang w:bidi="en-GB"/>
              </w:rPr>
              <w:t>Direct Management</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r>
      <w:tr w:rsidR="004D38C4">
        <w:trPr>
          <w:trHeight w:val="247"/>
        </w:trPr>
        <w:tc>
          <w:tcPr>
            <w:tcW w:w="3085"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jc w:val="left"/>
              <w:rPr>
                <w:rFonts w:eastAsia="Verdana" w:cs="Verdana"/>
                <w:lang w:bidi="en-GB"/>
              </w:rPr>
            </w:pPr>
            <w:r>
              <w:rPr>
                <w:rFonts w:eastAsia="Verdana" w:cs="Verdana"/>
                <w:lang w:bidi="en-GB"/>
              </w:rPr>
              <w:t xml:space="preserve">Implemented by: </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Commission</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12 454</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(8 587)</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3 867</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12 710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(9 077)</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3 633</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EU executive agencies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13 845</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(8 751)</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5 094</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13 138</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(8 349)</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4 789</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Trust funds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440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(212)</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228</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142</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(82)</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60</w:t>
            </w:r>
          </w:p>
        </w:tc>
      </w:tr>
      <w:tr w:rsidR="004D38C4">
        <w:trPr>
          <w:trHeight w:val="247"/>
        </w:trPr>
        <w:tc>
          <w:tcPr>
            <w:tcW w:w="3085"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jc w:val="left"/>
              <w:rPr>
                <w:rFonts w:eastAsia="Verdana" w:cs="Verdana"/>
                <w:lang w:bidi="en-GB"/>
              </w:rPr>
            </w:pPr>
            <w:r>
              <w:rPr>
                <w:rFonts w:eastAsia="Verdana" w:cs="Verdana"/>
                <w:lang w:bidi="en-GB"/>
              </w:rPr>
              <w:t>Indirect Management</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BoldRight025"/>
              <w:rPr>
                <w:rFonts w:eastAsia="Verdana" w:cs="Verdana"/>
                <w:lang w:bidi="en-GB"/>
              </w:rPr>
            </w:pPr>
          </w:p>
        </w:tc>
      </w:tr>
      <w:tr w:rsidR="004D38C4">
        <w:trPr>
          <w:trHeight w:val="247"/>
        </w:trPr>
        <w:tc>
          <w:tcPr>
            <w:tcW w:w="3085"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jc w:val="left"/>
              <w:rPr>
                <w:rFonts w:eastAsia="Verdana" w:cs="Verdana"/>
                <w:lang w:bidi="en-GB"/>
              </w:rPr>
            </w:pPr>
            <w:r>
              <w:rPr>
                <w:rFonts w:eastAsia="Verdana" w:cs="Verdana"/>
                <w:lang w:bidi="en-GB"/>
              </w:rPr>
              <w:t>Implemented by:</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Other EU agencies &amp; bodies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3 767</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(2 951)</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816</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2 790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(2 110)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680</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Third countries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1 586</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(956)</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630</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1 861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(1 135)</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726</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International organisations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9 001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(5 879)</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3 121</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7 230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(4 432)</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2 797</w:t>
            </w:r>
          </w:p>
        </w:tc>
      </w:tr>
      <w:tr w:rsidR="004D38C4">
        <w:trPr>
          <w:trHeight w:val="247"/>
        </w:trPr>
        <w:tc>
          <w:tcPr>
            <w:tcW w:w="180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ItalicLeft"/>
              <w:ind w:left="142"/>
              <w:rPr>
                <w:rFonts w:eastAsia="Verdana" w:cs="Verdana"/>
                <w:lang w:bidi="en-GB"/>
              </w:rPr>
            </w:pPr>
            <w:r>
              <w:rPr>
                <w:rFonts w:eastAsia="Verdana" w:cs="Verdana"/>
                <w:lang w:bidi="en-GB"/>
              </w:rPr>
              <w:t>Other entities</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7 752</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(3 936)</w:t>
            </w:r>
          </w:p>
        </w:tc>
        <w:tc>
          <w:tcPr>
            <w:tcW w:w="1417" w:type="dxa"/>
            <w:tcBorders>
              <w:top w:val="nil"/>
              <w:left w:val="nil"/>
              <w:bottom w:val="single" w:sz="4" w:space="0" w:color="016794"/>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3 816</w:t>
            </w:r>
          </w:p>
        </w:tc>
        <w:tc>
          <w:tcPr>
            <w:tcW w:w="1276" w:type="dxa"/>
            <w:tcBorders>
              <w:top w:val="nil"/>
              <w:left w:val="single" w:sz="4" w:space="0" w:color="016794"/>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6 496</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(4 077)</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2 418</w:t>
            </w:r>
          </w:p>
        </w:tc>
      </w:tr>
      <w:tr w:rsidR="004D38C4">
        <w:trPr>
          <w:trHeight w:val="247"/>
        </w:trPr>
        <w:tc>
          <w:tcPr>
            <w:tcW w:w="18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Total</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84</w:t>
            </w:r>
            <w:r>
              <w:rPr>
                <w:rFonts w:eastAsia="Verdana" w:cs="Verdana"/>
                <w:lang w:bidi="en-GB"/>
              </w:rPr>
              <w:t xml:space="preserve"> 969</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(40 399)</w:t>
            </w:r>
          </w:p>
        </w:tc>
        <w:tc>
          <w:tcPr>
            <w:tcW w:w="1417" w:type="dxa"/>
            <w:tcBorders>
              <w:top w:val="single" w:sz="4" w:space="0" w:color="016794"/>
              <w:left w:val="nil"/>
              <w:bottom w:val="single" w:sz="4" w:space="0" w:color="016794"/>
              <w:right w:val="single" w:sz="4" w:space="0" w:color="016794"/>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44 570</w:t>
            </w:r>
          </w:p>
        </w:tc>
        <w:tc>
          <w:tcPr>
            <w:tcW w:w="1276" w:type="dxa"/>
            <w:tcBorders>
              <w:top w:val="single" w:sz="4" w:space="0" w:color="016794"/>
              <w:left w:val="single" w:sz="4" w:space="0" w:color="016794"/>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78 876</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(37 000)</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41 876</w:t>
            </w:r>
          </w:p>
        </w:tc>
      </w:tr>
      <w:tr w:rsidR="004D38C4">
        <w:trPr>
          <w:trHeight w:val="247"/>
        </w:trPr>
        <w:tc>
          <w:tcPr>
            <w:tcW w:w="180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8pItalicleftBlue"/>
              <w:rPr>
                <w:rFonts w:eastAsia="Verdana" w:cs="Verdana"/>
                <w:lang w:bidi="en-GB"/>
              </w:rPr>
            </w:pPr>
            <w:r>
              <w:rPr>
                <w:rFonts w:eastAsia="Verdana" w:cs="Verdana"/>
                <w:lang w:bidi="en-GB"/>
              </w:rPr>
              <w:t>Non-current</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21 663</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w:t>
            </w:r>
          </w:p>
        </w:tc>
        <w:tc>
          <w:tcPr>
            <w:tcW w:w="1417" w:type="dxa"/>
            <w:tcBorders>
              <w:top w:val="single" w:sz="4" w:space="0" w:color="016794"/>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21 663</w:t>
            </w:r>
          </w:p>
        </w:tc>
        <w:tc>
          <w:tcPr>
            <w:tcW w:w="1276" w:type="dxa"/>
            <w:tcBorders>
              <w:top w:val="single" w:sz="4" w:space="0" w:color="016794"/>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20 095</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20 095</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Blue"/>
              <w:rPr>
                <w:rFonts w:eastAsia="Verdana" w:cs="Verdana"/>
                <w:lang w:bidi="en-GB"/>
              </w:rPr>
            </w:pPr>
            <w:r>
              <w:rPr>
                <w:rFonts w:eastAsia="Verdana" w:cs="Verdana"/>
                <w:lang w:bidi="en-GB"/>
              </w:rPr>
              <w:t>Current</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63 307</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(40 399)</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22 908</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58 781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(37 000)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BlueRight"/>
              <w:rPr>
                <w:rFonts w:eastAsia="Verdana" w:cs="Verdana"/>
                <w:lang w:bidi="en-GB"/>
              </w:rPr>
            </w:pPr>
            <w:r>
              <w:rPr>
                <w:rFonts w:eastAsia="Verdana" w:cs="Verdana"/>
                <w:lang w:bidi="en-GB"/>
              </w:rPr>
              <w:t>21 781</w:t>
            </w:r>
          </w:p>
        </w:tc>
      </w:tr>
    </w:tbl>
    <w:p w:rsidR="004D38C4" w:rsidRDefault="00BC2113">
      <w:pPr>
        <w:pStyle w:val="HEADER3NOTES"/>
        <w:rPr>
          <w:noProof/>
        </w:rPr>
      </w:pPr>
      <w:r>
        <w:rPr>
          <w:noProof/>
        </w:rPr>
        <w:t>Other advances to Member States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60" w:name="DOC_TBL00025_1_1"/>
            <w:bookmarkEnd w:id="60"/>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Advances to Member States for financial</w:t>
            </w:r>
            <w:r>
              <w:rPr>
                <w:rFonts w:eastAsia="Verdana" w:cs="Verdana"/>
                <w:lang w:bidi="en-GB"/>
              </w:rPr>
              <w:t xml:space="preserve"> instruments under shared management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2 768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2 534</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Aid Schemes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1 895</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1 300</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4 663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3 834</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3 018</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1 651</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1 645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2 183</w:t>
            </w:r>
          </w:p>
        </w:tc>
      </w:tr>
    </w:tbl>
    <w:p w:rsidR="004D38C4" w:rsidRDefault="00BC2113">
      <w:pPr>
        <w:pStyle w:val="Textstand-alone"/>
        <w:spacing w:before="0" w:after="0"/>
        <w:sectPr w:rsidR="004D38C4">
          <w:headerReference w:type="even" r:id="rId111"/>
          <w:headerReference w:type="default" r:id="rId112"/>
          <w:footerReference w:type="even" r:id="rId113"/>
          <w:footerReference w:type="default" r:id="rId114"/>
          <w:headerReference w:type="first" r:id="rId115"/>
          <w:footerReference w:type="first" r:id="rId116"/>
          <w:pgSz w:w="11906" w:h="16838"/>
          <w:pgMar w:top="1134" w:right="1134" w:bottom="1134" w:left="1134" w:header="709" w:footer="709" w:gutter="0"/>
          <w:cols w:space="708"/>
          <w:docGrid w:linePitch="360"/>
        </w:sectPr>
      </w:pPr>
      <w:r>
        <w:t xml:space="preserve"> </w:t>
      </w:r>
      <w:bookmarkEnd w:id="57"/>
    </w:p>
    <w:p w:rsidR="004D38C4" w:rsidRDefault="00BC2113">
      <w:pPr>
        <w:pStyle w:val="HEADER2NOTES"/>
        <w:rPr>
          <w:noProof/>
        </w:rPr>
      </w:pPr>
      <w:bookmarkStart w:id="61" w:name="_DMBM_10956"/>
      <w:r>
        <w:rPr>
          <w:noProof/>
        </w:rPr>
        <w:t xml:space="preserve">EXCHANGE </w:t>
      </w:r>
      <w:r>
        <w:rPr>
          <w:noProof/>
        </w:rPr>
        <w:t>RECEIVABLES AND NON-EXCHANGE RECOVERABLES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62" w:name="DOC_TBL00026_1_1"/>
            <w:bookmarkEnd w:id="62"/>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Non-current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Recoverables from non-exchange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616</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727</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Receivables from 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619</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729</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Current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Recoverables </w:t>
            </w:r>
            <w:r>
              <w:rPr>
                <w:rFonts w:eastAsia="Verdana" w:cs="Verdana"/>
                <w:lang w:bidi="en-GB"/>
              </w:rPr>
              <w:t>from non-exchange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10 924</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10 266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Receivables from exchange transactions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497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341</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11 421</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10 607</w:t>
            </w:r>
          </w:p>
        </w:tc>
      </w:tr>
      <w:tr w:rsidR="004D38C4">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12 040</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11 336</w:t>
            </w:r>
          </w:p>
        </w:tc>
      </w:tr>
    </w:tbl>
    <w:p w:rsidR="004D38C4" w:rsidRDefault="00BC2113">
      <w:pPr>
        <w:pStyle w:val="HEADER3NOTES"/>
        <w:rPr>
          <w:noProof/>
        </w:rPr>
      </w:pPr>
      <w:r>
        <w:rPr>
          <w:noProof/>
        </w:rPr>
        <w:t xml:space="preserve"> Recoverables from non-exchange transactions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871"/>
        <w:gridCol w:w="1841"/>
        <w:gridCol w:w="1842"/>
      </w:tblGrid>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63" w:name="DOC_TBL00027_1_1"/>
            <w:bookmarkEnd w:id="63"/>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Non-current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Member States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2.6.1.1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594</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700</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Accrued income and deferred charges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2.6.1.3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recoverables</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22</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27</w:t>
            </w:r>
          </w:p>
        </w:tc>
      </w:tr>
      <w:tr w:rsidR="004D38C4">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616</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727</w:t>
            </w:r>
          </w:p>
        </w:tc>
      </w:tr>
      <w:tr w:rsidR="004D38C4">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Current</w:t>
            </w: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Member States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2.6.1.1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6 123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8 122</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Competition fines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2.6.1.2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4 225</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1 808</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Accrued income and deferred charges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2.6.1.3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384</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153</w:t>
            </w:r>
          </w:p>
        </w:tc>
      </w:tr>
      <w:tr w:rsidR="004D38C4">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recoverables</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192</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182</w:t>
            </w:r>
          </w:p>
        </w:tc>
      </w:tr>
      <w:tr w:rsidR="004D38C4">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BoldLeft"/>
              <w:rPr>
                <w:rFonts w:eastAsia="Verdana" w:cs="Verdana"/>
                <w:lang w:bidi="en-GB"/>
              </w:rPr>
            </w:pP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10 924</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10 266</w:t>
            </w:r>
          </w:p>
        </w:tc>
      </w:tr>
      <w:tr w:rsidR="004D38C4">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11 540</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10 993</w:t>
            </w:r>
          </w:p>
        </w:tc>
      </w:tr>
    </w:tbl>
    <w:p w:rsidR="004D38C4" w:rsidRDefault="004D38C4">
      <w:pPr>
        <w:pStyle w:val="HEADER4Part1"/>
        <w:numPr>
          <w:ilvl w:val="0"/>
          <w:numId w:val="0"/>
        </w:numPr>
        <w:rPr>
          <w:noProof/>
        </w:rPr>
      </w:pPr>
    </w:p>
    <w:p w:rsidR="004D38C4" w:rsidRDefault="00BC2113">
      <w:pPr>
        <w:rPr>
          <w:rFonts w:ascii="Verdana" w:hAnsi="Verdana"/>
          <w:noProof/>
          <w:color w:val="016794"/>
          <w:sz w:val="18"/>
          <w:szCs w:val="18"/>
        </w:rPr>
      </w:pPr>
      <w:r>
        <w:rPr>
          <w:noProof/>
        </w:rPr>
        <w:br w:type="page"/>
      </w:r>
    </w:p>
    <w:p w:rsidR="004D38C4" w:rsidRDefault="00BC2113">
      <w:pPr>
        <w:pStyle w:val="HEADER4Part1"/>
        <w:rPr>
          <w:noProof/>
        </w:rPr>
      </w:pPr>
      <w:r>
        <w:rPr>
          <w:noProof/>
        </w:rPr>
        <w:t>Recoverables from Member States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64" w:name="DOC_TBL00028_1_1"/>
            <w:bookmarkEnd w:id="64"/>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Recoverables related to own resources: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Established in the A account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3 113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3 261</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Established in </w:t>
            </w:r>
            <w:r>
              <w:rPr>
                <w:rFonts w:eastAsia="Verdana" w:cs="Verdana"/>
                <w:lang w:bidi="en-GB"/>
              </w:rPr>
              <w:t>the separate account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1 617</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1 437</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Own resources to be received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1 764</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Impairment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(997)</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(753)</w:t>
            </w:r>
          </w:p>
        </w:tc>
      </w:tr>
      <w:tr w:rsidR="004D38C4">
        <w:trPr>
          <w:cantSplit/>
        </w:trP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56</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36</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Own resource recoverables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3 836</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5 745</w:t>
            </w:r>
          </w:p>
        </w:tc>
      </w:tr>
      <w:tr w:rsidR="004D38C4">
        <w:trPr>
          <w:cantSplit/>
        </w:trP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Recoverables in the area of agriculture and rural development: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European Agricultural Guarantee Fund</w:t>
            </w:r>
            <w:r>
              <w:rPr>
                <w:rFonts w:eastAsia="Verdana" w:cs="Verdana"/>
                <w:lang w:bidi="en-GB"/>
              </w:rPr>
              <w:t xml:space="preserve"> (EAGF)</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2 280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2 606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European Agricultural Fund for Rural Development (EAFRD)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955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924</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Temporary Rural Development Instrument (TRDI)</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30</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Special Accession Programme for Agriculture and Rural Development (SAPARD)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167</w:t>
            </w:r>
          </w:p>
        </w:tc>
      </w:tr>
      <w:tr w:rsidR="004D38C4">
        <w:trPr>
          <w:cantSplit/>
        </w:trP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Impairment</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(804)</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(999)</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EAGF and rural development recoverables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2 583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2 729</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Pre-financing recovery expected</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182</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293</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VAT paid and recoverable</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22</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17</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Other recoverables from Member States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94</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39</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6 717</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8 822</w:t>
            </w:r>
          </w:p>
        </w:tc>
      </w:tr>
      <w:tr w:rsidR="004D38C4">
        <w:trPr>
          <w:cantSplit/>
        </w:trP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594</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700</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6 123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8 122</w:t>
            </w:r>
          </w:p>
        </w:tc>
      </w:tr>
    </w:tbl>
    <w:p w:rsidR="004D38C4" w:rsidRDefault="00BC2113">
      <w:pPr>
        <w:pStyle w:val="HEADER5"/>
        <w:spacing w:before="240"/>
        <w:rPr>
          <w:noProof/>
        </w:rPr>
      </w:pPr>
      <w:r>
        <w:rPr>
          <w:noProof/>
        </w:rPr>
        <w:t xml:space="preserve"> </w:t>
      </w:r>
    </w:p>
    <w:p w:rsidR="004D38C4" w:rsidRDefault="00BC2113">
      <w:pPr>
        <w:pStyle w:val="HEADER4Part1"/>
        <w:rPr>
          <w:noProof/>
        </w:rPr>
      </w:pPr>
      <w:r>
        <w:rPr>
          <w:noProof/>
        </w:rPr>
        <w:t xml:space="preserve">Recoverables </w:t>
      </w:r>
      <w:r>
        <w:rPr>
          <w:noProof/>
        </w:rPr>
        <w:t>from competition fines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65" w:name="DOC_TBL00029_1_1"/>
            <w:bookmarkEnd w:id="65"/>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Recoverable from fines gross amount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7 679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6 510</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Provisional payments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(3 282)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(4 524)</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Impairment</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(172)</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(178)</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4 225</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1 808</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4 225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1 808</w:t>
            </w:r>
          </w:p>
        </w:tc>
      </w:tr>
    </w:tbl>
    <w:p w:rsidR="004D38C4" w:rsidRDefault="004D38C4">
      <w:pPr>
        <w:pStyle w:val="HEADER5"/>
        <w:spacing w:before="240"/>
        <w:rPr>
          <w:noProof/>
          <w:lang w:bidi="en-GB"/>
        </w:rPr>
      </w:pPr>
    </w:p>
    <w:p w:rsidR="004D38C4" w:rsidRDefault="00BC2113">
      <w:pPr>
        <w:pStyle w:val="HEADER4Part1"/>
        <w:rPr>
          <w:noProof/>
        </w:rPr>
      </w:pPr>
      <w:r>
        <w:rPr>
          <w:noProof/>
        </w:rPr>
        <w:t xml:space="preserve">Accrued income and </w:t>
      </w:r>
      <w:r>
        <w:rPr>
          <w:noProof/>
        </w:rPr>
        <w:t>deferred charges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66" w:name="DOC_TBL00030_1_1"/>
            <w:bookmarkEnd w:id="66"/>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 corrections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accrued income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322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70</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Deferred charges relating to non-exchange transactions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61</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74</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384</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153</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384</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153</w:t>
            </w:r>
          </w:p>
        </w:tc>
      </w:tr>
    </w:tbl>
    <w:p w:rsidR="004D38C4" w:rsidRDefault="004D38C4">
      <w:pPr>
        <w:pStyle w:val="HEADER3NOTES"/>
        <w:numPr>
          <w:ilvl w:val="0"/>
          <w:numId w:val="0"/>
        </w:numPr>
        <w:rPr>
          <w:noProof/>
        </w:rPr>
      </w:pPr>
    </w:p>
    <w:p w:rsidR="004D38C4" w:rsidRDefault="00BC2113">
      <w:pPr>
        <w:rPr>
          <w:rFonts w:ascii="Verdana" w:hAnsi="Verdana"/>
          <w:noProof/>
          <w:color w:val="016794"/>
          <w:sz w:val="20"/>
          <w:szCs w:val="20"/>
        </w:rPr>
      </w:pPr>
      <w:r>
        <w:rPr>
          <w:noProof/>
        </w:rPr>
        <w:br w:type="page"/>
      </w:r>
    </w:p>
    <w:p w:rsidR="004D38C4" w:rsidRDefault="00BC2113">
      <w:pPr>
        <w:pStyle w:val="HEADER3NOTES"/>
        <w:rPr>
          <w:noProof/>
        </w:rPr>
      </w:pPr>
      <w:r>
        <w:rPr>
          <w:noProof/>
        </w:rPr>
        <w:t xml:space="preserve">Receivables from </w:t>
      </w:r>
      <w:r>
        <w:rPr>
          <w:noProof/>
        </w:rPr>
        <w:t>exchange transactions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67" w:name="DOC_TBL00031_1_1"/>
            <w:bookmarkEnd w:id="67"/>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Non-current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r>
      <w:tr w:rsidR="004D38C4">
        <w:trPr>
          <w:cantSplit/>
        </w:trP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receivables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Normal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2</w:t>
            </w:r>
          </w:p>
        </w:tc>
      </w:tr>
      <w:tr w:rsidR="004D38C4">
        <w:trPr>
          <w:cantSplit/>
        </w:trPr>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Customers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184</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189</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Impairment on receivables from customers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(124)</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Deferred charges relating to exchange transactions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172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162</w:t>
            </w:r>
          </w:p>
        </w:tc>
      </w:tr>
      <w:tr w:rsidR="004D38C4">
        <w:trPr>
          <w:cantSplit/>
        </w:trPr>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Others</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277</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114</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Bold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497</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341</w:t>
            </w:r>
          </w:p>
        </w:tc>
      </w:tr>
      <w:tr w:rsidR="004D38C4">
        <w:trPr>
          <w:cantSplit/>
        </w:trPr>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501</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343</w:t>
            </w:r>
          </w:p>
        </w:tc>
      </w:tr>
    </w:tbl>
    <w:p w:rsidR="004D38C4" w:rsidRDefault="004D38C4">
      <w:pPr>
        <w:pStyle w:val="Textstand-alone"/>
        <w:spacing w:before="0"/>
      </w:pPr>
    </w:p>
    <w:p w:rsidR="004D38C4" w:rsidRDefault="00BC2113">
      <w:pPr>
        <w:pStyle w:val="HEADER2NOTES"/>
        <w:rPr>
          <w:noProof/>
        </w:rPr>
      </w:pPr>
      <w:bookmarkStart w:id="68" w:name="_DMBM_10946"/>
      <w:bookmarkEnd w:id="61"/>
      <w:r>
        <w:rPr>
          <w:noProof/>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0"/>
        <w:gridCol w:w="2148"/>
        <w:gridCol w:w="2006"/>
      </w:tblGrid>
      <w:tr w:rsidR="004D38C4">
        <w:trPr>
          <w:cantSplit/>
        </w:trPr>
        <w:tc>
          <w:tcPr>
            <w:tcW w:w="2891" w:type="pct"/>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69" w:name="DOC_TBL00032_1_1"/>
            <w:bookmarkEnd w:id="69"/>
          </w:p>
        </w:tc>
        <w:tc>
          <w:tcPr>
            <w:tcW w:w="1090" w:type="pct"/>
            <w:tcBorders>
              <w:top w:val="nil"/>
              <w:left w:val="nil"/>
              <w:bottom w:val="nil"/>
              <w:right w:val="nil"/>
            </w:tcBorders>
            <w:tcMar>
              <w:top w:w="0" w:type="dxa"/>
              <w:left w:w="108" w:type="dxa"/>
              <w:bottom w:w="0" w:type="dxa"/>
              <w:right w:w="108" w:type="dxa"/>
            </w:tcMar>
          </w:tcPr>
          <w:p w:rsidR="004D38C4" w:rsidRDefault="004D38C4">
            <w:pPr>
              <w:pStyle w:val="Heading10pNormalCentered"/>
              <w:rPr>
                <w:rFonts w:eastAsia="Times New Roman" w:cs="Verdana"/>
                <w:color w:val="auto"/>
              </w:rPr>
            </w:pPr>
            <w:bookmarkStart w:id="70" w:name="DOC_TBL00032_1_2"/>
            <w:bookmarkEnd w:id="70"/>
          </w:p>
        </w:tc>
        <w:tc>
          <w:tcPr>
            <w:tcW w:w="1018" w:type="pct"/>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bookmarkStart w:id="71" w:name="DOC_TBL00032_1_3"/>
            <w:r>
              <w:rPr>
                <w:rFonts w:cs="Verdana"/>
              </w:rPr>
              <w:t>EUR millions</w:t>
            </w:r>
            <w:bookmarkEnd w:id="71"/>
          </w:p>
        </w:tc>
      </w:tr>
      <w:tr w:rsidR="004D38C4">
        <w:trPr>
          <w:cantSplit/>
        </w:trPr>
        <w:tc>
          <w:tcPr>
            <w:tcW w:w="2891" w:type="pct"/>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cs="Verdana"/>
              </w:rPr>
            </w:pPr>
            <w:bookmarkStart w:id="72" w:name="DOC_TBL00032_2_1"/>
            <w:bookmarkEnd w:id="72"/>
          </w:p>
        </w:tc>
        <w:tc>
          <w:tcPr>
            <w:tcW w:w="1090" w:type="pct"/>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cs="Verdana"/>
              </w:rPr>
            </w:pPr>
            <w:bookmarkStart w:id="73" w:name="DOC_TBL00032_2_2"/>
            <w:r>
              <w:rPr>
                <w:rFonts w:cs="Verdana"/>
              </w:rPr>
              <w:t>31.12.2017</w:t>
            </w:r>
            <w:bookmarkEnd w:id="73"/>
          </w:p>
        </w:tc>
        <w:tc>
          <w:tcPr>
            <w:tcW w:w="1018" w:type="pct"/>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cs="Verdana"/>
              </w:rPr>
            </w:pPr>
            <w:bookmarkStart w:id="74" w:name="DOC_TBL00032_2_3"/>
            <w:r>
              <w:rPr>
                <w:rFonts w:cs="Verdana"/>
              </w:rPr>
              <w:t>31.12.2016</w:t>
            </w:r>
            <w:bookmarkEnd w:id="74"/>
          </w:p>
        </w:tc>
      </w:tr>
      <w:tr w:rsidR="004D38C4">
        <w:trPr>
          <w:cantSplit/>
        </w:trPr>
        <w:tc>
          <w:tcPr>
            <w:tcW w:w="2891" w:type="pct"/>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bookmarkStart w:id="75" w:name="DOC_TBL00032_3_1"/>
            <w:r>
              <w:rPr>
                <w:rFonts w:cs="Verdana"/>
              </w:rPr>
              <w:t>Scientific materials</w:t>
            </w:r>
            <w:bookmarkEnd w:id="75"/>
          </w:p>
        </w:tc>
        <w:tc>
          <w:tcPr>
            <w:tcW w:w="1090" w:type="pct"/>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bookmarkStart w:id="76" w:name="DOC_TBL00032_3_2"/>
            <w:r>
              <w:rPr>
                <w:rFonts w:cs="Verdana"/>
              </w:rPr>
              <w:t xml:space="preserve"> 45</w:t>
            </w:r>
            <w:bookmarkEnd w:id="76"/>
          </w:p>
        </w:tc>
        <w:tc>
          <w:tcPr>
            <w:tcW w:w="1018" w:type="pct"/>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bookmarkStart w:id="77" w:name="DOC_TBL00032_3_3"/>
            <w:r>
              <w:rPr>
                <w:rFonts w:cs="Verdana"/>
              </w:rPr>
              <w:t xml:space="preserve"> 54</w:t>
            </w:r>
            <w:bookmarkEnd w:id="77"/>
          </w:p>
        </w:tc>
      </w:tr>
      <w:tr w:rsidR="004D38C4">
        <w:trPr>
          <w:cantSplit/>
        </w:trPr>
        <w:tc>
          <w:tcPr>
            <w:tcW w:w="2891" w:type="pct"/>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bookmarkStart w:id="78" w:name="DOC_TBL00032_4_1"/>
            <w:r>
              <w:rPr>
                <w:rFonts w:cs="Verdana"/>
              </w:rPr>
              <w:t>Other</w:t>
            </w:r>
            <w:bookmarkEnd w:id="78"/>
          </w:p>
        </w:tc>
        <w:tc>
          <w:tcPr>
            <w:tcW w:w="1090" w:type="pct"/>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bookmarkStart w:id="79" w:name="DOC_TBL00032_4_2"/>
            <w:r>
              <w:rPr>
                <w:rFonts w:cs="Verdana"/>
              </w:rPr>
              <w:t xml:space="preserve"> 18</w:t>
            </w:r>
            <w:bookmarkEnd w:id="79"/>
          </w:p>
        </w:tc>
        <w:tc>
          <w:tcPr>
            <w:tcW w:w="1018" w:type="pct"/>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bookmarkStart w:id="80" w:name="DOC_TBL00032_4_3"/>
            <w:r>
              <w:rPr>
                <w:rFonts w:cs="Verdana"/>
              </w:rPr>
              <w:t xml:space="preserve"> 21</w:t>
            </w:r>
            <w:bookmarkEnd w:id="80"/>
          </w:p>
        </w:tc>
      </w:tr>
      <w:tr w:rsidR="004D38C4">
        <w:trPr>
          <w:cantSplit/>
        </w:trPr>
        <w:tc>
          <w:tcPr>
            <w:tcW w:w="2891" w:type="pct"/>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bookmarkStart w:id="81" w:name="DOC_TBL00032_5_1"/>
            <w:r>
              <w:rPr>
                <w:rFonts w:cs="Verdana"/>
              </w:rPr>
              <w:t>Total</w:t>
            </w:r>
            <w:bookmarkEnd w:id="81"/>
          </w:p>
        </w:tc>
        <w:tc>
          <w:tcPr>
            <w:tcW w:w="1090" w:type="pct"/>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bookmarkStart w:id="82" w:name="DOC_TBL00032_5_2"/>
            <w:r>
              <w:rPr>
                <w:rFonts w:cs="Verdana"/>
              </w:rPr>
              <w:t xml:space="preserve"> 62</w:t>
            </w:r>
            <w:bookmarkEnd w:id="82"/>
          </w:p>
        </w:tc>
        <w:tc>
          <w:tcPr>
            <w:tcW w:w="1018" w:type="pct"/>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bookmarkStart w:id="83" w:name="DOC_TBL00032_5_3"/>
            <w:r>
              <w:rPr>
                <w:rFonts w:cs="Verdana"/>
              </w:rPr>
              <w:t xml:space="preserve"> 75</w:t>
            </w:r>
            <w:bookmarkEnd w:id="83"/>
          </w:p>
        </w:tc>
      </w:tr>
    </w:tbl>
    <w:p w:rsidR="004D38C4" w:rsidRDefault="00BC2113">
      <w:pPr>
        <w:pStyle w:val="Textstand-alone"/>
        <w:rPr>
          <w:lang w:val="fr-BE" w:bidi="en-GB"/>
        </w:rPr>
        <w:sectPr w:rsidR="004D38C4">
          <w:headerReference w:type="even" r:id="rId117"/>
          <w:headerReference w:type="default" r:id="rId118"/>
          <w:footerReference w:type="even" r:id="rId119"/>
          <w:footerReference w:type="default" r:id="rId120"/>
          <w:headerReference w:type="first" r:id="rId121"/>
          <w:footerReference w:type="first" r:id="rId122"/>
          <w:pgSz w:w="11906" w:h="16838"/>
          <w:pgMar w:top="1134" w:right="1134" w:bottom="1134" w:left="1134" w:header="709" w:footer="709" w:gutter="0"/>
          <w:cols w:space="708"/>
          <w:docGrid w:linePitch="360"/>
        </w:sectPr>
      </w:pPr>
      <w:r>
        <w:rPr>
          <w:lang w:val="fr-BE" w:bidi="en-GB"/>
        </w:rPr>
        <w:t xml:space="preserve"> </w:t>
      </w:r>
      <w:bookmarkEnd w:id="68"/>
    </w:p>
    <w:p w:rsidR="004D38C4" w:rsidRDefault="00BC2113">
      <w:pPr>
        <w:pStyle w:val="HEADER2NOTES"/>
        <w:rPr>
          <w:noProof/>
          <w:lang w:val="fr-BE"/>
        </w:rPr>
      </w:pPr>
      <w:bookmarkStart w:id="84" w:name="_DMBM_11011"/>
      <w:r>
        <w:rPr>
          <w:noProof/>
          <w:lang w:val="fr-BE"/>
        </w:rPr>
        <w:t>CASH AND CASH EQUIVALENTS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85" w:name="DOC_TBL00033_1_1"/>
            <w:bookmarkEnd w:id="85"/>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Accounts with Treasuries and Central Banks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20 078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24 566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Current accounts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152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127</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Imprest accounts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5</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Transfers (cash in transit)</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0</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 xml:space="preserve">Bank accounts for </w:t>
            </w:r>
            <w:r>
              <w:rPr>
                <w:rFonts w:eastAsia="Verdana" w:cs="Verdana"/>
                <w:lang w:bidi="en-GB"/>
              </w:rPr>
              <w:t>budget implementation</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val="fr-BE" w:bidi="en-GB"/>
              </w:rPr>
            </w:pPr>
            <w:r>
              <w:rPr>
                <w:rFonts w:eastAsia="Verdana" w:cs="Verdana"/>
                <w:b/>
                <w:i w:val="0"/>
                <w:lang w:val="fr-BE" w:bidi="en-GB"/>
              </w:rPr>
              <w:t>20 236</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val="fr-BE" w:bidi="en-GB"/>
              </w:rPr>
            </w:pPr>
            <w:r>
              <w:rPr>
                <w:rFonts w:eastAsia="Verdana" w:cs="Verdana"/>
                <w:b/>
                <w:i w:val="0"/>
                <w:lang w:val="fr-BE" w:bidi="en-GB"/>
              </w:rPr>
              <w:t>24 698</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Cash belonging to financial instruments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val="fr-BE" w:bidi="en-GB"/>
              </w:rPr>
            </w:pPr>
            <w:r>
              <w:rPr>
                <w:rFonts w:eastAsia="Verdana" w:cs="Verdana"/>
                <w:b/>
                <w:i w:val="0"/>
                <w:lang w:val="fr-BE" w:bidi="en-GB"/>
              </w:rPr>
              <w:t>1 608</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val="fr-BE" w:bidi="en-GB"/>
              </w:rPr>
            </w:pPr>
            <w:r>
              <w:rPr>
                <w:rFonts w:eastAsia="Verdana" w:cs="Verdana"/>
                <w:b/>
                <w:i w:val="0"/>
                <w:lang w:val="fr-BE" w:bidi="en-GB"/>
              </w:rPr>
              <w:t>1 390</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val="fr-BE" w:bidi="en-GB"/>
              </w:rPr>
            </w:pPr>
            <w:r>
              <w:rPr>
                <w:rFonts w:eastAsia="Verdana" w:cs="Verdana"/>
                <w:lang w:val="fr-BE" w:bidi="en-GB"/>
              </w:rPr>
              <w:t>Cash relating to fines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val="fr-BE" w:bidi="en-GB"/>
              </w:rPr>
            </w:pPr>
            <w:r>
              <w:rPr>
                <w:rFonts w:eastAsia="Verdana" w:cs="Verdana"/>
                <w:b/>
                <w:i w:val="0"/>
                <w:lang w:val="fr-BE" w:bidi="en-GB"/>
              </w:rPr>
              <w:t>1 234</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val="fr-BE" w:bidi="en-GB"/>
              </w:rPr>
            </w:pPr>
            <w:r>
              <w:rPr>
                <w:rFonts w:eastAsia="Verdana" w:cs="Verdana"/>
                <w:b/>
                <w:i w:val="0"/>
                <w:lang w:val="fr-BE" w:bidi="en-GB"/>
              </w:rPr>
              <w:t>1 325</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Cash relating to trust funds</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val="fr-BE" w:bidi="en-GB"/>
              </w:rPr>
            </w:pPr>
            <w:r>
              <w:rPr>
                <w:rFonts w:eastAsia="Verdana" w:cs="Verdana"/>
                <w:b/>
                <w:i w:val="0"/>
                <w:lang w:bidi="en-GB"/>
              </w:rPr>
              <w:t xml:space="preserve"> </w:t>
            </w:r>
            <w:r>
              <w:rPr>
                <w:rFonts w:eastAsia="Verdana" w:cs="Verdana"/>
                <w:b/>
                <w:i w:val="0"/>
                <w:lang w:val="fr-BE" w:bidi="en-GB"/>
              </w:rPr>
              <w:t>34</w:t>
            </w: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val="fr-BE" w:bidi="en-GB"/>
              </w:rPr>
            </w:pPr>
            <w:r>
              <w:rPr>
                <w:rFonts w:eastAsia="Verdana" w:cs="Verdana"/>
                <w:b/>
                <w:i w:val="0"/>
                <w:lang w:val="fr-BE" w:bidi="en-GB"/>
              </w:rPr>
              <w:t xml:space="preserve"> 167</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23 113</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27 579</w:t>
            </w:r>
          </w:p>
        </w:tc>
      </w:tr>
    </w:tbl>
    <w:p w:rsidR="004D38C4" w:rsidRDefault="00BC2113">
      <w:pPr>
        <w:pStyle w:val="Textstand-alone"/>
        <w:rPr>
          <w:lang w:val="fr-BE" w:bidi="en-GB"/>
        </w:rPr>
        <w:sectPr w:rsidR="004D38C4">
          <w:headerReference w:type="even" r:id="rId123"/>
          <w:headerReference w:type="default" r:id="rId124"/>
          <w:footerReference w:type="even" r:id="rId125"/>
          <w:footerReference w:type="default" r:id="rId126"/>
          <w:headerReference w:type="first" r:id="rId127"/>
          <w:footerReference w:type="first" r:id="rId128"/>
          <w:type w:val="continuous"/>
          <w:pgSz w:w="11906" w:h="16838"/>
          <w:pgMar w:top="1134" w:right="1134" w:bottom="1134" w:left="1134" w:header="709" w:footer="709" w:gutter="0"/>
          <w:cols w:space="708"/>
          <w:docGrid w:linePitch="360"/>
        </w:sectPr>
      </w:pPr>
      <w:r>
        <w:rPr>
          <w:lang w:val="fr-BE" w:bidi="en-GB"/>
        </w:rPr>
        <w:t xml:space="preserve"> </w:t>
      </w:r>
      <w:bookmarkEnd w:id="84"/>
    </w:p>
    <w:p w:rsidR="004D38C4" w:rsidRDefault="00BC2113">
      <w:pPr>
        <w:pStyle w:val="HEADERTABLE"/>
        <w:spacing w:after="0"/>
        <w:rPr>
          <w:noProof/>
        </w:rPr>
        <w:sectPr w:rsidR="004D38C4">
          <w:headerReference w:type="even" r:id="rId129"/>
          <w:headerReference w:type="default" r:id="rId130"/>
          <w:footerReference w:type="even" r:id="rId131"/>
          <w:footerReference w:type="default" r:id="rId132"/>
          <w:headerReference w:type="first" r:id="rId133"/>
          <w:footerReference w:type="first" r:id="rId134"/>
          <w:pgSz w:w="11906" w:h="16838"/>
          <w:pgMar w:top="1134" w:right="1134" w:bottom="1134" w:left="1134" w:header="709" w:footer="709" w:gutter="0"/>
          <w:cols w:space="708"/>
          <w:docGrid w:linePitch="360"/>
        </w:sectPr>
      </w:pPr>
      <w:bookmarkStart w:id="86" w:name="_DMBM_10976"/>
      <w:r>
        <w:rPr>
          <w:noProof/>
          <w:lang w:val="fr-BE"/>
        </w:rPr>
        <w:t xml:space="preserve">LIABILITIES </w:t>
      </w:r>
      <w:bookmarkEnd w:id="86"/>
    </w:p>
    <w:p w:rsidR="004D38C4" w:rsidRDefault="00BC2113">
      <w:pPr>
        <w:pStyle w:val="HEADER2NOTES"/>
        <w:rPr>
          <w:noProof/>
        </w:rPr>
      </w:pPr>
      <w:bookmarkStart w:id="87" w:name="_DMBM_11000"/>
      <w:r>
        <w:rPr>
          <w:noProof/>
        </w:rPr>
        <w:t>PENSION AND OTHER EMPLOYEE BENEFITS</w:t>
      </w:r>
    </w:p>
    <w:p w:rsidR="004D38C4" w:rsidRDefault="00BC2113">
      <w:pPr>
        <w:pStyle w:val="HEADER5"/>
        <w:rPr>
          <w:b/>
          <w:noProof/>
        </w:rPr>
      </w:pPr>
      <w:r>
        <w:rPr>
          <w:noProof/>
        </w:rPr>
        <w:t>Net employee benefit scheme liability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1263"/>
        <w:gridCol w:w="1314"/>
        <w:gridCol w:w="1271"/>
        <w:gridCol w:w="1405"/>
        <w:gridCol w:w="1540"/>
      </w:tblGrid>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88" w:name="DOC_TBL00034_1_1"/>
            <w:bookmarkEnd w:id="88"/>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 xml:space="preserve">EUR </w:t>
            </w:r>
            <w:r>
              <w:rPr>
                <w:rFonts w:eastAsia="Verdana" w:cs="Verdana"/>
                <w:lang w:bidi="en-GB"/>
              </w:rPr>
              <w:t>millions</w:t>
            </w:r>
          </w:p>
        </w:tc>
      </w:tr>
      <w:tr w:rsidR="004D38C4">
        <w:tc>
          <w:tcPr>
            <w:tcW w:w="32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Pension Scheme of European Officials</w:t>
            </w:r>
          </w:p>
        </w:tc>
        <w:tc>
          <w:tcPr>
            <w:tcW w:w="130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Other retirement benefit schemes</w:t>
            </w:r>
          </w:p>
        </w:tc>
        <w:tc>
          <w:tcPr>
            <w:tcW w:w="127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Joint Sickness Insurance Scheme</w:t>
            </w:r>
          </w:p>
        </w:tc>
        <w:tc>
          <w:tcPr>
            <w:tcW w:w="112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31.12.2017</w:t>
            </w:r>
          </w:p>
          <w:p w:rsidR="004D38C4" w:rsidRDefault="00BC2113">
            <w:pPr>
              <w:pStyle w:val="Heading9pNormalRight025"/>
              <w:rPr>
                <w:rFonts w:eastAsia="Verdana" w:cs="Verdana"/>
                <w:noProof/>
                <w:lang w:bidi="en-GB"/>
              </w:rPr>
            </w:pPr>
            <w:r>
              <w:rPr>
                <w:rFonts w:eastAsia="Verdana" w:cs="Verdana"/>
                <w:noProof/>
                <w:lang w:bidi="en-GB"/>
              </w:rPr>
              <w:t>Total</w:t>
            </w:r>
          </w:p>
        </w:tc>
        <w:tc>
          <w:tcPr>
            <w:tcW w:w="155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31.12.2016</w:t>
            </w:r>
          </w:p>
          <w:p w:rsidR="004D38C4" w:rsidRDefault="00BC2113">
            <w:pPr>
              <w:pStyle w:val="Heading9pNormalRight025"/>
              <w:rPr>
                <w:rFonts w:eastAsia="Verdana" w:cs="Verdana"/>
                <w:noProof/>
                <w:lang w:bidi="en-GB"/>
              </w:rPr>
            </w:pPr>
            <w:r>
              <w:rPr>
                <w:rFonts w:eastAsia="Verdana" w:cs="Verdana"/>
                <w:noProof/>
                <w:lang w:bidi="en-GB"/>
              </w:rPr>
              <w:t>Total</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Defined Benefit Obligation</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63 951</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1 089</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7 756</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72 796</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66 844</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Plan assets</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N/A</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N/A</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(301)</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(301)</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(293)</w:t>
            </w:r>
          </w:p>
        </w:tc>
      </w:tr>
      <w:tr w:rsidR="004D38C4">
        <w:tc>
          <w:tcPr>
            <w:tcW w:w="321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 xml:space="preserve">Net </w:t>
            </w:r>
            <w:r>
              <w:rPr>
                <w:rFonts w:eastAsia="Verdana" w:cs="Verdana"/>
                <w:lang w:bidi="en-GB"/>
              </w:rPr>
              <w:t>liability</w:t>
            </w:r>
          </w:p>
        </w:tc>
        <w:tc>
          <w:tcPr>
            <w:tcW w:w="127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63 951</w:t>
            </w:r>
          </w:p>
        </w:tc>
        <w:tc>
          <w:tcPr>
            <w:tcW w:w="130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1 089</w:t>
            </w:r>
          </w:p>
        </w:tc>
        <w:tc>
          <w:tcPr>
            <w:tcW w:w="127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7 455</w:t>
            </w:r>
          </w:p>
        </w:tc>
        <w:tc>
          <w:tcPr>
            <w:tcW w:w="1129"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72 495</w:t>
            </w:r>
          </w:p>
        </w:tc>
        <w:tc>
          <w:tcPr>
            <w:tcW w:w="1559"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66 550</w:t>
            </w:r>
          </w:p>
        </w:tc>
      </w:tr>
    </w:tbl>
    <w:p w:rsidR="004D38C4" w:rsidRDefault="004D38C4">
      <w:pPr>
        <w:pStyle w:val="Textstand-alone"/>
        <w:spacing w:before="0" w:after="0"/>
        <w:rPr>
          <w:lang w:bidi="en-GB"/>
        </w:rPr>
      </w:pPr>
    </w:p>
    <w:p w:rsidR="004D38C4" w:rsidRDefault="00BC2113">
      <w:pPr>
        <w:pStyle w:val="HEADER5"/>
        <w:rPr>
          <w:noProof/>
        </w:rPr>
      </w:pPr>
      <w:r>
        <w:rPr>
          <w:noProof/>
        </w:rPr>
        <w:t>Actuarial assumptions - employee benefits</w:t>
      </w:r>
    </w:p>
    <w:p w:rsidR="004D38C4" w:rsidRDefault="004D38C4">
      <w:pPr>
        <w:pStyle w:val="Textstand-alone"/>
        <w:spacing w:before="0" w:after="0"/>
        <w:rPr>
          <w:lang w:bidi="en-GB"/>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bookmarkStart w:id="89" w:name="DOC_TBL00035_1_1"/>
            <w:bookmarkEnd w:id="89"/>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Pension Scheme of European Officials</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Joint Sickness Insurance Scheme</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2017</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Nominal discount rate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1.9 %</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2.0 %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Expected inflation rate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1.5 %</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1.6 %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Real discount </w:t>
            </w:r>
            <w:r>
              <w:rPr>
                <w:rFonts w:eastAsia="Verdana" w:cs="Verdana"/>
                <w:lang w:bidi="en-GB"/>
              </w:rPr>
              <w:t>rate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0.4 %</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0.4 %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Expected rate of salary increases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1.8 %</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1.7 %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Medical cost trend rates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N/A</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3.0 %</w:t>
            </w:r>
          </w:p>
        </w:tc>
      </w:tr>
      <w:tr w:rsidR="004D38C4">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Retirement age</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63/64/66</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63/64/66</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2016</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Nominal discount rate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1.7 %</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1.9 %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Expected inflation rate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1.4 %</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1.5 %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Real discount rate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0.3 %</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0.4 %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Expected rate of salary increases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1.2 %</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1.1 %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Medical cost trend rates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N/A</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3.0 %</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Retirement age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63/64/66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63/64/66</w:t>
            </w:r>
          </w:p>
        </w:tc>
      </w:tr>
    </w:tbl>
    <w:p w:rsidR="004D38C4" w:rsidRDefault="00BC2113">
      <w:pPr>
        <w:pStyle w:val="Textstand-alone"/>
        <w:spacing w:before="0" w:after="0"/>
        <w:rPr>
          <w:lang w:bidi="en-GB"/>
        </w:rPr>
      </w:pPr>
      <w:r>
        <w:rPr>
          <w:lang w:bidi="en-GB"/>
        </w:rPr>
        <w:t xml:space="preserve"> </w:t>
      </w:r>
    </w:p>
    <w:p w:rsidR="004D38C4" w:rsidRDefault="00BC2113">
      <w:pPr>
        <w:pStyle w:val="HEADER5"/>
        <w:rPr>
          <w:b/>
          <w:noProof/>
        </w:rPr>
      </w:pPr>
      <w:r>
        <w:rPr>
          <w:noProof/>
        </w:rPr>
        <w:t>Movement in present value of employee benefits defined benefit obligation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90" w:name="DOC_TBL00036_1_1"/>
            <w:bookmarkEnd w:id="90"/>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 xml:space="preserve">Pension Scheme of European Officials </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 xml:space="preserve">Other </w:t>
            </w:r>
            <w:r>
              <w:rPr>
                <w:rFonts w:eastAsia="Verdana" w:cs="Verdana"/>
                <w:lang w:bidi="en-GB"/>
              </w:rPr>
              <w:t>retirement benefit Schemes</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Joint Sickness Insurance Scheme</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Total</w:t>
            </w:r>
          </w:p>
        </w:tc>
      </w:tr>
      <w:tr w:rsidR="004D38C4">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Present value as at 31.12.2016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58 746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1 062</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7 036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66 844</w:t>
            </w:r>
          </w:p>
        </w:tc>
      </w:tr>
      <w:tr w:rsidR="004D38C4">
        <w:tc>
          <w:tcPr>
            <w:tcW w:w="322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Current service cost</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2 637</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84</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266</w:t>
            </w:r>
          </w:p>
        </w:tc>
        <w:tc>
          <w:tcPr>
            <w:tcW w:w="163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2 986</w:t>
            </w:r>
          </w:p>
        </w:tc>
      </w:tr>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Interest cost</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1 148</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19</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134</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1 300</w:t>
            </w:r>
          </w:p>
        </w:tc>
      </w:tr>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Net actuarial (gains) and losses</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3 616</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(48)</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394</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3 </w:t>
            </w:r>
            <w:r>
              <w:rPr>
                <w:rFonts w:eastAsia="Verdana" w:cs="Verdana"/>
                <w:lang w:bidi="en-GB"/>
              </w:rPr>
              <w:t>962</w:t>
            </w:r>
          </w:p>
        </w:tc>
      </w:tr>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Contributions from members</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w:t>
            </w:r>
          </w:p>
        </w:tc>
      </w:tr>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Benefits paid</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(1 417)</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(28)</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(94)</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(1 539)</w:t>
            </w:r>
          </w:p>
        </w:tc>
      </w:tr>
      <w:tr w:rsidR="004D38C4">
        <w:tc>
          <w:tcPr>
            <w:tcW w:w="322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Liability increase/(decrease) due to taxes on pensions</w:t>
            </w:r>
          </w:p>
        </w:tc>
        <w:tc>
          <w:tcPr>
            <w:tcW w:w="163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(778)</w:t>
            </w:r>
          </w:p>
        </w:tc>
        <w:tc>
          <w:tcPr>
            <w:tcW w:w="163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c>
          <w:tcPr>
            <w:tcW w:w="163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63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(777)</w:t>
            </w:r>
          </w:p>
        </w:tc>
      </w:tr>
      <w:tr w:rsidR="004D38C4">
        <w:tc>
          <w:tcPr>
            <w:tcW w:w="322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Present value as at 31.12.2017</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63 951</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1 089</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7 756</w:t>
            </w:r>
          </w:p>
        </w:tc>
        <w:tc>
          <w:tcPr>
            <w:tcW w:w="163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72 796</w:t>
            </w:r>
          </w:p>
        </w:tc>
      </w:tr>
    </w:tbl>
    <w:p w:rsidR="004D38C4" w:rsidRDefault="00BC2113">
      <w:pPr>
        <w:pStyle w:val="DGTextstand-alone"/>
        <w:spacing w:before="0" w:after="0"/>
      </w:pPr>
      <w:r>
        <w:br w:type="page"/>
      </w:r>
    </w:p>
    <w:p w:rsidR="004D38C4" w:rsidRDefault="00BC2113">
      <w:pPr>
        <w:pStyle w:val="HEADER5"/>
        <w:rPr>
          <w:noProof/>
        </w:rPr>
      </w:pPr>
      <w:r>
        <w:rPr>
          <w:noProof/>
        </w:rPr>
        <w:t xml:space="preserve">Movement in present value of plan assets of the Joint Sickness Insurance Scheme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4D38C4">
        <w:tc>
          <w:tcPr>
            <w:tcW w:w="76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91" w:name="DOC_TBL00037_1_1"/>
            <w:bookmarkEnd w:id="91"/>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762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Right025"/>
              <w:rPr>
                <w:rFonts w:eastAsia="Verdana" w:cs="Verdana"/>
                <w:lang w:bidi="en-GB"/>
              </w:rPr>
            </w:pPr>
          </w:p>
        </w:tc>
      </w:tr>
      <w:tr w:rsidR="004D38C4">
        <w:tc>
          <w:tcPr>
            <w:tcW w:w="762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Present value as at 31.12.2016</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293</w:t>
            </w:r>
          </w:p>
        </w:tc>
      </w:tr>
      <w:tr w:rsidR="004D38C4">
        <w:tc>
          <w:tcPr>
            <w:tcW w:w="762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Net movement in plan assets</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w:t>
            </w:r>
          </w:p>
        </w:tc>
      </w:tr>
      <w:tr w:rsidR="004D38C4">
        <w:tc>
          <w:tcPr>
            <w:tcW w:w="762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Present value as at 31.12.2017</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301</w:t>
            </w:r>
          </w:p>
        </w:tc>
      </w:tr>
    </w:tbl>
    <w:p w:rsidR="004D38C4" w:rsidRDefault="004D38C4">
      <w:pPr>
        <w:pStyle w:val="Textstand-alone"/>
        <w:spacing w:before="0" w:after="0"/>
        <w:rPr>
          <w:lang w:bidi="en-GB"/>
        </w:rPr>
      </w:pPr>
    </w:p>
    <w:p w:rsidR="004D38C4" w:rsidRDefault="00BC2113">
      <w:pPr>
        <w:pStyle w:val="HEADER5"/>
        <w:rPr>
          <w:b/>
          <w:noProof/>
        </w:rPr>
      </w:pPr>
      <w:r>
        <w:rPr>
          <w:noProof/>
        </w:rPr>
        <w:t>5 year trend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270"/>
        <w:gridCol w:w="1306"/>
        <w:gridCol w:w="1273"/>
        <w:gridCol w:w="1271"/>
        <w:gridCol w:w="1417"/>
      </w:tblGrid>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92" w:name="DOC_TBL00038_1_1"/>
            <w:bookmarkEnd w:id="92"/>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2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2013</w:t>
            </w:r>
          </w:p>
        </w:tc>
        <w:tc>
          <w:tcPr>
            <w:tcW w:w="130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2014</w:t>
            </w:r>
          </w:p>
        </w:tc>
        <w:tc>
          <w:tcPr>
            <w:tcW w:w="127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2015</w:t>
            </w:r>
          </w:p>
        </w:tc>
        <w:tc>
          <w:tcPr>
            <w:tcW w:w="127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2016</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2017</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Present value of the defined benefit obligation</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46 367</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58 317</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63 488</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66 844</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72 796</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Fair value of plan assets</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(264)</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(272)</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(280)</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(293)</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(301)</w:t>
            </w:r>
          </w:p>
        </w:tc>
      </w:tr>
      <w:tr w:rsidR="004D38C4">
        <w:tc>
          <w:tcPr>
            <w:tcW w:w="321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Employee benefits liability</w:t>
            </w:r>
          </w:p>
        </w:tc>
        <w:tc>
          <w:tcPr>
            <w:tcW w:w="127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46 103</w:t>
            </w:r>
          </w:p>
        </w:tc>
        <w:tc>
          <w:tcPr>
            <w:tcW w:w="130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58 045</w:t>
            </w:r>
          </w:p>
        </w:tc>
        <w:tc>
          <w:tcPr>
            <w:tcW w:w="127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63 208</w:t>
            </w:r>
          </w:p>
        </w:tc>
        <w:tc>
          <w:tcPr>
            <w:tcW w:w="127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66 550</w:t>
            </w:r>
          </w:p>
        </w:tc>
        <w:tc>
          <w:tcPr>
            <w:tcW w:w="141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72 495</w:t>
            </w:r>
          </w:p>
        </w:tc>
      </w:tr>
    </w:tbl>
    <w:p w:rsidR="004D38C4" w:rsidRDefault="004D38C4">
      <w:pPr>
        <w:pStyle w:val="Textstand-alone"/>
        <w:spacing w:before="0" w:after="0"/>
        <w:rPr>
          <w:lang w:bidi="en-GB"/>
        </w:rPr>
      </w:pPr>
    </w:p>
    <w:p w:rsidR="004D38C4" w:rsidRDefault="00BC2113">
      <w:pPr>
        <w:pStyle w:val="HEADER5"/>
        <w:rPr>
          <w:b/>
          <w:noProof/>
        </w:rPr>
      </w:pPr>
      <w:r>
        <w:rPr>
          <w:noProof/>
        </w:rPr>
        <w:t xml:space="preserve">Amounts recognised in the </w:t>
      </w:r>
      <w:r>
        <w:rPr>
          <w:noProof/>
        </w:rPr>
        <w:t>Statement of Financial Performance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93" w:name="DOC_TBL00039_1_1"/>
            <w:bookmarkEnd w:id="93"/>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79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48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Pension Scheme of European Officials</w:t>
            </w:r>
          </w:p>
        </w:tc>
        <w:tc>
          <w:tcPr>
            <w:tcW w:w="148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Other retirement benefit Schemes</w:t>
            </w:r>
          </w:p>
        </w:tc>
        <w:tc>
          <w:tcPr>
            <w:tcW w:w="141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Joint Sickness Insurance Scheme</w:t>
            </w:r>
          </w:p>
        </w:tc>
        <w:tc>
          <w:tcPr>
            <w:tcW w:w="155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Total</w:t>
            </w: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2017</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BoldRight025"/>
              <w:rPr>
                <w:rFonts w:eastAsia="Verdana" w:cs="Verdana"/>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BoldRight025"/>
              <w:rPr>
                <w:rFonts w:eastAsia="Verdana" w:cs="Verdana"/>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BoldRight025"/>
              <w:rPr>
                <w:rFonts w:eastAsia="Verdana" w:cs="Verdana"/>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BoldRight025"/>
              <w:rPr>
                <w:rFonts w:eastAsia="Verdana" w:cs="Verdana"/>
                <w:lang w:bidi="en-GB"/>
              </w:rPr>
            </w:pP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Current service cost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2 360</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85</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266</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2 710</w:t>
            </w: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Interest cost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1 027</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19</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134</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1 180</w:t>
            </w: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Past</w:t>
            </w:r>
            <w:r>
              <w:rPr>
                <w:rFonts w:eastAsia="Verdana" w:cs="Verdana"/>
                <w:i/>
                <w:lang w:bidi="en-GB"/>
              </w:rPr>
              <w:t xml:space="preserve"> service cost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r>
      <w:tr w:rsidR="004D38C4">
        <w:tc>
          <w:tcPr>
            <w:tcW w:w="379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Change in plan assets</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(81)</w:t>
            </w:r>
          </w:p>
        </w:tc>
        <w:tc>
          <w:tcPr>
            <w:tcW w:w="155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(81)</w:t>
            </w:r>
          </w:p>
        </w:tc>
      </w:tr>
      <w:tr w:rsidR="004D38C4">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Staff and pension costs</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3 387</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104</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318</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3 809</w:t>
            </w:r>
          </w:p>
        </w:tc>
      </w:tr>
      <w:tr w:rsidR="004D38C4">
        <w:tc>
          <w:tcPr>
            <w:tcW w:w="379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Actuarial gains and losses</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3 236</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(49)</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394</w:t>
            </w:r>
          </w:p>
        </w:tc>
        <w:tc>
          <w:tcPr>
            <w:tcW w:w="155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3 580</w:t>
            </w:r>
          </w:p>
        </w:tc>
      </w:tr>
      <w:tr w:rsidR="004D38C4">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 xml:space="preserve">Total </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6 623</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55</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712</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7 390</w:t>
            </w:r>
          </w:p>
        </w:tc>
      </w:tr>
    </w:tbl>
    <w:p w:rsidR="004D38C4" w:rsidRDefault="00BC2113">
      <w:pPr>
        <w:pStyle w:val="Textstand-alone"/>
        <w:spacing w:before="0" w:after="0"/>
        <w:rPr>
          <w:lang w:bidi="en-GB"/>
        </w:rPr>
      </w:pPr>
      <w:r>
        <w:rPr>
          <w:lang w:bidi="en-GB"/>
        </w:rPr>
        <w:t xml:space="preserve"> </w:t>
      </w:r>
    </w:p>
    <w:p w:rsidR="004D38C4" w:rsidRDefault="00BC2113">
      <w:pPr>
        <w:pStyle w:val="HEADER5"/>
        <w:rPr>
          <w:b/>
          <w:noProof/>
        </w:rPr>
      </w:pPr>
      <w:r>
        <w:rPr>
          <w:noProof/>
        </w:rPr>
        <w:t>Joint Sickness Insurance Scheme sensitivity</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94" w:name="DOC_TBL00040_1_1"/>
            <w:bookmarkEnd w:id="94"/>
          </w:p>
        </w:tc>
        <w:tc>
          <w:tcPr>
            <w:tcW w:w="2126" w:type="dxa"/>
            <w:tcBorders>
              <w:top w:val="nil"/>
              <w:left w:val="nil"/>
              <w:bottom w:val="nil"/>
              <w:right w:val="nil"/>
            </w:tcBorders>
            <w:tcMar>
              <w:top w:w="0" w:type="dxa"/>
              <w:left w:w="108" w:type="dxa"/>
              <w:bottom w:w="0" w:type="dxa"/>
              <w:right w:w="108" w:type="dxa"/>
            </w:tcMar>
          </w:tcPr>
          <w:p w:rsidR="004D38C4" w:rsidRDefault="004D38C4">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 xml:space="preserve">One </w:t>
            </w:r>
            <w:r>
              <w:rPr>
                <w:rFonts w:cs="Verdana"/>
              </w:rPr>
              <w:t>percentage point increase</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One percentage point decrease</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The aggregate of the current service cost and interest cost components of net periodic post-employment medical costs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166</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(141)</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The accumulated post-employment benefit obligation for medical costs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2 538</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(1 867)</w:t>
            </w:r>
          </w:p>
        </w:tc>
      </w:tr>
    </w:tbl>
    <w:p w:rsidR="004D38C4" w:rsidRDefault="00BC2113">
      <w:pPr>
        <w:pStyle w:val="Textstand-alone"/>
        <w:spacing w:before="0" w:after="0"/>
        <w:rPr>
          <w:lang w:bidi="en-GB"/>
        </w:rPr>
        <w:sectPr w:rsidR="004D38C4">
          <w:headerReference w:type="even" r:id="rId135"/>
          <w:headerReference w:type="default" r:id="rId136"/>
          <w:footerReference w:type="even" r:id="rId137"/>
          <w:footerReference w:type="default" r:id="rId138"/>
          <w:headerReference w:type="first" r:id="rId139"/>
          <w:footerReference w:type="first" r:id="rId140"/>
          <w:type w:val="continuous"/>
          <w:pgSz w:w="11906" w:h="16838"/>
          <w:pgMar w:top="1134" w:right="1134" w:bottom="1134" w:left="1134" w:header="709" w:footer="709" w:gutter="0"/>
          <w:cols w:space="708"/>
          <w:docGrid w:linePitch="360"/>
        </w:sectPr>
      </w:pPr>
      <w:r>
        <w:rPr>
          <w:lang w:bidi="en-GB"/>
        </w:rPr>
        <w:t xml:space="preserve"> </w:t>
      </w:r>
      <w:bookmarkEnd w:id="87"/>
    </w:p>
    <w:p w:rsidR="004D38C4" w:rsidRDefault="00BC2113">
      <w:pPr>
        <w:pStyle w:val="HEADER2NOTES"/>
        <w:rPr>
          <w:noProof/>
        </w:rPr>
      </w:pPr>
      <w:bookmarkStart w:id="95" w:name="_DMBM_10969"/>
      <w:r>
        <w:rPr>
          <w:noProof/>
        </w:rPr>
        <w:t>PROVISIONS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134"/>
        <w:gridCol w:w="1134"/>
        <w:gridCol w:w="1134"/>
        <w:gridCol w:w="1134"/>
        <w:gridCol w:w="1134"/>
        <w:gridCol w:w="1417"/>
      </w:tblGrid>
      <w:tr w:rsidR="004D38C4">
        <w:trPr>
          <w:cantSplit/>
          <w:trHeight w:val="274"/>
        </w:trPr>
        <w:tc>
          <w:tcPr>
            <w:tcW w:w="1384"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96" w:name="DOC_TBL00041_1_1"/>
            <w:bookmarkEnd w:id="96"/>
          </w:p>
        </w:tc>
        <w:tc>
          <w:tcPr>
            <w:tcW w:w="1276"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417"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rPr>
          <w:cantSplit/>
        </w:trPr>
        <w:tc>
          <w:tcPr>
            <w:tcW w:w="138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Times New Roman" w:cs="Verdana"/>
              </w:rPr>
            </w:pP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Times New Roman" w:cs="Verdana"/>
              </w:rPr>
            </w:pPr>
            <w:r>
              <w:rPr>
                <w:rFonts w:eastAsia="Times New Roman" w:cs="Verdana"/>
              </w:rPr>
              <w:t>Amount at 31.12.2016</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Times New Roman" w:cs="Verdana"/>
              </w:rPr>
            </w:pPr>
            <w:r>
              <w:rPr>
                <w:rFonts w:eastAsia="Times New Roman" w:cs="Verdana"/>
              </w:rPr>
              <w:t>Additional provisions</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Times New Roman" w:cs="Verdana"/>
              </w:rPr>
            </w:pPr>
            <w:r>
              <w:rPr>
                <w:rFonts w:eastAsia="Times New Roman" w:cs="Verdana"/>
              </w:rPr>
              <w:t>Unused amounts reversed</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Times New Roman" w:cs="Verdana"/>
              </w:rPr>
            </w:pPr>
            <w:r>
              <w:rPr>
                <w:rFonts w:eastAsia="Times New Roman" w:cs="Verdana"/>
              </w:rPr>
              <w:t>Amounts used</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Times New Roman" w:cs="Verdana"/>
              </w:rPr>
            </w:pPr>
            <w:r>
              <w:rPr>
                <w:rFonts w:eastAsia="Times New Roman" w:cs="Verdana"/>
              </w:rPr>
              <w:t xml:space="preserve">Transfer between </w:t>
            </w:r>
            <w:r>
              <w:rPr>
                <w:rFonts w:eastAsia="Times New Roman" w:cs="Verdana"/>
              </w:rPr>
              <w:t>categories</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Times New Roman" w:cs="Verdana"/>
              </w:rPr>
            </w:pPr>
            <w:r>
              <w:rPr>
                <w:rFonts w:eastAsia="Times New Roman" w:cs="Verdana"/>
              </w:rPr>
              <w:t>Change in estimation</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Times New Roman" w:cs="Verdana"/>
              </w:rPr>
            </w:pPr>
            <w:r>
              <w:rPr>
                <w:rFonts w:eastAsia="Times New Roman" w:cs="Verdana"/>
              </w:rPr>
              <w:t>Amount at 31.12.2017</w:t>
            </w:r>
          </w:p>
        </w:tc>
      </w:tr>
      <w:tr w:rsidR="004D38C4">
        <w:trPr>
          <w:cantSplit/>
        </w:trPr>
        <w:tc>
          <w:tcPr>
            <w:tcW w:w="1384"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Legal cases:</w:t>
            </w:r>
          </w:p>
        </w:tc>
        <w:tc>
          <w:tcPr>
            <w:tcW w:w="1276" w:type="dxa"/>
            <w:tcBorders>
              <w:top w:val="nil"/>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417" w:type="dxa"/>
            <w:tcBorders>
              <w:top w:val="nil"/>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r>
      <w:tr w:rsidR="004D38C4">
        <w:trPr>
          <w:cantSplit/>
        </w:trPr>
        <w:tc>
          <w:tcPr>
            <w:tcW w:w="1384"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Agriculture</w:t>
            </w:r>
          </w:p>
        </w:tc>
        <w:tc>
          <w:tcPr>
            <w:tcW w:w="1276"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149</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i w:val="0"/>
              </w:rPr>
            </w:pPr>
            <w:r>
              <w:rPr>
                <w:rFonts w:eastAsia="Times New Roman" w:cs="Verdana"/>
                <w:i w:val="0"/>
              </w:rPr>
              <w:t xml:space="preserve"> 49</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(26)</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(122)</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1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49</w:t>
            </w:r>
          </w:p>
        </w:tc>
      </w:tr>
      <w:tr w:rsidR="004D38C4">
        <w:trPr>
          <w:cantSplit/>
        </w:trPr>
        <w:tc>
          <w:tcPr>
            <w:tcW w:w="1384"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Cohesion</w:t>
            </w:r>
          </w:p>
        </w:tc>
        <w:tc>
          <w:tcPr>
            <w:tcW w:w="1276"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217</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i w:val="0"/>
              </w:rPr>
            </w:pPr>
            <w:r>
              <w:rPr>
                <w:rFonts w:eastAsia="Times New Roman" w:cs="Verdana"/>
                <w:i w:val="0"/>
              </w:rPr>
              <w:t xml:space="preserve"> 2</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(198)</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1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20</w:t>
            </w:r>
          </w:p>
        </w:tc>
      </w:tr>
      <w:tr w:rsidR="004D38C4">
        <w:trPr>
          <w:cantSplit/>
        </w:trPr>
        <w:tc>
          <w:tcPr>
            <w:tcW w:w="1384"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Other</w:t>
            </w:r>
          </w:p>
        </w:tc>
        <w:tc>
          <w:tcPr>
            <w:tcW w:w="1276"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14</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i w:val="0"/>
              </w:rPr>
            </w:pPr>
            <w:r>
              <w:rPr>
                <w:rFonts w:eastAsia="Times New Roman" w:cs="Verdana"/>
                <w:i w:val="0"/>
              </w:rPr>
              <w:t xml:space="preserve"> 18</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(3)</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0</w:t>
            </w:r>
          </w:p>
        </w:tc>
        <w:tc>
          <w:tcPr>
            <w:tcW w:w="141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29</w:t>
            </w:r>
          </w:p>
        </w:tc>
      </w:tr>
      <w:tr w:rsidR="004D38C4">
        <w:trPr>
          <w:cantSplit/>
        </w:trPr>
        <w:tc>
          <w:tcPr>
            <w:tcW w:w="1384"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Nuclear site dismantling</w:t>
            </w:r>
          </w:p>
        </w:tc>
        <w:tc>
          <w:tcPr>
            <w:tcW w:w="1276"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1 113</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i w:val="0"/>
              </w:rPr>
            </w:pPr>
            <w:r>
              <w:rPr>
                <w:rFonts w:eastAsia="Times New Roman" w:cs="Verdana"/>
                <w:i w:val="0"/>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(32)</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853</w:t>
            </w:r>
          </w:p>
        </w:tc>
        <w:tc>
          <w:tcPr>
            <w:tcW w:w="141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1 934</w:t>
            </w:r>
          </w:p>
        </w:tc>
      </w:tr>
      <w:tr w:rsidR="004D38C4">
        <w:trPr>
          <w:cantSplit/>
        </w:trPr>
        <w:tc>
          <w:tcPr>
            <w:tcW w:w="1384"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Financial</w:t>
            </w:r>
          </w:p>
        </w:tc>
        <w:tc>
          <w:tcPr>
            <w:tcW w:w="1276"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880</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i w:val="0"/>
              </w:rPr>
            </w:pPr>
            <w:r>
              <w:rPr>
                <w:rFonts w:eastAsia="Times New Roman" w:cs="Verdana"/>
                <w:i w:val="0"/>
              </w:rPr>
              <w:t xml:space="preserve"> 378</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(46)</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(94)</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(3)</w:t>
            </w:r>
          </w:p>
        </w:tc>
        <w:tc>
          <w:tcPr>
            <w:tcW w:w="141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1 115</w:t>
            </w:r>
          </w:p>
        </w:tc>
      </w:tr>
      <w:tr w:rsidR="004D38C4">
        <w:trPr>
          <w:cantSplit/>
        </w:trPr>
        <w:tc>
          <w:tcPr>
            <w:tcW w:w="1384"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Fines</w:t>
            </w:r>
          </w:p>
        </w:tc>
        <w:tc>
          <w:tcPr>
            <w:tcW w:w="1276"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23</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i w:val="0"/>
              </w:rPr>
            </w:pPr>
            <w:r>
              <w:rPr>
                <w:rFonts w:eastAsia="Times New Roman" w:cs="Verdana"/>
                <w:i w:val="0"/>
              </w:rPr>
              <w:t xml:space="preserve"> 7</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1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27</w:t>
            </w:r>
          </w:p>
        </w:tc>
      </w:tr>
      <w:tr w:rsidR="004D38C4">
        <w:trPr>
          <w:cantSplit/>
        </w:trPr>
        <w:tc>
          <w:tcPr>
            <w:tcW w:w="1384"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8pItalicLeft"/>
              <w:rPr>
                <w:rFonts w:cs="Verdana"/>
              </w:rPr>
            </w:pPr>
            <w:r>
              <w:rPr>
                <w:rFonts w:cs="Verdana"/>
              </w:rPr>
              <w:t>Other</w:t>
            </w:r>
          </w:p>
        </w:tc>
        <w:tc>
          <w:tcPr>
            <w:tcW w:w="1276"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16</w:t>
            </w:r>
          </w:p>
        </w:tc>
        <w:tc>
          <w:tcPr>
            <w:tcW w:w="1134"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74</w:t>
            </w:r>
          </w:p>
        </w:tc>
        <w:tc>
          <w:tcPr>
            <w:tcW w:w="1134"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w:t>
            </w:r>
          </w:p>
        </w:tc>
        <w:tc>
          <w:tcPr>
            <w:tcW w:w="1134"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w:t>
            </w:r>
          </w:p>
        </w:tc>
        <w:tc>
          <w:tcPr>
            <w:tcW w:w="1134"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134"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17"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87</w:t>
            </w:r>
          </w:p>
        </w:tc>
      </w:tr>
      <w:tr w:rsidR="004D38C4">
        <w:trPr>
          <w:cantSplit/>
        </w:trPr>
        <w:tc>
          <w:tcPr>
            <w:tcW w:w="1384"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8pBoldLeft"/>
              <w:rPr>
                <w:rFonts w:eastAsia="Times New Roman" w:cs="Verdana"/>
              </w:rPr>
            </w:pPr>
            <w:r>
              <w:rPr>
                <w:rFonts w:eastAsia="Times New Roman" w:cs="Verdana"/>
              </w:rPr>
              <w:t>Total</w:t>
            </w:r>
          </w:p>
        </w:tc>
        <w:tc>
          <w:tcPr>
            <w:tcW w:w="1276"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2 412</w:t>
            </w:r>
          </w:p>
        </w:tc>
        <w:tc>
          <w:tcPr>
            <w:tcW w:w="1134"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529</w:t>
            </w:r>
          </w:p>
        </w:tc>
        <w:tc>
          <w:tcPr>
            <w:tcW w:w="1134"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(80)</w:t>
            </w:r>
          </w:p>
        </w:tc>
        <w:tc>
          <w:tcPr>
            <w:tcW w:w="1134"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(449)</w:t>
            </w:r>
          </w:p>
        </w:tc>
        <w:tc>
          <w:tcPr>
            <w:tcW w:w="1134"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w:t>
            </w:r>
          </w:p>
        </w:tc>
        <w:tc>
          <w:tcPr>
            <w:tcW w:w="1134"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849</w:t>
            </w:r>
          </w:p>
        </w:tc>
        <w:tc>
          <w:tcPr>
            <w:tcW w:w="1417"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3 262</w:t>
            </w:r>
          </w:p>
        </w:tc>
      </w:tr>
      <w:tr w:rsidR="004D38C4">
        <w:trPr>
          <w:cantSplit/>
        </w:trPr>
        <w:tc>
          <w:tcPr>
            <w:tcW w:w="138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8pBoldLeft"/>
              <w:rPr>
                <w:rFonts w:eastAsia="Times New Roman" w:cs="Verdana"/>
              </w:rPr>
            </w:pPr>
            <w:r>
              <w:rPr>
                <w:rFonts w:eastAsia="Times New Roman" w:cs="Verdana"/>
              </w:rPr>
              <w:t>Non-current</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1 786</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325</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(30)</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(128)</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(188)</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852</w:t>
            </w:r>
          </w:p>
        </w:tc>
        <w:tc>
          <w:tcPr>
            <w:tcW w:w="141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2 617</w:t>
            </w:r>
          </w:p>
        </w:tc>
      </w:tr>
      <w:tr w:rsidR="004D38C4">
        <w:trPr>
          <w:cantSplit/>
        </w:trPr>
        <w:tc>
          <w:tcPr>
            <w:tcW w:w="1384"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rPr>
            </w:pPr>
          </w:p>
        </w:tc>
        <w:tc>
          <w:tcPr>
            <w:tcW w:w="1276"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134"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c>
          <w:tcPr>
            <w:tcW w:w="1417"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i w:val="0"/>
              </w:rPr>
            </w:pPr>
          </w:p>
        </w:tc>
      </w:tr>
      <w:tr w:rsidR="004D38C4">
        <w:trPr>
          <w:cantSplit/>
        </w:trPr>
        <w:tc>
          <w:tcPr>
            <w:tcW w:w="138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8pBoldLeft"/>
              <w:rPr>
                <w:rFonts w:eastAsia="Times New Roman" w:cs="Verdana"/>
              </w:rPr>
            </w:pPr>
            <w:r>
              <w:rPr>
                <w:rFonts w:eastAsia="Times New Roman" w:cs="Verdana"/>
              </w:rPr>
              <w:t>Current</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626</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204</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(50)</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(321)</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188</w:t>
            </w:r>
          </w:p>
        </w:tc>
        <w:tc>
          <w:tcPr>
            <w:tcW w:w="1134"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(3)</w:t>
            </w:r>
          </w:p>
        </w:tc>
        <w:tc>
          <w:tcPr>
            <w:tcW w:w="141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645</w:t>
            </w:r>
          </w:p>
        </w:tc>
      </w:tr>
    </w:tbl>
    <w:p w:rsidR="004D38C4" w:rsidRDefault="00BC2113">
      <w:pPr>
        <w:pStyle w:val="Textstand-alone"/>
        <w:sectPr w:rsidR="004D38C4">
          <w:headerReference w:type="even" r:id="rId141"/>
          <w:headerReference w:type="default" r:id="rId142"/>
          <w:footerReference w:type="even" r:id="rId143"/>
          <w:footerReference w:type="default" r:id="rId144"/>
          <w:headerReference w:type="first" r:id="rId145"/>
          <w:footerReference w:type="first" r:id="rId146"/>
          <w:type w:val="continuous"/>
          <w:pgSz w:w="11906" w:h="16838"/>
          <w:pgMar w:top="1134" w:right="1134" w:bottom="1134" w:left="1134" w:header="709" w:footer="709" w:gutter="0"/>
          <w:cols w:space="708"/>
          <w:docGrid w:linePitch="360"/>
        </w:sectPr>
      </w:pPr>
      <w:r>
        <w:t xml:space="preserve"> </w:t>
      </w:r>
      <w:bookmarkEnd w:id="95"/>
    </w:p>
    <w:p w:rsidR="004D38C4" w:rsidRDefault="00BC2113">
      <w:pPr>
        <w:pStyle w:val="HEADER2NOTES"/>
        <w:rPr>
          <w:noProof/>
        </w:rPr>
      </w:pPr>
      <w:bookmarkStart w:id="97" w:name="_DMBM_10961"/>
      <w:r>
        <w:rPr>
          <w:noProof/>
        </w:rPr>
        <w:t>FINANCIAL LIABILITIES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98" w:name="DOC_TBL00042_1_1"/>
            <w:bookmarkEnd w:id="98"/>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Non-current financial liabilities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 liabilities at amortised cost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2.11.1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49 412</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54 375</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 liabilities at fair value through 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2.11.2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49 414</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54 375</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Current financial liabilities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b/>
                <w:i w:val="0"/>
                <w:lang w:bidi="en-GB"/>
              </w:rPr>
            </w:pP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 liabilities at amortised cost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2.11.1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6 813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2 164</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Financial liabilities at fair value through </w:t>
            </w:r>
            <w:r>
              <w:rPr>
                <w:rFonts w:eastAsia="Verdana" w:cs="Verdana"/>
                <w:lang w:bidi="en-GB"/>
              </w:rPr>
              <w:t>surplus or deficit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2.11.2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BoldLeft"/>
              <w:rPr>
                <w:rFonts w:eastAsia="Verdana" w:cs="Verdana"/>
                <w:lang w:bidi="en-GB"/>
              </w:rPr>
            </w:pP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6 813</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2 165</w:t>
            </w:r>
          </w:p>
        </w:tc>
      </w:tr>
      <w:tr w:rsidR="004D38C4">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56 227</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56 540</w:t>
            </w:r>
          </w:p>
        </w:tc>
      </w:tr>
      <w:tr w:rsidR="004D38C4">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bl>
    <w:p w:rsidR="004D38C4" w:rsidRDefault="00BC2113">
      <w:pPr>
        <w:pStyle w:val="HEADER3NOTES"/>
        <w:rPr>
          <w:noProof/>
        </w:rPr>
      </w:pPr>
      <w:r>
        <w:rPr>
          <w:noProof/>
        </w:rPr>
        <w:t xml:space="preserve">Financial liabilities at amortised cost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985"/>
        <w:gridCol w:w="1833"/>
        <w:gridCol w:w="1834"/>
      </w:tblGrid>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99" w:name="DOC_TBL00043_1_1"/>
            <w:bookmarkEnd w:id="99"/>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Borrowings for financial assistance</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2.11.1.1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54 744</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54 944</w:t>
            </w:r>
          </w:p>
        </w:tc>
      </w:tr>
      <w:tr w:rsidR="004D38C4">
        <w:trPr>
          <w:trHeight w:val="268"/>
        </w:trPr>
        <w:tc>
          <w:tcPr>
            <w:tcW w:w="521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financial liabilities</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2.11.1.2</w:t>
            </w:r>
          </w:p>
        </w:tc>
        <w:tc>
          <w:tcPr>
            <w:tcW w:w="184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1 482</w:t>
            </w:r>
          </w:p>
        </w:tc>
        <w:tc>
          <w:tcPr>
            <w:tcW w:w="18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1 596</w:t>
            </w:r>
          </w:p>
        </w:tc>
      </w:tr>
      <w:tr w:rsidR="004D38C4">
        <w:trPr>
          <w:trHeight w:val="268"/>
        </w:trPr>
        <w:tc>
          <w:tcPr>
            <w:tcW w:w="521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84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56 225</w:t>
            </w:r>
          </w:p>
        </w:tc>
        <w:tc>
          <w:tcPr>
            <w:tcW w:w="18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56 540</w:t>
            </w:r>
          </w:p>
        </w:tc>
      </w:tr>
      <w:tr w:rsidR="004D38C4">
        <w:trPr>
          <w:trHeight w:val="268"/>
        </w:trPr>
        <w:tc>
          <w:tcPr>
            <w:tcW w:w="521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8pItalicBlueRight"/>
              <w:rPr>
                <w:rFonts w:eastAsia="Verdana" w:cs="Verdana"/>
                <w:i w:val="0"/>
                <w:color w:val="auto"/>
                <w:lang w:bidi="en-GB"/>
              </w:rPr>
            </w:pPr>
          </w:p>
        </w:tc>
        <w:tc>
          <w:tcPr>
            <w:tcW w:w="184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49 412</w:t>
            </w:r>
          </w:p>
        </w:tc>
        <w:tc>
          <w:tcPr>
            <w:tcW w:w="184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54 375</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BlueRight"/>
              <w:rPr>
                <w:rFonts w:eastAsia="Verdana" w:cs="Verdana"/>
                <w:i w:val="0"/>
                <w:color w:val="auto"/>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6 813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2 164</w:t>
            </w:r>
          </w:p>
        </w:tc>
      </w:tr>
    </w:tbl>
    <w:p w:rsidR="004D38C4" w:rsidRDefault="00BC2113">
      <w:pPr>
        <w:pStyle w:val="HEADER4Part1"/>
        <w:rPr>
          <w:noProof/>
        </w:rPr>
      </w:pPr>
      <w:r>
        <w:rPr>
          <w:noProof/>
        </w:rPr>
        <w:t>Borrowings for financial assistance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270"/>
        <w:gridCol w:w="1306"/>
        <w:gridCol w:w="1273"/>
        <w:gridCol w:w="1271"/>
        <w:gridCol w:w="1417"/>
      </w:tblGrid>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00" w:name="DOC_TBL00044_1_1"/>
            <w:bookmarkEnd w:id="100"/>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2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EFSM</w:t>
            </w:r>
          </w:p>
        </w:tc>
        <w:tc>
          <w:tcPr>
            <w:tcW w:w="130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BOP</w:t>
            </w:r>
          </w:p>
        </w:tc>
        <w:tc>
          <w:tcPr>
            <w:tcW w:w="127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MFA</w:t>
            </w:r>
          </w:p>
        </w:tc>
        <w:tc>
          <w:tcPr>
            <w:tcW w:w="127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Euratom</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Total</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Total at 31.12.2016</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47 456</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4 272</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2 964</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252</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54 944</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New borrowings</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1 013</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1 063</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Repayments</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(1 150)</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(58)</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(52)</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(1 260)</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Exchange differences</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r>
      <w:tr w:rsidR="004D38C4">
        <w:tc>
          <w:tcPr>
            <w:tcW w:w="321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Changes in carrying amounts</w:t>
            </w:r>
          </w:p>
        </w:tc>
        <w:tc>
          <w:tcPr>
            <w:tcW w:w="127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 xml:space="preserve"> 0</w:t>
            </w:r>
          </w:p>
        </w:tc>
        <w:tc>
          <w:tcPr>
            <w:tcW w:w="130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 xml:space="preserve"> (8)</w:t>
            </w:r>
          </w:p>
        </w:tc>
        <w:tc>
          <w:tcPr>
            <w:tcW w:w="127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 xml:space="preserve"> 5</w:t>
            </w:r>
          </w:p>
        </w:tc>
        <w:tc>
          <w:tcPr>
            <w:tcW w:w="127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w:t>
            </w:r>
          </w:p>
        </w:tc>
        <w:tc>
          <w:tcPr>
            <w:tcW w:w="141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i w:val="0"/>
                <w:lang w:bidi="en-GB"/>
              </w:rPr>
            </w:pPr>
            <w:r>
              <w:rPr>
                <w:rFonts w:eastAsia="Verdana" w:cs="Verdana"/>
                <w:i w:val="0"/>
                <w:lang w:bidi="en-GB"/>
              </w:rPr>
              <w:t xml:space="preserve"> (3)</w:t>
            </w:r>
          </w:p>
        </w:tc>
      </w:tr>
      <w:tr w:rsidR="004D38C4">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 at 31.12.2017</w:t>
            </w: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47 456</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3 114</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3 924</w:t>
            </w:r>
          </w:p>
        </w:tc>
        <w:tc>
          <w:tcPr>
            <w:tcW w:w="127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250</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54 744</w:t>
            </w:r>
          </w:p>
        </w:tc>
      </w:tr>
      <w:tr w:rsidR="004D38C4">
        <w:tc>
          <w:tcPr>
            <w:tcW w:w="321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127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42 300</w:t>
            </w:r>
          </w:p>
        </w:tc>
        <w:tc>
          <w:tcPr>
            <w:tcW w:w="130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1 700</w:t>
            </w: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3 846</w:t>
            </w:r>
          </w:p>
        </w:tc>
        <w:tc>
          <w:tcPr>
            <w:tcW w:w="127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 xml:space="preserve"> 203</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48 049</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5 156</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1 414</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78</w:t>
            </w:r>
          </w:p>
        </w:tc>
        <w:tc>
          <w:tcPr>
            <w:tcW w:w="127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 xml:space="preserve"> 47</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6 695</w:t>
            </w:r>
          </w:p>
        </w:tc>
      </w:tr>
    </w:tbl>
    <w:p w:rsidR="004D38C4" w:rsidRDefault="004D38C4">
      <w:pPr>
        <w:pStyle w:val="DGTextstand-alone"/>
        <w:spacing w:before="0"/>
        <w:rPr>
          <w:lang w:bidi="en-GB"/>
        </w:rPr>
      </w:pPr>
    </w:p>
    <w:p w:rsidR="004D38C4" w:rsidRDefault="00BC2113">
      <w:pPr>
        <w:pStyle w:val="HEADER5"/>
        <w:rPr>
          <w:noProof/>
        </w:rPr>
      </w:pPr>
      <w:r>
        <w:rPr>
          <w:noProof/>
        </w:rPr>
        <w:t>Borrowings effective interest rates (expressed as a range of interest rates)</w:t>
      </w:r>
    </w:p>
    <w:p w:rsidR="004D38C4" w:rsidRDefault="004D38C4">
      <w:pPr>
        <w:pStyle w:val="HEADER5"/>
        <w:rPr>
          <w:noProof/>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410"/>
        <w:gridCol w:w="2410"/>
      </w:tblGrid>
      <w:tr w:rsidR="004D38C4">
        <w:tc>
          <w:tcPr>
            <w:tcW w:w="4928"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cs="Verdana"/>
              </w:rPr>
            </w:pPr>
            <w:bookmarkStart w:id="101" w:name="DOC_TBL00045_1_1"/>
            <w:bookmarkEnd w:id="101"/>
          </w:p>
        </w:tc>
        <w:tc>
          <w:tcPr>
            <w:tcW w:w="241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cs="Verdana"/>
              </w:rPr>
            </w:pPr>
            <w:r>
              <w:rPr>
                <w:rFonts w:cs="Verdana"/>
              </w:rPr>
              <w:t>31.12.2017</w:t>
            </w:r>
          </w:p>
        </w:tc>
        <w:tc>
          <w:tcPr>
            <w:tcW w:w="241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cs="Verdana"/>
              </w:rPr>
            </w:pPr>
            <w:r>
              <w:rPr>
                <w:rFonts w:cs="Verdana"/>
              </w:rPr>
              <w:t>31.12.2016</w:t>
            </w:r>
          </w:p>
        </w:tc>
      </w:tr>
      <w:tr w:rsidR="004D38C4">
        <w:tc>
          <w:tcPr>
            <w:tcW w:w="4928"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Macro Financial Assistance (MFA)</w:t>
            </w:r>
          </w:p>
        </w:tc>
        <w:tc>
          <w:tcPr>
            <w:tcW w:w="24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0 % - 4.54 %</w:t>
            </w:r>
          </w:p>
        </w:tc>
        <w:tc>
          <w:tcPr>
            <w:tcW w:w="24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0 % - 4.54 %</w:t>
            </w:r>
          </w:p>
        </w:tc>
      </w:tr>
      <w:tr w:rsidR="004D38C4">
        <w:tc>
          <w:tcPr>
            <w:tcW w:w="4928"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Euratom</w:t>
            </w:r>
          </w:p>
        </w:tc>
        <w:tc>
          <w:tcPr>
            <w:tcW w:w="24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0 % - 5.68 %</w:t>
            </w:r>
          </w:p>
        </w:tc>
        <w:tc>
          <w:tcPr>
            <w:tcW w:w="24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0 % - 5.68 %</w:t>
            </w:r>
          </w:p>
        </w:tc>
      </w:tr>
      <w:tr w:rsidR="004D38C4">
        <w:tc>
          <w:tcPr>
            <w:tcW w:w="4928"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Balance of Payment (BOP)</w:t>
            </w:r>
          </w:p>
        </w:tc>
        <w:tc>
          <w:tcPr>
            <w:tcW w:w="24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2.88 % - 3.38 %</w:t>
            </w:r>
          </w:p>
        </w:tc>
        <w:tc>
          <w:tcPr>
            <w:tcW w:w="24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2.37 % - 3.37 %</w:t>
            </w:r>
          </w:p>
        </w:tc>
      </w:tr>
      <w:tr w:rsidR="004D38C4">
        <w:tc>
          <w:tcPr>
            <w:tcW w:w="4928"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European Financial Stability Mechanism (EFSM)</w:t>
            </w:r>
          </w:p>
        </w:tc>
        <w:tc>
          <w:tcPr>
            <w:tcW w:w="24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0.62 % - 3.75 %</w:t>
            </w:r>
          </w:p>
        </w:tc>
        <w:tc>
          <w:tcPr>
            <w:tcW w:w="2410"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0.62 % - 3.75 %</w:t>
            </w:r>
          </w:p>
        </w:tc>
      </w:tr>
    </w:tbl>
    <w:p w:rsidR="004D38C4" w:rsidRDefault="004D38C4">
      <w:pPr>
        <w:pStyle w:val="HEADER4Part1"/>
        <w:numPr>
          <w:ilvl w:val="0"/>
          <w:numId w:val="0"/>
        </w:numPr>
        <w:rPr>
          <w:noProof/>
          <w:lang w:val="fr-FR"/>
        </w:rPr>
      </w:pPr>
    </w:p>
    <w:p w:rsidR="004D38C4" w:rsidRDefault="00BC2113">
      <w:pPr>
        <w:rPr>
          <w:rFonts w:ascii="Verdana" w:hAnsi="Verdana"/>
          <w:noProof/>
          <w:color w:val="016794"/>
          <w:sz w:val="18"/>
          <w:szCs w:val="18"/>
          <w:lang w:val="fr-FR"/>
        </w:rPr>
      </w:pPr>
      <w:r>
        <w:rPr>
          <w:noProof/>
          <w:lang w:val="fr-FR"/>
        </w:rPr>
        <w:br w:type="page"/>
      </w:r>
    </w:p>
    <w:p w:rsidR="004D38C4" w:rsidRDefault="00BC2113">
      <w:pPr>
        <w:pStyle w:val="HEADER4Part1"/>
        <w:rPr>
          <w:noProof/>
          <w:lang w:val="fr-FR"/>
        </w:rPr>
      </w:pPr>
      <w:r>
        <w:rPr>
          <w:noProof/>
          <w:lang w:val="fr-FR"/>
        </w:rPr>
        <w:t>Other financial liabilities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02" w:name="DOC_TBL00046_1_1"/>
            <w:bookmarkEnd w:id="102"/>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Non-current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Finance lease liabilities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918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969</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Buildings paid for in instalments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258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279</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188</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190</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Bold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1 363</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1 438</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Current</w:t>
            </w: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BoldRight025"/>
              <w:rPr>
                <w:rFonts w:eastAsia="Verdana" w:cs="Verdana"/>
                <w:lang w:bidi="en-GB"/>
              </w:rPr>
            </w:pP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Finance lease liabilities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54</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Buildings paid for in instalments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20</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Fines to be reimbursed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25</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25</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59</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BoldLeft"/>
              <w:rPr>
                <w:rFonts w:eastAsia="Verdana" w:cs="Verdana"/>
                <w:lang w:bidi="en-GB"/>
              </w:rPr>
            </w:pP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118</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 xml:space="preserve"> 158</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1 482</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1 596</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bl>
    <w:p w:rsidR="004D38C4" w:rsidRDefault="00BC2113">
      <w:pPr>
        <w:pStyle w:val="HEADER5"/>
        <w:rPr>
          <w:noProof/>
        </w:rPr>
      </w:pPr>
      <w:r>
        <w:rPr>
          <w:noProof/>
        </w:rPr>
        <w:t>Finance lease liabilities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52"/>
        <w:gridCol w:w="1453"/>
        <w:gridCol w:w="1453"/>
        <w:gridCol w:w="1453"/>
      </w:tblGrid>
      <w:tr w:rsidR="004D38C4">
        <w:tc>
          <w:tcPr>
            <w:tcW w:w="3936" w:type="dxa"/>
            <w:tcBorders>
              <w:top w:val="nil"/>
              <w:left w:val="nil"/>
              <w:bottom w:val="nil"/>
              <w:right w:val="nil"/>
            </w:tcBorders>
            <w:shd w:val="clear" w:color="auto" w:fill="FFFFFF"/>
            <w:tcMar>
              <w:top w:w="0" w:type="dxa"/>
              <w:left w:w="108" w:type="dxa"/>
              <w:bottom w:w="0" w:type="dxa"/>
              <w:right w:w="108" w:type="dxa"/>
            </w:tcMar>
          </w:tcPr>
          <w:p w:rsidR="004D38C4" w:rsidRDefault="004D38C4">
            <w:pPr>
              <w:pStyle w:val="Heading10pNormalCentered"/>
              <w:jc w:val="left"/>
              <w:rPr>
                <w:rFonts w:eastAsia="Verdana" w:cs="Verdana"/>
                <w:i/>
                <w:lang w:bidi="en-GB"/>
              </w:rPr>
            </w:pPr>
            <w:bookmarkStart w:id="103" w:name="DOC_TBL00047_1_1"/>
            <w:bookmarkEnd w:id="103"/>
          </w:p>
        </w:tc>
        <w:tc>
          <w:tcPr>
            <w:tcW w:w="1452" w:type="dxa"/>
            <w:tcBorders>
              <w:top w:val="nil"/>
              <w:left w:val="nil"/>
              <w:bottom w:val="nil"/>
              <w:right w:val="nil"/>
            </w:tcBorders>
            <w:shd w:val="clear" w:color="auto" w:fill="FFFFFF"/>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453" w:type="dxa"/>
            <w:tcBorders>
              <w:top w:val="nil"/>
              <w:left w:val="nil"/>
              <w:bottom w:val="nil"/>
              <w:right w:val="nil"/>
            </w:tcBorders>
            <w:shd w:val="clear" w:color="auto" w:fill="FFFFFF"/>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453" w:type="dxa"/>
            <w:tcBorders>
              <w:top w:val="nil"/>
              <w:left w:val="nil"/>
              <w:bottom w:val="nil"/>
              <w:right w:val="nil"/>
            </w:tcBorders>
            <w:shd w:val="clear" w:color="auto" w:fill="FFFFFF"/>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453" w:type="dxa"/>
            <w:tcBorders>
              <w:top w:val="nil"/>
              <w:left w:val="nil"/>
              <w:bottom w:val="nil"/>
              <w:right w:val="nil"/>
            </w:tcBorders>
            <w:shd w:val="clear" w:color="auto" w:fill="FFFFFF"/>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936"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5811" w:type="dxa"/>
            <w:gridSpan w:val="4"/>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Centered"/>
              <w:rPr>
                <w:rFonts w:eastAsia="Verdana" w:cs="Verdana"/>
                <w:lang w:bidi="en-GB"/>
              </w:rPr>
            </w:pPr>
            <w:r>
              <w:rPr>
                <w:rFonts w:eastAsia="Verdana" w:cs="Verdana"/>
                <w:lang w:bidi="en-GB"/>
              </w:rPr>
              <w:t>Future amounts to be paid</w:t>
            </w:r>
          </w:p>
        </w:tc>
      </w:tr>
      <w:tr w:rsidR="004D38C4">
        <w:tc>
          <w:tcPr>
            <w:tcW w:w="3936" w:type="dxa"/>
            <w:tcBorders>
              <w:top w:val="nil"/>
              <w:left w:val="nil"/>
              <w:bottom w:val="nil"/>
              <w:right w:val="nil"/>
            </w:tcBorders>
            <w:shd w:val="clear" w:color="auto" w:fill="016794"/>
            <w:tcMar>
              <w:top w:w="0" w:type="dxa"/>
              <w:left w:w="108" w:type="dxa"/>
              <w:bottom w:w="0" w:type="dxa"/>
              <w:right w:w="108" w:type="dxa"/>
            </w:tcMar>
            <w:vAlign w:val="bottom"/>
          </w:tcPr>
          <w:p w:rsidR="004D38C4" w:rsidRDefault="004D38C4">
            <w:pPr>
              <w:pStyle w:val="Heading10pNormalCentered"/>
              <w:rPr>
                <w:rFonts w:eastAsia="Verdana" w:cs="Verdana"/>
                <w:lang w:bidi="en-GB"/>
              </w:rPr>
            </w:pPr>
          </w:p>
        </w:tc>
        <w:tc>
          <w:tcPr>
            <w:tcW w:w="1452" w:type="dxa"/>
            <w:tcBorders>
              <w:top w:val="nil"/>
              <w:left w:val="nil"/>
              <w:bottom w:val="nil"/>
              <w:right w:val="nil"/>
            </w:tcBorders>
            <w:shd w:val="clear" w:color="auto" w:fill="3486A9"/>
            <w:tcMar>
              <w:top w:w="0" w:type="dxa"/>
              <w:left w:w="108" w:type="dxa"/>
              <w:bottom w:w="0" w:type="dxa"/>
              <w:right w:w="108" w:type="dxa"/>
            </w:tcMar>
          </w:tcPr>
          <w:p w:rsidR="004D38C4" w:rsidRDefault="00BC2113">
            <w:pPr>
              <w:pStyle w:val="Heading9pNormalRight01"/>
              <w:rPr>
                <w:rFonts w:eastAsia="Verdana" w:cs="Verdana"/>
                <w:noProof/>
                <w:lang w:bidi="en-GB"/>
              </w:rPr>
            </w:pPr>
            <w:r>
              <w:rPr>
                <w:rFonts w:eastAsia="Verdana" w:cs="Verdana"/>
                <w:noProof/>
                <w:lang w:bidi="en-GB"/>
              </w:rPr>
              <w:t>&lt; 1 year</w:t>
            </w:r>
          </w:p>
        </w:tc>
        <w:tc>
          <w:tcPr>
            <w:tcW w:w="1453" w:type="dxa"/>
            <w:tcBorders>
              <w:top w:val="nil"/>
              <w:left w:val="nil"/>
              <w:bottom w:val="nil"/>
              <w:right w:val="nil"/>
            </w:tcBorders>
            <w:shd w:val="clear" w:color="auto" w:fill="3486A9"/>
            <w:tcMar>
              <w:top w:w="0" w:type="dxa"/>
              <w:left w:w="108" w:type="dxa"/>
              <w:bottom w:w="0" w:type="dxa"/>
              <w:right w:w="108" w:type="dxa"/>
            </w:tcMar>
          </w:tcPr>
          <w:p w:rsidR="004D38C4" w:rsidRDefault="00BC2113">
            <w:pPr>
              <w:pStyle w:val="Heading9pNormalRight01"/>
              <w:rPr>
                <w:rFonts w:eastAsia="Verdana" w:cs="Verdana"/>
                <w:noProof/>
                <w:lang w:bidi="en-GB"/>
              </w:rPr>
            </w:pPr>
            <w:r>
              <w:rPr>
                <w:rFonts w:eastAsia="Verdana" w:cs="Verdana"/>
                <w:noProof/>
                <w:lang w:bidi="en-GB"/>
              </w:rPr>
              <w:t>1 - 5 years</w:t>
            </w:r>
          </w:p>
        </w:tc>
        <w:tc>
          <w:tcPr>
            <w:tcW w:w="1453" w:type="dxa"/>
            <w:tcBorders>
              <w:top w:val="nil"/>
              <w:left w:val="nil"/>
              <w:bottom w:val="nil"/>
              <w:right w:val="nil"/>
            </w:tcBorders>
            <w:shd w:val="clear" w:color="auto" w:fill="3486A9"/>
            <w:tcMar>
              <w:top w:w="0" w:type="dxa"/>
              <w:left w:w="108" w:type="dxa"/>
              <w:bottom w:w="0" w:type="dxa"/>
              <w:right w:w="108" w:type="dxa"/>
            </w:tcMar>
          </w:tcPr>
          <w:p w:rsidR="004D38C4" w:rsidRDefault="00BC2113">
            <w:pPr>
              <w:pStyle w:val="Heading9pNormalRight01"/>
              <w:rPr>
                <w:rFonts w:eastAsia="Verdana" w:cs="Verdana"/>
                <w:noProof/>
                <w:lang w:bidi="en-GB"/>
              </w:rPr>
            </w:pPr>
            <w:r>
              <w:rPr>
                <w:rFonts w:eastAsia="Verdana" w:cs="Verdana"/>
                <w:noProof/>
                <w:lang w:bidi="en-GB"/>
              </w:rPr>
              <w:t>&gt; 5 years</w:t>
            </w:r>
          </w:p>
        </w:tc>
        <w:tc>
          <w:tcPr>
            <w:tcW w:w="1453" w:type="dxa"/>
            <w:tcBorders>
              <w:top w:val="nil"/>
              <w:left w:val="nil"/>
              <w:bottom w:val="nil"/>
              <w:right w:val="nil"/>
            </w:tcBorders>
            <w:shd w:val="clear" w:color="auto" w:fill="3486A9"/>
            <w:tcMar>
              <w:top w:w="0" w:type="dxa"/>
              <w:left w:w="108" w:type="dxa"/>
              <w:bottom w:w="0" w:type="dxa"/>
              <w:right w:w="108" w:type="dxa"/>
            </w:tcMar>
          </w:tcPr>
          <w:p w:rsidR="004D38C4" w:rsidRDefault="00BC2113">
            <w:pPr>
              <w:pStyle w:val="Heading9pNormalRight01"/>
              <w:rPr>
                <w:rFonts w:eastAsia="Verdana" w:cs="Verdana"/>
                <w:noProof/>
                <w:lang w:bidi="en-GB"/>
              </w:rPr>
            </w:pPr>
            <w:r>
              <w:rPr>
                <w:rFonts w:eastAsia="Verdana" w:cs="Verdana"/>
                <w:noProof/>
                <w:lang w:bidi="en-GB"/>
              </w:rPr>
              <w:t>Total Liability</w:t>
            </w:r>
          </w:p>
        </w:tc>
      </w:tr>
      <w:tr w:rsidR="004D38C4">
        <w:tc>
          <w:tcPr>
            <w:tcW w:w="393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Land and buildings</w:t>
            </w:r>
          </w:p>
        </w:tc>
        <w:tc>
          <w:tcPr>
            <w:tcW w:w="145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54</w:t>
            </w:r>
          </w:p>
        </w:tc>
        <w:tc>
          <w:tcPr>
            <w:tcW w:w="145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258</w:t>
            </w:r>
          </w:p>
        </w:tc>
        <w:tc>
          <w:tcPr>
            <w:tcW w:w="145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652</w:t>
            </w:r>
          </w:p>
        </w:tc>
        <w:tc>
          <w:tcPr>
            <w:tcW w:w="145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964</w:t>
            </w:r>
          </w:p>
        </w:tc>
      </w:tr>
      <w:tr w:rsidR="004D38C4">
        <w:tc>
          <w:tcPr>
            <w:tcW w:w="393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fixed assets</w:t>
            </w:r>
          </w:p>
        </w:tc>
        <w:tc>
          <w:tcPr>
            <w:tcW w:w="1452"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w:t>
            </w:r>
          </w:p>
        </w:tc>
        <w:tc>
          <w:tcPr>
            <w:tcW w:w="145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w:t>
            </w:r>
          </w:p>
        </w:tc>
        <w:tc>
          <w:tcPr>
            <w:tcW w:w="145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45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12</w:t>
            </w:r>
          </w:p>
        </w:tc>
      </w:tr>
      <w:tr w:rsidR="004D38C4">
        <w:tc>
          <w:tcPr>
            <w:tcW w:w="393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 at 31.12.2017</w:t>
            </w:r>
          </w:p>
        </w:tc>
        <w:tc>
          <w:tcPr>
            <w:tcW w:w="145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58</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266</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652</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976</w:t>
            </w:r>
          </w:p>
        </w:tc>
      </w:tr>
      <w:tr w:rsidR="004D38C4">
        <w:tc>
          <w:tcPr>
            <w:tcW w:w="3936"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Interest element</w:t>
            </w:r>
          </w:p>
        </w:tc>
        <w:tc>
          <w:tcPr>
            <w:tcW w:w="1452"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54</w:t>
            </w:r>
          </w:p>
        </w:tc>
        <w:tc>
          <w:tcPr>
            <w:tcW w:w="1453"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181</w:t>
            </w:r>
          </w:p>
        </w:tc>
        <w:tc>
          <w:tcPr>
            <w:tcW w:w="1453"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169</w:t>
            </w:r>
          </w:p>
        </w:tc>
        <w:tc>
          <w:tcPr>
            <w:tcW w:w="1453" w:type="dxa"/>
            <w:tcBorders>
              <w:top w:val="single" w:sz="4" w:space="0" w:color="016794"/>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405</w:t>
            </w:r>
          </w:p>
        </w:tc>
      </w:tr>
      <w:tr w:rsidR="004D38C4">
        <w:tc>
          <w:tcPr>
            <w:tcW w:w="393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 xml:space="preserve">Total future minimum lease </w:t>
            </w:r>
            <w:r>
              <w:rPr>
                <w:rFonts w:eastAsia="Verdana" w:cs="Verdana"/>
                <w:lang w:bidi="en-GB"/>
              </w:rPr>
              <w:t>payments at 31.12.2017</w:t>
            </w:r>
          </w:p>
        </w:tc>
        <w:tc>
          <w:tcPr>
            <w:tcW w:w="145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113</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447</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821</w:t>
            </w:r>
          </w:p>
        </w:tc>
        <w:tc>
          <w:tcPr>
            <w:tcW w:w="145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1 381</w:t>
            </w:r>
          </w:p>
        </w:tc>
      </w:tr>
      <w:tr w:rsidR="004D38C4">
        <w:tc>
          <w:tcPr>
            <w:tcW w:w="393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Total future minimum lease payments     at 31.12.2016</w:t>
            </w:r>
          </w:p>
        </w:tc>
        <w:tc>
          <w:tcPr>
            <w:tcW w:w="145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111</w:t>
            </w:r>
          </w:p>
        </w:tc>
        <w:tc>
          <w:tcPr>
            <w:tcW w:w="145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442</w:t>
            </w:r>
          </w:p>
        </w:tc>
        <w:tc>
          <w:tcPr>
            <w:tcW w:w="145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931</w:t>
            </w:r>
          </w:p>
        </w:tc>
        <w:tc>
          <w:tcPr>
            <w:tcW w:w="145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1 484</w:t>
            </w:r>
          </w:p>
        </w:tc>
      </w:tr>
    </w:tbl>
    <w:p w:rsidR="004D38C4" w:rsidRDefault="00BC2113">
      <w:pPr>
        <w:pStyle w:val="HEADER3NOTES"/>
        <w:rPr>
          <w:noProof/>
        </w:rPr>
      </w:pPr>
      <w:r>
        <w:rPr>
          <w:noProof/>
        </w:rPr>
        <w:t xml:space="preserve">Financial liabilities at fair value through surplus and deficit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04" w:name="DOC_TBL00048_1_1"/>
            <w:bookmarkEnd w:id="104"/>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79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2976" w:type="dxa"/>
            <w:gridSpan w:val="2"/>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Centered"/>
              <w:rPr>
                <w:rFonts w:eastAsia="Verdana" w:cs="Verdana"/>
                <w:lang w:bidi="en-GB"/>
              </w:rPr>
            </w:pPr>
            <w:r>
              <w:rPr>
                <w:rFonts w:eastAsia="Verdana" w:cs="Verdana"/>
                <w:lang w:bidi="en-GB"/>
              </w:rPr>
              <w:t>31.12.2017</w:t>
            </w:r>
          </w:p>
        </w:tc>
        <w:tc>
          <w:tcPr>
            <w:tcW w:w="2977" w:type="dxa"/>
            <w:gridSpan w:val="2"/>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Centered"/>
              <w:rPr>
                <w:rFonts w:eastAsia="Verdana" w:cs="Verdana"/>
                <w:lang w:bidi="en-GB"/>
              </w:rPr>
            </w:pPr>
            <w:r>
              <w:rPr>
                <w:rFonts w:eastAsia="Verdana" w:cs="Verdana"/>
                <w:lang w:bidi="en-GB"/>
              </w:rPr>
              <w:t>31.12.2016</w:t>
            </w:r>
          </w:p>
        </w:tc>
      </w:tr>
      <w:tr w:rsidR="004D38C4">
        <w:tc>
          <w:tcPr>
            <w:tcW w:w="379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Left"/>
              <w:rPr>
                <w:rFonts w:eastAsia="Verdana" w:cs="Verdana"/>
                <w:lang w:bidi="en-GB"/>
              </w:rPr>
            </w:pPr>
            <w:r>
              <w:rPr>
                <w:rFonts w:eastAsia="Verdana" w:cs="Verdana"/>
                <w:lang w:bidi="en-GB"/>
              </w:rPr>
              <w:t>Type of derivative</w:t>
            </w:r>
          </w:p>
        </w:tc>
        <w:tc>
          <w:tcPr>
            <w:tcW w:w="14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 xml:space="preserve">Notional amount </w:t>
            </w:r>
          </w:p>
        </w:tc>
        <w:tc>
          <w:tcPr>
            <w:tcW w:w="14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Fair value</w:t>
            </w:r>
          </w:p>
        </w:tc>
        <w:tc>
          <w:tcPr>
            <w:tcW w:w="141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 xml:space="preserve">Notional amount </w:t>
            </w:r>
          </w:p>
        </w:tc>
        <w:tc>
          <w:tcPr>
            <w:tcW w:w="1559"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Fair value</w:t>
            </w: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Foreign currency forward contract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101</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1</w:t>
            </w:r>
          </w:p>
        </w:tc>
      </w:tr>
      <w:tr w:rsidR="004D38C4">
        <w:tc>
          <w:tcPr>
            <w:tcW w:w="3794"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FX option (put spread)</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9</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2</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r>
      <w:tr w:rsidR="004D38C4">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9</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101</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w:t>
            </w:r>
          </w:p>
        </w:tc>
      </w:tr>
      <w:tr w:rsidR="004D38C4">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Non-current</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9</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2</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w:t>
            </w: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Blue"/>
              <w:rPr>
                <w:rFonts w:eastAsia="Verdana" w:cs="Verdana"/>
                <w:lang w:bidi="en-GB"/>
              </w:rPr>
            </w:pPr>
            <w:r>
              <w:rPr>
                <w:rFonts w:eastAsia="Verdana" w:cs="Verdana"/>
                <w:lang w:bidi="en-GB"/>
              </w:rPr>
              <w:t>Current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BlueRight"/>
              <w:rPr>
                <w:rFonts w:eastAsia="Verdana" w:cs="Verdana"/>
                <w:lang w:bidi="en-GB"/>
              </w:rPr>
            </w:pPr>
            <w:r>
              <w:rPr>
                <w:rFonts w:eastAsia="Verdana" w:cs="Verdana"/>
                <w:lang w:bidi="en-GB"/>
              </w:rPr>
              <w:t xml:space="preserve"> 101</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color w:val="016794"/>
                <w:lang w:bidi="en-GB"/>
              </w:rPr>
            </w:pPr>
            <w:r>
              <w:rPr>
                <w:rFonts w:eastAsia="Verdana" w:cs="Verdana"/>
                <w:color w:val="016794"/>
                <w:lang w:bidi="en-GB"/>
              </w:rPr>
              <w:t xml:space="preserve"> 1</w:t>
            </w:r>
          </w:p>
        </w:tc>
      </w:tr>
    </w:tbl>
    <w:p w:rsidR="004D38C4" w:rsidRDefault="00BC2113">
      <w:pPr>
        <w:pStyle w:val="DGTextstand-alone"/>
      </w:pPr>
      <w:r>
        <w:t xml:space="preserve">At 31 December 2017 all financial liabilities at fair value through surplus or deficit were categorised into level 2 of fair value hierarchy (valuation based on observable inputs other than quoted prices). </w:t>
      </w:r>
    </w:p>
    <w:p w:rsidR="004D38C4" w:rsidRDefault="00BC2113">
      <w:pPr>
        <w:pStyle w:val="DGTextstand-alone"/>
        <w:sectPr w:rsidR="004D38C4">
          <w:headerReference w:type="even" r:id="rId147"/>
          <w:headerReference w:type="default" r:id="rId148"/>
          <w:footerReference w:type="even" r:id="rId149"/>
          <w:footerReference w:type="default" r:id="rId150"/>
          <w:headerReference w:type="first" r:id="rId151"/>
          <w:footerReference w:type="first" r:id="rId152"/>
          <w:pgSz w:w="11906" w:h="16838"/>
          <w:pgMar w:top="1134" w:right="1134" w:bottom="1134" w:left="1134" w:header="709" w:footer="709" w:gutter="0"/>
          <w:cols w:space="708"/>
          <w:docGrid w:linePitch="360"/>
        </w:sectPr>
      </w:pPr>
      <w:r>
        <w:t xml:space="preserve"> </w:t>
      </w:r>
      <w:bookmarkEnd w:id="97"/>
    </w:p>
    <w:p w:rsidR="004D38C4" w:rsidRDefault="00BC2113">
      <w:pPr>
        <w:pStyle w:val="HEADER2NOTES"/>
        <w:rPr>
          <w:noProof/>
        </w:rPr>
      </w:pPr>
      <w:bookmarkStart w:id="105" w:name="_DMBM_11021"/>
      <w:r>
        <w:rPr>
          <w:noProof/>
        </w:rPr>
        <w:t>PAYABLES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417"/>
        <w:gridCol w:w="1276"/>
        <w:gridCol w:w="1276"/>
        <w:gridCol w:w="1417"/>
      </w:tblGrid>
      <w:tr w:rsidR="004D38C4">
        <w:trPr>
          <w:cantSplit/>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06" w:name="DOC_TBL00049_1_1"/>
            <w:bookmarkEnd w:id="106"/>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millions</w:t>
            </w:r>
          </w:p>
        </w:tc>
      </w:tr>
      <w:tr w:rsidR="004D38C4">
        <w:trPr>
          <w:cantSplit/>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Gross Amount</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Adjust-</w:t>
            </w:r>
          </w:p>
          <w:p w:rsidR="004D38C4" w:rsidRDefault="00BC2113">
            <w:pPr>
              <w:pStyle w:val="Heading8pNormalCentered"/>
              <w:rPr>
                <w:rFonts w:eastAsia="Verdana" w:cs="Verdana"/>
                <w:lang w:bidi="en-GB"/>
              </w:rPr>
            </w:pPr>
            <w:r>
              <w:rPr>
                <w:rFonts w:eastAsia="Verdana" w:cs="Verdana"/>
                <w:lang w:bidi="en-GB"/>
              </w:rPr>
              <w:t>ments*</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Net Amount at 31.12.2017</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Gross Amount</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Adjust-</w:t>
            </w:r>
          </w:p>
          <w:p w:rsidR="004D38C4" w:rsidRDefault="00BC2113">
            <w:pPr>
              <w:pStyle w:val="Heading8pNormalCentered"/>
              <w:rPr>
                <w:rFonts w:eastAsia="Verdana" w:cs="Verdana"/>
                <w:lang w:bidi="en-GB"/>
              </w:rPr>
            </w:pPr>
            <w:r>
              <w:rPr>
                <w:rFonts w:eastAsia="Verdana" w:cs="Verdana"/>
                <w:lang w:bidi="en-GB"/>
              </w:rPr>
              <w:t>ments*</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Net Amount at 31.12.2016</w:t>
            </w:r>
          </w:p>
        </w:tc>
      </w:tr>
      <w:tr w:rsidR="004D38C4">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Cost claims and invoices received from:</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r>
      <w:tr w:rsidR="004D38C4">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Member States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r>
      <w:tr w:rsidR="004D38C4">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EAFRD &amp; other rural development instruments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481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8pItalicRight025"/>
              <w:rPr>
                <w:rFonts w:eastAsia="Verdana" w:cs="Verdana"/>
                <w:lang w:bidi="en-GB"/>
              </w:rPr>
            </w:pP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481</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500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(34)</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467</w:t>
            </w:r>
          </w:p>
        </w:tc>
      </w:tr>
      <w:tr w:rsidR="004D38C4">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ERDF &amp; CF</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12 602</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(883)</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11 719</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10 663</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(793)</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9 871</w:t>
            </w:r>
          </w:p>
        </w:tc>
      </w:tr>
      <w:tr w:rsidR="004D38C4">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ESF</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4 183</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(264)</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3 919</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4 145</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(95)</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4 050</w:t>
            </w:r>
          </w:p>
        </w:tc>
      </w:tr>
      <w:tr w:rsidR="004D38C4">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Other</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748</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(280)</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467</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795</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(47)</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748</w:t>
            </w:r>
          </w:p>
        </w:tc>
      </w:tr>
      <w:tr w:rsidR="004D38C4">
        <w:trPr>
          <w:cantSplit/>
          <w:trHeight w:val="247"/>
        </w:trPr>
        <w:tc>
          <w:tcPr>
            <w:tcW w:w="180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Private and public entities</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1 563</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(144)</w:t>
            </w:r>
          </w:p>
        </w:tc>
        <w:tc>
          <w:tcPr>
            <w:tcW w:w="1417" w:type="dxa"/>
            <w:tcBorders>
              <w:top w:val="nil"/>
              <w:left w:val="nil"/>
              <w:bottom w:val="single" w:sz="4" w:space="0" w:color="FFFFFF"/>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1 </w:t>
            </w:r>
            <w:r>
              <w:rPr>
                <w:rFonts w:eastAsia="Verdana" w:cs="Verdana"/>
                <w:lang w:bidi="en-GB"/>
              </w:rPr>
              <w:t>419</w:t>
            </w:r>
          </w:p>
        </w:tc>
        <w:tc>
          <w:tcPr>
            <w:tcW w:w="1276" w:type="dxa"/>
            <w:tcBorders>
              <w:top w:val="nil"/>
              <w:left w:val="single" w:sz="4" w:space="0" w:color="016794"/>
              <w:bottom w:val="single" w:sz="4" w:space="0" w:color="FFFFFF"/>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1 677</w:t>
            </w:r>
          </w:p>
        </w:tc>
        <w:tc>
          <w:tcPr>
            <w:tcW w:w="127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(169)</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1 507</w:t>
            </w:r>
          </w:p>
        </w:tc>
      </w:tr>
      <w:tr w:rsidR="004D38C4">
        <w:trPr>
          <w:cantSplit/>
          <w:trHeight w:val="247"/>
        </w:trPr>
        <w:tc>
          <w:tcPr>
            <w:tcW w:w="18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Total costs claims &amp; invoices received</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19 577</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(1 571)</w:t>
            </w:r>
          </w:p>
        </w:tc>
        <w:tc>
          <w:tcPr>
            <w:tcW w:w="1417" w:type="dxa"/>
            <w:tcBorders>
              <w:top w:val="single" w:sz="4" w:space="0" w:color="016794"/>
              <w:left w:val="nil"/>
              <w:bottom w:val="single" w:sz="4" w:space="0" w:color="016794"/>
              <w:right w:val="single" w:sz="4" w:space="0" w:color="016794"/>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18 006</w:t>
            </w:r>
          </w:p>
        </w:tc>
        <w:tc>
          <w:tcPr>
            <w:tcW w:w="1276" w:type="dxa"/>
            <w:tcBorders>
              <w:top w:val="single" w:sz="4" w:space="0" w:color="016794"/>
              <w:left w:val="single" w:sz="4" w:space="0" w:color="016794"/>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17 781</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(1 138)</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16 643</w:t>
            </w:r>
          </w:p>
        </w:tc>
      </w:tr>
      <w:tr w:rsidR="004D38C4">
        <w:trPr>
          <w:cantSplit/>
          <w:trHeight w:val="247"/>
        </w:trPr>
        <w:tc>
          <w:tcPr>
            <w:tcW w:w="180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EAGF</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11 534</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N/A</w:t>
            </w:r>
          </w:p>
        </w:tc>
        <w:tc>
          <w:tcPr>
            <w:tcW w:w="1417" w:type="dxa"/>
            <w:tcBorders>
              <w:top w:val="single" w:sz="4" w:space="0" w:color="016794"/>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11 534</w:t>
            </w:r>
          </w:p>
        </w:tc>
        <w:tc>
          <w:tcPr>
            <w:tcW w:w="1276" w:type="dxa"/>
            <w:tcBorders>
              <w:top w:val="single" w:sz="4" w:space="0" w:color="016794"/>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12 193</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N/A</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12 193</w:t>
            </w:r>
          </w:p>
        </w:tc>
      </w:tr>
      <w:tr w:rsidR="004D38C4">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Own Resources Payables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8 836</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N/A</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8 836</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10 441</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N/A</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10 441</w:t>
            </w:r>
          </w:p>
        </w:tc>
      </w:tr>
      <w:tr w:rsidR="004D38C4">
        <w:trPr>
          <w:cantSplit/>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Sundry Payables</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1 000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N/A</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1 000</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 xml:space="preserve"> 962</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N/A</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 xml:space="preserve"> 962</w:t>
            </w:r>
          </w:p>
        </w:tc>
      </w:tr>
      <w:tr w:rsidR="004D38C4">
        <w:trPr>
          <w:cantSplit/>
          <w:trHeight w:val="247"/>
        </w:trPr>
        <w:tc>
          <w:tcPr>
            <w:tcW w:w="1809"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40 947</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(1 571)</w:t>
            </w:r>
          </w:p>
        </w:tc>
        <w:tc>
          <w:tcPr>
            <w:tcW w:w="1417" w:type="dxa"/>
            <w:tcBorders>
              <w:top w:val="nil"/>
              <w:left w:val="nil"/>
              <w:bottom w:val="nil"/>
              <w:right w:val="single" w:sz="4" w:space="0" w:color="016794"/>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39 376</w:t>
            </w:r>
          </w:p>
        </w:tc>
        <w:tc>
          <w:tcPr>
            <w:tcW w:w="1276" w:type="dxa"/>
            <w:tcBorders>
              <w:top w:val="nil"/>
              <w:left w:val="single" w:sz="4" w:space="0" w:color="016794"/>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41 378</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(1 138)</w:t>
            </w:r>
          </w:p>
        </w:tc>
        <w:tc>
          <w:tcPr>
            <w:tcW w:w="141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40 240</w:t>
            </w:r>
          </w:p>
        </w:tc>
      </w:tr>
    </w:tbl>
    <w:p w:rsidR="004D38C4" w:rsidRDefault="00BC2113">
      <w:pPr>
        <w:pStyle w:val="Text9pItalicLeft"/>
        <w:rPr>
          <w:lang w:bidi="en-GB"/>
        </w:rPr>
      </w:pPr>
      <w:r>
        <w:rPr>
          <w:sz w:val="16"/>
          <w:lang w:bidi="en-GB"/>
        </w:rPr>
        <w:t>* Estimated non-eligible amounts and pending other advances to Member States</w:t>
      </w:r>
      <w:r>
        <w:rPr>
          <w:lang w:bidi="en-GB"/>
        </w:rPr>
        <w:t xml:space="preserve">. </w:t>
      </w:r>
    </w:p>
    <w:p w:rsidR="004D38C4" w:rsidRDefault="00BC2113">
      <w:pPr>
        <w:rPr>
          <w:noProof/>
          <w:lang w:bidi="en-GB"/>
        </w:rPr>
        <w:sectPr w:rsidR="004D38C4">
          <w:headerReference w:type="even" r:id="rId153"/>
          <w:headerReference w:type="default" r:id="rId154"/>
          <w:footerReference w:type="even" r:id="rId155"/>
          <w:footerReference w:type="default" r:id="rId156"/>
          <w:headerReference w:type="first" r:id="rId157"/>
          <w:footerReference w:type="first" r:id="rId158"/>
          <w:pgSz w:w="11906" w:h="16838"/>
          <w:pgMar w:top="1134" w:right="1134" w:bottom="1134" w:left="1134" w:header="709" w:footer="709" w:gutter="0"/>
          <w:cols w:space="708"/>
          <w:docGrid w:linePitch="360"/>
        </w:sectPr>
      </w:pPr>
      <w:r>
        <w:rPr>
          <w:noProof/>
          <w:lang w:bidi="en-GB"/>
        </w:rPr>
        <w:t xml:space="preserve"> </w:t>
      </w:r>
      <w:bookmarkEnd w:id="105"/>
    </w:p>
    <w:p w:rsidR="004D38C4" w:rsidRDefault="00BC2113">
      <w:pPr>
        <w:pStyle w:val="HEADER2NOTES"/>
        <w:rPr>
          <w:noProof/>
          <w:lang w:val="fr-BE"/>
        </w:rPr>
      </w:pPr>
      <w:bookmarkStart w:id="107" w:name="_DMBM_11024"/>
      <w:r>
        <w:rPr>
          <w:noProof/>
          <w:lang w:val="fr-BE"/>
        </w:rPr>
        <w:t xml:space="preserve">ACCRUED CHARGES AND </w:t>
      </w:r>
      <w:r>
        <w:rPr>
          <w:noProof/>
          <w:lang w:val="fr-BE"/>
        </w:rPr>
        <w:t>DEFERRED INCOME</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08" w:name="DOC_TBL00050_1_1"/>
            <w:bookmarkEnd w:id="108"/>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Accrued charges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63 070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66 310</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Deferred income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690</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24</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26</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63 314</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67 027</w:t>
            </w:r>
          </w:p>
        </w:tc>
      </w:tr>
    </w:tbl>
    <w:p w:rsidR="004D38C4" w:rsidRDefault="00BC2113">
      <w:pPr>
        <w:pStyle w:val="Textstand-alone"/>
        <w:spacing w:after="0"/>
        <w:rPr>
          <w:lang w:bidi="en-GB"/>
        </w:rPr>
      </w:pPr>
      <w:r>
        <w:rPr>
          <w:lang w:bidi="en-GB"/>
        </w:rPr>
        <w:t xml:space="preserve"> </w:t>
      </w:r>
    </w:p>
    <w:p w:rsidR="004D38C4" w:rsidRDefault="00BC2113">
      <w:pPr>
        <w:pStyle w:val="Textstand-alone"/>
        <w:spacing w:after="0"/>
      </w:pPr>
      <w:r>
        <w:t>The split of accrued charges is as follows: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09" w:name="DOC_TBL00051_1_1"/>
            <w:bookmarkEnd w:id="109"/>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EAGF</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33 303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33 033</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EAFRD and other rural development instruments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17 464</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17 024</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ERDF and CF</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4 249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7 157</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ESF</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2 870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3 473</w:t>
            </w:r>
          </w:p>
        </w:tc>
      </w:tr>
      <w:tr w:rsidR="004D38C4">
        <w:tc>
          <w:tcPr>
            <w:tcW w:w="563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5 185</w:t>
            </w:r>
          </w:p>
        </w:tc>
        <w:tc>
          <w:tcPr>
            <w:tcW w:w="198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5 623</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63 070</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b/>
                <w:i w:val="0"/>
                <w:lang w:bidi="en-GB"/>
              </w:rPr>
            </w:pPr>
            <w:r>
              <w:rPr>
                <w:rFonts w:eastAsia="Verdana" w:cs="Verdana"/>
                <w:b/>
                <w:i w:val="0"/>
                <w:lang w:bidi="en-GB"/>
              </w:rPr>
              <w:t>66 310</w:t>
            </w:r>
          </w:p>
        </w:tc>
      </w:tr>
      <w:tr w:rsidR="004D38C4">
        <w:tc>
          <w:tcPr>
            <w:tcW w:w="563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12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98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bl>
    <w:p w:rsidR="004D38C4" w:rsidRDefault="00BC2113">
      <w:pPr>
        <w:pStyle w:val="Textstand-alone"/>
        <w:rPr>
          <w:lang w:bidi="en-GB"/>
        </w:rPr>
        <w:sectPr w:rsidR="004D38C4">
          <w:headerReference w:type="even" r:id="rId159"/>
          <w:headerReference w:type="default" r:id="rId160"/>
          <w:footerReference w:type="even" r:id="rId161"/>
          <w:footerReference w:type="default" r:id="rId162"/>
          <w:headerReference w:type="first" r:id="rId163"/>
          <w:footerReference w:type="first" r:id="rId164"/>
          <w:type w:val="continuous"/>
          <w:pgSz w:w="11906" w:h="16838"/>
          <w:pgMar w:top="1134" w:right="1134" w:bottom="1134" w:left="1134" w:header="709" w:footer="709" w:gutter="0"/>
          <w:cols w:space="708"/>
          <w:docGrid w:linePitch="360"/>
        </w:sectPr>
      </w:pPr>
      <w:r>
        <w:rPr>
          <w:lang w:bidi="en-GB"/>
        </w:rPr>
        <w:t xml:space="preserve"> </w:t>
      </w:r>
      <w:bookmarkEnd w:id="107"/>
    </w:p>
    <w:p w:rsidR="004D38C4" w:rsidRDefault="00BC2113">
      <w:pPr>
        <w:pStyle w:val="HEADERTABLE"/>
        <w:rPr>
          <w:noProof/>
          <w:lang w:val="fr-BE"/>
        </w:rPr>
      </w:pPr>
      <w:bookmarkStart w:id="110" w:name="_DMBM_10972"/>
      <w:r>
        <w:rPr>
          <w:noProof/>
          <w:lang w:val="fr-BE"/>
        </w:rPr>
        <w:t>NET ASSETS</w:t>
      </w:r>
    </w:p>
    <w:p w:rsidR="004D38C4" w:rsidRDefault="00BC2113">
      <w:pPr>
        <w:pStyle w:val="HEADER2NOTES"/>
        <w:rPr>
          <w:noProof/>
          <w:lang w:val="fr-BE"/>
        </w:rPr>
      </w:pPr>
      <w:r>
        <w:rPr>
          <w:noProof/>
          <w:lang w:val="fr-BE"/>
        </w:rPr>
        <w:t>RESERVES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111" w:name="DOC_TBL00052_1_1"/>
            <w:bookmarkEnd w:id="111"/>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843"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cs="Verdana"/>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cs="Verdana"/>
              </w:rPr>
            </w:pPr>
            <w:r>
              <w:rPr>
                <w:rFonts w:cs="Verdana"/>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31.12.2016</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Fair value reserve</w:t>
            </w:r>
          </w:p>
        </w:tc>
        <w:tc>
          <w:tcPr>
            <w:tcW w:w="851" w:type="dxa"/>
            <w:tcBorders>
              <w:top w:val="nil"/>
              <w:left w:val="nil"/>
              <w:bottom w:val="nil"/>
              <w:right w:val="nil"/>
            </w:tcBorders>
            <w:tcMar>
              <w:top w:w="0" w:type="dxa"/>
              <w:left w:w="108" w:type="dxa"/>
              <w:bottom w:w="0" w:type="dxa"/>
              <w:right w:w="108" w:type="dxa"/>
            </w:tcMar>
          </w:tcPr>
          <w:p w:rsidR="004D38C4" w:rsidRDefault="00BC2113">
            <w:pPr>
              <w:pStyle w:val="Text9pItalicCentered"/>
              <w:rPr>
                <w:rFonts w:cs="Verdana"/>
              </w:rPr>
            </w:pPr>
            <w:r>
              <w:rPr>
                <w:rFonts w:cs="Verdana"/>
              </w:rPr>
              <w:t>2.14.1</w:t>
            </w: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275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311</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Guarantee Fund reserve</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2 663</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2 643</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Other reserves</w:t>
            </w: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125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77</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cs="Verdana"/>
                <w:i w:val="0"/>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3 062</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3 031</w:t>
            </w:r>
          </w:p>
        </w:tc>
      </w:tr>
      <w:tr w:rsidR="004D38C4">
        <w:trPr>
          <w:trHeight w:val="268"/>
        </w:trPr>
        <w:tc>
          <w:tcPr>
            <w:tcW w:w="5211" w:type="dxa"/>
            <w:tcBorders>
              <w:top w:val="nil"/>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851" w:type="dxa"/>
            <w:tcBorders>
              <w:top w:val="nil"/>
              <w:left w:val="nil"/>
              <w:bottom w:val="nil"/>
              <w:right w:val="nil"/>
            </w:tcBorders>
            <w:tcMar>
              <w:top w:w="0" w:type="dxa"/>
              <w:left w:w="108" w:type="dxa"/>
              <w:bottom w:w="0" w:type="dxa"/>
              <w:right w:w="108" w:type="dxa"/>
            </w:tcMar>
          </w:tcPr>
          <w:p w:rsidR="004D38C4" w:rsidRDefault="004D38C4">
            <w:pPr>
              <w:pStyle w:val="Text9pItalicCentered"/>
              <w:rPr>
                <w:rFonts w:cs="Verdana"/>
              </w:rPr>
            </w:pPr>
          </w:p>
        </w:tc>
        <w:tc>
          <w:tcPr>
            <w:tcW w:w="1842"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r>
    </w:tbl>
    <w:p w:rsidR="004D38C4" w:rsidRDefault="00BC2113">
      <w:pPr>
        <w:pStyle w:val="HEADER3NOTES"/>
        <w:rPr>
          <w:noProof/>
        </w:rPr>
      </w:pPr>
      <w:r>
        <w:rPr>
          <w:noProof/>
        </w:rPr>
        <w:t xml:space="preserve"> Fair value reserve</w:t>
      </w:r>
    </w:p>
    <w:p w:rsidR="004D38C4" w:rsidRDefault="00BC2113">
      <w:pPr>
        <w:pStyle w:val="DGTextstand-alone"/>
      </w:pPr>
      <w:r>
        <w:t xml:space="preserve">Movements during the period of fair value </w:t>
      </w:r>
      <w:r>
        <w:t>reserve related to the available for sale financial assets: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112" w:name="DOC_TBL00053_1_1"/>
            <w:bookmarkEnd w:id="112"/>
          </w:p>
        </w:tc>
        <w:tc>
          <w:tcPr>
            <w:tcW w:w="2126" w:type="dxa"/>
            <w:tcBorders>
              <w:top w:val="nil"/>
              <w:left w:val="nil"/>
              <w:bottom w:val="nil"/>
              <w:right w:val="nil"/>
            </w:tcBorders>
            <w:tcMar>
              <w:top w:w="0" w:type="dxa"/>
              <w:left w:w="108" w:type="dxa"/>
              <w:bottom w:w="0" w:type="dxa"/>
              <w:right w:w="108" w:type="dxa"/>
            </w:tcMar>
          </w:tcPr>
          <w:p w:rsidR="004D38C4" w:rsidRDefault="004D38C4">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2016</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Included in fair value reserve</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(8)</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25</w:t>
            </w:r>
          </w:p>
        </w:tc>
      </w:tr>
      <w:tr w:rsidR="004D38C4">
        <w:tc>
          <w:tcPr>
            <w:tcW w:w="5637" w:type="dxa"/>
            <w:tcBorders>
              <w:top w:val="nil"/>
              <w:left w:val="nil"/>
              <w:bottom w:val="single" w:sz="4" w:space="0" w:color="FFFFFF"/>
              <w:right w:val="nil"/>
            </w:tcBorders>
            <w:tcMar>
              <w:top w:w="0" w:type="dxa"/>
              <w:left w:w="108" w:type="dxa"/>
              <w:bottom w:w="0" w:type="dxa"/>
              <w:right w:w="108" w:type="dxa"/>
            </w:tcMar>
          </w:tcPr>
          <w:p w:rsidR="004D38C4" w:rsidRDefault="00BC2113">
            <w:pPr>
              <w:pStyle w:val="Text9pItalicLeft"/>
              <w:rPr>
                <w:rFonts w:cs="Verdana"/>
              </w:rPr>
            </w:pPr>
            <w:r>
              <w:rPr>
                <w:rFonts w:cs="Verdana"/>
              </w:rPr>
              <w:t>Included in statement of financial performance</w:t>
            </w:r>
          </w:p>
        </w:tc>
        <w:tc>
          <w:tcPr>
            <w:tcW w:w="2126" w:type="dxa"/>
            <w:tcBorders>
              <w:top w:val="nil"/>
              <w:left w:val="nil"/>
              <w:bottom w:val="single" w:sz="4" w:space="0" w:color="FFFFFF"/>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18</w:t>
            </w:r>
          </w:p>
        </w:tc>
        <w:tc>
          <w:tcPr>
            <w:tcW w:w="1985" w:type="dxa"/>
            <w:tcBorders>
              <w:top w:val="nil"/>
              <w:left w:val="nil"/>
              <w:bottom w:val="single" w:sz="4" w:space="0" w:color="FFFFFF"/>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0</w:t>
            </w:r>
          </w:p>
        </w:tc>
      </w:tr>
      <w:tr w:rsidR="004D38C4">
        <w:tc>
          <w:tcPr>
            <w:tcW w:w="5637"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Text9pBoldLeft"/>
              <w:rPr>
                <w:rFonts w:cs="Verdana"/>
              </w:rPr>
            </w:pPr>
            <w:r>
              <w:rPr>
                <w:rFonts w:cs="Verdana"/>
              </w:rPr>
              <w:t>Total</w:t>
            </w:r>
          </w:p>
        </w:tc>
        <w:tc>
          <w:tcPr>
            <w:tcW w:w="2126"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 xml:space="preserve"> 10</w:t>
            </w:r>
          </w:p>
        </w:tc>
        <w:tc>
          <w:tcPr>
            <w:tcW w:w="1985"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9pBoldRight025"/>
              <w:rPr>
                <w:rFonts w:cs="Verdana"/>
              </w:rPr>
            </w:pPr>
            <w:r>
              <w:rPr>
                <w:rFonts w:cs="Verdana"/>
              </w:rPr>
              <w:t xml:space="preserve"> 25</w:t>
            </w:r>
          </w:p>
        </w:tc>
      </w:tr>
      <w:tr w:rsidR="004D38C4">
        <w:tc>
          <w:tcPr>
            <w:tcW w:w="5637" w:type="dxa"/>
            <w:tcBorders>
              <w:top w:val="single" w:sz="4" w:space="0" w:color="016794"/>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2126"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c>
          <w:tcPr>
            <w:tcW w:w="1985"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r>
    </w:tbl>
    <w:p w:rsidR="004D38C4" w:rsidRDefault="00BC2113">
      <w:pPr>
        <w:pStyle w:val="HEADER2NOTES"/>
        <w:rPr>
          <w:noProof/>
        </w:rPr>
      </w:pPr>
      <w:r>
        <w:rPr>
          <w:noProof/>
        </w:rPr>
        <w:t>AMOUNTS TO BE CALLED FROM MEMBER STATES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4D38C4">
        <w:tc>
          <w:tcPr>
            <w:tcW w:w="7621"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113" w:name="DOC_TBL00054_1_1"/>
            <w:bookmarkEnd w:id="113"/>
          </w:p>
        </w:tc>
        <w:tc>
          <w:tcPr>
            <w:tcW w:w="2126"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 xml:space="preserve">EUR millions </w:t>
            </w:r>
          </w:p>
        </w:tc>
      </w:tr>
      <w:tr w:rsidR="004D38C4">
        <w:tc>
          <w:tcPr>
            <w:tcW w:w="762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cs="Verdana"/>
              </w:rPr>
            </w:pPr>
          </w:p>
        </w:tc>
        <w:tc>
          <w:tcPr>
            <w:tcW w:w="2126"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Right025"/>
              <w:rPr>
                <w:rFonts w:cs="Verdana"/>
              </w:rPr>
            </w:pPr>
          </w:p>
        </w:tc>
      </w:tr>
      <w:tr w:rsidR="004D38C4">
        <w:tc>
          <w:tcPr>
            <w:tcW w:w="7621" w:type="dxa"/>
            <w:tcBorders>
              <w:top w:val="nil"/>
              <w:left w:val="nil"/>
              <w:bottom w:val="single" w:sz="4" w:space="0" w:color="FFFFFF"/>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Amounts to be called from Member States at 31.12.2016</w:t>
            </w:r>
          </w:p>
        </w:tc>
        <w:tc>
          <w:tcPr>
            <w:tcW w:w="2126" w:type="dxa"/>
            <w:tcBorders>
              <w:top w:val="nil"/>
              <w:left w:val="nil"/>
              <w:bottom w:val="single" w:sz="4" w:space="0" w:color="FFFFFF"/>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79 546</w:t>
            </w:r>
          </w:p>
        </w:tc>
      </w:tr>
      <w:tr w:rsidR="004D38C4">
        <w:tc>
          <w:tcPr>
            <w:tcW w:w="7621" w:type="dxa"/>
            <w:tcBorders>
              <w:top w:val="single" w:sz="4" w:space="0" w:color="FFFFFF"/>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Return of 2016 budget surplus to Member States</w:t>
            </w:r>
          </w:p>
        </w:tc>
        <w:tc>
          <w:tcPr>
            <w:tcW w:w="2126" w:type="dxa"/>
            <w:tcBorders>
              <w:top w:val="single" w:sz="4" w:space="0" w:color="FFFFFF"/>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6 405</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Movement in Guarantee Fund reserve</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20</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Other reserve movements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7</w:t>
            </w:r>
          </w:p>
        </w:tc>
      </w:tr>
      <w:tr w:rsidR="004D38C4">
        <w:tc>
          <w:tcPr>
            <w:tcW w:w="7621"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Economic result of the year</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(7 901)</w:t>
            </w:r>
          </w:p>
        </w:tc>
      </w:tr>
      <w:tr w:rsidR="004D38C4">
        <w:tc>
          <w:tcPr>
            <w:tcW w:w="762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 xml:space="preserve">Total amounts to </w:t>
            </w:r>
            <w:r>
              <w:rPr>
                <w:rFonts w:cs="Verdana"/>
              </w:rPr>
              <w:t>be called from Member States at 31.12.2017</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78 077</w:t>
            </w:r>
          </w:p>
        </w:tc>
      </w:tr>
    </w:tbl>
    <w:p w:rsidR="004D38C4" w:rsidRDefault="00BC2113">
      <w:pPr>
        <w:pStyle w:val="DGTextstand-alone"/>
        <w:rPr>
          <w:lang w:bidi="en-GB"/>
        </w:rPr>
        <w:sectPr w:rsidR="004D38C4">
          <w:headerReference w:type="even" r:id="rId165"/>
          <w:headerReference w:type="default" r:id="rId166"/>
          <w:footerReference w:type="even" r:id="rId167"/>
          <w:footerReference w:type="default" r:id="rId168"/>
          <w:headerReference w:type="first" r:id="rId169"/>
          <w:footerReference w:type="first" r:id="rId170"/>
          <w:pgSz w:w="11906" w:h="16838"/>
          <w:pgMar w:top="1134" w:right="1134" w:bottom="1134" w:left="1134" w:header="709" w:footer="709" w:gutter="0"/>
          <w:cols w:space="708"/>
          <w:docGrid w:linePitch="360"/>
        </w:sectPr>
      </w:pPr>
      <w:r>
        <w:rPr>
          <w:lang w:bidi="en-GB"/>
        </w:rPr>
        <w:t xml:space="preserve"> </w:t>
      </w:r>
      <w:bookmarkEnd w:id="110"/>
    </w:p>
    <w:p w:rsidR="004D38C4" w:rsidRDefault="00BC2113">
      <w:pPr>
        <w:pStyle w:val="HEADER1NOTES"/>
        <w:jc w:val="left"/>
        <w:rPr>
          <w:noProof/>
        </w:rPr>
      </w:pPr>
      <w:bookmarkStart w:id="114" w:name="_Toc517247542"/>
      <w:bookmarkStart w:id="115" w:name="_DMBM_10997"/>
      <w:r>
        <w:rPr>
          <w:noProof/>
        </w:rPr>
        <w:t>NOTES TO THE STATEMENT OF FINANCIAL PERFORMANCE</w:t>
      </w:r>
      <w:bookmarkEnd w:id="114"/>
      <w:r>
        <w:rPr>
          <w:noProof/>
        </w:rPr>
        <w:t xml:space="preserve"> </w:t>
      </w:r>
    </w:p>
    <w:p w:rsidR="004D38C4" w:rsidRDefault="00BC2113">
      <w:pPr>
        <w:pStyle w:val="DGTextstand-alone"/>
        <w:spacing w:before="0"/>
        <w:sectPr w:rsidR="004D38C4">
          <w:headerReference w:type="even" r:id="rId171"/>
          <w:headerReference w:type="default" r:id="rId172"/>
          <w:footerReference w:type="even" r:id="rId173"/>
          <w:footerReference w:type="default" r:id="rId174"/>
          <w:headerReference w:type="first" r:id="rId175"/>
          <w:footerReference w:type="first" r:id="rId176"/>
          <w:pgSz w:w="11906" w:h="16838"/>
          <w:pgMar w:top="1134" w:right="1134" w:bottom="1134" w:left="1134" w:header="709" w:footer="709" w:gutter="0"/>
          <w:cols w:space="708"/>
          <w:docGrid w:linePitch="360"/>
        </w:sectPr>
      </w:pPr>
      <w:r>
        <w:t xml:space="preserve"> </w:t>
      </w:r>
      <w:bookmarkEnd w:id="115"/>
    </w:p>
    <w:p w:rsidR="004D38C4" w:rsidRDefault="00BC2113">
      <w:pPr>
        <w:pStyle w:val="HEADERTABLE"/>
        <w:rPr>
          <w:noProof/>
        </w:rPr>
      </w:pPr>
      <w:bookmarkStart w:id="116" w:name="_DMBM_10968"/>
      <w:r>
        <w:rPr>
          <w:noProof/>
        </w:rPr>
        <w:t>REVENUE</w:t>
      </w:r>
    </w:p>
    <w:p w:rsidR="004D38C4" w:rsidRDefault="00BC2113">
      <w:pPr>
        <w:pStyle w:val="HEADERTABLE"/>
        <w:rPr>
          <w:noProof/>
        </w:rPr>
        <w:sectPr w:rsidR="004D38C4">
          <w:headerReference w:type="even" r:id="rId177"/>
          <w:headerReference w:type="default" r:id="rId178"/>
          <w:footerReference w:type="even" r:id="rId179"/>
          <w:footerReference w:type="default" r:id="rId180"/>
          <w:headerReference w:type="first" r:id="rId181"/>
          <w:footerReference w:type="first" r:id="rId182"/>
          <w:type w:val="continuous"/>
          <w:pgSz w:w="11906" w:h="16838"/>
          <w:pgMar w:top="1134" w:right="1134" w:bottom="1134" w:left="1134" w:header="709" w:footer="709" w:gutter="0"/>
          <w:cols w:space="708"/>
          <w:docGrid w:linePitch="360"/>
        </w:sectPr>
      </w:pPr>
      <w:r>
        <w:rPr>
          <w:noProof/>
        </w:rPr>
        <w:t xml:space="preserve">REVENUE FROM NON-EXCHANGE TRANSACTIONS: </w:t>
      </w:r>
      <w:r>
        <w:rPr>
          <w:noProof/>
        </w:rPr>
        <w:br/>
        <w:t xml:space="preserve">OWN RESOURCES </w:t>
      </w:r>
      <w:bookmarkEnd w:id="116"/>
    </w:p>
    <w:p w:rsidR="004D38C4" w:rsidRDefault="00BC2113">
      <w:pPr>
        <w:pStyle w:val="HEADER2NOTES"/>
        <w:rPr>
          <w:noProof/>
        </w:rPr>
      </w:pPr>
      <w:bookmarkStart w:id="117" w:name="_DMBM_10958"/>
      <w:r>
        <w:rPr>
          <w:noProof/>
        </w:rPr>
        <w:t>TRADITIONAL OWN RESOURCES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118" w:name="DOC_TBL00055_1_1"/>
            <w:bookmarkEnd w:id="118"/>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w:t>
            </w:r>
            <w:r>
              <w:rPr>
                <w:rFonts w:eastAsia="Verdana" w:cs="Verdana"/>
                <w:lang w:val="fr-BE" w:bidi="en-GB"/>
              </w:rPr>
              <w:t xml:space="preserve">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Customs duties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20 475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20 301</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Sugar levies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45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138</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20 520</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20 439</w:t>
            </w:r>
          </w:p>
        </w:tc>
      </w:tr>
    </w:tbl>
    <w:p w:rsidR="004D38C4" w:rsidRDefault="00BC2113">
      <w:pPr>
        <w:pStyle w:val="Textstand-alone"/>
        <w:rPr>
          <w:lang w:val="fr-BE"/>
        </w:rPr>
        <w:sectPr w:rsidR="004D38C4">
          <w:headerReference w:type="even" r:id="rId183"/>
          <w:headerReference w:type="default" r:id="rId184"/>
          <w:footerReference w:type="even" r:id="rId185"/>
          <w:footerReference w:type="default" r:id="rId186"/>
          <w:headerReference w:type="first" r:id="rId187"/>
          <w:footerReference w:type="first" r:id="rId188"/>
          <w:type w:val="continuous"/>
          <w:pgSz w:w="11906" w:h="16838"/>
          <w:pgMar w:top="1134" w:right="1134" w:bottom="1134" w:left="1134" w:header="709" w:footer="709" w:gutter="0"/>
          <w:cols w:space="708"/>
          <w:docGrid w:linePitch="360"/>
        </w:sectPr>
      </w:pPr>
      <w:r>
        <w:rPr>
          <w:lang w:val="fr-BE"/>
        </w:rPr>
        <w:t xml:space="preserve"> </w:t>
      </w:r>
      <w:bookmarkEnd w:id="117"/>
    </w:p>
    <w:p w:rsidR="004D38C4" w:rsidRDefault="00BC2113">
      <w:pPr>
        <w:pStyle w:val="HEADERTABLE"/>
        <w:rPr>
          <w:noProof/>
        </w:rPr>
        <w:sectPr w:rsidR="004D38C4">
          <w:headerReference w:type="even" r:id="rId189"/>
          <w:headerReference w:type="default" r:id="rId190"/>
          <w:footerReference w:type="even" r:id="rId191"/>
          <w:footerReference w:type="default" r:id="rId192"/>
          <w:headerReference w:type="first" r:id="rId193"/>
          <w:footerReference w:type="first" r:id="rId194"/>
          <w:type w:val="continuous"/>
          <w:pgSz w:w="11906" w:h="16838"/>
          <w:pgMar w:top="1134" w:right="1134" w:bottom="1134" w:left="1134" w:header="709" w:footer="709" w:gutter="0"/>
          <w:cols w:space="708"/>
          <w:docGrid w:linePitch="360"/>
        </w:sectPr>
      </w:pPr>
      <w:bookmarkStart w:id="119" w:name="_DMBM_10964"/>
      <w:r>
        <w:rPr>
          <w:noProof/>
        </w:rPr>
        <w:t xml:space="preserve">REVENUE FROM NON-EXCHANGE TRANSACTIONS: TRANSFERS </w:t>
      </w:r>
      <w:bookmarkEnd w:id="119"/>
    </w:p>
    <w:p w:rsidR="004D38C4" w:rsidRDefault="00BC2113">
      <w:pPr>
        <w:pStyle w:val="HEADER2NOTES"/>
        <w:rPr>
          <w:noProof/>
        </w:rPr>
      </w:pPr>
      <w:bookmarkStart w:id="120" w:name="_DMBM_10957"/>
      <w:r>
        <w:rPr>
          <w:noProof/>
        </w:rPr>
        <w:t>RECOVERY OF EXPENSES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121" w:name="DOC_TBL00056_1_1"/>
            <w:bookmarkEnd w:id="121"/>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val="fr-BE"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val="fr-BE"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Right025"/>
              <w:rPr>
                <w:rFonts w:eastAsia="Verdana" w:cs="Verdana"/>
                <w:lang w:val="fr-BE" w:bidi="en-GB"/>
              </w:rPr>
            </w:pP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Shared management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1 775</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1 876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Direct management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81</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56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Indirect management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val="fr-BE"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23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15</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val="fr-BE"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 xml:space="preserve">1 </w:t>
            </w:r>
            <w:r>
              <w:rPr>
                <w:rFonts w:eastAsia="Verdana" w:cs="Verdana"/>
                <w:lang w:val="fr-BE" w:bidi="en-GB"/>
              </w:rPr>
              <w:t>879</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1 946</w:t>
            </w:r>
          </w:p>
        </w:tc>
      </w:tr>
    </w:tbl>
    <w:p w:rsidR="004D38C4" w:rsidRDefault="00BC2113">
      <w:pPr>
        <w:pStyle w:val="Textstand-alone"/>
        <w:rPr>
          <w:lang w:val="fr-BE"/>
        </w:rPr>
        <w:sectPr w:rsidR="004D38C4">
          <w:headerReference w:type="even" r:id="rId195"/>
          <w:headerReference w:type="default" r:id="rId196"/>
          <w:footerReference w:type="even" r:id="rId197"/>
          <w:footerReference w:type="default" r:id="rId198"/>
          <w:headerReference w:type="first" r:id="rId199"/>
          <w:footerReference w:type="first" r:id="rId200"/>
          <w:type w:val="continuous"/>
          <w:pgSz w:w="11906" w:h="16838"/>
          <w:pgMar w:top="1134" w:right="1134" w:bottom="1134" w:left="1134" w:header="709" w:footer="709" w:gutter="0"/>
          <w:cols w:space="708"/>
          <w:docGrid w:linePitch="360"/>
        </w:sectPr>
      </w:pPr>
      <w:r>
        <w:rPr>
          <w:lang w:val="fr-BE"/>
        </w:rPr>
        <w:t xml:space="preserve"> </w:t>
      </w:r>
      <w:bookmarkEnd w:id="120"/>
    </w:p>
    <w:p w:rsidR="004D38C4" w:rsidRDefault="00BC2113">
      <w:pPr>
        <w:pStyle w:val="HEADER2NOTES"/>
        <w:rPr>
          <w:noProof/>
        </w:rPr>
      </w:pPr>
      <w:bookmarkStart w:id="122" w:name="_DMBM_10993"/>
      <w:r>
        <w:rPr>
          <w:noProof/>
        </w:rPr>
        <w:t>OTHER REVENUE FROM NON-EXCHANGE TRANSACTIONS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123" w:name="DOC_TBL00057_1_1"/>
            <w:bookmarkEnd w:id="123"/>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 millions</w:t>
            </w:r>
          </w:p>
        </w:tc>
      </w:tr>
      <w:tr w:rsidR="004D38C4">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Budgetary adjustments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5 806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1 956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Contribution of third </w:t>
            </w:r>
            <w:r>
              <w:rPr>
                <w:rFonts w:eastAsia="Verdana" w:cs="Verdana"/>
                <w:lang w:bidi="en-GB"/>
              </w:rPr>
              <w:t>countries and accession countries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1 256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946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Contribution from Member States for external aid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988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732</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Staff taxes and contributions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923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901</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Transfer of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208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147</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Adjustment of provisions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28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14</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Agricultural levies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4</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5</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 xml:space="preserve">Funding of </w:t>
            </w:r>
            <w:r>
              <w:rPr>
                <w:rFonts w:eastAsia="Verdana" w:cs="Verdana"/>
                <w:lang w:val="fr-BE" w:bidi="en-GB"/>
              </w:rPr>
              <w:t>institutions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(3 371)</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(3 324)</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672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318</w:t>
            </w:r>
          </w:p>
        </w:tc>
      </w:tr>
      <w:tr w:rsidR="004D38C4">
        <w:trPr>
          <w:cantSplit/>
        </w:trPr>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6 515</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1 695</w:t>
            </w:r>
          </w:p>
        </w:tc>
      </w:tr>
    </w:tbl>
    <w:p w:rsidR="004D38C4" w:rsidRDefault="00BC2113">
      <w:pPr>
        <w:rPr>
          <w:noProof/>
          <w:lang w:val="fr-BE" w:bidi="en-GB"/>
        </w:rPr>
        <w:sectPr w:rsidR="004D38C4">
          <w:headerReference w:type="even" r:id="rId201"/>
          <w:headerReference w:type="default" r:id="rId202"/>
          <w:footerReference w:type="even" r:id="rId203"/>
          <w:footerReference w:type="default" r:id="rId204"/>
          <w:headerReference w:type="first" r:id="rId205"/>
          <w:footerReference w:type="first" r:id="rId206"/>
          <w:type w:val="continuous"/>
          <w:pgSz w:w="11906" w:h="16838"/>
          <w:pgMar w:top="1134" w:right="1134" w:bottom="1134" w:left="1134" w:header="709" w:footer="709" w:gutter="0"/>
          <w:cols w:space="708"/>
          <w:docGrid w:linePitch="360"/>
        </w:sectPr>
      </w:pPr>
      <w:r>
        <w:rPr>
          <w:noProof/>
          <w:lang w:val="fr-BE" w:bidi="en-GB"/>
        </w:rPr>
        <w:t xml:space="preserve"> </w:t>
      </w:r>
      <w:bookmarkEnd w:id="122"/>
    </w:p>
    <w:p w:rsidR="004D38C4" w:rsidRDefault="00BC2113">
      <w:pPr>
        <w:rPr>
          <w:rFonts w:ascii="Verdana" w:hAnsi="Verdana"/>
          <w:b/>
          <w:noProof/>
          <w:color w:val="016794"/>
          <w:sz w:val="28"/>
          <w:szCs w:val="28"/>
        </w:rPr>
      </w:pPr>
      <w:bookmarkStart w:id="124" w:name="_DMBM_11006"/>
      <w:r>
        <w:rPr>
          <w:noProof/>
        </w:rPr>
        <w:br w:type="page"/>
      </w:r>
    </w:p>
    <w:p w:rsidR="004D38C4" w:rsidRDefault="00BC2113">
      <w:pPr>
        <w:pStyle w:val="HEADERTABLE"/>
        <w:rPr>
          <w:noProof/>
          <w:lang w:val="fr-BE"/>
        </w:rPr>
        <w:sectPr w:rsidR="004D38C4">
          <w:headerReference w:type="even" r:id="rId207"/>
          <w:headerReference w:type="default" r:id="rId208"/>
          <w:footerReference w:type="even" r:id="rId209"/>
          <w:footerReference w:type="default" r:id="rId210"/>
          <w:headerReference w:type="first" r:id="rId211"/>
          <w:footerReference w:type="first" r:id="rId212"/>
          <w:type w:val="continuous"/>
          <w:pgSz w:w="11906" w:h="16838"/>
          <w:pgMar w:top="1134" w:right="1134" w:bottom="1134" w:left="1134" w:header="709" w:footer="709" w:gutter="0"/>
          <w:cols w:space="708"/>
          <w:docGrid w:linePitch="360"/>
        </w:sectPr>
      </w:pPr>
      <w:r>
        <w:rPr>
          <w:noProof/>
        </w:rPr>
        <w:t xml:space="preserve">REVENUE FROM EXCHANGE TRANSACTIONS </w:t>
      </w:r>
      <w:r>
        <w:rPr>
          <w:noProof/>
          <w:lang w:val="fr-BE"/>
        </w:rPr>
        <w:t xml:space="preserve"> </w:t>
      </w:r>
      <w:bookmarkEnd w:id="124"/>
    </w:p>
    <w:p w:rsidR="004D38C4" w:rsidRDefault="00BC2113">
      <w:pPr>
        <w:pStyle w:val="HEADER2NOTES"/>
        <w:rPr>
          <w:noProof/>
        </w:rPr>
      </w:pPr>
      <w:bookmarkStart w:id="125" w:name="_DMBM_11005"/>
      <w:r>
        <w:rPr>
          <w:noProof/>
        </w:rPr>
        <w:t>FINANCIAL REVENUE</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26" w:name="DOC_TBL00058_1_1"/>
            <w:bookmarkEnd w:id="126"/>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Interest on:</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Loans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1 371</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1 436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Late payments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217</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108</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Other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31</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Premium on financial guarantee liability (EFSI)</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61</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w:t>
            </w:r>
            <w:r>
              <w:rPr>
                <w:rFonts w:eastAsia="Verdana" w:cs="Verdana"/>
                <w:lang w:bidi="en-GB"/>
              </w:rPr>
              <w:t xml:space="preserve"> revenue from financial assets or liabilities at fair value through surplus or deficit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57</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Realised gains on sale of available for sale financial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29</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Dividend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financial revenue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112</w:t>
            </w:r>
          </w:p>
        </w:tc>
      </w:tr>
      <w:tr w:rsidR="004D38C4">
        <w:trPr>
          <w:cantSplit/>
        </w:trPr>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1 820</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1 745</w:t>
            </w:r>
          </w:p>
        </w:tc>
      </w:tr>
    </w:tbl>
    <w:p w:rsidR="004D38C4" w:rsidRDefault="00BC2113">
      <w:pPr>
        <w:pStyle w:val="NoSpacing"/>
        <w:rPr>
          <w:noProof/>
        </w:rPr>
        <w:sectPr w:rsidR="004D38C4">
          <w:headerReference w:type="even" r:id="rId213"/>
          <w:headerReference w:type="default" r:id="rId214"/>
          <w:footerReference w:type="even" r:id="rId215"/>
          <w:footerReference w:type="default" r:id="rId216"/>
          <w:headerReference w:type="first" r:id="rId217"/>
          <w:footerReference w:type="first" r:id="rId218"/>
          <w:type w:val="continuous"/>
          <w:pgSz w:w="11906" w:h="16838"/>
          <w:pgMar w:top="1134" w:right="1134" w:bottom="1134" w:left="1134" w:header="709" w:footer="709" w:gutter="0"/>
          <w:cols w:space="708"/>
          <w:docGrid w:linePitch="360"/>
        </w:sectPr>
      </w:pPr>
      <w:r>
        <w:rPr>
          <w:noProof/>
        </w:rPr>
        <w:t xml:space="preserve"> </w:t>
      </w:r>
      <w:bookmarkEnd w:id="125"/>
    </w:p>
    <w:p w:rsidR="004D38C4" w:rsidRDefault="00BC2113">
      <w:pPr>
        <w:pStyle w:val="HEADER2NOTES"/>
        <w:rPr>
          <w:noProof/>
        </w:rPr>
      </w:pPr>
      <w:bookmarkStart w:id="127" w:name="_DMBM_10994"/>
      <w:r>
        <w:rPr>
          <w:noProof/>
        </w:rPr>
        <w:t>OTHER REVENUE FROM EXCHANGE TRANSACTIONS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128" w:name="DOC_TBL00059_1_1"/>
            <w:bookmarkEnd w:id="128"/>
          </w:p>
        </w:tc>
        <w:tc>
          <w:tcPr>
            <w:tcW w:w="2126" w:type="dxa"/>
            <w:tcBorders>
              <w:top w:val="nil"/>
              <w:left w:val="nil"/>
              <w:bottom w:val="nil"/>
              <w:right w:val="nil"/>
            </w:tcBorders>
            <w:tcMar>
              <w:top w:w="0" w:type="dxa"/>
              <w:left w:w="108" w:type="dxa"/>
              <w:bottom w:w="0" w:type="dxa"/>
              <w:right w:w="108" w:type="dxa"/>
            </w:tcMar>
          </w:tcPr>
          <w:p w:rsidR="004D38C4" w:rsidRDefault="004D38C4">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2016</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Foreign exchange gains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266</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320</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Fee and premium revenue related to financial instruments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51</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48</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Sales of goods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26</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14</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Share of net result of EIF</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21</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Property, plant and equipment related revenue</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Other</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321</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262</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 xml:space="preserve"> 692</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 xml:space="preserve"> 649</w:t>
            </w:r>
          </w:p>
        </w:tc>
      </w:tr>
    </w:tbl>
    <w:p w:rsidR="004D38C4" w:rsidRDefault="00BC2113">
      <w:pPr>
        <w:rPr>
          <w:noProof/>
          <w:lang w:val="fr-BE"/>
        </w:rPr>
        <w:sectPr w:rsidR="004D38C4">
          <w:headerReference w:type="even" r:id="rId219"/>
          <w:headerReference w:type="default" r:id="rId220"/>
          <w:footerReference w:type="even" r:id="rId221"/>
          <w:footerReference w:type="default" r:id="rId222"/>
          <w:headerReference w:type="first" r:id="rId223"/>
          <w:footerReference w:type="first" r:id="rId224"/>
          <w:type w:val="continuous"/>
          <w:pgSz w:w="11906" w:h="16838"/>
          <w:pgMar w:top="1134" w:right="1134" w:bottom="1134" w:left="1134" w:header="709" w:footer="709" w:gutter="0"/>
          <w:cols w:space="708"/>
          <w:docGrid w:linePitch="360"/>
        </w:sectPr>
      </w:pPr>
      <w:r>
        <w:rPr>
          <w:noProof/>
          <w:lang w:val="fr-BE"/>
        </w:rPr>
        <w:t xml:space="preserve"> </w:t>
      </w:r>
      <w:bookmarkEnd w:id="127"/>
    </w:p>
    <w:p w:rsidR="004D38C4" w:rsidRDefault="004D38C4">
      <w:pPr>
        <w:pStyle w:val="HEADERTABLE"/>
        <w:rPr>
          <w:noProof/>
        </w:rPr>
      </w:pPr>
      <w:bookmarkStart w:id="129" w:name="_DMBM_10944"/>
    </w:p>
    <w:p w:rsidR="004D38C4" w:rsidRDefault="00BC2113">
      <w:pPr>
        <w:pStyle w:val="HEADERTABLE"/>
        <w:rPr>
          <w:noProof/>
        </w:rPr>
        <w:sectPr w:rsidR="004D38C4">
          <w:headerReference w:type="even" r:id="rId225"/>
          <w:headerReference w:type="default" r:id="rId226"/>
          <w:footerReference w:type="even" r:id="rId227"/>
          <w:footerReference w:type="default" r:id="rId228"/>
          <w:headerReference w:type="first" r:id="rId229"/>
          <w:footerReference w:type="first" r:id="rId230"/>
          <w:type w:val="continuous"/>
          <w:pgSz w:w="11906" w:h="16838"/>
          <w:pgMar w:top="1134" w:right="1134" w:bottom="1134" w:left="1134" w:header="709" w:footer="709" w:gutter="0"/>
          <w:cols w:space="708"/>
          <w:docGrid w:linePitch="360"/>
        </w:sectPr>
      </w:pPr>
      <w:r>
        <w:rPr>
          <w:noProof/>
        </w:rPr>
        <w:t xml:space="preserve">EXPENSES </w:t>
      </w:r>
      <w:bookmarkEnd w:id="129"/>
    </w:p>
    <w:p w:rsidR="004D38C4" w:rsidRDefault="00BC2113">
      <w:pPr>
        <w:pStyle w:val="HEADER2NOTES"/>
        <w:rPr>
          <w:noProof/>
        </w:rPr>
      </w:pPr>
      <w:bookmarkStart w:id="130" w:name="_DMBM_10992"/>
      <w:r>
        <w:rPr>
          <w:noProof/>
        </w:rPr>
        <w:t>SHARED MANAGEMENT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31" w:name="DOC_TBL00060_1_1"/>
            <w:bookmarkEnd w:id="131"/>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Left"/>
              <w:rPr>
                <w:rFonts w:eastAsia="Verdana" w:cs="Verdana"/>
                <w:lang w:bidi="en-GB"/>
              </w:rPr>
            </w:pPr>
            <w:r>
              <w:rPr>
                <w:rFonts w:eastAsia="Verdana" w:cs="Verdana"/>
                <w:lang w:bidi="en-GB"/>
              </w:rPr>
              <w:t>Implemented by Member States</w:t>
            </w: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European Agricultural Guarantee Fund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44 289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44 152</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European </w:t>
            </w:r>
            <w:r>
              <w:rPr>
                <w:rFonts w:eastAsia="Verdana" w:cs="Verdana"/>
                <w:lang w:bidi="en-GB"/>
              </w:rPr>
              <w:t>Agricultural Fund for Rural Development and other rural development instruments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11 359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12 604</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European Regional Development Fund and Cohesion Fund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17 650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35 045</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European Social Fund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7 353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9 366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1 253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1 606</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81 905</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102 772</w:t>
            </w:r>
          </w:p>
        </w:tc>
      </w:tr>
    </w:tbl>
    <w:p w:rsidR="004D38C4" w:rsidRDefault="00BC2113">
      <w:pPr>
        <w:pStyle w:val="HEADER2NOTES"/>
        <w:rPr>
          <w:noProof/>
        </w:rPr>
      </w:pPr>
      <w:r>
        <w:rPr>
          <w:noProof/>
        </w:rPr>
        <w:t xml:space="preserve"> DIRECT MANAGEMENT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32" w:name="DOC_TBL00061_1_1"/>
            <w:bookmarkEnd w:id="132"/>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Implemented by the Commission</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8 855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9 287</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Implemented by EU Executive Agencies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6 700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6 260</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Implemented by Trust funds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208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97</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15 763</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15 644</w:t>
            </w:r>
          </w:p>
        </w:tc>
      </w:tr>
    </w:tbl>
    <w:p w:rsidR="004D38C4" w:rsidRDefault="00BC2113">
      <w:pPr>
        <w:pStyle w:val="HEADER2NOTES"/>
        <w:rPr>
          <w:noProof/>
        </w:rPr>
      </w:pPr>
      <w:r>
        <w:rPr>
          <w:noProof/>
        </w:rPr>
        <w:t xml:space="preserve"> INDIRECT MANAGEMENT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33" w:name="DOC_TBL00062_1_1"/>
            <w:bookmarkEnd w:id="133"/>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Implemented by other EU </w:t>
            </w:r>
            <w:r>
              <w:rPr>
                <w:rFonts w:eastAsia="Verdana" w:cs="Verdana"/>
                <w:lang w:bidi="en-GB"/>
              </w:rPr>
              <w:t>agencies and bodies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3 429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3 064</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Implemented by third countries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1 101</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876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Implemented by international organisations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3 014</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2 382</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Implemented by other entities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1 478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2 035</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9 022</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8 358</w:t>
            </w:r>
          </w:p>
        </w:tc>
      </w:tr>
    </w:tbl>
    <w:p w:rsidR="004D38C4" w:rsidRDefault="00BC2113">
      <w:pPr>
        <w:rPr>
          <w:noProof/>
        </w:rPr>
        <w:sectPr w:rsidR="004D38C4">
          <w:headerReference w:type="even" r:id="rId231"/>
          <w:headerReference w:type="default" r:id="rId232"/>
          <w:footerReference w:type="even" r:id="rId233"/>
          <w:footerReference w:type="default" r:id="rId234"/>
          <w:headerReference w:type="first" r:id="rId235"/>
          <w:footerReference w:type="first" r:id="rId236"/>
          <w:type w:val="continuous"/>
          <w:pgSz w:w="11906" w:h="16838"/>
          <w:pgMar w:top="1134" w:right="1134" w:bottom="1134" w:left="1134" w:header="709" w:footer="709" w:gutter="0"/>
          <w:cols w:space="708"/>
          <w:docGrid w:linePitch="360"/>
        </w:sectPr>
      </w:pPr>
      <w:r>
        <w:rPr>
          <w:noProof/>
        </w:rPr>
        <w:t xml:space="preserve"> </w:t>
      </w:r>
      <w:bookmarkEnd w:id="130"/>
    </w:p>
    <w:p w:rsidR="004D38C4" w:rsidRDefault="00BC2113">
      <w:pPr>
        <w:pStyle w:val="HEADER2NOTES"/>
        <w:rPr>
          <w:noProof/>
        </w:rPr>
      </w:pPr>
      <w:bookmarkStart w:id="134" w:name="_DMBM_10942"/>
      <w:r>
        <w:rPr>
          <w:noProof/>
        </w:rPr>
        <w:t>STAFF AND PENSION COSTS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135" w:name="DOC_TBL00063_1_1"/>
            <w:bookmarkEnd w:id="135"/>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Staff costs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3 186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3 218</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Pension costs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3 809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3 693</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6 995</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6 911</w:t>
            </w:r>
          </w:p>
        </w:tc>
      </w:tr>
    </w:tbl>
    <w:p w:rsidR="004D38C4" w:rsidRDefault="00BC2113">
      <w:pPr>
        <w:pStyle w:val="Textstand-alone"/>
        <w:spacing w:before="0"/>
        <w:rPr>
          <w:lang w:val="fr-BE"/>
        </w:rPr>
        <w:sectPr w:rsidR="004D38C4">
          <w:headerReference w:type="even" r:id="rId237"/>
          <w:headerReference w:type="default" r:id="rId238"/>
          <w:footerReference w:type="even" r:id="rId239"/>
          <w:footerReference w:type="default" r:id="rId240"/>
          <w:headerReference w:type="first" r:id="rId241"/>
          <w:footerReference w:type="first" r:id="rId242"/>
          <w:type w:val="continuous"/>
          <w:pgSz w:w="11906" w:h="16838"/>
          <w:pgMar w:top="1134" w:right="1134" w:bottom="1134" w:left="1134" w:header="709" w:footer="709" w:gutter="0"/>
          <w:cols w:space="708"/>
          <w:docGrid w:linePitch="360"/>
        </w:sectPr>
      </w:pPr>
      <w:r>
        <w:rPr>
          <w:lang w:val="fr-BE"/>
        </w:rPr>
        <w:t xml:space="preserve"> </w:t>
      </w:r>
      <w:bookmarkEnd w:id="134"/>
    </w:p>
    <w:p w:rsidR="004D38C4" w:rsidRDefault="00BC2113">
      <w:pPr>
        <w:pStyle w:val="HEADER2NOTES"/>
        <w:rPr>
          <w:noProof/>
        </w:rPr>
      </w:pPr>
      <w:bookmarkStart w:id="136" w:name="_DMBM_10988"/>
      <w:r>
        <w:rPr>
          <w:noProof/>
        </w:rPr>
        <w:t>FINANCE COSTS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137" w:name="DOC_TBL00064_1_1"/>
            <w:bookmarkEnd w:id="137"/>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 millions</w:t>
            </w:r>
          </w:p>
        </w:tc>
      </w:tr>
      <w:tr w:rsidR="004D38C4">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2016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Interest expenses: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val="fr-BE" w:bidi="en-GB"/>
              </w:rPr>
            </w:pP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 xml:space="preserve">        Borrowings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1 363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1 426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 xml:space="preserve">        Other </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21</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56</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Finance leases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56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39</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Impairment losses on available for sale financial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40</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Impairment loss </w:t>
            </w:r>
            <w:r>
              <w:rPr>
                <w:rFonts w:eastAsia="Verdana" w:cs="Verdana"/>
                <w:lang w:bidi="en-GB"/>
              </w:rPr>
              <w:t>on loans and receivables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324</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184</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Realised loss on sale of available for sale financial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0</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Loss on financial assets or liabilities at fair value through surplus or deficit</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bidi="en-GB"/>
              </w:rPr>
              <w:t xml:space="preserve"> </w:t>
            </w:r>
            <w:r>
              <w:rPr>
                <w:rFonts w:eastAsia="Verdana" w:cs="Verdana"/>
                <w:lang w:val="fr-BE" w:bidi="en-GB"/>
              </w:rPr>
              <w:t>12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w:t>
            </w:r>
          </w:p>
        </w:tc>
      </w:tr>
      <w:tr w:rsidR="004D38C4">
        <w:trPr>
          <w:cantSplit/>
        </w:trPr>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Other finance costs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33</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111</w:t>
            </w:r>
          </w:p>
        </w:tc>
      </w:tr>
      <w:tr w:rsidR="004D38C4">
        <w:trPr>
          <w:cantSplit/>
        </w:trPr>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1 849</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1 857</w:t>
            </w:r>
          </w:p>
        </w:tc>
      </w:tr>
    </w:tbl>
    <w:p w:rsidR="004D38C4" w:rsidRDefault="00BC2113">
      <w:pPr>
        <w:pStyle w:val="Textstand-alone"/>
        <w:spacing w:before="0"/>
        <w:rPr>
          <w:lang w:bidi="en-GB"/>
        </w:rPr>
        <w:sectPr w:rsidR="004D38C4">
          <w:headerReference w:type="even" r:id="rId243"/>
          <w:headerReference w:type="default" r:id="rId244"/>
          <w:footerReference w:type="even" r:id="rId245"/>
          <w:footerReference w:type="default" r:id="rId246"/>
          <w:headerReference w:type="first" r:id="rId247"/>
          <w:footerReference w:type="first" r:id="rId248"/>
          <w:type w:val="continuous"/>
          <w:pgSz w:w="11906" w:h="16838"/>
          <w:pgMar w:top="1134" w:right="1134" w:bottom="1134" w:left="1134" w:header="709" w:footer="709" w:gutter="0"/>
          <w:cols w:space="708"/>
          <w:docGrid w:linePitch="360"/>
        </w:sectPr>
      </w:pPr>
      <w:r>
        <w:rPr>
          <w:lang w:val="fr-BE"/>
        </w:rPr>
        <w:t xml:space="preserve"> </w:t>
      </w:r>
      <w:bookmarkEnd w:id="136"/>
    </w:p>
    <w:p w:rsidR="004D38C4" w:rsidRDefault="00BC2113">
      <w:pPr>
        <w:pStyle w:val="HEADER2NOTES"/>
        <w:rPr>
          <w:noProof/>
        </w:rPr>
      </w:pPr>
      <w:bookmarkStart w:id="138" w:name="_DMBM_11026"/>
      <w:r>
        <w:rPr>
          <w:noProof/>
        </w:rPr>
        <w:t>OTHER EXPENSES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39" w:name="DOC_TBL00065_1_1"/>
            <w:bookmarkEnd w:id="139"/>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Adjustment of provisions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1 371</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680</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Property, plant and equipment related expenses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870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570</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Administrative and </w:t>
            </w:r>
            <w:r>
              <w:rPr>
                <w:rFonts w:eastAsia="Verdana" w:cs="Verdana"/>
                <w:lang w:bidi="en-GB"/>
              </w:rPr>
              <w:t>IT expenses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790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713</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Funding and contributions to other EU bodies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458</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425</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Foreign exchange losses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429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491</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Operating lease expenses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156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Reduction of fines by the Court of Justice</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67</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18</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495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408</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4 642</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3 462</w:t>
            </w:r>
          </w:p>
        </w:tc>
      </w:tr>
    </w:tbl>
    <w:p w:rsidR="004D38C4" w:rsidRDefault="00BC2113">
      <w:pPr>
        <w:pStyle w:val="DGTextstand-alone"/>
        <w:spacing w:after="120"/>
      </w:pPr>
      <w:r>
        <w:t xml:space="preserve">Expenses relating </w:t>
      </w:r>
      <w:r>
        <w:t>to research and development are as follows: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40" w:name="DOC_TBL00066_1_1"/>
            <w:bookmarkEnd w:id="140"/>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 xml:space="preserve">EUR millions </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Research costs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366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338</w:t>
            </w:r>
          </w:p>
        </w:tc>
      </w:tr>
      <w:tr w:rsidR="004D38C4">
        <w:tc>
          <w:tcPr>
            <w:tcW w:w="563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Non-capitalised development costs</w:t>
            </w:r>
          </w:p>
        </w:tc>
        <w:tc>
          <w:tcPr>
            <w:tcW w:w="212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58</w:t>
            </w:r>
          </w:p>
        </w:tc>
        <w:tc>
          <w:tcPr>
            <w:tcW w:w="1985"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43</w:t>
            </w:r>
          </w:p>
        </w:tc>
      </w:tr>
      <w:tr w:rsidR="004D38C4">
        <w:tc>
          <w:tcPr>
            <w:tcW w:w="563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212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424</w:t>
            </w:r>
          </w:p>
        </w:tc>
        <w:tc>
          <w:tcPr>
            <w:tcW w:w="198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381</w:t>
            </w:r>
          </w:p>
        </w:tc>
      </w:tr>
      <w:bookmarkEnd w:id="138"/>
    </w:tbl>
    <w:p w:rsidR="004D38C4" w:rsidRDefault="004D38C4">
      <w:pPr>
        <w:pStyle w:val="DGTextstand-alone"/>
        <w:rPr>
          <w:lang w:bidi="en-GB"/>
        </w:rPr>
        <w:sectPr w:rsidR="004D38C4">
          <w:headerReference w:type="even" r:id="rId249"/>
          <w:headerReference w:type="default" r:id="rId250"/>
          <w:footerReference w:type="even" r:id="rId251"/>
          <w:footerReference w:type="default" r:id="rId252"/>
          <w:headerReference w:type="first" r:id="rId253"/>
          <w:footerReference w:type="first" r:id="rId254"/>
          <w:type w:val="continuous"/>
          <w:pgSz w:w="11906" w:h="16838"/>
          <w:pgMar w:top="1134" w:right="1134" w:bottom="1134" w:left="1134" w:header="709" w:footer="709" w:gutter="0"/>
          <w:cols w:space="708"/>
          <w:docGrid w:linePitch="360"/>
        </w:sectPr>
      </w:pPr>
    </w:p>
    <w:p w:rsidR="004D38C4" w:rsidRDefault="00BC2113">
      <w:pPr>
        <w:pStyle w:val="HEADER2NOTES"/>
        <w:rPr>
          <w:noProof/>
        </w:rPr>
      </w:pPr>
      <w:bookmarkStart w:id="141" w:name="_DMBM_10996"/>
      <w:r>
        <w:rPr>
          <w:noProof/>
        </w:rPr>
        <w:t>SEGMENT REPORTING BY MULTI ANNUAL FINANCIAL FRAMEWORK HEADING (MFF)</w:t>
      </w: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620"/>
        <w:gridCol w:w="1685"/>
        <w:gridCol w:w="1292"/>
        <w:gridCol w:w="1357"/>
        <w:gridCol w:w="1843"/>
        <w:gridCol w:w="1275"/>
        <w:gridCol w:w="1438"/>
      </w:tblGrid>
      <w:tr w:rsidR="004D38C4">
        <w:trPr>
          <w:trHeight w:val="250"/>
        </w:trPr>
        <w:tc>
          <w:tcPr>
            <w:tcW w:w="4077"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142" w:name="DOC_TBL00067_1_1"/>
            <w:bookmarkEnd w:id="142"/>
          </w:p>
        </w:tc>
        <w:tc>
          <w:tcPr>
            <w:tcW w:w="1620"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685"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292"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357"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843"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275" w:type="dxa"/>
            <w:tcBorders>
              <w:top w:val="nil"/>
              <w:left w:val="nil"/>
              <w:bottom w:val="nil"/>
              <w:right w:val="nil"/>
            </w:tcBorders>
            <w:tcMar>
              <w:top w:w="0" w:type="dxa"/>
              <w:left w:w="108" w:type="dxa"/>
              <w:bottom w:w="0" w:type="dxa"/>
              <w:right w:w="108" w:type="dxa"/>
            </w:tcMar>
          </w:tcPr>
          <w:p w:rsidR="004D38C4" w:rsidRDefault="004D38C4">
            <w:pPr>
              <w:pStyle w:val="Text8pItalicRight025EUR"/>
              <w:rPr>
                <w:rFonts w:cs="Verdana"/>
                <w:i w:val="0"/>
              </w:rPr>
            </w:pPr>
          </w:p>
        </w:tc>
        <w:tc>
          <w:tcPr>
            <w:tcW w:w="1438"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rPr>
          <w:trHeight w:val="737"/>
        </w:trPr>
        <w:tc>
          <w:tcPr>
            <w:tcW w:w="407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cs="Verdana"/>
                <w:noProof/>
              </w:rPr>
            </w:pPr>
          </w:p>
        </w:tc>
        <w:tc>
          <w:tcPr>
            <w:tcW w:w="162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Right025"/>
              <w:rPr>
                <w:rFonts w:cs="Verdana"/>
              </w:rPr>
            </w:pPr>
            <w:r>
              <w:rPr>
                <w:rFonts w:cs="Verdana"/>
              </w:rPr>
              <w:t>Smart and inclusive growth</w:t>
            </w:r>
          </w:p>
        </w:tc>
        <w:tc>
          <w:tcPr>
            <w:tcW w:w="1685"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Right025"/>
              <w:rPr>
                <w:rFonts w:cs="Verdana"/>
              </w:rPr>
            </w:pPr>
            <w:r>
              <w:rPr>
                <w:rFonts w:cs="Verdana"/>
              </w:rPr>
              <w:t>Sustainable growth</w:t>
            </w:r>
          </w:p>
        </w:tc>
        <w:tc>
          <w:tcPr>
            <w:tcW w:w="1292"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Right025"/>
              <w:rPr>
                <w:rFonts w:cs="Verdana"/>
              </w:rPr>
            </w:pPr>
            <w:r>
              <w:rPr>
                <w:rFonts w:cs="Verdana"/>
              </w:rPr>
              <w:t>Security and citizenship</w:t>
            </w:r>
          </w:p>
        </w:tc>
        <w:tc>
          <w:tcPr>
            <w:tcW w:w="135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Right025"/>
              <w:rPr>
                <w:rFonts w:cs="Verdana"/>
              </w:rPr>
            </w:pPr>
            <w:r>
              <w:rPr>
                <w:rFonts w:cs="Verdana"/>
              </w:rPr>
              <w:t>Global Europe</w:t>
            </w:r>
          </w:p>
        </w:tc>
        <w:tc>
          <w:tcPr>
            <w:tcW w:w="184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Right025"/>
              <w:rPr>
                <w:rFonts w:cs="Verdana"/>
              </w:rPr>
            </w:pPr>
            <w:r>
              <w:rPr>
                <w:rFonts w:cs="Verdana"/>
              </w:rPr>
              <w:t>Administration</w:t>
            </w:r>
          </w:p>
        </w:tc>
        <w:tc>
          <w:tcPr>
            <w:tcW w:w="1275"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Right025"/>
              <w:rPr>
                <w:rFonts w:cs="Verdana"/>
              </w:rPr>
            </w:pPr>
            <w:r>
              <w:rPr>
                <w:rFonts w:cs="Verdana"/>
              </w:rPr>
              <w:t>Not assigned to MFF headings*</w:t>
            </w:r>
          </w:p>
        </w:tc>
        <w:tc>
          <w:tcPr>
            <w:tcW w:w="143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Right025"/>
              <w:rPr>
                <w:rFonts w:cs="Verdana"/>
              </w:rPr>
            </w:pPr>
            <w:r>
              <w:rPr>
                <w:rFonts w:cs="Verdana"/>
              </w:rPr>
              <w:t>Total</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xml:space="preserve">GNI </w:t>
            </w:r>
            <w:r>
              <w:rPr>
                <w:rFonts w:cs="Verdana"/>
              </w:rPr>
              <w:t>resources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78 620</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78 620</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Traditional own resources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20 520</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20 520</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VAT</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16 947</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16 947</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Fines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4 664</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4 664</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Recovery of expenses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357</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1 488</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5</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28</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1 879</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Other</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1 172</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244</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43</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414</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884</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3 759</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6 515</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BoldLeft"/>
              <w:rPr>
                <w:rFonts w:eastAsia="Times New Roman" w:cs="Verdana"/>
              </w:rPr>
            </w:pPr>
            <w:r>
              <w:rPr>
                <w:rFonts w:eastAsia="Times New Roman" w:cs="Verdana"/>
              </w:rPr>
              <w:t xml:space="preserve">Non-exchange </w:t>
            </w:r>
            <w:r>
              <w:rPr>
                <w:rFonts w:eastAsia="Times New Roman" w:cs="Verdana"/>
              </w:rPr>
              <w:t>revenue</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1 529</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1 732</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48</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443</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884</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124 510</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129 145</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Financial revenue</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147</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0</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17</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0</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1 659</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1 820</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Other</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196</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(12)</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(6)</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10</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242</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261</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692</w:t>
            </w:r>
          </w:p>
        </w:tc>
      </w:tr>
      <w:tr w:rsidR="004D38C4">
        <w:trPr>
          <w:trHeight w:val="234"/>
        </w:trPr>
        <w:tc>
          <w:tcPr>
            <w:tcW w:w="4077"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8pBoldLeft"/>
              <w:rPr>
                <w:rFonts w:eastAsia="Times New Roman" w:cs="Verdana"/>
              </w:rPr>
            </w:pPr>
            <w:r>
              <w:rPr>
                <w:rFonts w:eastAsia="Times New Roman" w:cs="Verdana"/>
              </w:rPr>
              <w:t>Exchange revenue</w:t>
            </w:r>
          </w:p>
        </w:tc>
        <w:tc>
          <w:tcPr>
            <w:tcW w:w="1620"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343</w:t>
            </w:r>
          </w:p>
        </w:tc>
        <w:tc>
          <w:tcPr>
            <w:tcW w:w="1685"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(15)</w:t>
            </w:r>
          </w:p>
        </w:tc>
        <w:tc>
          <w:tcPr>
            <w:tcW w:w="1292"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(6)</w:t>
            </w:r>
          </w:p>
        </w:tc>
        <w:tc>
          <w:tcPr>
            <w:tcW w:w="1357"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27</w:t>
            </w:r>
          </w:p>
        </w:tc>
        <w:tc>
          <w:tcPr>
            <w:tcW w:w="1843"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242</w:t>
            </w:r>
          </w:p>
        </w:tc>
        <w:tc>
          <w:tcPr>
            <w:tcW w:w="1275"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1 920</w:t>
            </w:r>
          </w:p>
        </w:tc>
        <w:tc>
          <w:tcPr>
            <w:tcW w:w="1438"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2 511</w:t>
            </w:r>
          </w:p>
        </w:tc>
      </w:tr>
      <w:tr w:rsidR="004D38C4">
        <w:trPr>
          <w:trHeight w:val="234"/>
        </w:trPr>
        <w:tc>
          <w:tcPr>
            <w:tcW w:w="4077"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Text8pBoldLeft"/>
              <w:rPr>
                <w:rFonts w:eastAsia="Times New Roman" w:cs="Verdana"/>
              </w:rPr>
            </w:pPr>
            <w:r>
              <w:rPr>
                <w:rFonts w:eastAsia="Times New Roman" w:cs="Verdana"/>
              </w:rPr>
              <w:t>Total revenue</w:t>
            </w:r>
          </w:p>
        </w:tc>
        <w:tc>
          <w:tcPr>
            <w:tcW w:w="1620"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1 873</w:t>
            </w:r>
          </w:p>
        </w:tc>
        <w:tc>
          <w:tcPr>
            <w:tcW w:w="1685"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1 716</w:t>
            </w:r>
          </w:p>
        </w:tc>
        <w:tc>
          <w:tcPr>
            <w:tcW w:w="1292"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42</w:t>
            </w:r>
          </w:p>
        </w:tc>
        <w:tc>
          <w:tcPr>
            <w:tcW w:w="1357"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 xml:space="preserve"> 470</w:t>
            </w:r>
          </w:p>
        </w:tc>
        <w:tc>
          <w:tcPr>
            <w:tcW w:w="1843"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1 126</w:t>
            </w:r>
          </w:p>
        </w:tc>
        <w:tc>
          <w:tcPr>
            <w:tcW w:w="1275"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126 430</w:t>
            </w:r>
          </w:p>
        </w:tc>
        <w:tc>
          <w:tcPr>
            <w:tcW w:w="1438" w:type="dxa"/>
            <w:tcBorders>
              <w:top w:val="single" w:sz="4" w:space="0" w:color="016794"/>
              <w:left w:val="nil"/>
              <w:bottom w:val="single" w:sz="4" w:space="0" w:color="016794"/>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131 657</w:t>
            </w:r>
          </w:p>
        </w:tc>
      </w:tr>
      <w:tr w:rsidR="004D38C4">
        <w:trPr>
          <w:trHeight w:val="218"/>
        </w:trPr>
        <w:tc>
          <w:tcPr>
            <w:tcW w:w="4077"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Expenses implemented by Member States:</w:t>
            </w:r>
          </w:p>
        </w:tc>
        <w:tc>
          <w:tcPr>
            <w:tcW w:w="1620"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685"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292"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357"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275"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c>
          <w:tcPr>
            <w:tcW w:w="1438" w:type="dxa"/>
            <w:tcBorders>
              <w:top w:val="single" w:sz="4" w:space="0" w:color="016794"/>
              <w:left w:val="nil"/>
              <w:bottom w:val="nil"/>
              <w:right w:val="nil"/>
            </w:tcBorders>
            <w:tcMar>
              <w:top w:w="0" w:type="dxa"/>
              <w:left w:w="108" w:type="dxa"/>
              <w:bottom w:w="0" w:type="dxa"/>
              <w:right w:w="108" w:type="dxa"/>
            </w:tcMar>
          </w:tcPr>
          <w:p w:rsidR="004D38C4" w:rsidRDefault="004D38C4">
            <w:pPr>
              <w:pStyle w:val="Figures8pItalicRight025"/>
              <w:rPr>
                <w:rFonts w:eastAsia="Times New Roman" w:cs="Verdana"/>
              </w:rPr>
            </w:pP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xml:space="preserve">     EAGF</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(44 289)</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(44 289)</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xml:space="preserve">     EAFRD &amp; other rural develop. instruments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(11 359)</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(11 359)</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xml:space="preserve">     ERDF &amp; CF</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(17 650)</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(17 650)</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xml:space="preserve">     ESF</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(7 353)</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(7 353)</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xml:space="preserve">     Other</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(439)</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74</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(897)</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9</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0</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(1 253)</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Implemented by the Commission, executive agencies and trust funds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(9 809)</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(525)</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(1 080)</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(4 337)</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(12)</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0</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(15 763)</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Implemented by other EU agencies and bodies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(2 530)</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(121)</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(754)</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(24)</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(3 429)</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Implemented by third</w:t>
            </w:r>
            <w:r>
              <w:rPr>
                <w:rFonts w:cs="Verdana"/>
              </w:rPr>
              <w:t xml:space="preserve"> countries and international organisations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(434)</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0</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(177)</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(3 504)</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(4 115)</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Implemented by other entities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(819)</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15</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(675)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(0)</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(1 478)</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Staff and pension costs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(1 638)</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(360)</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(426)</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(615)</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(3 956)</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(6 995)</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 xml:space="preserve">Changes in employee benefits </w:t>
            </w:r>
            <w:r>
              <w:rPr>
                <w:rFonts w:cs="Verdana"/>
              </w:rPr>
              <w:t>actuarial assumptions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(3 581)</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(3 581)</w:t>
            </w:r>
          </w:p>
        </w:tc>
      </w:tr>
      <w:tr w:rsidR="004D38C4">
        <w:trPr>
          <w:trHeight w:val="218"/>
        </w:trPr>
        <w:tc>
          <w:tcPr>
            <w:tcW w:w="4077" w:type="dxa"/>
            <w:tcBorders>
              <w:top w:val="nil"/>
              <w:left w:val="nil"/>
              <w:bottom w:val="nil"/>
              <w:right w:val="nil"/>
            </w:tcBorders>
            <w:tcMar>
              <w:top w:w="0" w:type="dxa"/>
              <w:left w:w="108" w:type="dxa"/>
              <w:bottom w:w="0" w:type="dxa"/>
              <w:right w:w="108" w:type="dxa"/>
            </w:tcMar>
          </w:tcPr>
          <w:p w:rsidR="004D38C4" w:rsidRDefault="00BC2113">
            <w:pPr>
              <w:pStyle w:val="Text8pItalicLeft"/>
              <w:rPr>
                <w:rFonts w:cs="Verdana"/>
              </w:rPr>
            </w:pPr>
            <w:r>
              <w:rPr>
                <w:rFonts w:cs="Verdana"/>
              </w:rPr>
              <w:t>Finance costs</w:t>
            </w:r>
          </w:p>
        </w:tc>
        <w:tc>
          <w:tcPr>
            <w:tcW w:w="1620"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(88)</w:t>
            </w:r>
          </w:p>
        </w:tc>
        <w:tc>
          <w:tcPr>
            <w:tcW w:w="168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(16)</w:t>
            </w:r>
          </w:p>
        </w:tc>
        <w:tc>
          <w:tcPr>
            <w:tcW w:w="1292"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(0)</w:t>
            </w:r>
          </w:p>
        </w:tc>
        <w:tc>
          <w:tcPr>
            <w:tcW w:w="1357"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(18)</w:t>
            </w:r>
          </w:p>
        </w:tc>
        <w:tc>
          <w:tcPr>
            <w:tcW w:w="1843"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(72)</w:t>
            </w:r>
          </w:p>
        </w:tc>
        <w:tc>
          <w:tcPr>
            <w:tcW w:w="1275"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(1 655)</w:t>
            </w:r>
          </w:p>
        </w:tc>
        <w:tc>
          <w:tcPr>
            <w:tcW w:w="1438" w:type="dxa"/>
            <w:tcBorders>
              <w:top w:val="nil"/>
              <w:left w:val="nil"/>
              <w:bottom w:val="nil"/>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(1 849)</w:t>
            </w:r>
          </w:p>
        </w:tc>
      </w:tr>
      <w:tr w:rsidR="004D38C4">
        <w:trPr>
          <w:trHeight w:val="234"/>
        </w:trPr>
        <w:tc>
          <w:tcPr>
            <w:tcW w:w="4077" w:type="dxa"/>
            <w:tcBorders>
              <w:top w:val="nil"/>
              <w:left w:val="nil"/>
              <w:bottom w:val="single" w:sz="4" w:space="0" w:color="016794"/>
              <w:right w:val="nil"/>
            </w:tcBorders>
            <w:tcMar>
              <w:top w:w="0" w:type="dxa"/>
              <w:left w:w="108" w:type="dxa"/>
              <w:bottom w:w="0" w:type="dxa"/>
              <w:right w:w="108" w:type="dxa"/>
            </w:tcMar>
          </w:tcPr>
          <w:p w:rsidR="004D38C4" w:rsidRDefault="00BC2113">
            <w:pPr>
              <w:pStyle w:val="Text8pItalicLeft"/>
              <w:rPr>
                <w:rFonts w:cs="Verdana"/>
              </w:rPr>
            </w:pPr>
            <w:r>
              <w:rPr>
                <w:rFonts w:cs="Verdana"/>
              </w:rPr>
              <w:t>Other expenses</w:t>
            </w:r>
          </w:p>
        </w:tc>
        <w:tc>
          <w:tcPr>
            <w:tcW w:w="1620"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(2 453)</w:t>
            </w:r>
          </w:p>
        </w:tc>
        <w:tc>
          <w:tcPr>
            <w:tcW w:w="1685"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(88)</w:t>
            </w:r>
          </w:p>
        </w:tc>
        <w:tc>
          <w:tcPr>
            <w:tcW w:w="1292"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(196)</w:t>
            </w:r>
          </w:p>
        </w:tc>
        <w:tc>
          <w:tcPr>
            <w:tcW w:w="1357"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(113)</w:t>
            </w:r>
          </w:p>
        </w:tc>
        <w:tc>
          <w:tcPr>
            <w:tcW w:w="1843"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(1 365)</w:t>
            </w:r>
          </w:p>
        </w:tc>
        <w:tc>
          <w:tcPr>
            <w:tcW w:w="1275"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 xml:space="preserve"> (427)</w:t>
            </w:r>
          </w:p>
        </w:tc>
        <w:tc>
          <w:tcPr>
            <w:tcW w:w="1438" w:type="dxa"/>
            <w:tcBorders>
              <w:top w:val="nil"/>
              <w:left w:val="nil"/>
              <w:bottom w:val="single" w:sz="4" w:space="0" w:color="016794"/>
              <w:right w:val="nil"/>
            </w:tcBorders>
            <w:tcMar>
              <w:top w:w="0" w:type="dxa"/>
              <w:left w:w="108" w:type="dxa"/>
              <w:bottom w:w="0" w:type="dxa"/>
              <w:right w:w="108" w:type="dxa"/>
            </w:tcMar>
          </w:tcPr>
          <w:p w:rsidR="004D38C4" w:rsidRDefault="00BC2113">
            <w:pPr>
              <w:pStyle w:val="Figures8pItalicRight025"/>
              <w:rPr>
                <w:rFonts w:eastAsia="Times New Roman" w:cs="Verdana"/>
              </w:rPr>
            </w:pPr>
            <w:r>
              <w:rPr>
                <w:rFonts w:eastAsia="Times New Roman" w:cs="Verdana"/>
              </w:rPr>
              <w:t>(4 642)</w:t>
            </w:r>
          </w:p>
        </w:tc>
      </w:tr>
      <w:tr w:rsidR="004D38C4">
        <w:trPr>
          <w:trHeight w:val="218"/>
        </w:trPr>
        <w:tc>
          <w:tcPr>
            <w:tcW w:w="4077" w:type="dxa"/>
            <w:tcBorders>
              <w:top w:val="single" w:sz="4" w:space="0" w:color="016794"/>
              <w:left w:val="nil"/>
              <w:bottom w:val="nil"/>
              <w:right w:val="nil"/>
            </w:tcBorders>
            <w:tcMar>
              <w:top w:w="0" w:type="dxa"/>
              <w:left w:w="108" w:type="dxa"/>
              <w:bottom w:w="0" w:type="dxa"/>
              <w:right w:w="108" w:type="dxa"/>
            </w:tcMar>
          </w:tcPr>
          <w:p w:rsidR="004D38C4" w:rsidRDefault="00BC2113">
            <w:pPr>
              <w:pStyle w:val="Text8pBoldLeft"/>
              <w:rPr>
                <w:rFonts w:eastAsia="Times New Roman" w:cs="Verdana"/>
              </w:rPr>
            </w:pPr>
            <w:r>
              <w:rPr>
                <w:rFonts w:eastAsia="Times New Roman" w:cs="Verdana"/>
              </w:rPr>
              <w:t>Total expenses</w:t>
            </w:r>
          </w:p>
        </w:tc>
        <w:tc>
          <w:tcPr>
            <w:tcW w:w="1620"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(43 213)</w:t>
            </w:r>
          </w:p>
        </w:tc>
        <w:tc>
          <w:tcPr>
            <w:tcW w:w="1685"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(56 669)</w:t>
            </w:r>
          </w:p>
        </w:tc>
        <w:tc>
          <w:tcPr>
            <w:tcW w:w="1292"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(3 528)</w:t>
            </w:r>
          </w:p>
        </w:tc>
        <w:tc>
          <w:tcPr>
            <w:tcW w:w="1357"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(9 277)</w:t>
            </w:r>
          </w:p>
        </w:tc>
        <w:tc>
          <w:tcPr>
            <w:tcW w:w="1843"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(8 986)</w:t>
            </w:r>
          </w:p>
        </w:tc>
        <w:tc>
          <w:tcPr>
            <w:tcW w:w="1275"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(2 082)</w:t>
            </w:r>
          </w:p>
        </w:tc>
        <w:tc>
          <w:tcPr>
            <w:tcW w:w="1438" w:type="dxa"/>
            <w:tcBorders>
              <w:top w:val="single" w:sz="4" w:space="0" w:color="016794"/>
              <w:left w:val="nil"/>
              <w:bottom w:val="nil"/>
              <w:right w:val="nil"/>
            </w:tcBorders>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(123 756)</w:t>
            </w:r>
          </w:p>
        </w:tc>
      </w:tr>
      <w:tr w:rsidR="004D38C4">
        <w:trPr>
          <w:trHeight w:val="234"/>
        </w:trPr>
        <w:tc>
          <w:tcPr>
            <w:tcW w:w="407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8pBoldLeft"/>
              <w:rPr>
                <w:rFonts w:eastAsia="Times New Roman" w:cs="Verdana"/>
              </w:rPr>
            </w:pPr>
            <w:r>
              <w:rPr>
                <w:rFonts w:eastAsia="Times New Roman" w:cs="Verdana"/>
              </w:rPr>
              <w:t>Economic result of the year</w:t>
            </w:r>
          </w:p>
        </w:tc>
        <w:tc>
          <w:tcPr>
            <w:tcW w:w="1620"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(41 341)</w:t>
            </w:r>
          </w:p>
        </w:tc>
        <w:tc>
          <w:tcPr>
            <w:tcW w:w="16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(54 953)</w:t>
            </w:r>
          </w:p>
        </w:tc>
        <w:tc>
          <w:tcPr>
            <w:tcW w:w="129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(3 486)</w:t>
            </w:r>
          </w:p>
        </w:tc>
        <w:tc>
          <w:tcPr>
            <w:tcW w:w="135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(8 807)</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(7 860)</w:t>
            </w:r>
          </w:p>
        </w:tc>
        <w:tc>
          <w:tcPr>
            <w:tcW w:w="127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124 348</w:t>
            </w:r>
          </w:p>
        </w:tc>
        <w:tc>
          <w:tcPr>
            <w:tcW w:w="1438"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Times New Roman" w:cs="Verdana"/>
              </w:rPr>
            </w:pPr>
            <w:r>
              <w:rPr>
                <w:rFonts w:eastAsia="Times New Roman" w:cs="Verdana"/>
              </w:rPr>
              <w:t>7 901</w:t>
            </w:r>
          </w:p>
        </w:tc>
      </w:tr>
    </w:tbl>
    <w:p w:rsidR="004D38C4" w:rsidRDefault="00BC2113">
      <w:pPr>
        <w:pStyle w:val="Textstand-alone"/>
        <w:spacing w:before="120"/>
        <w:jc w:val="left"/>
        <w:sectPr w:rsidR="004D38C4">
          <w:headerReference w:type="even" r:id="rId255"/>
          <w:headerReference w:type="default" r:id="rId256"/>
          <w:footerReference w:type="even" r:id="rId257"/>
          <w:footerReference w:type="default" r:id="rId258"/>
          <w:headerReference w:type="first" r:id="rId259"/>
          <w:footerReference w:type="first" r:id="rId260"/>
          <w:pgSz w:w="16838" w:h="11906" w:orient="landscape"/>
          <w:pgMar w:top="1134" w:right="1134" w:bottom="1134" w:left="1134" w:header="708" w:footer="708" w:gutter="0"/>
          <w:cols w:space="708"/>
          <w:docGrid w:linePitch="360"/>
        </w:sectPr>
      </w:pPr>
      <w:r>
        <w:rPr>
          <w:i/>
          <w:sz w:val="14"/>
        </w:rPr>
        <w:t xml:space="preserve">* "Not assigned to MFF headings" includes off-budget operations and unallocated programmes with immaterial amounts. </w:t>
      </w:r>
      <w:bookmarkEnd w:id="141"/>
    </w:p>
    <w:p w:rsidR="004D38C4" w:rsidRDefault="00BC2113">
      <w:pPr>
        <w:pStyle w:val="HEADER1NOTES"/>
        <w:rPr>
          <w:noProof/>
        </w:rPr>
      </w:pPr>
      <w:bookmarkStart w:id="143" w:name="_Toc517247543"/>
      <w:bookmarkStart w:id="144" w:name="_DMBM_10955"/>
      <w:r>
        <w:rPr>
          <w:noProof/>
        </w:rPr>
        <w:t>CONTINGENT LIABILITIES AND ASSETS</w:t>
      </w:r>
      <w:bookmarkEnd w:id="143"/>
    </w:p>
    <w:p w:rsidR="004D38C4" w:rsidRDefault="00BC2113">
      <w:pPr>
        <w:pStyle w:val="DGTextstand-alone"/>
        <w:spacing w:before="0" w:after="0"/>
        <w:sectPr w:rsidR="004D38C4">
          <w:headerReference w:type="even" r:id="rId261"/>
          <w:headerReference w:type="default" r:id="rId262"/>
          <w:footerReference w:type="even" r:id="rId263"/>
          <w:footerReference w:type="default" r:id="rId264"/>
          <w:headerReference w:type="first" r:id="rId265"/>
          <w:footerReference w:type="first" r:id="rId266"/>
          <w:pgSz w:w="11906" w:h="16838"/>
          <w:pgMar w:top="1134" w:right="1134" w:bottom="1134" w:left="1134" w:header="709" w:footer="709" w:gutter="0"/>
          <w:cols w:space="708"/>
          <w:docGrid w:linePitch="360"/>
        </w:sectPr>
      </w:pPr>
      <w:r>
        <w:t xml:space="preserve"> </w:t>
      </w:r>
      <w:bookmarkEnd w:id="144"/>
    </w:p>
    <w:p w:rsidR="004D38C4" w:rsidRDefault="00BC2113">
      <w:pPr>
        <w:pStyle w:val="HEADER2NOTES"/>
        <w:rPr>
          <w:noProof/>
        </w:rPr>
      </w:pPr>
      <w:bookmarkStart w:id="145" w:name="_DMBM_11004"/>
      <w:r>
        <w:rPr>
          <w:noProof/>
        </w:rPr>
        <w:t>CONTINGENT LIABILITIES</w:t>
      </w:r>
    </w:p>
    <w:p w:rsidR="004D38C4" w:rsidRDefault="00BC2113">
      <w:pPr>
        <w:pStyle w:val="HEADER3NOTES"/>
        <w:spacing w:after="240"/>
        <w:rPr>
          <w:noProof/>
        </w:rPr>
      </w:pPr>
      <w:r>
        <w:rPr>
          <w:noProof/>
        </w:rPr>
        <w:t>Budgetary guarantees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275"/>
        <w:gridCol w:w="1418"/>
        <w:gridCol w:w="1134"/>
        <w:gridCol w:w="1276"/>
        <w:gridCol w:w="1417"/>
      </w:tblGrid>
      <w:tr w:rsidR="004D38C4">
        <w:trPr>
          <w:cantSplit/>
        </w:trPr>
        <w:tc>
          <w:tcPr>
            <w:tcW w:w="19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46" w:name="DOC_TBL00068_1_1"/>
            <w:bookmarkEnd w:id="146"/>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millions</w:t>
            </w:r>
          </w:p>
        </w:tc>
      </w:tr>
      <w:tr w:rsidR="004D38C4">
        <w:trPr>
          <w:cantSplit/>
          <w:trHeight w:val="247"/>
        </w:trPr>
        <w:tc>
          <w:tcPr>
            <w:tcW w:w="195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418"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c>
          <w:tcPr>
            <w:tcW w:w="1275"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31.12.2017</w:t>
            </w:r>
          </w:p>
        </w:tc>
        <w:tc>
          <w:tcPr>
            <w:tcW w:w="1418"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31.12.2016</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r>
      <w:tr w:rsidR="004D38C4">
        <w:trPr>
          <w:cantSplit/>
          <w:trHeight w:val="247"/>
        </w:trPr>
        <w:tc>
          <w:tcPr>
            <w:tcW w:w="195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41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Ceiling</w:t>
            </w:r>
          </w:p>
        </w:tc>
        <w:tc>
          <w:tcPr>
            <w:tcW w:w="1275"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Signed</w:t>
            </w:r>
          </w:p>
        </w:tc>
        <w:tc>
          <w:tcPr>
            <w:tcW w:w="141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Disbursed</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Ceiling</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Signed</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Disbursed</w:t>
            </w:r>
          </w:p>
        </w:tc>
      </w:tr>
      <w:tr w:rsidR="004D38C4">
        <w:trPr>
          <w:cantSplit/>
          <w:trHeight w:val="247"/>
        </w:trPr>
        <w:tc>
          <w:tcPr>
            <w:tcW w:w="19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EIB external lending mandate guarantees</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37 479</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28 950</w:t>
            </w:r>
          </w:p>
        </w:tc>
        <w:tc>
          <w:tcPr>
            <w:tcW w:w="1418"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19 972</w:t>
            </w:r>
          </w:p>
        </w:tc>
        <w:tc>
          <w:tcPr>
            <w:tcW w:w="1134"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40 645</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30 161</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21 145</w:t>
            </w:r>
          </w:p>
        </w:tc>
      </w:tr>
      <w:tr w:rsidR="004D38C4">
        <w:trPr>
          <w:cantSplit/>
          <w:trHeight w:val="247"/>
        </w:trPr>
        <w:tc>
          <w:tcPr>
            <w:tcW w:w="19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EFSI guarantee</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16 000</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13 473</w:t>
            </w:r>
          </w:p>
        </w:tc>
        <w:tc>
          <w:tcPr>
            <w:tcW w:w="1418"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10 128</w:t>
            </w:r>
          </w:p>
        </w:tc>
        <w:tc>
          <w:tcPr>
            <w:tcW w:w="1134"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16 000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11 245</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4 392</w:t>
            </w:r>
          </w:p>
        </w:tc>
      </w:tr>
      <w:tr w:rsidR="004D38C4">
        <w:trPr>
          <w:cantSplit/>
          <w:trHeight w:val="247"/>
        </w:trPr>
        <w:tc>
          <w:tcPr>
            <w:tcW w:w="195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Total</w:t>
            </w:r>
          </w:p>
        </w:tc>
        <w:tc>
          <w:tcPr>
            <w:tcW w:w="1418"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53 479</w:t>
            </w:r>
          </w:p>
        </w:tc>
        <w:tc>
          <w:tcPr>
            <w:tcW w:w="127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42 423</w:t>
            </w:r>
          </w:p>
        </w:tc>
        <w:tc>
          <w:tcPr>
            <w:tcW w:w="1418" w:type="dxa"/>
            <w:tcBorders>
              <w:top w:val="nil"/>
              <w:left w:val="nil"/>
              <w:bottom w:val="nil"/>
              <w:right w:val="single" w:sz="4" w:space="0" w:color="016794"/>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30 100</w:t>
            </w:r>
          </w:p>
        </w:tc>
        <w:tc>
          <w:tcPr>
            <w:tcW w:w="1134" w:type="dxa"/>
            <w:tcBorders>
              <w:top w:val="nil"/>
              <w:left w:val="single" w:sz="4" w:space="0" w:color="016794"/>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56 645</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41 406</w:t>
            </w:r>
          </w:p>
        </w:tc>
        <w:tc>
          <w:tcPr>
            <w:tcW w:w="141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25 537</w:t>
            </w:r>
          </w:p>
        </w:tc>
      </w:tr>
    </w:tbl>
    <w:p w:rsidR="004D38C4" w:rsidRDefault="00BC2113">
      <w:pPr>
        <w:pStyle w:val="HEADER3NOTES"/>
        <w:spacing w:after="240"/>
        <w:rPr>
          <w:noProof/>
        </w:rPr>
      </w:pPr>
      <w:r>
        <w:rPr>
          <w:noProof/>
        </w:rPr>
        <w:t>Guarantees relating to financial assistance (borrowing and lending activities)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417"/>
        <w:gridCol w:w="1276"/>
        <w:gridCol w:w="1276"/>
        <w:gridCol w:w="1417"/>
      </w:tblGrid>
      <w:tr w:rsidR="004D38C4">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47" w:name="DOC_TBL00069_1_1"/>
            <w:bookmarkEnd w:id="147"/>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millions</w:t>
            </w:r>
          </w:p>
        </w:tc>
      </w:tr>
      <w:tr w:rsidR="004D38C4">
        <w:trPr>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3969" w:type="dxa"/>
            <w:gridSpan w:val="3"/>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31.12.2017</w:t>
            </w:r>
          </w:p>
        </w:tc>
        <w:tc>
          <w:tcPr>
            <w:tcW w:w="3969" w:type="dxa"/>
            <w:gridSpan w:val="3"/>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31.12.2016</w:t>
            </w:r>
          </w:p>
        </w:tc>
      </w:tr>
      <w:tr w:rsidR="004D38C4">
        <w:trPr>
          <w:trHeight w:val="247"/>
        </w:trPr>
        <w:tc>
          <w:tcPr>
            <w:tcW w:w="1809"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 xml:space="preserve">  Drawn</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 xml:space="preserve">  Undrawn</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 xml:space="preserve">  Drawn</w:t>
            </w:r>
          </w:p>
        </w:tc>
        <w:tc>
          <w:tcPr>
            <w:tcW w:w="127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 xml:space="preserve">  Undrawn</w:t>
            </w:r>
          </w:p>
        </w:tc>
        <w:tc>
          <w:tcPr>
            <w:tcW w:w="1417"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Total</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200"/>
              <w:rPr>
                <w:rFonts w:eastAsia="Verdana" w:cs="Verdana"/>
                <w:lang w:bidi="en-GB"/>
              </w:rPr>
            </w:pPr>
            <w:r>
              <w:rPr>
                <w:rFonts w:eastAsia="Verdana" w:cs="Verdana"/>
                <w:lang w:bidi="en-GB"/>
              </w:rPr>
              <w:t>EFSM</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47 456</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47 456</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47 456</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47 456</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200"/>
              <w:rPr>
                <w:rFonts w:eastAsia="Verdana" w:cs="Verdana"/>
                <w:lang w:bidi="en-GB"/>
              </w:rPr>
            </w:pPr>
            <w:r>
              <w:rPr>
                <w:rFonts w:eastAsia="Verdana" w:cs="Verdana"/>
                <w:lang w:bidi="en-GB"/>
              </w:rPr>
              <w:t>BOP</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3 114</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3 114</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4 272</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4 272</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200"/>
              <w:rPr>
                <w:rFonts w:eastAsia="Verdana" w:cs="Verdana"/>
                <w:lang w:bidi="en-GB"/>
              </w:rPr>
            </w:pPr>
            <w:r>
              <w:rPr>
                <w:rFonts w:eastAsia="Verdana" w:cs="Verdana"/>
                <w:lang w:bidi="en-GB"/>
              </w:rPr>
              <w:t>MFA</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3 924</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460</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4 384</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2 964</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1 313</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4 277</w:t>
            </w:r>
          </w:p>
        </w:tc>
      </w:tr>
      <w:tr w:rsidR="004D38C4">
        <w:trPr>
          <w:trHeight w:val="247"/>
        </w:trPr>
        <w:tc>
          <w:tcPr>
            <w:tcW w:w="18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ind w:left="200"/>
              <w:rPr>
                <w:rFonts w:eastAsia="Verdana" w:cs="Verdana"/>
                <w:lang w:bidi="en-GB"/>
              </w:rPr>
            </w:pPr>
            <w:r>
              <w:rPr>
                <w:rFonts w:eastAsia="Verdana" w:cs="Verdana"/>
                <w:lang w:bidi="en-GB"/>
              </w:rPr>
              <w:t>Euratom</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250</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250</w:t>
            </w:r>
          </w:p>
        </w:tc>
        <w:tc>
          <w:tcPr>
            <w:tcW w:w="1417" w:type="dxa"/>
            <w:tcBorders>
              <w:top w:val="nil"/>
              <w:left w:val="nil"/>
              <w:bottom w:val="nil"/>
              <w:right w:val="single" w:sz="4" w:space="0" w:color="016794"/>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500</w:t>
            </w:r>
          </w:p>
        </w:tc>
        <w:tc>
          <w:tcPr>
            <w:tcW w:w="1276" w:type="dxa"/>
            <w:tcBorders>
              <w:top w:val="nil"/>
              <w:left w:val="single" w:sz="4" w:space="0" w:color="016794"/>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252</w:t>
            </w: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300</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8pItalicRight025"/>
              <w:rPr>
                <w:rFonts w:eastAsia="Verdana" w:cs="Verdana"/>
                <w:lang w:bidi="en-GB"/>
              </w:rPr>
            </w:pPr>
            <w:r>
              <w:rPr>
                <w:rFonts w:eastAsia="Verdana" w:cs="Verdana"/>
                <w:lang w:bidi="en-GB"/>
              </w:rPr>
              <w:t xml:space="preserve"> 552</w:t>
            </w:r>
          </w:p>
        </w:tc>
      </w:tr>
      <w:tr w:rsidR="004D38C4">
        <w:trPr>
          <w:trHeight w:val="247"/>
        </w:trPr>
        <w:tc>
          <w:tcPr>
            <w:tcW w:w="1809"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54 744</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 xml:space="preserve"> 710</w:t>
            </w:r>
          </w:p>
        </w:tc>
        <w:tc>
          <w:tcPr>
            <w:tcW w:w="1417" w:type="dxa"/>
            <w:tcBorders>
              <w:top w:val="nil"/>
              <w:left w:val="nil"/>
              <w:bottom w:val="nil"/>
              <w:right w:val="single" w:sz="4" w:space="0" w:color="016794"/>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55 454</w:t>
            </w:r>
          </w:p>
        </w:tc>
        <w:tc>
          <w:tcPr>
            <w:tcW w:w="1276" w:type="dxa"/>
            <w:tcBorders>
              <w:top w:val="nil"/>
              <w:left w:val="single" w:sz="4" w:space="0" w:color="016794"/>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54 944</w:t>
            </w:r>
          </w:p>
        </w:tc>
        <w:tc>
          <w:tcPr>
            <w:tcW w:w="127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1 613</w:t>
            </w:r>
          </w:p>
        </w:tc>
        <w:tc>
          <w:tcPr>
            <w:tcW w:w="141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8pBoldRight025"/>
              <w:rPr>
                <w:rFonts w:eastAsia="Verdana" w:cs="Verdana"/>
                <w:lang w:bidi="en-GB"/>
              </w:rPr>
            </w:pPr>
            <w:r>
              <w:rPr>
                <w:rFonts w:eastAsia="Verdana" w:cs="Verdana"/>
                <w:lang w:bidi="en-GB"/>
              </w:rPr>
              <w:t>56 557</w:t>
            </w:r>
          </w:p>
        </w:tc>
      </w:tr>
    </w:tbl>
    <w:p w:rsidR="004D38C4" w:rsidRDefault="00BC2113">
      <w:pPr>
        <w:pStyle w:val="HEADER3NOTES"/>
        <w:spacing w:after="240"/>
        <w:rPr>
          <w:noProof/>
        </w:rPr>
      </w:pPr>
      <w:r>
        <w:rPr>
          <w:noProof/>
        </w:rPr>
        <w:t>Guarantees given for EU financial instruments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148" w:name="DOC_TBL00070_1_1"/>
            <w:bookmarkEnd w:id="148"/>
          </w:p>
        </w:tc>
        <w:tc>
          <w:tcPr>
            <w:tcW w:w="2126" w:type="dxa"/>
            <w:tcBorders>
              <w:top w:val="nil"/>
              <w:left w:val="nil"/>
              <w:bottom w:val="nil"/>
              <w:right w:val="nil"/>
            </w:tcBorders>
            <w:tcMar>
              <w:top w:w="0" w:type="dxa"/>
              <w:left w:w="108" w:type="dxa"/>
              <w:bottom w:w="0" w:type="dxa"/>
              <w:right w:w="108" w:type="dxa"/>
            </w:tcMar>
          </w:tcPr>
          <w:p w:rsidR="004D38C4" w:rsidRDefault="004D38C4">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31.12.2016</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Horizon 2020</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1 297</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921</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Risk Sharing Finance Facility</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654</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711</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Connecting Europe Facility</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490</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465</w:t>
            </w:r>
          </w:p>
        </w:tc>
      </w:tr>
      <w:tr w:rsidR="004D38C4">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Other</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32</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3</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2 473</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2 101</w:t>
            </w:r>
          </w:p>
        </w:tc>
      </w:tr>
    </w:tbl>
    <w:p w:rsidR="004D38C4" w:rsidRDefault="00BC2113">
      <w:pPr>
        <w:pStyle w:val="HEADER3NOTES"/>
        <w:spacing w:after="240"/>
        <w:rPr>
          <w:noProof/>
        </w:rPr>
      </w:pPr>
      <w:r>
        <w:rPr>
          <w:noProof/>
        </w:rPr>
        <w:t>Legal cases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49" w:name="DOC_TBL00071_1_1"/>
            <w:bookmarkEnd w:id="149"/>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Right025"/>
              <w:rPr>
                <w:rFonts w:eastAsia="Verdana" w:cs="Verdana"/>
                <w:lang w:bidi="en-GB"/>
              </w:rPr>
            </w:pP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Fines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3 242</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1 834</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Agriculture</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1 737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1 </w:t>
            </w:r>
            <w:r>
              <w:rPr>
                <w:rFonts w:eastAsia="Verdana" w:cs="Verdana"/>
                <w:lang w:bidi="en-GB"/>
              </w:rPr>
              <w:t>711</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Cohesion</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438</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506</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5 420</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4 054</w:t>
            </w:r>
          </w:p>
        </w:tc>
      </w:tr>
    </w:tbl>
    <w:p w:rsidR="004D38C4" w:rsidRDefault="00BC2113">
      <w:pPr>
        <w:pStyle w:val="Textstand-alone"/>
        <w:spacing w:before="0"/>
        <w:rPr>
          <w:lang w:bidi="en-GB"/>
        </w:rPr>
        <w:sectPr w:rsidR="004D38C4">
          <w:headerReference w:type="even" r:id="rId267"/>
          <w:headerReference w:type="default" r:id="rId268"/>
          <w:footerReference w:type="even" r:id="rId269"/>
          <w:footerReference w:type="default" r:id="rId270"/>
          <w:headerReference w:type="first" r:id="rId271"/>
          <w:footerReference w:type="first" r:id="rId272"/>
          <w:type w:val="continuous"/>
          <w:pgSz w:w="11906" w:h="16838"/>
          <w:pgMar w:top="1134" w:right="1134" w:bottom="1134" w:left="1134" w:header="709" w:footer="709" w:gutter="0"/>
          <w:cols w:space="708"/>
          <w:docGrid w:linePitch="360"/>
        </w:sectPr>
      </w:pPr>
      <w:r>
        <w:rPr>
          <w:lang w:bidi="en-GB"/>
        </w:rPr>
        <w:t xml:space="preserve"> </w:t>
      </w:r>
      <w:bookmarkEnd w:id="145"/>
    </w:p>
    <w:p w:rsidR="004D38C4" w:rsidRDefault="00BC2113">
      <w:pPr>
        <w:pStyle w:val="HEADER2NOTES"/>
        <w:spacing w:after="0"/>
        <w:rPr>
          <w:noProof/>
        </w:rPr>
      </w:pPr>
      <w:bookmarkStart w:id="150" w:name="_DMBM_11015"/>
      <w:r>
        <w:rPr>
          <w:noProof/>
        </w:rPr>
        <w:t>CONTINGENT ASSETS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val="fr-BE" w:bidi="en-GB"/>
              </w:rPr>
            </w:pPr>
            <w:bookmarkStart w:id="151" w:name="DOC_TBL00072_1_1"/>
            <w:bookmarkEnd w:id="151"/>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val="fr-BE" w:bidi="en-GB"/>
              </w:rPr>
            </w:pPr>
            <w:r>
              <w:rPr>
                <w:rFonts w:eastAsia="Verdana" w:cs="Verdana"/>
                <w:lang w:val="fr-BE"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val="fr-BE"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val="fr-BE" w:bidi="en-GB"/>
              </w:rPr>
            </w:pPr>
            <w:r>
              <w:rPr>
                <w:rFonts w:eastAsia="Verdana" w:cs="Verdana"/>
                <w:lang w:val="fr-BE"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Guarantees received: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val="fr-BE"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val="fr-BE" w:bidi="en-GB"/>
              </w:rPr>
            </w:pP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 xml:space="preserve">   Performance guarantees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89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121</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 xml:space="preserve">   Other guarantees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5</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val="fr-BE" w:bidi="en-GB"/>
              </w:rPr>
            </w:pPr>
            <w:r>
              <w:rPr>
                <w:rFonts w:eastAsia="Verdana" w:cs="Verdana"/>
                <w:lang w:val="fr-BE" w:bidi="en-GB"/>
              </w:rPr>
              <w:t>Other contingent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 xml:space="preserve"> 32</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val="fr-BE" w:bidi="en-GB"/>
              </w:rPr>
            </w:pPr>
            <w:r>
              <w:rPr>
                <w:rFonts w:eastAsia="Verdana" w:cs="Verdana"/>
                <w:lang w:val="fr-BE" w:bidi="en-GB"/>
              </w:rPr>
              <w:t>33</w:t>
            </w:r>
          </w:p>
        </w:tc>
      </w:tr>
      <w:tr w:rsidR="004D38C4">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val="fr-BE" w:bidi="en-GB"/>
              </w:rPr>
            </w:pPr>
            <w:r>
              <w:rPr>
                <w:rFonts w:eastAsia="Verdana" w:cs="Verdana"/>
                <w:lang w:val="fr-BE" w:bidi="en-GB"/>
              </w:rPr>
              <w:t>Total</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125</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val="fr-BE" w:bidi="en-GB"/>
              </w:rPr>
            </w:pPr>
            <w:r>
              <w:rPr>
                <w:rFonts w:eastAsia="Verdana" w:cs="Verdana"/>
                <w:lang w:val="fr-BE" w:bidi="en-GB"/>
              </w:rPr>
              <w:t>160</w:t>
            </w:r>
          </w:p>
        </w:tc>
      </w:tr>
      <w:bookmarkEnd w:id="150"/>
    </w:tbl>
    <w:p w:rsidR="004D38C4" w:rsidRDefault="004D38C4">
      <w:pPr>
        <w:pStyle w:val="Textstand-alone"/>
        <w:rPr>
          <w:lang w:val="fr-BE" w:bidi="en-GB"/>
        </w:rPr>
        <w:sectPr w:rsidR="004D38C4">
          <w:headerReference w:type="even" r:id="rId273"/>
          <w:headerReference w:type="default" r:id="rId274"/>
          <w:footerReference w:type="even" r:id="rId275"/>
          <w:footerReference w:type="default" r:id="rId276"/>
          <w:headerReference w:type="first" r:id="rId277"/>
          <w:footerReference w:type="first" r:id="rId278"/>
          <w:type w:val="continuous"/>
          <w:pgSz w:w="11906" w:h="16838"/>
          <w:pgMar w:top="1134" w:right="1134" w:bottom="1134" w:left="1134" w:header="709" w:footer="709" w:gutter="0"/>
          <w:cols w:space="708"/>
          <w:docGrid w:linePitch="360"/>
        </w:sectPr>
      </w:pPr>
    </w:p>
    <w:p w:rsidR="004D38C4" w:rsidRDefault="00BC2113">
      <w:pPr>
        <w:pStyle w:val="HEADER1NOTES"/>
        <w:rPr>
          <w:noProof/>
          <w:lang w:val="fr-BE"/>
        </w:rPr>
      </w:pPr>
      <w:bookmarkStart w:id="152" w:name="_Toc517247544"/>
      <w:bookmarkStart w:id="153" w:name="_DMBM_10983"/>
      <w:r>
        <w:rPr>
          <w:noProof/>
          <w:lang w:val="fr-BE"/>
        </w:rPr>
        <w:t>BUDGETARY AND LEGAL COMMITMENTS</w:t>
      </w:r>
      <w:bookmarkEnd w:id="152"/>
    </w:p>
    <w:p w:rsidR="004D38C4" w:rsidRDefault="00BC2113">
      <w:pPr>
        <w:rPr>
          <w:noProof/>
          <w:lang w:val="fr-BE"/>
        </w:rPr>
      </w:pPr>
      <w:r>
        <w:rPr>
          <w:noProof/>
          <w:lang w:val="fr-B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54" w:name="DOC_TBL00073_1_1"/>
            <w:bookmarkEnd w:id="154"/>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 xml:space="preserve">EUR </w:t>
            </w:r>
            <w:r>
              <w:rPr>
                <w:rFonts w:eastAsia="Verdana" w:cs="Verdana"/>
                <w:lang w:bidi="en-GB"/>
              </w:rPr>
              <w:t>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Outstanding budgetary commitments not yet expensed</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5.1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220 479</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188 828</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Shared management legal commitments under the current MFF pending implementation</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5.2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211 688</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276 351</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Significant legal commitments in other </w:t>
            </w:r>
            <w:r>
              <w:rPr>
                <w:rFonts w:eastAsia="Verdana" w:cs="Verdana"/>
                <w:lang w:bidi="en-GB"/>
              </w:rPr>
              <w:t>areas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5.3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16 267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18 338</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448 434</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483 517</w:t>
            </w:r>
          </w:p>
        </w:tc>
      </w:tr>
    </w:tbl>
    <w:p w:rsidR="004D38C4" w:rsidRDefault="00BC2113">
      <w:pPr>
        <w:rPr>
          <w:noProof/>
          <w:lang w:bidi="en-GB"/>
        </w:rPr>
      </w:pPr>
      <w:r>
        <w:rPr>
          <w:noProof/>
          <w:lang w:bidi="en-GB"/>
        </w:rPr>
        <w:t xml:space="preserve"> </w:t>
      </w:r>
    </w:p>
    <w:p w:rsidR="004D38C4" w:rsidRDefault="00BC2113">
      <w:pPr>
        <w:pStyle w:val="HEADER2NOTES"/>
        <w:rPr>
          <w:noProof/>
        </w:rPr>
      </w:pPr>
      <w:r>
        <w:rPr>
          <w:noProof/>
        </w:rPr>
        <w:t>OUTSTANDING BUDGETARY COMMITMENTS NOT YET EXPENSED</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55" w:name="DOC_TBL00074_1_1"/>
            <w:bookmarkEnd w:id="155"/>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Outstanding budgetary commitments not yet expensed</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220 479</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188 828</w:t>
            </w:r>
          </w:p>
        </w:tc>
      </w:tr>
    </w:tbl>
    <w:p w:rsidR="004D38C4" w:rsidRDefault="00BC2113">
      <w:pPr>
        <w:rPr>
          <w:noProof/>
          <w:lang w:bidi="en-GB"/>
        </w:rPr>
      </w:pPr>
      <w:r>
        <w:rPr>
          <w:noProof/>
          <w:lang w:bidi="en-GB"/>
        </w:rPr>
        <w:t xml:space="preserve"> </w:t>
      </w:r>
    </w:p>
    <w:p w:rsidR="004D38C4" w:rsidRDefault="00BC2113">
      <w:pPr>
        <w:pStyle w:val="HEADER2NOTES"/>
        <w:rPr>
          <w:noProof/>
        </w:rPr>
      </w:pPr>
      <w:r>
        <w:rPr>
          <w:noProof/>
        </w:rPr>
        <w:t xml:space="preserve">SHARED MANAGEMENT LEGAL COMMITMENTS UNDER THE CURRENT MFF PENDING IMPLEMENTATION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1276"/>
        <w:gridCol w:w="1276"/>
        <w:gridCol w:w="1134"/>
        <w:gridCol w:w="1276"/>
        <w:gridCol w:w="1275"/>
      </w:tblGrid>
      <w:tr w:rsidR="004D38C4">
        <w:tc>
          <w:tcPr>
            <w:tcW w:w="23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56" w:name="DOC_TBL00075_1_1"/>
            <w:bookmarkEnd w:id="156"/>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millions</w:t>
            </w:r>
          </w:p>
        </w:tc>
      </w:tr>
      <w:tr w:rsidR="004D38C4">
        <w:trPr>
          <w:trHeight w:val="247"/>
        </w:trPr>
        <w:tc>
          <w:tcPr>
            <w:tcW w:w="23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Left"/>
              <w:rPr>
                <w:rFonts w:eastAsia="Verdana" w:cs="Verdana"/>
                <w:noProof/>
                <w:lang w:bidi="en-GB"/>
              </w:rPr>
            </w:pPr>
            <w:r>
              <w:rPr>
                <w:rFonts w:eastAsia="Verdana" w:cs="Verdana"/>
                <w:noProof/>
                <w:lang w:bidi="en-GB"/>
              </w:rPr>
              <w:t>Funds</w:t>
            </w:r>
          </w:p>
        </w:tc>
        <w:tc>
          <w:tcPr>
            <w:tcW w:w="1134"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Financial framework 2014-2020 (A)</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Legal commitments concluded (B)</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Budget commitments    (C )</w:t>
            </w:r>
          </w:p>
        </w:tc>
        <w:tc>
          <w:tcPr>
            <w:tcW w:w="1134"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Decommit-   ments (D)</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Budget available under MFF (=A-C)</w:t>
            </w:r>
          </w:p>
        </w:tc>
        <w:tc>
          <w:tcPr>
            <w:tcW w:w="127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Legal commitments less budget commitments (=B-C+D)</w:t>
            </w:r>
          </w:p>
        </w:tc>
      </w:tr>
      <w:tr w:rsidR="004D38C4">
        <w:trPr>
          <w:trHeight w:val="247"/>
        </w:trPr>
        <w:tc>
          <w:tcPr>
            <w:tcW w:w="23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ItalicLeft"/>
              <w:rPr>
                <w:rFonts w:eastAsia="Verdana" w:cs="Verdana"/>
                <w:lang w:bidi="en-GB"/>
              </w:rPr>
            </w:pPr>
            <w:r>
              <w:rPr>
                <w:rFonts w:eastAsia="Verdana" w:cs="Verdana"/>
                <w:lang w:bidi="en-GB"/>
              </w:rPr>
              <w:t>European Regional Development Fund and Cohesion Fund</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262 058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262 058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140 302</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121 756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121 756</w:t>
            </w:r>
          </w:p>
        </w:tc>
      </w:tr>
      <w:tr w:rsidR="004D38C4">
        <w:trPr>
          <w:trHeight w:val="247"/>
        </w:trPr>
        <w:tc>
          <w:tcPr>
            <w:tcW w:w="23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ItalicLeft"/>
              <w:rPr>
                <w:rFonts w:eastAsia="Verdana" w:cs="Verdana"/>
                <w:lang w:bidi="en-GB"/>
              </w:rPr>
            </w:pPr>
            <w:r>
              <w:rPr>
                <w:rFonts w:eastAsia="Verdana" w:cs="Verdana"/>
                <w:lang w:bidi="en-GB"/>
              </w:rPr>
              <w:t>European Social Fund</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91 991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91 991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51 813</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40 178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40 178</w:t>
            </w:r>
          </w:p>
        </w:tc>
      </w:tr>
      <w:tr w:rsidR="004D38C4">
        <w:trPr>
          <w:trHeight w:val="247"/>
        </w:trPr>
        <w:tc>
          <w:tcPr>
            <w:tcW w:w="23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Text7pItalicLeft"/>
              <w:rPr>
                <w:rFonts w:eastAsia="Verdana" w:cs="Verdana"/>
                <w:lang w:bidi="en-GB"/>
              </w:rPr>
            </w:pPr>
            <w:r>
              <w:rPr>
                <w:rFonts w:eastAsia="Verdana" w:cs="Verdana"/>
                <w:lang w:bidi="en-GB"/>
              </w:rPr>
              <w:t>Fund for European Aid to the most Deprived</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3 814</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3 814</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2 114</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1 699</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1 699</w:t>
            </w:r>
          </w:p>
        </w:tc>
      </w:tr>
      <w:tr w:rsidR="004D38C4">
        <w:trPr>
          <w:trHeight w:val="247"/>
        </w:trPr>
        <w:tc>
          <w:tcPr>
            <w:tcW w:w="23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Text7pBoldLeft"/>
              <w:rPr>
                <w:rFonts w:eastAsia="Verdana" w:cs="Verdana"/>
                <w:lang w:bidi="en-GB"/>
              </w:rPr>
            </w:pPr>
            <w:r>
              <w:rPr>
                <w:rFonts w:eastAsia="Verdana" w:cs="Verdana"/>
                <w:lang w:bidi="en-GB"/>
              </w:rPr>
              <w:t>HEADING 1B: COHESION POLICY FUNDS</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357 862</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357 862</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194 229</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163 633</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163 633</w:t>
            </w:r>
          </w:p>
        </w:tc>
      </w:tr>
      <w:tr w:rsidR="004D38C4">
        <w:trPr>
          <w:trHeight w:val="247"/>
        </w:trPr>
        <w:tc>
          <w:tcPr>
            <w:tcW w:w="23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Text7pItalicLeft"/>
              <w:rPr>
                <w:rFonts w:eastAsia="Verdana" w:cs="Verdana"/>
                <w:lang w:bidi="en-GB"/>
              </w:rPr>
            </w:pPr>
            <w:r>
              <w:rPr>
                <w:rFonts w:eastAsia="Verdana" w:cs="Verdana"/>
                <w:lang w:bidi="en-GB"/>
              </w:rPr>
              <w:t xml:space="preserve">European Agricultural Fund for Rural Development </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99 343</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99 343</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56 401</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42 942</w:t>
            </w: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42 942</w:t>
            </w:r>
          </w:p>
        </w:tc>
      </w:tr>
      <w:tr w:rsidR="004D38C4">
        <w:trPr>
          <w:trHeight w:val="247"/>
        </w:trPr>
        <w:tc>
          <w:tcPr>
            <w:tcW w:w="23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Text7pItalicLeft"/>
              <w:rPr>
                <w:rFonts w:eastAsia="Verdana" w:cs="Verdana"/>
                <w:lang w:bidi="en-GB"/>
              </w:rPr>
            </w:pPr>
            <w:r>
              <w:rPr>
                <w:rFonts w:eastAsia="Verdana" w:cs="Verdana"/>
                <w:lang w:bidi="en-GB"/>
              </w:rPr>
              <w:t>European Maritime and Fisheries Fund</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5 749</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5 749</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3 210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2 539</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2 539</w:t>
            </w:r>
          </w:p>
        </w:tc>
      </w:tr>
      <w:tr w:rsidR="004D38C4">
        <w:trPr>
          <w:trHeight w:val="247"/>
        </w:trPr>
        <w:tc>
          <w:tcPr>
            <w:tcW w:w="23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Text7pBoldLeft"/>
              <w:rPr>
                <w:rFonts w:eastAsia="Verdana" w:cs="Verdana"/>
                <w:lang w:bidi="en-GB"/>
              </w:rPr>
            </w:pPr>
            <w:r>
              <w:rPr>
                <w:rFonts w:eastAsia="Verdana" w:cs="Verdana"/>
                <w:lang w:bidi="en-GB"/>
              </w:rPr>
              <w:t>HEADING 2: NATURAL RESOURCES</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105 093</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105 093</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59 611</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45 482</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45 482</w:t>
            </w:r>
          </w:p>
        </w:tc>
      </w:tr>
      <w:tr w:rsidR="004D38C4">
        <w:trPr>
          <w:trHeight w:val="247"/>
        </w:trPr>
        <w:tc>
          <w:tcPr>
            <w:tcW w:w="23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Text7pItalicLeft"/>
              <w:rPr>
                <w:rFonts w:eastAsia="Verdana" w:cs="Verdana"/>
                <w:lang w:bidi="en-GB"/>
              </w:rPr>
            </w:pPr>
            <w:r>
              <w:rPr>
                <w:rFonts w:eastAsia="Verdana" w:cs="Verdana"/>
                <w:lang w:bidi="en-GB"/>
              </w:rPr>
              <w:t>Asylum and Migration Fund</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5 391</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4 233</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2 794</w:t>
            </w: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w:t>
            </w: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2 597</w:t>
            </w: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1 439</w:t>
            </w:r>
          </w:p>
        </w:tc>
      </w:tr>
      <w:tr w:rsidR="004D38C4">
        <w:trPr>
          <w:trHeight w:val="247"/>
        </w:trPr>
        <w:tc>
          <w:tcPr>
            <w:tcW w:w="23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Text7pItalicLeft"/>
              <w:rPr>
                <w:rFonts w:eastAsia="Verdana" w:cs="Verdana"/>
                <w:lang w:bidi="en-GB"/>
              </w:rPr>
            </w:pPr>
            <w:r>
              <w:rPr>
                <w:rFonts w:eastAsia="Verdana" w:cs="Verdana"/>
                <w:lang w:bidi="en-GB"/>
              </w:rPr>
              <w:t>Internal Security Fund</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2 812</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2 635</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1 500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w:t>
            </w:r>
          </w:p>
        </w:tc>
        <w:tc>
          <w:tcPr>
            <w:tcW w:w="1276"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1 311</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ItalicRight025"/>
              <w:rPr>
                <w:rFonts w:eastAsia="Verdana" w:cs="Verdana"/>
                <w:i w:val="0"/>
                <w:lang w:bidi="en-GB"/>
              </w:rPr>
            </w:pPr>
            <w:r>
              <w:rPr>
                <w:rFonts w:eastAsia="Verdana" w:cs="Verdana"/>
                <w:i w:val="0"/>
                <w:lang w:bidi="en-GB"/>
              </w:rPr>
              <w:t>1 134</w:t>
            </w:r>
          </w:p>
        </w:tc>
      </w:tr>
      <w:tr w:rsidR="004D38C4">
        <w:trPr>
          <w:trHeight w:val="247"/>
        </w:trPr>
        <w:tc>
          <w:tcPr>
            <w:tcW w:w="23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Text7pBoldLeft"/>
              <w:rPr>
                <w:rFonts w:eastAsia="Verdana" w:cs="Verdana"/>
                <w:lang w:bidi="en-GB"/>
              </w:rPr>
            </w:pPr>
            <w:r>
              <w:rPr>
                <w:rFonts w:eastAsia="Verdana" w:cs="Verdana"/>
                <w:lang w:bidi="en-GB"/>
              </w:rPr>
              <w:t>HEADING 3: SECURITY &amp; CITIZENSHIP</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8 202</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6 868</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4 294</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w:t>
            </w:r>
          </w:p>
        </w:tc>
        <w:tc>
          <w:tcPr>
            <w:tcW w:w="127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3 908</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2 573</w:t>
            </w:r>
          </w:p>
        </w:tc>
      </w:tr>
      <w:tr w:rsidR="004D38C4">
        <w:trPr>
          <w:trHeight w:val="247"/>
        </w:trPr>
        <w:tc>
          <w:tcPr>
            <w:tcW w:w="23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4D38C4">
            <w:pPr>
              <w:pStyle w:val="Text9pItalicLeft"/>
              <w:rPr>
                <w:rFonts w:eastAsia="Verdana" w:cs="Verdana"/>
                <w:lang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4D38C4">
            <w:pPr>
              <w:pStyle w:val="Figures9pItalicRight025"/>
              <w:rPr>
                <w:rFonts w:eastAsia="Verdana" w:cs="Verdana"/>
                <w:i w:val="0"/>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4D38C4">
            <w:pPr>
              <w:pStyle w:val="Figures9pItalicRight025"/>
              <w:rPr>
                <w:rFonts w:eastAsia="Verdana" w:cs="Verdana"/>
                <w:i w:val="0"/>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4D38C4">
            <w:pPr>
              <w:pStyle w:val="Figures9pItalicRight025"/>
              <w:rPr>
                <w:rFonts w:eastAsia="Verdana" w:cs="Verdana"/>
                <w:i w:val="0"/>
                <w:lang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4D38C4">
            <w:pPr>
              <w:pStyle w:val="Figures9pItalicRight025"/>
              <w:rPr>
                <w:rFonts w:eastAsia="Verdana" w:cs="Verdana"/>
                <w:i w:val="0"/>
                <w:lang w:bidi="en-GB"/>
              </w:rPr>
            </w:pPr>
          </w:p>
        </w:tc>
        <w:tc>
          <w:tcPr>
            <w:tcW w:w="1276"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4D38C4">
            <w:pPr>
              <w:pStyle w:val="Figures9pItalicRight025"/>
              <w:rPr>
                <w:rFonts w:eastAsia="Verdana" w:cs="Verdana"/>
                <w:i w:val="0"/>
                <w:lang w:bidi="en-GB"/>
              </w:rPr>
            </w:pP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vAlign w:val="center"/>
          </w:tcPr>
          <w:p w:rsidR="004D38C4" w:rsidRDefault="004D38C4">
            <w:pPr>
              <w:pStyle w:val="Figures9pItalicRight025"/>
              <w:rPr>
                <w:rFonts w:eastAsia="Verdana" w:cs="Verdana"/>
                <w:i w:val="0"/>
                <w:lang w:bidi="en-GB"/>
              </w:rPr>
            </w:pPr>
          </w:p>
        </w:tc>
      </w:tr>
      <w:tr w:rsidR="004D38C4">
        <w:trPr>
          <w:trHeight w:val="247"/>
        </w:trPr>
        <w:tc>
          <w:tcPr>
            <w:tcW w:w="23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7pBoldLeft"/>
              <w:rPr>
                <w:rFonts w:eastAsia="Verdana" w:cs="Verdana"/>
                <w:lang w:bidi="en-GB"/>
              </w:rPr>
            </w:pPr>
            <w:r>
              <w:rPr>
                <w:rFonts w:eastAsia="Verdana" w:cs="Verdana"/>
                <w:lang w:bidi="en-GB"/>
              </w:rPr>
              <w:t>Total</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471 157</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469 822</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258 134</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213 023</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25"/>
              <w:rPr>
                <w:rFonts w:eastAsia="Verdana" w:cs="Verdana"/>
                <w:lang w:bidi="en-GB"/>
              </w:rPr>
            </w:pPr>
            <w:r>
              <w:rPr>
                <w:rFonts w:eastAsia="Verdana" w:cs="Verdana"/>
                <w:lang w:bidi="en-GB"/>
              </w:rPr>
              <w:t>211 688</w:t>
            </w:r>
          </w:p>
        </w:tc>
      </w:tr>
    </w:tbl>
    <w:p w:rsidR="004D38C4" w:rsidRDefault="004D38C4">
      <w:pPr>
        <w:pStyle w:val="DGTextstand-alone"/>
        <w:rPr>
          <w:lang w:bidi="en-GB"/>
        </w:rPr>
        <w:sectPr w:rsidR="004D38C4">
          <w:headerReference w:type="even" r:id="rId279"/>
          <w:headerReference w:type="default" r:id="rId280"/>
          <w:footerReference w:type="even" r:id="rId281"/>
          <w:footerReference w:type="default" r:id="rId282"/>
          <w:headerReference w:type="first" r:id="rId283"/>
          <w:footerReference w:type="first" r:id="rId284"/>
          <w:pgSz w:w="11906" w:h="16838"/>
          <w:pgMar w:top="1134" w:right="1134" w:bottom="1134" w:left="1134" w:header="709" w:footer="709" w:gutter="0"/>
          <w:cols w:space="708"/>
          <w:docGrid w:linePitch="360"/>
        </w:sectPr>
      </w:pPr>
    </w:p>
    <w:p w:rsidR="004D38C4" w:rsidRDefault="00BC2113">
      <w:pPr>
        <w:pStyle w:val="HEADER2NOTES"/>
        <w:rPr>
          <w:noProof/>
        </w:rPr>
      </w:pPr>
      <w:r>
        <w:rPr>
          <w:noProof/>
        </w:rPr>
        <w:t>SIGNIFICANT LEGAL COMMITMENTS IN OTHER AREAS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1842"/>
        <w:gridCol w:w="1843"/>
      </w:tblGrid>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57" w:name="DOC_TBL00076_1_1"/>
            <w:bookmarkEnd w:id="157"/>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trHeight w:val="268"/>
        </w:trPr>
        <w:tc>
          <w:tcPr>
            <w:tcW w:w="5211"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10pNormalRight025"/>
              <w:rPr>
                <w:rFonts w:eastAsia="Verdana" w:cs="Verdana"/>
                <w:lang w:bidi="en-GB"/>
              </w:rPr>
            </w:pPr>
            <w:r>
              <w:rPr>
                <w:rFonts w:eastAsia="Verdana" w:cs="Verdana"/>
                <w:lang w:bidi="en-GB"/>
              </w:rPr>
              <w:t>Note</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31.12.2017</w:t>
            </w:r>
          </w:p>
        </w:tc>
        <w:tc>
          <w:tcPr>
            <w:tcW w:w="1843"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31.12.2016</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Connecting Europe Facility</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12 676</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13 799</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Copernicus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1 841</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2 393</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Galileo </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253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523</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Fisheries agreements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133</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247</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Operating lease commitments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Centered"/>
              <w:rPr>
                <w:rFonts w:eastAsia="Verdana" w:cs="Verdana"/>
                <w:lang w:bidi="en-GB"/>
              </w:rPr>
            </w:pPr>
            <w:r>
              <w:rPr>
                <w:rFonts w:eastAsia="Verdana" w:cs="Verdana"/>
                <w:lang w:bidi="en-GB"/>
              </w:rPr>
              <w:t>5.3.1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868</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891</w:t>
            </w:r>
          </w:p>
        </w:tc>
      </w:tr>
      <w:tr w:rsidR="004D38C4">
        <w:trPr>
          <w:trHeight w:val="268"/>
        </w:trPr>
        <w:tc>
          <w:tcPr>
            <w:tcW w:w="521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contractual commitments</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Centered"/>
              <w:rPr>
                <w:rFonts w:eastAsia="Verdana" w:cs="Verdana"/>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497</w:t>
            </w:r>
          </w:p>
        </w:tc>
        <w:tc>
          <w:tcPr>
            <w:tcW w:w="18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485</w:t>
            </w:r>
          </w:p>
        </w:tc>
      </w:tr>
      <w:tr w:rsidR="004D38C4">
        <w:trPr>
          <w:trHeight w:val="268"/>
        </w:trPr>
        <w:tc>
          <w:tcPr>
            <w:tcW w:w="521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851" w:type="dxa"/>
            <w:tcBorders>
              <w:top w:val="nil"/>
              <w:left w:val="nil"/>
              <w:bottom w:val="nil"/>
              <w:right w:val="nil"/>
            </w:tcBorders>
            <w:shd w:val="clear" w:color="auto" w:fill="CCE1EA"/>
            <w:tcMar>
              <w:top w:w="0" w:type="dxa"/>
              <w:left w:w="108" w:type="dxa"/>
              <w:bottom w:w="0" w:type="dxa"/>
              <w:right w:w="108" w:type="dxa"/>
            </w:tcMar>
          </w:tcPr>
          <w:p w:rsidR="004D38C4" w:rsidRDefault="004D38C4">
            <w:pPr>
              <w:pStyle w:val="Text9pItalicCentered"/>
              <w:rPr>
                <w:rFonts w:eastAsia="Verdana" w:cs="Verdana"/>
                <w:i w:val="0"/>
                <w:lang w:bidi="en-GB"/>
              </w:rPr>
            </w:pPr>
          </w:p>
        </w:tc>
        <w:tc>
          <w:tcPr>
            <w:tcW w:w="184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16 267</w:t>
            </w:r>
          </w:p>
        </w:tc>
        <w:tc>
          <w:tcPr>
            <w:tcW w:w="1843"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18 338</w:t>
            </w:r>
          </w:p>
        </w:tc>
      </w:tr>
    </w:tbl>
    <w:p w:rsidR="004D38C4" w:rsidRDefault="00BC2113">
      <w:pPr>
        <w:rPr>
          <w:noProof/>
          <w:sz w:val="16"/>
        </w:rPr>
      </w:pPr>
      <w:r>
        <w:rPr>
          <w:noProof/>
          <w:lang w:bidi="en-GB"/>
        </w:rPr>
        <w:t xml:space="preserve"> </w:t>
      </w:r>
    </w:p>
    <w:p w:rsidR="004D38C4" w:rsidRDefault="00BC2113">
      <w:pPr>
        <w:pStyle w:val="HEADER3NOTES"/>
        <w:rPr>
          <w:noProof/>
        </w:rPr>
      </w:pPr>
      <w:r>
        <w:rPr>
          <w:noProof/>
        </w:rPr>
        <w:t xml:space="preserve">Operating lease </w:t>
      </w:r>
      <w:r>
        <w:rPr>
          <w:noProof/>
        </w:rPr>
        <w:t>commitments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59"/>
        <w:gridCol w:w="1559"/>
        <w:gridCol w:w="1560"/>
        <w:gridCol w:w="1559"/>
      </w:tblGrid>
      <w:tr w:rsidR="004D38C4">
        <w:tc>
          <w:tcPr>
            <w:tcW w:w="351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58" w:name="DOC_TBL00077_1_1"/>
            <w:bookmarkEnd w:id="158"/>
          </w:p>
        </w:tc>
        <w:tc>
          <w:tcPr>
            <w:tcW w:w="4678" w:type="dxa"/>
            <w:gridSpan w:val="3"/>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5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Centered"/>
              <w:rPr>
                <w:rFonts w:eastAsia="Verdana" w:cs="Verdana"/>
                <w:noProof/>
                <w:lang w:bidi="en-GB"/>
              </w:rPr>
            </w:pPr>
          </w:p>
        </w:tc>
        <w:tc>
          <w:tcPr>
            <w:tcW w:w="4678" w:type="dxa"/>
            <w:gridSpan w:val="3"/>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noProof/>
                <w:lang w:bidi="en-GB"/>
              </w:rPr>
            </w:pPr>
            <w:r>
              <w:rPr>
                <w:rFonts w:eastAsia="Verdana" w:cs="Verdana"/>
                <w:noProof/>
                <w:lang w:bidi="en-GB"/>
              </w:rPr>
              <w:t>Future amounts to be paid</w:t>
            </w:r>
          </w:p>
        </w:tc>
        <w:tc>
          <w:tcPr>
            <w:tcW w:w="1559" w:type="dxa"/>
            <w:tcBorders>
              <w:top w:val="nil"/>
              <w:left w:val="nil"/>
              <w:bottom w:val="nil"/>
              <w:right w:val="nil"/>
            </w:tcBorders>
            <w:shd w:val="clear" w:color="auto" w:fill="016794"/>
            <w:tcMar>
              <w:top w:w="0" w:type="dxa"/>
              <w:left w:w="108" w:type="dxa"/>
              <w:bottom w:w="0" w:type="dxa"/>
              <w:right w:w="108" w:type="dxa"/>
            </w:tcMar>
          </w:tcPr>
          <w:p w:rsidR="004D38C4" w:rsidRDefault="004D38C4">
            <w:pPr>
              <w:jc w:val="right"/>
              <w:rPr>
                <w:noProof/>
                <w:lang w:bidi="en-GB"/>
              </w:rPr>
            </w:pPr>
          </w:p>
        </w:tc>
      </w:tr>
      <w:tr w:rsidR="004D38C4">
        <w:tc>
          <w:tcPr>
            <w:tcW w:w="35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559" w:type="dxa"/>
            <w:tcBorders>
              <w:top w:val="nil"/>
              <w:left w:val="nil"/>
              <w:bottom w:val="nil"/>
              <w:right w:val="nil"/>
            </w:tcBorders>
            <w:shd w:val="clear" w:color="auto" w:fill="3486A9"/>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&lt; 1 year</w:t>
            </w:r>
          </w:p>
        </w:tc>
        <w:tc>
          <w:tcPr>
            <w:tcW w:w="1559" w:type="dxa"/>
            <w:tcBorders>
              <w:top w:val="nil"/>
              <w:left w:val="nil"/>
              <w:bottom w:val="nil"/>
              <w:right w:val="nil"/>
            </w:tcBorders>
            <w:shd w:val="clear" w:color="auto" w:fill="3486A9"/>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1- 5 years</w:t>
            </w:r>
          </w:p>
        </w:tc>
        <w:tc>
          <w:tcPr>
            <w:tcW w:w="1560" w:type="dxa"/>
            <w:tcBorders>
              <w:top w:val="nil"/>
              <w:left w:val="nil"/>
              <w:bottom w:val="nil"/>
              <w:right w:val="nil"/>
            </w:tcBorders>
            <w:shd w:val="clear" w:color="auto" w:fill="3486A9"/>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&gt; 5 years</w:t>
            </w:r>
          </w:p>
        </w:tc>
        <w:tc>
          <w:tcPr>
            <w:tcW w:w="1559" w:type="dxa"/>
            <w:tcBorders>
              <w:top w:val="nil"/>
              <w:left w:val="nil"/>
              <w:bottom w:val="nil"/>
              <w:right w:val="nil"/>
            </w:tcBorders>
            <w:shd w:val="clear" w:color="auto" w:fill="3486A9"/>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Total</w:t>
            </w:r>
          </w:p>
        </w:tc>
      </w:tr>
      <w:tr w:rsidR="004D38C4">
        <w:tc>
          <w:tcPr>
            <w:tcW w:w="35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Buildings</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133</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381</w:t>
            </w:r>
          </w:p>
        </w:tc>
        <w:tc>
          <w:tcPr>
            <w:tcW w:w="156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350</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864</w:t>
            </w:r>
          </w:p>
        </w:tc>
      </w:tr>
      <w:tr w:rsidR="004D38C4">
        <w:tc>
          <w:tcPr>
            <w:tcW w:w="351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IT materials and other equipment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c>
          <w:tcPr>
            <w:tcW w:w="156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w:t>
            </w:r>
          </w:p>
        </w:tc>
      </w:tr>
      <w:tr w:rsidR="004D38C4">
        <w:tc>
          <w:tcPr>
            <w:tcW w:w="35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134</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384</w:t>
            </w:r>
          </w:p>
        </w:tc>
        <w:tc>
          <w:tcPr>
            <w:tcW w:w="156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350</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868</w:t>
            </w:r>
          </w:p>
        </w:tc>
      </w:tr>
    </w:tbl>
    <w:p w:rsidR="004D38C4" w:rsidRDefault="00BC2113">
      <w:pPr>
        <w:rPr>
          <w:noProof/>
          <w:lang w:bidi="en-GB"/>
        </w:rPr>
        <w:sectPr w:rsidR="004D38C4">
          <w:pgSz w:w="11906" w:h="16838"/>
          <w:pgMar w:top="1134" w:right="1134" w:bottom="1134" w:left="1134" w:header="708" w:footer="708" w:gutter="0"/>
          <w:cols w:space="708"/>
          <w:docGrid w:linePitch="360"/>
        </w:sectPr>
      </w:pPr>
      <w:r>
        <w:rPr>
          <w:noProof/>
          <w:lang w:bidi="en-GB"/>
        </w:rPr>
        <w:t xml:space="preserve"> </w:t>
      </w:r>
      <w:bookmarkEnd w:id="153"/>
    </w:p>
    <w:p w:rsidR="004D38C4" w:rsidRDefault="00BC2113">
      <w:pPr>
        <w:pStyle w:val="HEADER1NOTES"/>
        <w:rPr>
          <w:noProof/>
        </w:rPr>
      </w:pPr>
      <w:bookmarkStart w:id="159" w:name="_Toc517247545"/>
      <w:bookmarkStart w:id="160" w:name="_DMBM_10945"/>
      <w:r>
        <w:rPr>
          <w:noProof/>
        </w:rPr>
        <w:t>FINANCIAL INSTRUMENTS DISCLOSURES</w:t>
      </w:r>
      <w:bookmarkEnd w:id="159"/>
    </w:p>
    <w:p w:rsidR="004D38C4" w:rsidRDefault="00BC2113">
      <w:pPr>
        <w:pStyle w:val="DGTextstand-alone"/>
        <w:spacing w:before="0" w:after="0"/>
        <w:sectPr w:rsidR="004D38C4">
          <w:headerReference w:type="even" r:id="rId285"/>
          <w:headerReference w:type="default" r:id="rId286"/>
          <w:footerReference w:type="even" r:id="rId287"/>
          <w:footerReference w:type="default" r:id="rId288"/>
          <w:headerReference w:type="first" r:id="rId289"/>
          <w:footerReference w:type="first" r:id="rId290"/>
          <w:pgSz w:w="11906" w:h="16838"/>
          <w:pgMar w:top="1134" w:right="1134" w:bottom="1134" w:left="1134" w:header="709" w:footer="709" w:gutter="0"/>
          <w:cols w:space="708"/>
          <w:docGrid w:linePitch="360"/>
        </w:sectPr>
      </w:pPr>
      <w:r>
        <w:t xml:space="preserve"> </w:t>
      </w:r>
      <w:bookmarkEnd w:id="160"/>
    </w:p>
    <w:p w:rsidR="004D38C4" w:rsidRDefault="00BC2113">
      <w:pPr>
        <w:pStyle w:val="HEADER2NOTES"/>
        <w:rPr>
          <w:noProof/>
        </w:rPr>
      </w:pPr>
      <w:bookmarkStart w:id="161" w:name="_DMBM_10947"/>
      <w:r>
        <w:rPr>
          <w:noProof/>
        </w:rPr>
        <w:t>CURRENCY RISKS</w:t>
      </w:r>
    </w:p>
    <w:p w:rsidR="004D38C4" w:rsidRDefault="00BC2113">
      <w:pPr>
        <w:pStyle w:val="HEADER5"/>
        <w:rPr>
          <w:noProof/>
        </w:rPr>
      </w:pPr>
      <w:r>
        <w:rPr>
          <w:noProof/>
        </w:rPr>
        <w:t>Exposure of the EC to currency risk at year end – net position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993"/>
        <w:gridCol w:w="992"/>
        <w:gridCol w:w="709"/>
        <w:gridCol w:w="850"/>
        <w:gridCol w:w="1134"/>
        <w:gridCol w:w="851"/>
        <w:gridCol w:w="1275"/>
      </w:tblGrid>
      <w:tr w:rsidR="004D38C4">
        <w:trPr>
          <w:trHeight w:val="274"/>
        </w:trPr>
        <w:tc>
          <w:tcPr>
            <w:tcW w:w="2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lang w:bidi="en-GB"/>
              </w:rPr>
            </w:pPr>
            <w:bookmarkStart w:id="162" w:name="DOC_TBL00078_1_1"/>
            <w:bookmarkEnd w:id="162"/>
          </w:p>
        </w:tc>
        <w:tc>
          <w:tcPr>
            <w:tcW w:w="99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70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85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ItalicRight025"/>
              <w:rPr>
                <w:rFonts w:eastAsia="Verdana" w:cs="Verdana"/>
                <w:lang w:bidi="en-GB"/>
              </w:rPr>
            </w:pPr>
            <w:r>
              <w:rPr>
                <w:rFonts w:eastAsia="Verdana" w:cs="Verdana"/>
                <w:lang w:bidi="en-GB"/>
              </w:rPr>
              <w:t>EUR millions</w:t>
            </w:r>
          </w:p>
        </w:tc>
      </w:tr>
      <w:tr w:rsidR="004D38C4">
        <w:tc>
          <w:tcPr>
            <w:tcW w:w="2943"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c>
          <w:tcPr>
            <w:tcW w:w="6804" w:type="dxa"/>
            <w:gridSpan w:val="7"/>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31.12.2017</w:t>
            </w:r>
          </w:p>
        </w:tc>
      </w:tr>
      <w:tr w:rsidR="004D38C4">
        <w:tc>
          <w:tcPr>
            <w:tcW w:w="2943"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c>
          <w:tcPr>
            <w:tcW w:w="99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USD</w:t>
            </w:r>
          </w:p>
        </w:tc>
        <w:tc>
          <w:tcPr>
            <w:tcW w:w="992"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GBP</w:t>
            </w:r>
          </w:p>
        </w:tc>
        <w:tc>
          <w:tcPr>
            <w:tcW w:w="70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DKK</w:t>
            </w:r>
          </w:p>
        </w:tc>
        <w:tc>
          <w:tcPr>
            <w:tcW w:w="85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SEK</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EUR</w:t>
            </w: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Other</w:t>
            </w:r>
          </w:p>
        </w:tc>
        <w:tc>
          <w:tcPr>
            <w:tcW w:w="1275"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Total</w:t>
            </w: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Financial assets</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Available for sale financial assets</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680</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 xml:space="preserve"> 57</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17</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56</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11 147</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16</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11 973</w:t>
            </w: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Financial assets at fair value through surplus or deficit</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(632)</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655</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23</w:t>
            </w: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Loans*</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6</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120</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7</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133</w:t>
            </w: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Receivables and recoverables</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 xml:space="preserve"> 550</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62</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86</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11</w:t>
            </w:r>
            <w:r>
              <w:rPr>
                <w:rFonts w:eastAsia="Verdana" w:cs="Verdana"/>
                <w:lang w:bidi="en-GB"/>
              </w:rPr>
              <w:t xml:space="preserve"> 338</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6</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12 040</w:t>
            </w:r>
          </w:p>
        </w:tc>
      </w:tr>
      <w:tr w:rsidR="004D38C4">
        <w:tc>
          <w:tcPr>
            <w:tcW w:w="29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Cash and cash equivalents</w:t>
            </w:r>
          </w:p>
        </w:tc>
        <w:tc>
          <w:tcPr>
            <w:tcW w:w="99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42</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3 178</w:t>
            </w:r>
          </w:p>
        </w:tc>
        <w:tc>
          <w:tcPr>
            <w:tcW w:w="70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27</w:t>
            </w:r>
          </w:p>
        </w:tc>
        <w:tc>
          <w:tcPr>
            <w:tcW w:w="85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693</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17 509</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1 664</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23 113</w:t>
            </w:r>
          </w:p>
        </w:tc>
      </w:tr>
      <w:tr w:rsidR="004D38C4">
        <w:tc>
          <w:tcPr>
            <w:tcW w:w="29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8pBoldLeft"/>
              <w:rPr>
                <w:rFonts w:eastAsia="Verdana" w:cs="Verdana"/>
                <w:lang w:bidi="en-GB"/>
              </w:rPr>
            </w:pPr>
          </w:p>
        </w:tc>
        <w:tc>
          <w:tcPr>
            <w:tcW w:w="99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97</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3 785</w:t>
            </w:r>
          </w:p>
        </w:tc>
        <w:tc>
          <w:tcPr>
            <w:tcW w:w="7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105</w:t>
            </w:r>
          </w:p>
        </w:tc>
        <w:tc>
          <w:tcPr>
            <w:tcW w:w="85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834</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40 768</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1 693</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47 282</w:t>
            </w:r>
          </w:p>
        </w:tc>
      </w:tr>
      <w:tr w:rsidR="004D38C4">
        <w:tc>
          <w:tcPr>
            <w:tcW w:w="294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Financial liabilities</w:t>
            </w:r>
          </w:p>
        </w:tc>
        <w:tc>
          <w:tcPr>
            <w:tcW w:w="99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70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85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Financial liabilities at fair value through surplus or deficit</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(2)</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(2)</w:t>
            </w:r>
          </w:p>
        </w:tc>
      </w:tr>
      <w:tr w:rsidR="004D38C4">
        <w:tc>
          <w:tcPr>
            <w:tcW w:w="29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Payables</w:t>
            </w:r>
          </w:p>
        </w:tc>
        <w:tc>
          <w:tcPr>
            <w:tcW w:w="99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(0)</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(0)</w:t>
            </w:r>
          </w:p>
        </w:tc>
        <w:tc>
          <w:tcPr>
            <w:tcW w:w="70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(39 374)</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(39 376)</w:t>
            </w:r>
          </w:p>
        </w:tc>
      </w:tr>
      <w:tr w:rsidR="004D38C4">
        <w:tc>
          <w:tcPr>
            <w:tcW w:w="29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8pBoldLeft"/>
              <w:rPr>
                <w:rFonts w:eastAsia="Verdana" w:cs="Verdana"/>
                <w:lang w:bidi="en-GB"/>
              </w:rPr>
            </w:pPr>
          </w:p>
        </w:tc>
        <w:tc>
          <w:tcPr>
            <w:tcW w:w="99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(0)</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(0)</w:t>
            </w:r>
          </w:p>
        </w:tc>
        <w:tc>
          <w:tcPr>
            <w:tcW w:w="7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w:t>
            </w:r>
          </w:p>
        </w:tc>
        <w:tc>
          <w:tcPr>
            <w:tcW w:w="85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(1)</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(39 374)</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(3)</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(39 378)</w:t>
            </w:r>
          </w:p>
        </w:tc>
      </w:tr>
      <w:tr w:rsidR="004D38C4">
        <w:tc>
          <w:tcPr>
            <w:tcW w:w="29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Total</w:t>
            </w:r>
          </w:p>
        </w:tc>
        <w:tc>
          <w:tcPr>
            <w:tcW w:w="99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96</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3 785</w:t>
            </w:r>
          </w:p>
        </w:tc>
        <w:tc>
          <w:tcPr>
            <w:tcW w:w="7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105</w:t>
            </w:r>
          </w:p>
        </w:tc>
        <w:tc>
          <w:tcPr>
            <w:tcW w:w="85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833</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1 395</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1 690</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7 904</w:t>
            </w:r>
          </w:p>
        </w:tc>
      </w:tr>
    </w:tbl>
    <w:p w:rsidR="004D38C4" w:rsidRDefault="00BC2113">
      <w:pPr>
        <w:pStyle w:val="DGTextstand-alone"/>
      </w:pP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993"/>
        <w:gridCol w:w="992"/>
        <w:gridCol w:w="709"/>
        <w:gridCol w:w="850"/>
        <w:gridCol w:w="1134"/>
        <w:gridCol w:w="851"/>
        <w:gridCol w:w="1275"/>
      </w:tblGrid>
      <w:tr w:rsidR="004D38C4">
        <w:trPr>
          <w:trHeight w:val="274"/>
        </w:trPr>
        <w:tc>
          <w:tcPr>
            <w:tcW w:w="2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lang w:bidi="en-GB"/>
              </w:rPr>
            </w:pPr>
            <w:bookmarkStart w:id="163" w:name="DOC_TBL00079_1_1"/>
            <w:bookmarkEnd w:id="163"/>
          </w:p>
        </w:tc>
        <w:tc>
          <w:tcPr>
            <w:tcW w:w="99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70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85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4D38C4">
            <w:pPr>
              <w:pStyle w:val="Text7pItalicRight025"/>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ItalicRight025"/>
              <w:rPr>
                <w:rFonts w:eastAsia="Verdana" w:cs="Verdana"/>
                <w:lang w:bidi="en-GB"/>
              </w:rPr>
            </w:pPr>
            <w:r>
              <w:rPr>
                <w:rFonts w:eastAsia="Verdana" w:cs="Verdana"/>
                <w:lang w:bidi="en-GB"/>
              </w:rPr>
              <w:t>EUR millions</w:t>
            </w:r>
          </w:p>
        </w:tc>
      </w:tr>
      <w:tr w:rsidR="004D38C4">
        <w:tc>
          <w:tcPr>
            <w:tcW w:w="2943"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c>
          <w:tcPr>
            <w:tcW w:w="6804" w:type="dxa"/>
            <w:gridSpan w:val="7"/>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31.12.2016</w:t>
            </w:r>
          </w:p>
        </w:tc>
      </w:tr>
      <w:tr w:rsidR="004D38C4">
        <w:tc>
          <w:tcPr>
            <w:tcW w:w="2943"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c>
          <w:tcPr>
            <w:tcW w:w="99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USD</w:t>
            </w:r>
          </w:p>
        </w:tc>
        <w:tc>
          <w:tcPr>
            <w:tcW w:w="992"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GBP</w:t>
            </w:r>
          </w:p>
        </w:tc>
        <w:tc>
          <w:tcPr>
            <w:tcW w:w="70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DKK</w:t>
            </w:r>
          </w:p>
        </w:tc>
        <w:tc>
          <w:tcPr>
            <w:tcW w:w="85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SEK</w:t>
            </w:r>
          </w:p>
        </w:tc>
        <w:tc>
          <w:tcPr>
            <w:tcW w:w="1134"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EUR</w:t>
            </w:r>
          </w:p>
        </w:tc>
        <w:tc>
          <w:tcPr>
            <w:tcW w:w="851"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Other</w:t>
            </w:r>
          </w:p>
        </w:tc>
        <w:tc>
          <w:tcPr>
            <w:tcW w:w="1275"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8pNormalCentered"/>
              <w:rPr>
                <w:rFonts w:eastAsia="Verdana" w:cs="Verdana"/>
                <w:lang w:bidi="en-GB"/>
              </w:rPr>
            </w:pPr>
            <w:r>
              <w:rPr>
                <w:rFonts w:eastAsia="Verdana" w:cs="Verdana"/>
                <w:lang w:bidi="en-GB"/>
              </w:rPr>
              <w:t>Total</w:t>
            </w: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Financial assets</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Available for sale financial assets</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228</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 xml:space="preserve"> 58</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14</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42</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8 394</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21</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8 757</w:t>
            </w: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Financial assets at fair value through surplus or deficit</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(49)</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50</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0</w:t>
            </w: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Loans*</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4</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315</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10</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328</w:t>
            </w: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Receivables and recoverables</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 xml:space="preserve"> 591</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49</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80</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10 611</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4</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11 336</w:t>
            </w:r>
          </w:p>
        </w:tc>
      </w:tr>
      <w:tr w:rsidR="004D38C4">
        <w:tc>
          <w:tcPr>
            <w:tcW w:w="29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Cash and cash equivalents</w:t>
            </w:r>
          </w:p>
        </w:tc>
        <w:tc>
          <w:tcPr>
            <w:tcW w:w="99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31</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2 392</w:t>
            </w:r>
          </w:p>
        </w:tc>
        <w:tc>
          <w:tcPr>
            <w:tcW w:w="70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426</w:t>
            </w:r>
          </w:p>
        </w:tc>
        <w:tc>
          <w:tcPr>
            <w:tcW w:w="85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1 220</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21 423</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2 087</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27 579</w:t>
            </w:r>
          </w:p>
        </w:tc>
      </w:tr>
      <w:tr w:rsidR="004D38C4">
        <w:tc>
          <w:tcPr>
            <w:tcW w:w="29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8pBoldLeft"/>
              <w:rPr>
                <w:rFonts w:eastAsia="Verdana" w:cs="Verdana"/>
                <w:lang w:bidi="en-GB"/>
              </w:rPr>
            </w:pPr>
          </w:p>
        </w:tc>
        <w:tc>
          <w:tcPr>
            <w:tcW w:w="99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213</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3 041</w:t>
            </w:r>
          </w:p>
        </w:tc>
        <w:tc>
          <w:tcPr>
            <w:tcW w:w="7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490</w:t>
            </w:r>
          </w:p>
        </w:tc>
        <w:tc>
          <w:tcPr>
            <w:tcW w:w="85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1 341</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40 793</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2 122</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48 001</w:t>
            </w:r>
          </w:p>
        </w:tc>
      </w:tr>
      <w:tr w:rsidR="004D38C4">
        <w:tc>
          <w:tcPr>
            <w:tcW w:w="294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Financial liabilities</w:t>
            </w:r>
          </w:p>
        </w:tc>
        <w:tc>
          <w:tcPr>
            <w:tcW w:w="99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992"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70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85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113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85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c>
          <w:tcPr>
            <w:tcW w:w="1275"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7pItalicRight025"/>
              <w:rPr>
                <w:rFonts w:eastAsia="Verdana" w:cs="Verdana"/>
                <w:lang w:bidi="en-GB"/>
              </w:rPr>
            </w:pPr>
          </w:p>
        </w:tc>
      </w:tr>
      <w:tr w:rsidR="004D38C4">
        <w:tc>
          <w:tcPr>
            <w:tcW w:w="294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Financial liabilities at fair value through surplus or deficit</w:t>
            </w:r>
          </w:p>
        </w:tc>
        <w:tc>
          <w:tcPr>
            <w:tcW w:w="99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(100)</w:t>
            </w: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i w:val="0"/>
                <w:lang w:bidi="en-GB"/>
              </w:rPr>
            </w:pPr>
            <w:r>
              <w:rPr>
                <w:rFonts w:eastAsia="Verdana" w:cs="Verdana"/>
                <w:i w:val="0"/>
                <w:lang w:bidi="en-GB"/>
              </w:rPr>
              <w:t>–</w:t>
            </w:r>
          </w:p>
        </w:tc>
        <w:tc>
          <w:tcPr>
            <w:tcW w:w="70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100</w:t>
            </w: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(1)</w:t>
            </w:r>
          </w:p>
        </w:tc>
      </w:tr>
      <w:tr w:rsidR="004D38C4">
        <w:tc>
          <w:tcPr>
            <w:tcW w:w="294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ItalicLeft"/>
              <w:rPr>
                <w:rFonts w:eastAsia="Verdana" w:cs="Verdana"/>
                <w:lang w:bidi="en-GB"/>
              </w:rPr>
            </w:pPr>
            <w:r>
              <w:rPr>
                <w:rFonts w:eastAsia="Verdana" w:cs="Verdana"/>
                <w:lang w:bidi="en-GB"/>
              </w:rPr>
              <w:t>Payables</w:t>
            </w:r>
          </w:p>
        </w:tc>
        <w:tc>
          <w:tcPr>
            <w:tcW w:w="993"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(0)</w:t>
            </w:r>
          </w:p>
        </w:tc>
        <w:tc>
          <w:tcPr>
            <w:tcW w:w="992"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70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85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w:t>
            </w:r>
          </w:p>
        </w:tc>
        <w:tc>
          <w:tcPr>
            <w:tcW w:w="113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(40 240)</w:t>
            </w:r>
          </w:p>
        </w:tc>
        <w:tc>
          <w:tcPr>
            <w:tcW w:w="851"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 xml:space="preserve"> (0)</w:t>
            </w:r>
          </w:p>
        </w:tc>
        <w:tc>
          <w:tcPr>
            <w:tcW w:w="1275"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ItalicRight025"/>
              <w:rPr>
                <w:rFonts w:eastAsia="Verdana" w:cs="Verdana"/>
                <w:lang w:bidi="en-GB"/>
              </w:rPr>
            </w:pPr>
            <w:r>
              <w:rPr>
                <w:rFonts w:eastAsia="Verdana" w:cs="Verdana"/>
                <w:lang w:bidi="en-GB"/>
              </w:rPr>
              <w:t>(40 240)</w:t>
            </w:r>
          </w:p>
        </w:tc>
      </w:tr>
      <w:tr w:rsidR="004D38C4">
        <w:tc>
          <w:tcPr>
            <w:tcW w:w="29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8pBoldLeft"/>
              <w:rPr>
                <w:rFonts w:eastAsia="Verdana" w:cs="Verdana"/>
                <w:lang w:bidi="en-GB"/>
              </w:rPr>
            </w:pPr>
          </w:p>
        </w:tc>
        <w:tc>
          <w:tcPr>
            <w:tcW w:w="99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(101)</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w:t>
            </w:r>
          </w:p>
        </w:tc>
        <w:tc>
          <w:tcPr>
            <w:tcW w:w="7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w:t>
            </w:r>
          </w:p>
        </w:tc>
        <w:tc>
          <w:tcPr>
            <w:tcW w:w="85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(40 141)</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(0)</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(40 </w:t>
            </w:r>
            <w:r>
              <w:rPr>
                <w:rFonts w:eastAsia="Verdana" w:cs="Verdana"/>
                <w:lang w:bidi="en-GB"/>
              </w:rPr>
              <w:t>241)</w:t>
            </w:r>
          </w:p>
        </w:tc>
      </w:tr>
      <w:tr w:rsidR="004D38C4">
        <w:tc>
          <w:tcPr>
            <w:tcW w:w="294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8pBoldLeft"/>
              <w:rPr>
                <w:rFonts w:eastAsia="Verdana" w:cs="Verdana"/>
                <w:lang w:bidi="en-GB"/>
              </w:rPr>
            </w:pPr>
            <w:r>
              <w:rPr>
                <w:rFonts w:eastAsia="Verdana" w:cs="Verdana"/>
                <w:lang w:bidi="en-GB"/>
              </w:rPr>
              <w:t>Total</w:t>
            </w:r>
          </w:p>
        </w:tc>
        <w:tc>
          <w:tcPr>
            <w:tcW w:w="99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113</w:t>
            </w:r>
          </w:p>
        </w:tc>
        <w:tc>
          <w:tcPr>
            <w:tcW w:w="992"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3 041</w:t>
            </w:r>
          </w:p>
        </w:tc>
        <w:tc>
          <w:tcPr>
            <w:tcW w:w="70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490</w:t>
            </w:r>
          </w:p>
        </w:tc>
        <w:tc>
          <w:tcPr>
            <w:tcW w:w="85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1 341</w:t>
            </w:r>
          </w:p>
        </w:tc>
        <w:tc>
          <w:tcPr>
            <w:tcW w:w="113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 xml:space="preserve"> 652</w:t>
            </w:r>
          </w:p>
        </w:tc>
        <w:tc>
          <w:tcPr>
            <w:tcW w:w="85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2 122</w:t>
            </w:r>
          </w:p>
        </w:tc>
        <w:tc>
          <w:tcPr>
            <w:tcW w:w="1275"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7pBoldRight025"/>
              <w:rPr>
                <w:rFonts w:eastAsia="Verdana" w:cs="Verdana"/>
                <w:lang w:bidi="en-GB"/>
              </w:rPr>
            </w:pPr>
            <w:r>
              <w:rPr>
                <w:rFonts w:eastAsia="Verdana" w:cs="Verdana"/>
                <w:lang w:bidi="en-GB"/>
              </w:rPr>
              <w:t>7 760</w:t>
            </w:r>
          </w:p>
        </w:tc>
      </w:tr>
    </w:tbl>
    <w:p w:rsidR="004D38C4" w:rsidRDefault="00BC2113">
      <w:pPr>
        <w:pStyle w:val="Text8pItalicLeft"/>
      </w:pPr>
      <w:r>
        <w:t xml:space="preserve">* Excluding back-to-back loans for financial assistance. </w:t>
      </w:r>
    </w:p>
    <w:p w:rsidR="004D38C4" w:rsidRDefault="00BC2113">
      <w:pPr>
        <w:pStyle w:val="Text8pItalicLeft"/>
        <w:sectPr w:rsidR="004D38C4">
          <w:headerReference w:type="even" r:id="rId291"/>
          <w:headerReference w:type="default" r:id="rId292"/>
          <w:footerReference w:type="even" r:id="rId293"/>
          <w:footerReference w:type="default" r:id="rId294"/>
          <w:headerReference w:type="first" r:id="rId295"/>
          <w:footerReference w:type="first" r:id="rId296"/>
          <w:type w:val="continuous"/>
          <w:pgSz w:w="11906" w:h="16838"/>
          <w:pgMar w:top="1134" w:right="1134" w:bottom="1134" w:left="1134" w:header="709" w:footer="709" w:gutter="0"/>
          <w:cols w:space="708"/>
          <w:docGrid w:linePitch="360"/>
        </w:sectPr>
      </w:pPr>
      <w:r>
        <w:t xml:space="preserve"> </w:t>
      </w:r>
      <w:bookmarkEnd w:id="161"/>
    </w:p>
    <w:p w:rsidR="004D38C4" w:rsidRDefault="00BC2113">
      <w:pPr>
        <w:pStyle w:val="DGTextstand-alone"/>
      </w:pPr>
      <w:bookmarkStart w:id="164" w:name="_DMBM_10967"/>
      <w:r>
        <w:t>If the EUR had strengthened against the</w:t>
      </w:r>
      <w:r>
        <w:t xml:space="preserve"> currency concerned by 10 % then this would have had the following impact: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rsidR="004D38C4">
        <w:trPr>
          <w:cantSplit/>
        </w:trPr>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65" w:name="DOC_TBL00080_1_1"/>
            <w:bookmarkEnd w:id="165"/>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cantSplit/>
        </w:trPr>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6520" w:type="dxa"/>
            <w:gridSpan w:val="4"/>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noProof/>
                <w:lang w:bidi="en-GB"/>
              </w:rPr>
            </w:pPr>
            <w:r>
              <w:rPr>
                <w:rFonts w:eastAsia="Verdana" w:cs="Verdana"/>
                <w:noProof/>
                <w:lang w:bidi="en-GB"/>
              </w:rPr>
              <w:t>Economic result</w:t>
            </w:r>
          </w:p>
        </w:tc>
      </w:tr>
      <w:tr w:rsidR="004D38C4">
        <w:trPr>
          <w:cantSplit/>
        </w:trPr>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USD</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GBP</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DKK</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SEK</w:t>
            </w:r>
          </w:p>
        </w:tc>
      </w:tr>
      <w:tr w:rsidR="004D38C4">
        <w:trPr>
          <w:cantSplit/>
        </w:trPr>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2017</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(339)</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(71)</w:t>
            </w:r>
          </w:p>
        </w:tc>
      </w:tr>
      <w:tr w:rsidR="004D38C4">
        <w:trPr>
          <w:cantSplit/>
        </w:trP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(271)</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(43)</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(118)</w:t>
            </w:r>
          </w:p>
        </w:tc>
      </w:tr>
    </w:tbl>
    <w:p w:rsidR="004D38C4" w:rsidRDefault="00BC2113">
      <w:pPr>
        <w:pStyle w:val="DGTextstand-alone"/>
        <w:spacing w:before="0" w:after="0"/>
        <w:rPr>
          <w:lang w:bidi="en-GB"/>
        </w:rPr>
      </w:pPr>
      <w:r>
        <w:rPr>
          <w:lang w:bidi="en-G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rsidR="004D38C4">
        <w:trPr>
          <w:cantSplit/>
        </w:trPr>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66" w:name="DOC_TBL00081_1_1"/>
            <w:bookmarkEnd w:id="166"/>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cantSplit/>
        </w:trPr>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6520" w:type="dxa"/>
            <w:gridSpan w:val="4"/>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noProof/>
                <w:lang w:bidi="en-GB"/>
              </w:rPr>
            </w:pPr>
            <w:r>
              <w:rPr>
                <w:rFonts w:eastAsia="Verdana" w:cs="Verdana"/>
                <w:noProof/>
                <w:lang w:bidi="en-GB"/>
              </w:rPr>
              <w:t>Net assets</w:t>
            </w:r>
          </w:p>
        </w:tc>
      </w:tr>
      <w:tr w:rsidR="004D38C4">
        <w:trPr>
          <w:cantSplit/>
        </w:trPr>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USD</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GBP</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DKK</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SEK</w:t>
            </w:r>
          </w:p>
        </w:tc>
      </w:tr>
      <w:tr w:rsidR="004D38C4">
        <w:trPr>
          <w:cantSplit/>
        </w:trPr>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2017</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w:t>
            </w:r>
          </w:p>
        </w:tc>
      </w:tr>
      <w:tr w:rsidR="004D38C4">
        <w:trPr>
          <w:cantSplit/>
        </w:trPr>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w:t>
            </w:r>
          </w:p>
        </w:tc>
      </w:tr>
    </w:tbl>
    <w:p w:rsidR="004D38C4" w:rsidRDefault="004D38C4">
      <w:pPr>
        <w:pStyle w:val="DGTextstand-alone"/>
      </w:pPr>
    </w:p>
    <w:p w:rsidR="004D38C4" w:rsidRDefault="00BC2113">
      <w:pPr>
        <w:pStyle w:val="DGTextstand-alone"/>
      </w:pPr>
      <w:r>
        <w:t>If the EUR had weakened against the currency concerned by 10 % then this would have had the following impact: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67" w:name="DOC_TBL00082_1_1"/>
            <w:bookmarkEnd w:id="167"/>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6520" w:type="dxa"/>
            <w:gridSpan w:val="4"/>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noProof/>
                <w:lang w:bidi="en-GB"/>
              </w:rPr>
            </w:pPr>
            <w:r>
              <w:rPr>
                <w:rFonts w:eastAsia="Verdana" w:cs="Verdana"/>
                <w:noProof/>
                <w:lang w:bidi="en-GB"/>
              </w:rPr>
              <w:t>Economic result</w:t>
            </w:r>
          </w:p>
        </w:tc>
      </w:tr>
      <w:tr w:rsidR="004D38C4">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USD</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GBP</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DKK</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SEK</w:t>
            </w:r>
          </w:p>
        </w:tc>
      </w:tr>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2017</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414</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10</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86</w:t>
            </w:r>
          </w:p>
        </w:tc>
      </w:tr>
      <w:tr w:rsidR="004D38C4">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331</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53</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144</w:t>
            </w:r>
          </w:p>
        </w:tc>
      </w:tr>
    </w:tbl>
    <w:p w:rsidR="004D38C4" w:rsidRDefault="00BC2113">
      <w:pPr>
        <w:pStyle w:val="DGTextstand-alone"/>
        <w:spacing w:before="0" w:after="0"/>
        <w:rPr>
          <w:lang w:bidi="en-GB"/>
        </w:rPr>
      </w:pPr>
      <w:r>
        <w:rPr>
          <w:lang w:bidi="en-G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30"/>
        <w:gridCol w:w="1630"/>
        <w:gridCol w:w="1630"/>
        <w:gridCol w:w="1630"/>
      </w:tblGrid>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68" w:name="DOC_TBL00083_1_1"/>
            <w:bookmarkEnd w:id="168"/>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4D38C4">
            <w:pPr>
              <w:jc w:val="both"/>
              <w:rPr>
                <w:noProof/>
                <w:lang w:bidi="en-GB"/>
              </w:rPr>
            </w:pP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w:t>
            </w:r>
            <w:r>
              <w:rPr>
                <w:rFonts w:eastAsia="Verdana" w:cs="Verdana"/>
                <w:lang w:bidi="en-GB"/>
              </w:rPr>
              <w:t xml:space="preserve"> millions</w:t>
            </w:r>
          </w:p>
        </w:tc>
      </w:tr>
      <w:tr w:rsidR="004D38C4">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6520" w:type="dxa"/>
            <w:gridSpan w:val="4"/>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noProof/>
                <w:lang w:bidi="en-GB"/>
              </w:rPr>
            </w:pPr>
            <w:r>
              <w:rPr>
                <w:rFonts w:eastAsia="Verdana" w:cs="Verdana"/>
                <w:noProof/>
                <w:lang w:bidi="en-GB"/>
              </w:rPr>
              <w:t>Net assets</w:t>
            </w:r>
          </w:p>
        </w:tc>
      </w:tr>
      <w:tr w:rsidR="004D38C4">
        <w:tc>
          <w:tcPr>
            <w:tcW w:w="3227"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USD</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GBP</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DKK</w:t>
            </w:r>
          </w:p>
        </w:tc>
        <w:tc>
          <w:tcPr>
            <w:tcW w:w="163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jc w:val="right"/>
              <w:rPr>
                <w:rFonts w:eastAsia="Verdana" w:cs="Verdana"/>
                <w:lang w:bidi="en-GB"/>
              </w:rPr>
            </w:pPr>
            <w:r>
              <w:rPr>
                <w:rFonts w:eastAsia="Verdana" w:cs="Verdana"/>
                <w:lang w:bidi="en-GB"/>
              </w:rPr>
              <w:t>SEK</w:t>
            </w:r>
          </w:p>
        </w:tc>
      </w:tr>
      <w:tr w:rsidR="004D38C4">
        <w:tc>
          <w:tcPr>
            <w:tcW w:w="322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2017</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w:t>
            </w:r>
          </w:p>
        </w:tc>
        <w:tc>
          <w:tcPr>
            <w:tcW w:w="163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w:t>
            </w:r>
          </w:p>
        </w:tc>
      </w:tr>
      <w:tr w:rsidR="004D38C4">
        <w:tc>
          <w:tcPr>
            <w:tcW w:w="3227"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w:t>
            </w:r>
          </w:p>
        </w:tc>
        <w:tc>
          <w:tcPr>
            <w:tcW w:w="1630"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w:t>
            </w:r>
          </w:p>
        </w:tc>
      </w:tr>
    </w:tbl>
    <w:p w:rsidR="004D38C4" w:rsidRDefault="00BC2113">
      <w:pPr>
        <w:pStyle w:val="DGTextstand-alone"/>
        <w:spacing w:before="0" w:after="0"/>
        <w:sectPr w:rsidR="004D38C4">
          <w:headerReference w:type="even" r:id="rId297"/>
          <w:headerReference w:type="default" r:id="rId298"/>
          <w:footerReference w:type="even" r:id="rId299"/>
          <w:footerReference w:type="default" r:id="rId300"/>
          <w:headerReference w:type="first" r:id="rId301"/>
          <w:footerReference w:type="first" r:id="rId302"/>
          <w:type w:val="continuous"/>
          <w:pgSz w:w="11906" w:h="16838"/>
          <w:pgMar w:top="1134" w:right="1134" w:bottom="1134" w:left="1134" w:header="709" w:footer="709" w:gutter="0"/>
          <w:cols w:space="708"/>
          <w:docGrid w:linePitch="360"/>
        </w:sectPr>
      </w:pPr>
      <w:r>
        <w:t xml:space="preserve"> </w:t>
      </w:r>
      <w:bookmarkEnd w:id="164"/>
    </w:p>
    <w:p w:rsidR="004D38C4" w:rsidRDefault="00BC2113">
      <w:pPr>
        <w:pStyle w:val="HEADER2NOTES"/>
        <w:rPr>
          <w:noProof/>
          <w:lang w:val="fr-BE"/>
        </w:rPr>
      </w:pPr>
      <w:bookmarkStart w:id="169" w:name="_DMBM_10960"/>
      <w:r>
        <w:rPr>
          <w:noProof/>
          <w:lang w:val="fr-BE"/>
        </w:rPr>
        <w:t>INTEREST RATE RISK</w:t>
      </w:r>
    </w:p>
    <w:p w:rsidR="004D38C4" w:rsidRDefault="00BC2113">
      <w:pPr>
        <w:pStyle w:val="Textstand-alone"/>
      </w:pPr>
      <w:r>
        <w:t xml:space="preserve">The following table illustrates the interest rate </w:t>
      </w:r>
      <w:r>
        <w:t>sensitivity of available for sale financial assets assuming possible change in interest rates of +/- 100 basis points (1 %).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70" w:name="DOC_TBL00084_1_1"/>
            <w:bookmarkEnd w:id="170"/>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lang w:bidi="en-GB"/>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Increase (+) / decrease (-) in basis points</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lang w:bidi="en-GB"/>
              </w:rPr>
            </w:pPr>
            <w:r>
              <w:rPr>
                <w:rFonts w:eastAsia="Verdana" w:cs="Verdana"/>
                <w:lang w:bidi="en-GB"/>
              </w:rPr>
              <w:t>Effect on economic result and net assets</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2017: Available for sale </w:t>
            </w:r>
            <w:r>
              <w:rPr>
                <w:rFonts w:eastAsia="Verdana" w:cs="Verdana"/>
                <w:lang w:bidi="en-GB"/>
              </w:rPr>
              <w:t>financial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(305)</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324</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2016: Available for sale financial assets</w:t>
            </w: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(238)</w:t>
            </w:r>
          </w:p>
        </w:tc>
      </w:tr>
      <w:tr w:rsidR="004D38C4">
        <w:tc>
          <w:tcPr>
            <w:tcW w:w="563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12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254</w:t>
            </w:r>
          </w:p>
        </w:tc>
      </w:tr>
    </w:tbl>
    <w:p w:rsidR="004D38C4" w:rsidRDefault="00BC2113">
      <w:pPr>
        <w:pStyle w:val="Textstand-alone"/>
        <w:spacing w:before="0" w:after="0"/>
        <w:sectPr w:rsidR="004D38C4">
          <w:headerReference w:type="even" r:id="rId303"/>
          <w:headerReference w:type="default" r:id="rId304"/>
          <w:footerReference w:type="even" r:id="rId305"/>
          <w:footerReference w:type="default" r:id="rId306"/>
          <w:headerReference w:type="first" r:id="rId307"/>
          <w:footerReference w:type="first" r:id="rId308"/>
          <w:type w:val="continuous"/>
          <w:pgSz w:w="11906" w:h="16838"/>
          <w:pgMar w:top="1134" w:right="1134" w:bottom="1134" w:left="1134" w:header="709" w:footer="709" w:gutter="0"/>
          <w:cols w:space="708"/>
          <w:docGrid w:linePitch="360"/>
        </w:sectPr>
      </w:pPr>
      <w:r>
        <w:t xml:space="preserve"> </w:t>
      </w:r>
      <w:bookmarkEnd w:id="169"/>
    </w:p>
    <w:p w:rsidR="004D38C4" w:rsidRDefault="00BC2113">
      <w:pPr>
        <w:pStyle w:val="HEADER2NOTES"/>
        <w:rPr>
          <w:noProof/>
          <w:lang w:val="fr-BE"/>
        </w:rPr>
      </w:pPr>
      <w:bookmarkStart w:id="171" w:name="_DMBM_11023"/>
      <w:r>
        <w:rPr>
          <w:noProof/>
          <w:lang w:val="fr-BE"/>
        </w:rPr>
        <w:t>CREDIT RISK</w:t>
      </w:r>
    </w:p>
    <w:p w:rsidR="004D38C4" w:rsidRDefault="00BC2113">
      <w:pPr>
        <w:pStyle w:val="HEADER5"/>
        <w:rPr>
          <w:noProof/>
        </w:rPr>
      </w:pPr>
      <w:r>
        <w:rPr>
          <w:noProof/>
        </w:rPr>
        <w:t xml:space="preserve">Analysis of the age of </w:t>
      </w:r>
      <w:r>
        <w:rPr>
          <w:noProof/>
        </w:rPr>
        <w:t>financial assets that are not impaired</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1267"/>
        <w:gridCol w:w="1267"/>
        <w:gridCol w:w="1273"/>
        <w:gridCol w:w="1261"/>
      </w:tblGrid>
      <w:tr w:rsidR="004D38C4">
        <w:trPr>
          <w:cantSplit/>
        </w:trPr>
        <w:tc>
          <w:tcPr>
            <w:tcW w:w="336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72" w:name="DOC_TBL00085_1_1"/>
            <w:bookmarkEnd w:id="172"/>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3807" w:type="dxa"/>
            <w:gridSpan w:val="3"/>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6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millions</w:t>
            </w:r>
          </w:p>
        </w:tc>
      </w:tr>
      <w:tr w:rsidR="004D38C4">
        <w:trPr>
          <w:cantSplit/>
        </w:trPr>
        <w:tc>
          <w:tcPr>
            <w:tcW w:w="3369"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9pNormalCentered"/>
              <w:rPr>
                <w:rFonts w:eastAsia="Verdana" w:cs="Verdana"/>
                <w:noProof/>
                <w:lang w:bidi="en-GB"/>
              </w:rPr>
            </w:pP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rPr>
                <w:rFonts w:eastAsia="Verdana" w:cs="Verdana"/>
                <w:noProof/>
                <w:lang w:bidi="en-GB"/>
              </w:rPr>
            </w:pPr>
            <w:r>
              <w:rPr>
                <w:rFonts w:eastAsia="Verdana" w:cs="Verdana"/>
                <w:noProof/>
                <w:lang w:bidi="en-GB"/>
              </w:rPr>
              <w:t>Total</w:t>
            </w:r>
          </w:p>
        </w:tc>
        <w:tc>
          <w:tcPr>
            <w:tcW w:w="126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rPr>
                <w:rFonts w:eastAsia="Verdana" w:cs="Verdana"/>
                <w:noProof/>
                <w:lang w:bidi="en-GB"/>
              </w:rPr>
            </w:pPr>
            <w:r>
              <w:rPr>
                <w:rFonts w:eastAsia="Verdana" w:cs="Verdana"/>
                <w:noProof/>
                <w:lang w:bidi="en-GB"/>
              </w:rPr>
              <w:t>Neither past due nor impaired</w:t>
            </w:r>
          </w:p>
        </w:tc>
        <w:tc>
          <w:tcPr>
            <w:tcW w:w="3801"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9pNormalCentered"/>
              <w:rPr>
                <w:rFonts w:eastAsia="Verdana" w:cs="Verdana"/>
                <w:noProof/>
                <w:lang w:bidi="en-GB"/>
              </w:rPr>
            </w:pPr>
            <w:r>
              <w:rPr>
                <w:rFonts w:eastAsia="Verdana" w:cs="Verdana"/>
                <w:noProof/>
                <w:lang w:bidi="en-GB"/>
              </w:rPr>
              <w:t>Past due but not impaired</w:t>
            </w:r>
          </w:p>
        </w:tc>
      </w:tr>
      <w:tr w:rsidR="004D38C4">
        <w:trPr>
          <w:cantSplit/>
        </w:trPr>
        <w:tc>
          <w:tcPr>
            <w:tcW w:w="3369"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9pNormalCentered"/>
              <w:rPr>
                <w:rFonts w:eastAsia="Verdana" w:cs="Verdana"/>
                <w:noProof/>
                <w:lang w:bidi="en-GB"/>
              </w:rPr>
            </w:pP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9pNormalCentered"/>
              <w:rPr>
                <w:rFonts w:eastAsia="Verdana" w:cs="Verdana"/>
                <w:noProof/>
                <w:lang w:bidi="en-GB"/>
              </w:rPr>
            </w:pPr>
          </w:p>
        </w:tc>
        <w:tc>
          <w:tcPr>
            <w:tcW w:w="126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9pNormalCentered"/>
              <w:rPr>
                <w:rFonts w:eastAsia="Verdana" w:cs="Verdana"/>
                <w:noProof/>
                <w:lang w:bidi="en-GB"/>
              </w:rPr>
            </w:pPr>
          </w:p>
        </w:tc>
        <w:tc>
          <w:tcPr>
            <w:tcW w:w="1267"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9pNormalCentered"/>
              <w:rPr>
                <w:rFonts w:eastAsia="Verdana" w:cs="Verdana"/>
                <w:noProof/>
                <w:lang w:bidi="en-GB"/>
              </w:rPr>
            </w:pPr>
            <w:r>
              <w:rPr>
                <w:rFonts w:eastAsia="Verdana" w:cs="Verdana"/>
                <w:noProof/>
                <w:lang w:bidi="en-GB"/>
              </w:rPr>
              <w:t>&lt; 1 year</w:t>
            </w:r>
          </w:p>
        </w:tc>
        <w:tc>
          <w:tcPr>
            <w:tcW w:w="127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9pNormalCentered"/>
              <w:rPr>
                <w:rFonts w:eastAsia="Verdana" w:cs="Verdana"/>
                <w:noProof/>
                <w:lang w:bidi="en-GB"/>
              </w:rPr>
            </w:pPr>
            <w:r>
              <w:rPr>
                <w:rFonts w:eastAsia="Verdana" w:cs="Verdana"/>
                <w:noProof/>
                <w:lang w:bidi="en-GB"/>
              </w:rPr>
              <w:t>1-5 years</w:t>
            </w:r>
          </w:p>
        </w:tc>
        <w:tc>
          <w:tcPr>
            <w:tcW w:w="126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9pNormalCentered"/>
              <w:rPr>
                <w:rFonts w:eastAsia="Verdana" w:cs="Verdana"/>
                <w:noProof/>
                <w:lang w:bidi="en-GB"/>
              </w:rPr>
            </w:pPr>
            <w:r>
              <w:rPr>
                <w:rFonts w:eastAsia="Verdana" w:cs="Verdana"/>
                <w:noProof/>
                <w:lang w:bidi="en-GB"/>
              </w:rPr>
              <w:t>&gt; 5 years</w:t>
            </w:r>
          </w:p>
        </w:tc>
      </w:tr>
      <w:tr w:rsidR="004D38C4">
        <w:trPr>
          <w:cantSplit/>
        </w:trPr>
        <w:tc>
          <w:tcPr>
            <w:tcW w:w="336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Loans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54 877</w:t>
            </w:r>
          </w:p>
        </w:tc>
        <w:tc>
          <w:tcPr>
            <w:tcW w:w="126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54 877</w:t>
            </w:r>
          </w:p>
        </w:tc>
        <w:tc>
          <w:tcPr>
            <w:tcW w:w="126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6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rPr>
          <w:cantSplit/>
        </w:trPr>
        <w:tc>
          <w:tcPr>
            <w:tcW w:w="336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Receivables and recoverables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12 040</w:t>
            </w:r>
          </w:p>
        </w:tc>
        <w:tc>
          <w:tcPr>
            <w:tcW w:w="126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8 587</w:t>
            </w:r>
          </w:p>
        </w:tc>
        <w:tc>
          <w:tcPr>
            <w:tcW w:w="126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2 887</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359</w:t>
            </w:r>
          </w:p>
        </w:tc>
        <w:tc>
          <w:tcPr>
            <w:tcW w:w="126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208</w:t>
            </w:r>
          </w:p>
        </w:tc>
      </w:tr>
      <w:tr w:rsidR="004D38C4">
        <w:trPr>
          <w:cantSplit/>
        </w:trPr>
        <w:tc>
          <w:tcPr>
            <w:tcW w:w="336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 assets</w:t>
            </w:r>
            <w:r>
              <w:rPr>
                <w:rFonts w:eastAsia="Verdana" w:cs="Verdana"/>
                <w:lang w:bidi="en-GB"/>
              </w:rPr>
              <w:t xml:space="preserve"> at fair value through surplus or deficit</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23</w:t>
            </w:r>
          </w:p>
        </w:tc>
        <w:tc>
          <w:tcPr>
            <w:tcW w:w="126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23</w:t>
            </w:r>
          </w:p>
        </w:tc>
        <w:tc>
          <w:tcPr>
            <w:tcW w:w="126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61"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rPr>
          <w:cantSplit/>
        </w:trPr>
        <w:tc>
          <w:tcPr>
            <w:tcW w:w="33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 at 31.12.2017</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66 940</w:t>
            </w:r>
          </w:p>
        </w:tc>
        <w:tc>
          <w:tcPr>
            <w:tcW w:w="126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63 486</w:t>
            </w:r>
          </w:p>
        </w:tc>
        <w:tc>
          <w:tcPr>
            <w:tcW w:w="126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2 887</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359</w:t>
            </w:r>
          </w:p>
        </w:tc>
        <w:tc>
          <w:tcPr>
            <w:tcW w:w="126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208</w:t>
            </w:r>
          </w:p>
        </w:tc>
      </w:tr>
      <w:tr w:rsidR="004D38C4">
        <w:trPr>
          <w:cantSplit/>
        </w:trPr>
        <w:tc>
          <w:tcPr>
            <w:tcW w:w="336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Loans</w:t>
            </w:r>
          </w:p>
        </w:tc>
        <w:tc>
          <w:tcPr>
            <w:tcW w:w="141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55 272</w:t>
            </w:r>
          </w:p>
        </w:tc>
        <w:tc>
          <w:tcPr>
            <w:tcW w:w="126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55 271</w:t>
            </w:r>
          </w:p>
        </w:tc>
        <w:tc>
          <w:tcPr>
            <w:tcW w:w="1267"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61"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rPr>
          <w:cantSplit/>
        </w:trPr>
        <w:tc>
          <w:tcPr>
            <w:tcW w:w="336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Receivables and recoverables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11 336</w:t>
            </w:r>
          </w:p>
        </w:tc>
        <w:tc>
          <w:tcPr>
            <w:tcW w:w="126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10 031</w:t>
            </w:r>
          </w:p>
        </w:tc>
        <w:tc>
          <w:tcPr>
            <w:tcW w:w="126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124</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909</w:t>
            </w:r>
          </w:p>
        </w:tc>
        <w:tc>
          <w:tcPr>
            <w:tcW w:w="126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273</w:t>
            </w:r>
          </w:p>
        </w:tc>
      </w:tr>
      <w:tr w:rsidR="004D38C4">
        <w:trPr>
          <w:cantSplit/>
        </w:trPr>
        <w:tc>
          <w:tcPr>
            <w:tcW w:w="336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Financial assets at fair value through surplus or deficit</w:t>
            </w:r>
          </w:p>
        </w:tc>
        <w:tc>
          <w:tcPr>
            <w:tcW w:w="141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c>
          <w:tcPr>
            <w:tcW w:w="126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c>
          <w:tcPr>
            <w:tcW w:w="1267"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61"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r>
      <w:tr w:rsidR="004D38C4">
        <w:trPr>
          <w:cantSplit/>
        </w:trPr>
        <w:tc>
          <w:tcPr>
            <w:tcW w:w="336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 at 31.12.2016</w:t>
            </w:r>
          </w:p>
        </w:tc>
        <w:tc>
          <w:tcPr>
            <w:tcW w:w="141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66 608</w:t>
            </w:r>
          </w:p>
        </w:tc>
        <w:tc>
          <w:tcPr>
            <w:tcW w:w="126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65 302</w:t>
            </w:r>
          </w:p>
        </w:tc>
        <w:tc>
          <w:tcPr>
            <w:tcW w:w="1267"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125</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909</w:t>
            </w:r>
          </w:p>
        </w:tc>
        <w:tc>
          <w:tcPr>
            <w:tcW w:w="1261"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273</w:t>
            </w:r>
          </w:p>
        </w:tc>
      </w:tr>
    </w:tbl>
    <w:p w:rsidR="004D38C4" w:rsidRDefault="004D38C4">
      <w:pPr>
        <w:pStyle w:val="HEADER5"/>
        <w:spacing w:before="360"/>
        <w:rPr>
          <w:noProof/>
        </w:rPr>
      </w:pPr>
    </w:p>
    <w:p w:rsidR="004D38C4" w:rsidRDefault="00BC2113">
      <w:pPr>
        <w:rPr>
          <w:rFonts w:ascii="Verdana" w:hAnsi="Verdana"/>
          <w:noProof/>
          <w:color w:val="016794"/>
          <w:sz w:val="18"/>
          <w:szCs w:val="18"/>
        </w:rPr>
      </w:pPr>
      <w:r>
        <w:rPr>
          <w:noProof/>
        </w:rPr>
        <w:br w:type="page"/>
      </w:r>
    </w:p>
    <w:p w:rsidR="004D38C4" w:rsidRDefault="00BC2113">
      <w:pPr>
        <w:pStyle w:val="HEADER5"/>
        <w:spacing w:before="360"/>
        <w:rPr>
          <w:noProof/>
        </w:rPr>
      </w:pPr>
      <w:r>
        <w:rPr>
          <w:noProof/>
        </w:rPr>
        <w:t>Credit quality of financial assets that are neither past due nor impaired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255"/>
        <w:gridCol w:w="1281"/>
        <w:gridCol w:w="1713"/>
        <w:gridCol w:w="1078"/>
        <w:gridCol w:w="1468"/>
      </w:tblGrid>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73" w:name="DOC_TBL00086_1_1"/>
            <w:bookmarkEnd w:id="173"/>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2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6537" w:type="dxa"/>
            <w:gridSpan w:val="5"/>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noProof/>
                <w:lang w:bidi="en-GB"/>
              </w:rPr>
            </w:pPr>
            <w:r>
              <w:rPr>
                <w:rFonts w:eastAsia="Verdana" w:cs="Verdana"/>
                <w:noProof/>
                <w:lang w:bidi="en-GB"/>
              </w:rPr>
              <w:t>31.12.2017</w:t>
            </w:r>
          </w:p>
        </w:tc>
      </w:tr>
      <w:tr w:rsidR="004D38C4">
        <w:tc>
          <w:tcPr>
            <w:tcW w:w="32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Available for sale*</w:t>
            </w:r>
          </w:p>
        </w:tc>
        <w:tc>
          <w:tcPr>
            <w:tcW w:w="130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Financial assets at FVSD**</w:t>
            </w:r>
          </w:p>
        </w:tc>
        <w:tc>
          <w:tcPr>
            <w:tcW w:w="127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Loans and receivables***</w:t>
            </w:r>
          </w:p>
        </w:tc>
        <w:tc>
          <w:tcPr>
            <w:tcW w:w="112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Cash</w:t>
            </w:r>
          </w:p>
        </w:tc>
        <w:tc>
          <w:tcPr>
            <w:tcW w:w="155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Total</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Counterparties with external credit rating</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Prime and high grade</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6 989</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2 981</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18 436</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28 422</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Upper medium grade</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1 569</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23 868</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3 851</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29 287</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Lower medium grade</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1 831</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28 037</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442</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30 311</w:t>
            </w:r>
          </w:p>
        </w:tc>
      </w:tr>
      <w:tr w:rsidR="004D38C4">
        <w:tc>
          <w:tcPr>
            <w:tcW w:w="321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Non-investment grade</w:t>
            </w:r>
          </w:p>
        </w:tc>
        <w:tc>
          <w:tcPr>
            <w:tcW w:w="127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4 084</w:t>
            </w:r>
          </w:p>
        </w:tc>
        <w:tc>
          <w:tcPr>
            <w:tcW w:w="112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381</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4 465</w:t>
            </w:r>
          </w:p>
        </w:tc>
      </w:tr>
      <w:tr w:rsidR="004D38C4">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BoldLeft"/>
              <w:rPr>
                <w:rFonts w:eastAsia="Verdana" w:cs="Verdana"/>
                <w:lang w:bidi="en-GB"/>
              </w:rPr>
            </w:pP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10 390</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16</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58 </w:t>
            </w:r>
            <w:r>
              <w:rPr>
                <w:rFonts w:eastAsia="Verdana" w:cs="Verdana"/>
                <w:lang w:bidi="en-GB"/>
              </w:rPr>
              <w:t>970</w:t>
            </w:r>
          </w:p>
        </w:tc>
        <w:tc>
          <w:tcPr>
            <w:tcW w:w="112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23 109</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92 485</w:t>
            </w:r>
          </w:p>
        </w:tc>
      </w:tr>
      <w:tr w:rsidR="004D38C4">
        <w:tc>
          <w:tcPr>
            <w:tcW w:w="321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Counterparties without external credit rating</w:t>
            </w:r>
          </w:p>
        </w:tc>
        <w:tc>
          <w:tcPr>
            <w:tcW w:w="127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30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12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Group 1 (debtors without defaults in the past)</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4 492</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4 502</w:t>
            </w:r>
          </w:p>
        </w:tc>
      </w:tr>
      <w:tr w:rsidR="004D38C4">
        <w:tc>
          <w:tcPr>
            <w:tcW w:w="321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Group 2 (debtors with defaults in the past)</w:t>
            </w:r>
          </w:p>
        </w:tc>
        <w:tc>
          <w:tcPr>
            <w:tcW w:w="127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c>
          <w:tcPr>
            <w:tcW w:w="112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w:t>
            </w:r>
          </w:p>
        </w:tc>
      </w:tr>
      <w:tr w:rsidR="004D38C4">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BoldLeft"/>
              <w:rPr>
                <w:rFonts w:eastAsia="Verdana" w:cs="Verdana"/>
                <w:lang w:bidi="en-GB"/>
              </w:rPr>
            </w:pP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6</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4 493</w:t>
            </w:r>
          </w:p>
        </w:tc>
        <w:tc>
          <w:tcPr>
            <w:tcW w:w="112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4 503</w:t>
            </w:r>
          </w:p>
        </w:tc>
      </w:tr>
      <w:tr w:rsidR="004D38C4">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10 390</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23</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63 463</w:t>
            </w:r>
          </w:p>
        </w:tc>
        <w:tc>
          <w:tcPr>
            <w:tcW w:w="112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23 113</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96 988</w:t>
            </w:r>
          </w:p>
        </w:tc>
      </w:tr>
      <w:tr w:rsidR="004D38C4">
        <w:tc>
          <w:tcPr>
            <w:tcW w:w="321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127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30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12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bl>
    <w:p w:rsidR="004D38C4" w:rsidRDefault="00BC2113">
      <w:pPr>
        <w:pStyle w:val="Figures55pBoldRight01"/>
        <w:rPr>
          <w:lang w:bidi="en-GB"/>
        </w:rPr>
      </w:pPr>
      <w:r>
        <w:rPr>
          <w:lang w:bidi="en-G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255"/>
        <w:gridCol w:w="1281"/>
        <w:gridCol w:w="1713"/>
        <w:gridCol w:w="1078"/>
        <w:gridCol w:w="1468"/>
      </w:tblGrid>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74" w:name="DOC_TBL00087_1_1"/>
            <w:bookmarkEnd w:id="174"/>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2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6537" w:type="dxa"/>
            <w:gridSpan w:val="5"/>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noProof/>
                <w:lang w:bidi="en-GB"/>
              </w:rPr>
            </w:pPr>
            <w:r>
              <w:rPr>
                <w:rFonts w:eastAsia="Verdana" w:cs="Verdana"/>
                <w:noProof/>
                <w:lang w:bidi="en-GB"/>
              </w:rPr>
              <w:t>31.12.2016</w:t>
            </w:r>
          </w:p>
        </w:tc>
      </w:tr>
      <w:tr w:rsidR="004D38C4">
        <w:tc>
          <w:tcPr>
            <w:tcW w:w="3210"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10pNormalLeft"/>
              <w:rPr>
                <w:rFonts w:eastAsia="Verdana" w:cs="Verdana"/>
                <w:lang w:bidi="en-GB"/>
              </w:rPr>
            </w:pPr>
          </w:p>
        </w:tc>
        <w:tc>
          <w:tcPr>
            <w:tcW w:w="1270"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Available for sale*</w:t>
            </w:r>
          </w:p>
        </w:tc>
        <w:tc>
          <w:tcPr>
            <w:tcW w:w="1306"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Financial assets at FVSD**</w:t>
            </w:r>
          </w:p>
        </w:tc>
        <w:tc>
          <w:tcPr>
            <w:tcW w:w="1273"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Loans and receivables***</w:t>
            </w:r>
          </w:p>
        </w:tc>
        <w:tc>
          <w:tcPr>
            <w:tcW w:w="112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Cash</w:t>
            </w:r>
          </w:p>
        </w:tc>
        <w:tc>
          <w:tcPr>
            <w:tcW w:w="155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Right025"/>
              <w:rPr>
                <w:rFonts w:eastAsia="Verdana" w:cs="Verdana"/>
                <w:noProof/>
                <w:lang w:bidi="en-GB"/>
              </w:rPr>
            </w:pPr>
            <w:r>
              <w:rPr>
                <w:rFonts w:eastAsia="Verdana" w:cs="Verdana"/>
                <w:noProof/>
                <w:lang w:bidi="en-GB"/>
              </w:rPr>
              <w:t>Total</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Counterparties with external credit rating</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Prime and high grade</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5 264</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3 162</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21 180</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29 606</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Upper medium grade</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1 184</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23 </w:t>
            </w:r>
            <w:r>
              <w:rPr>
                <w:rFonts w:eastAsia="Verdana" w:cs="Verdana"/>
                <w:lang w:bidi="en-GB"/>
              </w:rPr>
              <w:t>820</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5 178</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30 181</w:t>
            </w: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Lower medium grade</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786</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4 526</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486</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5 798</w:t>
            </w:r>
          </w:p>
        </w:tc>
      </w:tr>
      <w:tr w:rsidR="004D38C4">
        <w:tc>
          <w:tcPr>
            <w:tcW w:w="321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Non-investment grade</w:t>
            </w:r>
          </w:p>
        </w:tc>
        <w:tc>
          <w:tcPr>
            <w:tcW w:w="127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27 719</w:t>
            </w:r>
          </w:p>
        </w:tc>
        <w:tc>
          <w:tcPr>
            <w:tcW w:w="112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733</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28 452</w:t>
            </w:r>
          </w:p>
        </w:tc>
      </w:tr>
      <w:tr w:rsidR="004D38C4">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BoldLeft"/>
              <w:rPr>
                <w:rFonts w:eastAsia="Verdana" w:cs="Verdana"/>
                <w:lang w:bidi="en-GB"/>
              </w:rPr>
            </w:pP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7 234</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59 226</w:t>
            </w:r>
          </w:p>
        </w:tc>
        <w:tc>
          <w:tcPr>
            <w:tcW w:w="112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27 576</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94 037</w:t>
            </w:r>
          </w:p>
        </w:tc>
      </w:tr>
      <w:tr w:rsidR="004D38C4">
        <w:tc>
          <w:tcPr>
            <w:tcW w:w="321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Counterparties without external credit rating</w:t>
            </w:r>
          </w:p>
        </w:tc>
        <w:tc>
          <w:tcPr>
            <w:tcW w:w="127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30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12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r w:rsidR="004D38C4">
        <w:tc>
          <w:tcPr>
            <w:tcW w:w="321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Group 1 (debtors without defaults in the past)</w:t>
            </w:r>
          </w:p>
        </w:tc>
        <w:tc>
          <w:tcPr>
            <w:tcW w:w="1270"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c>
          <w:tcPr>
            <w:tcW w:w="1273"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5 996</w:t>
            </w:r>
          </w:p>
        </w:tc>
        <w:tc>
          <w:tcPr>
            <w:tcW w:w="112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6 000</w:t>
            </w:r>
          </w:p>
        </w:tc>
      </w:tr>
      <w:tr w:rsidR="004D38C4">
        <w:tc>
          <w:tcPr>
            <w:tcW w:w="321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Group 2 (debtors with defaults in the past)</w:t>
            </w:r>
          </w:p>
        </w:tc>
        <w:tc>
          <w:tcPr>
            <w:tcW w:w="1270"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306"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273"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79</w:t>
            </w:r>
          </w:p>
        </w:tc>
        <w:tc>
          <w:tcPr>
            <w:tcW w:w="112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79</w:t>
            </w:r>
          </w:p>
        </w:tc>
      </w:tr>
      <w:tr w:rsidR="004D38C4">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4D38C4">
            <w:pPr>
              <w:pStyle w:val="Text9pBoldLeft"/>
              <w:rPr>
                <w:rFonts w:eastAsia="Verdana" w:cs="Verdana"/>
                <w:lang w:bidi="en-GB"/>
              </w:rPr>
            </w:pP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0</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6 076</w:t>
            </w:r>
          </w:p>
        </w:tc>
        <w:tc>
          <w:tcPr>
            <w:tcW w:w="112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6 079</w:t>
            </w:r>
          </w:p>
        </w:tc>
      </w:tr>
      <w:tr w:rsidR="004D38C4">
        <w:tc>
          <w:tcPr>
            <w:tcW w:w="321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1270"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7 234</w:t>
            </w:r>
          </w:p>
        </w:tc>
        <w:tc>
          <w:tcPr>
            <w:tcW w:w="1306"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0</w:t>
            </w:r>
          </w:p>
        </w:tc>
        <w:tc>
          <w:tcPr>
            <w:tcW w:w="1273"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65 302</w:t>
            </w:r>
          </w:p>
        </w:tc>
        <w:tc>
          <w:tcPr>
            <w:tcW w:w="112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27 579</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100 116</w:t>
            </w:r>
          </w:p>
        </w:tc>
      </w:tr>
      <w:tr w:rsidR="004D38C4">
        <w:tc>
          <w:tcPr>
            <w:tcW w:w="321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1270"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306"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273"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12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4D38C4">
            <w:pPr>
              <w:pStyle w:val="Figures9pItalicRight025"/>
              <w:rPr>
                <w:rFonts w:eastAsia="Verdana" w:cs="Verdana"/>
                <w:lang w:bidi="en-GB"/>
              </w:rPr>
            </w:pPr>
          </w:p>
        </w:tc>
      </w:tr>
    </w:tbl>
    <w:p w:rsidR="004D38C4" w:rsidRDefault="00BC2113">
      <w:pPr>
        <w:pStyle w:val="Textstand-alone"/>
        <w:tabs>
          <w:tab w:val="left" w:pos="284"/>
        </w:tabs>
        <w:spacing w:before="60" w:after="0"/>
        <w:rPr>
          <w:i/>
          <w:sz w:val="14"/>
          <w:lang w:bidi="en-GB"/>
        </w:rPr>
      </w:pPr>
      <w:r>
        <w:rPr>
          <w:i/>
          <w:sz w:val="16"/>
          <w:lang w:bidi="en-GB"/>
        </w:rPr>
        <w:t>*</w:t>
      </w:r>
      <w:r>
        <w:rPr>
          <w:i/>
          <w:sz w:val="14"/>
          <w:lang w:bidi="en-GB"/>
        </w:rPr>
        <w:tab/>
        <w:t xml:space="preserve"> Available for sale financial assets (excluding equity instruments and Unitary Fund).</w:t>
      </w:r>
    </w:p>
    <w:p w:rsidR="004D38C4" w:rsidRDefault="00BC2113">
      <w:pPr>
        <w:pStyle w:val="Textstand-alone"/>
        <w:tabs>
          <w:tab w:val="left" w:pos="284"/>
        </w:tabs>
        <w:spacing w:before="0" w:after="0"/>
        <w:rPr>
          <w:i/>
          <w:sz w:val="14"/>
          <w:lang w:bidi="en-GB"/>
        </w:rPr>
      </w:pPr>
      <w:r>
        <w:rPr>
          <w:i/>
          <w:sz w:val="16"/>
          <w:lang w:bidi="en-GB"/>
        </w:rPr>
        <w:t>**</w:t>
      </w:r>
      <w:r>
        <w:rPr>
          <w:i/>
          <w:sz w:val="14"/>
          <w:lang w:bidi="en-GB"/>
        </w:rPr>
        <w:tab/>
      </w:r>
      <w:r>
        <w:rPr>
          <w:i/>
          <w:sz w:val="14"/>
          <w:lang w:bidi="en-GB"/>
        </w:rPr>
        <w:t xml:space="preserve"> Financial assets at fair value through surplus or deficit.</w:t>
      </w:r>
    </w:p>
    <w:p w:rsidR="004D38C4" w:rsidRDefault="00BC2113">
      <w:pPr>
        <w:pStyle w:val="Textstand-alone"/>
        <w:tabs>
          <w:tab w:val="left" w:pos="284"/>
        </w:tabs>
        <w:spacing w:before="0" w:after="0"/>
        <w:rPr>
          <w:i/>
          <w:sz w:val="14"/>
          <w:lang w:bidi="en-GB"/>
        </w:rPr>
      </w:pPr>
      <w:r>
        <w:rPr>
          <w:i/>
          <w:sz w:val="16"/>
          <w:lang w:bidi="en-GB"/>
        </w:rPr>
        <w:t xml:space="preserve">*** </w:t>
      </w:r>
      <w:r>
        <w:rPr>
          <w:i/>
          <w:sz w:val="14"/>
          <w:lang w:bidi="en-GB"/>
        </w:rPr>
        <w:t xml:space="preserve">Loans and Receivables include recoverables. </w:t>
      </w:r>
    </w:p>
    <w:p w:rsidR="004D38C4" w:rsidRDefault="00BC2113">
      <w:pPr>
        <w:pStyle w:val="Textstand-alone"/>
        <w:tabs>
          <w:tab w:val="left" w:pos="284"/>
        </w:tabs>
        <w:spacing w:before="0" w:after="0"/>
        <w:rPr>
          <w:i/>
          <w:sz w:val="14"/>
          <w:lang w:bidi="en-GB"/>
        </w:rPr>
      </w:pPr>
      <w:r>
        <w:rPr>
          <w:i/>
          <w:sz w:val="14"/>
          <w:lang w:bidi="en-GB"/>
        </w:rPr>
        <w:t xml:space="preserve"> </w:t>
      </w:r>
    </w:p>
    <w:p w:rsidR="004D38C4" w:rsidRDefault="00BC2113">
      <w:pPr>
        <w:pStyle w:val="Textstand-alone"/>
        <w:tabs>
          <w:tab w:val="left" w:pos="284"/>
        </w:tabs>
        <w:spacing w:before="0" w:after="0"/>
        <w:rPr>
          <w:i/>
          <w:sz w:val="14"/>
          <w:lang w:bidi="en-GB"/>
        </w:rPr>
        <w:sectPr w:rsidR="004D38C4">
          <w:type w:val="continuous"/>
          <w:pgSz w:w="11906" w:h="16838"/>
          <w:pgMar w:top="1134" w:right="1134" w:bottom="1134" w:left="1134" w:header="708" w:footer="708" w:gutter="0"/>
          <w:cols w:space="708"/>
          <w:docGrid w:linePitch="360"/>
        </w:sectPr>
      </w:pPr>
      <w:r>
        <w:rPr>
          <w:i/>
          <w:sz w:val="14"/>
          <w:lang w:bidi="en-GB"/>
        </w:rPr>
        <w:t xml:space="preserve"> </w:t>
      </w:r>
      <w:bookmarkEnd w:id="171"/>
    </w:p>
    <w:p w:rsidR="004D38C4" w:rsidRDefault="00BC2113">
      <w:pPr>
        <w:pStyle w:val="HEADER2NOTES"/>
        <w:rPr>
          <w:noProof/>
          <w:lang w:val="fr-BE"/>
        </w:rPr>
      </w:pPr>
      <w:bookmarkStart w:id="175" w:name="_DMBM_10938"/>
      <w:r>
        <w:rPr>
          <w:noProof/>
          <w:lang w:val="fr-BE"/>
        </w:rPr>
        <w:t>LIQUIDITY RISK</w:t>
      </w:r>
    </w:p>
    <w:p w:rsidR="004D38C4" w:rsidRDefault="00BC2113">
      <w:pPr>
        <w:pStyle w:val="HEADER5"/>
        <w:rPr>
          <w:noProof/>
        </w:rPr>
      </w:pPr>
      <w:r>
        <w:rPr>
          <w:noProof/>
        </w:rPr>
        <w:t>Maturity analysis of financial liabilities by remaining contractual maturity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rsidR="004D38C4">
        <w:trPr>
          <w:cantSplit/>
        </w:trPr>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76" w:name="DOC_TBL00088_1_1"/>
            <w:bookmarkEnd w:id="176"/>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rPr>
          <w:cantSplit/>
        </w:trPr>
        <w:tc>
          <w:tcPr>
            <w:tcW w:w="379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48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&lt; 1 year</w:t>
            </w:r>
          </w:p>
        </w:tc>
        <w:tc>
          <w:tcPr>
            <w:tcW w:w="148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1-5 years</w:t>
            </w:r>
          </w:p>
        </w:tc>
        <w:tc>
          <w:tcPr>
            <w:tcW w:w="141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&gt; 5 years</w:t>
            </w:r>
          </w:p>
        </w:tc>
        <w:tc>
          <w:tcPr>
            <w:tcW w:w="155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Total</w:t>
            </w:r>
          </w:p>
        </w:tc>
      </w:tr>
      <w:tr w:rsidR="004D38C4">
        <w:trPr>
          <w:cantSplit/>
        </w:trPr>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Borrowings</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(6 695)</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(14 769)</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(33 279)</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(54 744)</w:t>
            </w:r>
          </w:p>
        </w:tc>
      </w:tr>
      <w:tr w:rsidR="004D38C4">
        <w:trPr>
          <w:cantSplit/>
        </w:trPr>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Payables</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(39 376)</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(39 376)</w:t>
            </w:r>
          </w:p>
        </w:tc>
      </w:tr>
      <w:tr w:rsidR="004D38C4">
        <w:trPr>
          <w:cantSplit/>
        </w:trPr>
        <w:tc>
          <w:tcPr>
            <w:tcW w:w="379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financial liabilities</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(118)</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(556)</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(807)</w:t>
            </w:r>
          </w:p>
        </w:tc>
        <w:tc>
          <w:tcPr>
            <w:tcW w:w="155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(1 482)</w:t>
            </w:r>
          </w:p>
        </w:tc>
      </w:tr>
      <w:tr w:rsidR="004D38C4">
        <w:trPr>
          <w:cantSplit/>
        </w:trPr>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 at 31.12.2017</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(46 189)</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(15 325)</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(34 087)</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(95 601)</w:t>
            </w:r>
          </w:p>
        </w:tc>
      </w:tr>
      <w:tr w:rsidR="004D38C4">
        <w:trPr>
          <w:cantSplit/>
        </w:trPr>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Borrowings</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(2 006)</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(17 988)</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(34 </w:t>
            </w:r>
            <w:r>
              <w:rPr>
                <w:rFonts w:eastAsia="Verdana" w:cs="Verdana"/>
                <w:i/>
                <w:lang w:bidi="en-GB"/>
              </w:rPr>
              <w:t>950)</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(54 943)</w:t>
            </w:r>
          </w:p>
        </w:tc>
      </w:tr>
      <w:tr w:rsidR="004D38C4">
        <w:trPr>
          <w:cantSplit/>
        </w:trPr>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Payables</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(40 240)</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0</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(40 240)</w:t>
            </w:r>
          </w:p>
        </w:tc>
      </w:tr>
      <w:tr w:rsidR="004D38C4">
        <w:trPr>
          <w:cantSplit/>
        </w:trPr>
        <w:tc>
          <w:tcPr>
            <w:tcW w:w="3794"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Other financial liabilities</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(158)</w:t>
            </w:r>
          </w:p>
        </w:tc>
        <w:tc>
          <w:tcPr>
            <w:tcW w:w="148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(532)</w:t>
            </w:r>
          </w:p>
        </w:tc>
        <w:tc>
          <w:tcPr>
            <w:tcW w:w="1418"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(906)</w:t>
            </w:r>
          </w:p>
        </w:tc>
        <w:tc>
          <w:tcPr>
            <w:tcW w:w="1559" w:type="dxa"/>
            <w:tcBorders>
              <w:top w:val="nil"/>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(1 596)</w:t>
            </w:r>
          </w:p>
        </w:tc>
      </w:tr>
      <w:tr w:rsidR="004D38C4">
        <w:trPr>
          <w:cantSplit/>
        </w:trPr>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 at 31.12.2016</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(42 405)</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(18 520)</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(35 855)</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(96 780)</w:t>
            </w:r>
          </w:p>
        </w:tc>
      </w:tr>
    </w:tbl>
    <w:p w:rsidR="004D38C4" w:rsidRDefault="00BC2113">
      <w:pPr>
        <w:pStyle w:val="DGTextstand-alone"/>
        <w:spacing w:before="0" w:after="0"/>
        <w:rPr>
          <w:lang w:bidi="en-GB"/>
        </w:rPr>
      </w:pPr>
      <w:r>
        <w:rPr>
          <w:lang w:bidi="en-GB"/>
        </w:rPr>
        <w:t xml:space="preserve"> </w:t>
      </w:r>
    </w:p>
    <w:p w:rsidR="004D38C4" w:rsidRDefault="00BC2113">
      <w:pPr>
        <w:rPr>
          <w:rFonts w:ascii="Verdana" w:hAnsi="Verdana"/>
          <w:noProof/>
          <w:color w:val="016794"/>
          <w:sz w:val="18"/>
          <w:szCs w:val="18"/>
          <w:lang w:bidi="en-GB"/>
        </w:rPr>
      </w:pPr>
      <w:r>
        <w:rPr>
          <w:noProof/>
          <w:lang w:bidi="en-GB"/>
        </w:rPr>
        <w:br w:type="page"/>
      </w:r>
    </w:p>
    <w:p w:rsidR="004D38C4" w:rsidRDefault="00BC2113">
      <w:pPr>
        <w:pStyle w:val="HEADER5"/>
        <w:rPr>
          <w:noProof/>
          <w:lang w:bidi="en-GB"/>
        </w:rPr>
      </w:pPr>
      <w:r>
        <w:rPr>
          <w:noProof/>
          <w:lang w:bidi="en-GB"/>
        </w:rPr>
        <w:t xml:space="preserve">Financial instruments at fair value through surplus or deficit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8"/>
        <w:gridCol w:w="1488"/>
        <w:gridCol w:w="1418"/>
        <w:gridCol w:w="1559"/>
      </w:tblGrid>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77" w:name="DOC_TBL00089_1_1"/>
            <w:bookmarkEnd w:id="177"/>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lang w:bidi="en-GB"/>
              </w:rPr>
            </w:pPr>
            <w:r>
              <w:rPr>
                <w:rFonts w:eastAsia="Verdana" w:cs="Verdana"/>
                <w:lang w:bidi="en-GB"/>
              </w:rPr>
              <w:t>EUR millions</w:t>
            </w:r>
          </w:p>
        </w:tc>
      </w:tr>
      <w:tr w:rsidR="004D38C4">
        <w:tc>
          <w:tcPr>
            <w:tcW w:w="379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9pNormalLeft"/>
              <w:rPr>
                <w:rFonts w:eastAsia="Verdana" w:cs="Verdana"/>
                <w:noProof/>
                <w:lang w:bidi="en-GB"/>
              </w:rPr>
            </w:pPr>
          </w:p>
        </w:tc>
        <w:tc>
          <w:tcPr>
            <w:tcW w:w="148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 xml:space="preserve">&lt; 1 </w:t>
            </w:r>
            <w:r>
              <w:rPr>
                <w:rFonts w:eastAsia="Verdana" w:cs="Verdana"/>
                <w:lang w:bidi="en-GB"/>
              </w:rPr>
              <w:t>year</w:t>
            </w:r>
          </w:p>
        </w:tc>
        <w:tc>
          <w:tcPr>
            <w:tcW w:w="148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1-5 years</w:t>
            </w:r>
          </w:p>
        </w:tc>
        <w:tc>
          <w:tcPr>
            <w:tcW w:w="1418"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&gt; 5 years</w:t>
            </w:r>
          </w:p>
        </w:tc>
        <w:tc>
          <w:tcPr>
            <w:tcW w:w="1559" w:type="dxa"/>
            <w:tcBorders>
              <w:top w:val="nil"/>
              <w:left w:val="nil"/>
              <w:bottom w:val="nil"/>
              <w:right w:val="nil"/>
            </w:tcBorders>
            <w:shd w:val="clear" w:color="auto" w:fill="016794"/>
            <w:tcMar>
              <w:top w:w="0" w:type="dxa"/>
              <w:left w:w="108" w:type="dxa"/>
              <w:bottom w:w="0" w:type="dxa"/>
              <w:right w:w="108" w:type="dxa"/>
            </w:tcMar>
          </w:tcPr>
          <w:p w:rsidR="004D38C4" w:rsidRDefault="00BC2113">
            <w:pPr>
              <w:pStyle w:val="Heading-9pNormalCentered"/>
              <w:rPr>
                <w:rFonts w:eastAsia="Verdana" w:cs="Verdana"/>
                <w:lang w:bidi="en-GB"/>
              </w:rPr>
            </w:pPr>
            <w:r>
              <w:rPr>
                <w:rFonts w:eastAsia="Verdana" w:cs="Verdana"/>
                <w:lang w:bidi="en-GB"/>
              </w:rPr>
              <w:t>Total</w:t>
            </w:r>
          </w:p>
        </w:tc>
      </w:tr>
      <w:tr w:rsidR="004D38C4">
        <w:tc>
          <w:tcPr>
            <w:tcW w:w="3794"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Derivative pay leg</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(634)</w:t>
            </w:r>
          </w:p>
        </w:tc>
        <w:tc>
          <w:tcPr>
            <w:tcW w:w="148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(2)</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(635)</w:t>
            </w:r>
          </w:p>
        </w:tc>
      </w:tr>
      <w:tr w:rsidR="004D38C4">
        <w:tc>
          <w:tcPr>
            <w:tcW w:w="3794"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Derivative receive leg</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638</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638</w:t>
            </w:r>
          </w:p>
        </w:tc>
      </w:tr>
      <w:tr w:rsidR="004D38C4">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Net cash flows at 31.12.2017</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5</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(2)</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3</w:t>
            </w:r>
          </w:p>
        </w:tc>
      </w:tr>
      <w:tr w:rsidR="004D38C4">
        <w:tc>
          <w:tcPr>
            <w:tcW w:w="3794"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Derivative pay leg</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(150)</w:t>
            </w:r>
          </w:p>
        </w:tc>
        <w:tc>
          <w:tcPr>
            <w:tcW w:w="148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418"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single" w:sz="4" w:space="0" w:color="016794"/>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 xml:space="preserve"> (150)</w:t>
            </w:r>
          </w:p>
        </w:tc>
      </w:tr>
      <w:tr w:rsidR="004D38C4">
        <w:tc>
          <w:tcPr>
            <w:tcW w:w="3794"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i/>
                <w:lang w:bidi="en-GB"/>
              </w:rPr>
            </w:pPr>
            <w:r>
              <w:rPr>
                <w:rFonts w:eastAsia="Verdana" w:cs="Verdana"/>
                <w:i/>
                <w:lang w:bidi="en-GB"/>
              </w:rPr>
              <w:t>Derivative receive leg</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149</w:t>
            </w:r>
          </w:p>
        </w:tc>
        <w:tc>
          <w:tcPr>
            <w:tcW w:w="148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418"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w:t>
            </w:r>
          </w:p>
        </w:tc>
        <w:tc>
          <w:tcPr>
            <w:tcW w:w="1559" w:type="dxa"/>
            <w:tcBorders>
              <w:top w:val="nil"/>
              <w:left w:val="nil"/>
              <w:bottom w:val="single" w:sz="4" w:space="0" w:color="FFFFFF"/>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i/>
                <w:lang w:bidi="en-GB"/>
              </w:rPr>
            </w:pPr>
            <w:r>
              <w:rPr>
                <w:rFonts w:eastAsia="Verdana" w:cs="Verdana"/>
                <w:i/>
                <w:lang w:bidi="en-GB"/>
              </w:rPr>
              <w:t>149</w:t>
            </w:r>
          </w:p>
        </w:tc>
      </w:tr>
      <w:tr w:rsidR="004D38C4">
        <w:tc>
          <w:tcPr>
            <w:tcW w:w="3794"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Net cash flows at 31.12.2016</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w:t>
            </w:r>
          </w:p>
        </w:tc>
        <w:tc>
          <w:tcPr>
            <w:tcW w:w="148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w:t>
            </w:r>
          </w:p>
        </w:tc>
        <w:tc>
          <w:tcPr>
            <w:tcW w:w="1418"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w:t>
            </w:r>
          </w:p>
        </w:tc>
        <w:tc>
          <w:tcPr>
            <w:tcW w:w="1559" w:type="dxa"/>
            <w:tcBorders>
              <w:top w:val="single" w:sz="4" w:space="0" w:color="016794"/>
              <w:left w:val="nil"/>
              <w:bottom w:val="single" w:sz="4" w:space="0" w:color="016794"/>
              <w:right w:val="nil"/>
            </w:tcBorders>
            <w:shd w:val="clear" w:color="auto" w:fill="auto"/>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w:t>
            </w:r>
          </w:p>
        </w:tc>
      </w:tr>
    </w:tbl>
    <w:p w:rsidR="004D38C4" w:rsidRDefault="00BC2113">
      <w:pPr>
        <w:pStyle w:val="DGTextstand-alone"/>
        <w:rPr>
          <w:lang w:bidi="en-GB"/>
        </w:rPr>
        <w:sectPr w:rsidR="004D38C4">
          <w:type w:val="continuous"/>
          <w:pgSz w:w="11906" w:h="16838"/>
          <w:pgMar w:top="1134" w:right="1134" w:bottom="1134" w:left="1134" w:header="708" w:footer="708" w:gutter="0"/>
          <w:cols w:space="708"/>
          <w:docGrid w:linePitch="360"/>
        </w:sectPr>
      </w:pPr>
      <w:r>
        <w:rPr>
          <w:lang w:bidi="en-GB"/>
        </w:rPr>
        <w:t xml:space="preserve"> </w:t>
      </w:r>
      <w:bookmarkEnd w:id="175"/>
    </w:p>
    <w:p w:rsidR="004D38C4" w:rsidRDefault="00BC2113">
      <w:pPr>
        <w:pStyle w:val="HEADER2NOTES"/>
        <w:rPr>
          <w:noProof/>
        </w:rPr>
      </w:pPr>
      <w:bookmarkStart w:id="178" w:name="_DMBM_11092"/>
      <w:r>
        <w:rPr>
          <w:noProof/>
        </w:rPr>
        <w:t xml:space="preserve">CARRYING AMOUNT AND FAIR VALUE OF FINANCIAL INSTRUMENTS </w:t>
      </w:r>
    </w:p>
    <w:p w:rsidR="004D38C4" w:rsidRDefault="00BC2113">
      <w:pPr>
        <w:pStyle w:val="DGTextstand-alone"/>
      </w:pPr>
      <w:r>
        <w:t xml:space="preserve">The following classes of financial assets and liabilities are not measured at fair value: cash and cash equivalents, loans, exchange receivables and </w:t>
      </w:r>
      <w:r>
        <w:t>non-exchange recoverables, borrowings and other financial liabilities at amortised cost. The carrying amount of those financial assets and liabilities is considered as a reasonable approximation of their fair value.</w:t>
      </w:r>
    </w:p>
    <w:p w:rsidR="004D38C4" w:rsidRDefault="00BC2113">
      <w:pPr>
        <w:pStyle w:val="DGTextstand-alone"/>
        <w:sectPr w:rsidR="004D38C4">
          <w:headerReference w:type="even" r:id="rId309"/>
          <w:headerReference w:type="default" r:id="rId310"/>
          <w:footerReference w:type="even" r:id="rId311"/>
          <w:footerReference w:type="default" r:id="rId312"/>
          <w:headerReference w:type="first" r:id="rId313"/>
          <w:footerReference w:type="first" r:id="rId314"/>
          <w:type w:val="continuous"/>
          <w:pgSz w:w="11906" w:h="16838"/>
          <w:pgMar w:top="1134" w:right="1134" w:bottom="1134" w:left="1134" w:header="709" w:footer="709" w:gutter="0"/>
          <w:cols w:space="708"/>
          <w:docGrid w:linePitch="360"/>
        </w:sectPr>
      </w:pPr>
      <w:r>
        <w:t xml:space="preserve"> </w:t>
      </w:r>
      <w:bookmarkEnd w:id="178"/>
    </w:p>
    <w:p w:rsidR="004D38C4" w:rsidRDefault="00BC2113">
      <w:pPr>
        <w:pStyle w:val="HEADER1NOTES"/>
        <w:rPr>
          <w:noProof/>
        </w:rPr>
      </w:pPr>
      <w:bookmarkStart w:id="179" w:name="_Toc517247546"/>
      <w:bookmarkStart w:id="180" w:name="_DMBM_11091"/>
      <w:r>
        <w:rPr>
          <w:noProof/>
        </w:rPr>
        <w:t>RELATED PARTIES</w:t>
      </w:r>
      <w:bookmarkEnd w:id="179"/>
    </w:p>
    <w:p w:rsidR="004D38C4" w:rsidRDefault="00BC2113">
      <w:pPr>
        <w:pStyle w:val="DGTextstand-alone"/>
      </w:pPr>
      <w:r>
        <w:t xml:space="preserve">The related parties of the entity are the EU consolidated entities and the key management personnel of these entities. Transactions between these entities take place as </w:t>
      </w:r>
      <w:r>
        <w:t>part of the normal operations of the EU and as this is the case, no specific disclosure requirements are necessary for these transactions in accordance with the EU accounting rules.</w:t>
      </w:r>
    </w:p>
    <w:p w:rsidR="004D38C4" w:rsidRDefault="00BC2113">
      <w:pPr>
        <w:pStyle w:val="DGTextstand-alone"/>
        <w:sectPr w:rsidR="004D38C4">
          <w:headerReference w:type="even" r:id="rId315"/>
          <w:headerReference w:type="default" r:id="rId316"/>
          <w:footerReference w:type="even" r:id="rId317"/>
          <w:footerReference w:type="default" r:id="rId318"/>
          <w:headerReference w:type="first" r:id="rId319"/>
          <w:footerReference w:type="first" r:id="rId320"/>
          <w:pgSz w:w="11906" w:h="16838"/>
          <w:pgMar w:top="1134" w:right="1134" w:bottom="1134" w:left="1134" w:header="709" w:footer="709" w:gutter="0"/>
          <w:cols w:space="708"/>
          <w:docGrid w:linePitch="360"/>
        </w:sectPr>
      </w:pPr>
      <w:r>
        <w:t xml:space="preserve">Details on key management entitlements are provided in note </w:t>
      </w:r>
      <w:r>
        <w:rPr>
          <w:b/>
        </w:rPr>
        <w:t xml:space="preserve">7 </w:t>
      </w:r>
      <w:r>
        <w:t xml:space="preserve">of the EU consolidated annual accounts. </w:t>
      </w:r>
      <w:bookmarkEnd w:id="180"/>
    </w:p>
    <w:p w:rsidR="004D38C4" w:rsidRDefault="00BC2113">
      <w:pPr>
        <w:pStyle w:val="HEADER1NOTES"/>
        <w:rPr>
          <w:noProof/>
        </w:rPr>
      </w:pPr>
      <w:bookmarkStart w:id="181" w:name="_Toc517247547"/>
      <w:bookmarkStart w:id="182" w:name="_DMBM_11095"/>
      <w:r>
        <w:rPr>
          <w:noProof/>
        </w:rPr>
        <w:t>EVENTS AFTER THE BALANCE SHEET DATE</w:t>
      </w:r>
      <w:bookmarkEnd w:id="181"/>
    </w:p>
    <w:p w:rsidR="004D38C4" w:rsidRDefault="00BC2113">
      <w:pPr>
        <w:pStyle w:val="DGTextstand-alone"/>
      </w:pPr>
      <w:r>
        <w:t xml:space="preserve">At the date of signing of these accounts no material issues had come to the attention of or were reported to the Accounting Officer of the Commission that would require separate disclosure under this section. As explained in </w:t>
      </w:r>
      <w:r>
        <w:rPr>
          <w:b/>
        </w:rPr>
        <w:t>note 4.1.1</w:t>
      </w:r>
      <w:r>
        <w:t xml:space="preserve"> of the consolidated </w:t>
      </w:r>
      <w:r>
        <w:t>financial statements of the EU, the EFSI Agreement has been amended in March 2018 following the amended Regulation EU 2017/2396.</w:t>
      </w:r>
    </w:p>
    <w:p w:rsidR="004D38C4" w:rsidRDefault="00BC2113">
      <w:pPr>
        <w:pStyle w:val="DGTextstand-alone"/>
      </w:pPr>
      <w:r>
        <w:t>The accounts and related notes were prepared using the most recently available information and this is reflected in the informa</w:t>
      </w:r>
      <w:r>
        <w:t>tion presented.</w:t>
      </w:r>
    </w:p>
    <w:p w:rsidR="004D38C4" w:rsidRDefault="00BC2113">
      <w:pPr>
        <w:pStyle w:val="DGTextstand-alone"/>
        <w:sectPr w:rsidR="004D38C4">
          <w:headerReference w:type="even" r:id="rId321"/>
          <w:headerReference w:type="default" r:id="rId322"/>
          <w:footerReference w:type="even" r:id="rId323"/>
          <w:footerReference w:type="default" r:id="rId324"/>
          <w:headerReference w:type="first" r:id="rId325"/>
          <w:footerReference w:type="first" r:id="rId326"/>
          <w:pgSz w:w="11906" w:h="16838"/>
          <w:pgMar w:top="1134" w:right="1134" w:bottom="1134" w:left="1134" w:header="709" w:footer="709" w:gutter="0"/>
          <w:cols w:space="708"/>
          <w:docGrid w:linePitch="360"/>
        </w:sectPr>
      </w:pPr>
      <w:r>
        <w:t xml:space="preserve"> </w:t>
      </w:r>
      <w:bookmarkEnd w:id="182"/>
    </w:p>
    <w:p w:rsidR="004D38C4" w:rsidRDefault="00BC2113">
      <w:pPr>
        <w:rPr>
          <w:rFonts w:ascii="Verdana" w:hAnsi="Verdana"/>
          <w:noProof/>
          <w:color w:val="016794"/>
        </w:rPr>
      </w:pPr>
      <w:bookmarkStart w:id="183" w:name="_DMBM_11014"/>
      <w:r>
        <w:rPr>
          <w:noProof/>
        </w:rPr>
        <w:br w:type="page"/>
      </w:r>
    </w:p>
    <w:p w:rsidR="004D38C4" w:rsidRDefault="00BC2113">
      <w:pPr>
        <w:pStyle w:val="FinancialYear"/>
        <w:rPr>
          <w:noProof/>
        </w:rPr>
      </w:pPr>
      <w:r>
        <w:rPr>
          <w:noProof/>
        </w:rPr>
        <w:t>EUROPEAN COMMISSION</w:t>
      </w:r>
    </w:p>
    <w:p w:rsidR="004D38C4" w:rsidRDefault="00BC2113">
      <w:pPr>
        <w:pStyle w:val="FinancialYear"/>
        <w:rPr>
          <w:noProof/>
        </w:rPr>
      </w:pPr>
      <w:r>
        <w:rPr>
          <w:noProof/>
        </w:rPr>
        <w:t>FINANCIAL YEAR 2017</w:t>
      </w:r>
    </w:p>
    <w:p w:rsidR="004D38C4" w:rsidRDefault="004D38C4">
      <w:pPr>
        <w:pStyle w:val="FIRSTCHAPTERPAGE"/>
        <w:rPr>
          <w:noProof/>
        </w:rPr>
      </w:pPr>
    </w:p>
    <w:p w:rsidR="004D38C4" w:rsidRDefault="004D38C4">
      <w:pPr>
        <w:pStyle w:val="FIRSTCHAPTERPAGE"/>
        <w:rPr>
          <w:noProof/>
        </w:rPr>
      </w:pPr>
    </w:p>
    <w:p w:rsidR="004D38C4" w:rsidRDefault="004D38C4">
      <w:pPr>
        <w:pStyle w:val="FIRSTCHAPTERPAGE"/>
        <w:rPr>
          <w:noProof/>
        </w:rPr>
      </w:pPr>
    </w:p>
    <w:p w:rsidR="004D38C4" w:rsidRDefault="004D38C4">
      <w:pPr>
        <w:pStyle w:val="FIRSTCHAPTERPAGE"/>
        <w:rPr>
          <w:noProof/>
        </w:rPr>
      </w:pPr>
    </w:p>
    <w:p w:rsidR="004D38C4" w:rsidRDefault="00BC2113">
      <w:pPr>
        <w:pStyle w:val="FIRSTCHAPTERPAGE"/>
        <w:rPr>
          <w:noProof/>
        </w:rPr>
      </w:pPr>
      <w:bookmarkStart w:id="184" w:name="_Toc517247533"/>
      <w:r>
        <w:rPr>
          <w:noProof/>
        </w:rPr>
        <w:t>BUDGETARY IMPLEMENTATION REPORTS</w:t>
      </w:r>
      <w:bookmarkEnd w:id="184"/>
      <w:r>
        <w:rPr>
          <w:noProof/>
        </w:rPr>
        <w:t xml:space="preserve"> </w:t>
      </w:r>
    </w:p>
    <w:p w:rsidR="004D38C4" w:rsidRDefault="004D38C4">
      <w:pPr>
        <w:pStyle w:val="FIRSTCHAPTERPAGE"/>
        <w:rPr>
          <w:noProof/>
        </w:rPr>
      </w:pPr>
    </w:p>
    <w:p w:rsidR="004D38C4" w:rsidRDefault="004D38C4">
      <w:pPr>
        <w:pStyle w:val="FIRSTCHAPTERPAGE"/>
        <w:rPr>
          <w:noProof/>
        </w:rPr>
      </w:pPr>
    </w:p>
    <w:p w:rsidR="004D38C4" w:rsidRDefault="004D38C4">
      <w:pPr>
        <w:pStyle w:val="FIRSTCHAPTERPAG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4D38C4">
      <w:pPr>
        <w:pStyle w:val="TOPHEADERNOTE"/>
        <w:rPr>
          <w:noProof/>
        </w:rPr>
      </w:pPr>
    </w:p>
    <w:p w:rsidR="004D38C4" w:rsidRDefault="00BC2113">
      <w:pPr>
        <w:pStyle w:val="TOPHEADERNOTE"/>
        <w:rPr>
          <w:noProof/>
        </w:rPr>
        <w:sectPr w:rsidR="004D38C4">
          <w:headerReference w:type="even" r:id="rId327"/>
          <w:headerReference w:type="default" r:id="rId328"/>
          <w:footerReference w:type="even" r:id="rId329"/>
          <w:footerReference w:type="default" r:id="rId330"/>
          <w:headerReference w:type="first" r:id="rId331"/>
          <w:footerReference w:type="first" r:id="rId332"/>
          <w:pgSz w:w="11906" w:h="16838"/>
          <w:pgMar w:top="1134" w:right="1134" w:bottom="1134" w:left="1134" w:header="709" w:footer="709" w:gutter="0"/>
          <w:cols w:space="708"/>
          <w:docGrid w:linePitch="360"/>
        </w:sectPr>
      </w:pPr>
      <w:r>
        <w:rPr>
          <w:noProof/>
        </w:rPr>
        <w:t>It should be noted that due to the rounding of figures into millions of euros, some financial data in the tables below may appear not to add-up.</w:t>
      </w:r>
      <w:bookmarkEnd w:id="183"/>
    </w:p>
    <w:p w:rsidR="004D38C4" w:rsidRDefault="00BC2113">
      <w:pPr>
        <w:rPr>
          <w:rFonts w:ascii="Verdana" w:hAnsi="Verdana"/>
          <w:b/>
          <w:noProof/>
          <w:color w:val="016794"/>
          <w:sz w:val="28"/>
          <w:szCs w:val="28"/>
        </w:rPr>
      </w:pPr>
      <w:bookmarkStart w:id="185" w:name="_DMBM_11063"/>
      <w:r>
        <w:rPr>
          <w:noProof/>
        </w:rPr>
        <w:br w:type="page"/>
      </w:r>
    </w:p>
    <w:p w:rsidR="004D38C4" w:rsidRDefault="00BC2113">
      <w:pPr>
        <w:pStyle w:val="HEADERTABLE"/>
        <w:rPr>
          <w:noProof/>
        </w:rPr>
      </w:pPr>
      <w:r>
        <w:rPr>
          <w:noProof/>
        </w:rPr>
        <w:t>CONTENTS</w:t>
      </w:r>
    </w:p>
    <w:p w:rsidR="004D38C4" w:rsidRDefault="00BC2113">
      <w:pPr>
        <w:pStyle w:val="TOC1"/>
        <w:tabs>
          <w:tab w:val="right" w:leader="dot" w:pos="9629"/>
        </w:tabs>
        <w:rPr>
          <w:rFonts w:asciiTheme="minorHAnsi" w:eastAsiaTheme="minorEastAsia" w:hAnsiTheme="minorHAnsi" w:cstheme="minorBidi"/>
          <w:noProof/>
          <w:color w:val="auto"/>
          <w:szCs w:val="22"/>
        </w:rPr>
      </w:pPr>
      <w:r>
        <w:rPr>
          <w:noProof/>
          <w:color w:val="016794"/>
          <w:szCs w:val="22"/>
        </w:rPr>
        <w:fldChar w:fldCharType="begin"/>
      </w:r>
      <w:r>
        <w:rPr>
          <w:noProof/>
          <w:color w:val="016794"/>
          <w:szCs w:val="22"/>
        </w:rPr>
        <w:instrText xml:space="preserve"> TOC \t "HEADER 1_Part BUDG;1;HEADER 2_Part BUDG;2;HEADER_TITLE_2;1" </w:instrText>
      </w:r>
      <w:r>
        <w:rPr>
          <w:noProof/>
          <w:color w:val="016794"/>
          <w:szCs w:val="22"/>
        </w:rPr>
        <w:fldChar w:fldCharType="separate"/>
      </w:r>
      <w:r>
        <w:rPr>
          <w:noProof/>
        </w:rPr>
        <w:t>EU BUDGET RESULT</w:t>
      </w:r>
      <w:r>
        <w:rPr>
          <w:noProof/>
        </w:rPr>
        <w:tab/>
      </w:r>
      <w:r>
        <w:rPr>
          <w:noProof/>
        </w:rPr>
        <w:fldChar w:fldCharType="begin"/>
      </w:r>
      <w:r>
        <w:rPr>
          <w:noProof/>
        </w:rPr>
        <w:instrText xml:space="preserve"> PAGEREF _Toc517248440 \h </w:instrText>
      </w:r>
      <w:r>
        <w:rPr>
          <w:noProof/>
        </w:rPr>
      </w:r>
      <w:r>
        <w:rPr>
          <w:noProof/>
        </w:rPr>
        <w:fldChar w:fldCharType="separate"/>
      </w:r>
      <w:r>
        <w:rPr>
          <w:noProof/>
        </w:rPr>
        <w:t>60</w:t>
      </w:r>
      <w:r>
        <w:rPr>
          <w:noProof/>
        </w:rPr>
        <w:fldChar w:fldCharType="end"/>
      </w:r>
    </w:p>
    <w:p w:rsidR="004D38C4" w:rsidRDefault="00BC2113">
      <w:pPr>
        <w:pStyle w:val="TOC1"/>
        <w:tabs>
          <w:tab w:val="right" w:leader="dot" w:pos="9629"/>
        </w:tabs>
        <w:rPr>
          <w:rFonts w:asciiTheme="minorHAnsi" w:eastAsiaTheme="minorEastAsia" w:hAnsiTheme="minorHAnsi" w:cstheme="minorBidi"/>
          <w:noProof/>
          <w:color w:val="auto"/>
          <w:szCs w:val="22"/>
        </w:rPr>
      </w:pPr>
      <w:r>
        <w:rPr>
          <w:noProof/>
        </w:rPr>
        <w:t>STATEMENT OF COMPARISON OF BUDGET AND ACTUAL AMOUNTS</w:t>
      </w:r>
      <w:r>
        <w:rPr>
          <w:noProof/>
        </w:rPr>
        <w:tab/>
      </w:r>
      <w:r>
        <w:rPr>
          <w:noProof/>
        </w:rPr>
        <w:fldChar w:fldCharType="begin"/>
      </w:r>
      <w:r>
        <w:rPr>
          <w:noProof/>
        </w:rPr>
        <w:instrText xml:space="preserve"> PAGEREF _Toc5172484</w:instrText>
      </w:r>
      <w:r>
        <w:rPr>
          <w:noProof/>
        </w:rPr>
        <w:instrText xml:space="preserve">41 \h </w:instrText>
      </w:r>
      <w:r>
        <w:rPr>
          <w:noProof/>
        </w:rPr>
      </w:r>
      <w:r>
        <w:rPr>
          <w:noProof/>
        </w:rPr>
        <w:fldChar w:fldCharType="separate"/>
      </w:r>
      <w:r>
        <w:rPr>
          <w:noProof/>
        </w:rPr>
        <w:t>61</w:t>
      </w:r>
      <w:r>
        <w:rPr>
          <w:noProof/>
        </w:rPr>
        <w:fldChar w:fldCharType="end"/>
      </w:r>
    </w:p>
    <w:p w:rsidR="004D38C4" w:rsidRDefault="00BC2113">
      <w:pPr>
        <w:pStyle w:val="TOC1"/>
        <w:tabs>
          <w:tab w:val="left" w:pos="660"/>
          <w:tab w:val="right" w:leader="dot" w:pos="9629"/>
        </w:tabs>
        <w:rPr>
          <w:rFonts w:asciiTheme="minorHAnsi" w:eastAsiaTheme="minorEastAsia" w:hAnsiTheme="minorHAnsi" w:cstheme="minorBidi"/>
          <w:noProof/>
          <w:color w:val="auto"/>
          <w:szCs w:val="22"/>
        </w:rPr>
      </w:pPr>
      <w:r>
        <w:rPr>
          <w:noProof/>
          <w14:scene3d>
            <w14:camera w14:prst="orthographicFront"/>
            <w14:lightRig w14:rig="threePt" w14:dir="t">
              <w14:rot w14:lat="0" w14:lon="0" w14:rev="0"/>
            </w14:lightRig>
          </w14:scene3d>
          <w14:props3d w14:extrusionH="0" w14:contourW="0" w14:prstMaterial="warmMatte"/>
        </w:rPr>
        <w:t>1.</w:t>
      </w:r>
      <w:r>
        <w:rPr>
          <w:rFonts w:asciiTheme="minorHAnsi" w:eastAsiaTheme="minorEastAsia" w:hAnsiTheme="minorHAnsi" w:cstheme="minorBidi"/>
          <w:noProof/>
          <w:color w:val="auto"/>
          <w:szCs w:val="22"/>
        </w:rPr>
        <w:tab/>
      </w:r>
      <w:r>
        <w:rPr>
          <w:noProof/>
        </w:rPr>
        <w:t>IMPLEMENTATION OF EC BUDGET REVENUE</w:t>
      </w:r>
      <w:r>
        <w:rPr>
          <w:noProof/>
        </w:rPr>
        <w:tab/>
      </w:r>
      <w:r>
        <w:rPr>
          <w:noProof/>
        </w:rPr>
        <w:fldChar w:fldCharType="begin"/>
      </w:r>
      <w:r>
        <w:rPr>
          <w:noProof/>
        </w:rPr>
        <w:instrText xml:space="preserve"> PAGEREF _Toc517248444 \h </w:instrText>
      </w:r>
      <w:r>
        <w:rPr>
          <w:noProof/>
        </w:rPr>
      </w:r>
      <w:r>
        <w:rPr>
          <w:noProof/>
        </w:rPr>
        <w:fldChar w:fldCharType="separate"/>
      </w:r>
      <w:r>
        <w:rPr>
          <w:noProof/>
        </w:rPr>
        <w:t>64</w:t>
      </w:r>
      <w:r>
        <w:rPr>
          <w:noProof/>
        </w:rPr>
        <w:fldChar w:fldCharType="end"/>
      </w:r>
    </w:p>
    <w:p w:rsidR="004D38C4" w:rsidRDefault="00BC2113">
      <w:pPr>
        <w:pStyle w:val="TOC1"/>
        <w:tabs>
          <w:tab w:val="left" w:pos="660"/>
          <w:tab w:val="right" w:leader="dot" w:pos="9629"/>
        </w:tabs>
        <w:rPr>
          <w:rFonts w:asciiTheme="minorHAnsi" w:eastAsiaTheme="minorEastAsia" w:hAnsiTheme="minorHAnsi" w:cstheme="minorBidi"/>
          <w:noProof/>
          <w:color w:val="auto"/>
          <w:szCs w:val="22"/>
        </w:rPr>
      </w:pPr>
      <w:r>
        <w:rPr>
          <w:noProof/>
          <w14:scene3d>
            <w14:camera w14:prst="orthographicFront"/>
            <w14:lightRig w14:rig="threePt" w14:dir="t">
              <w14:rot w14:lat="0" w14:lon="0" w14:rev="0"/>
            </w14:lightRig>
          </w14:scene3d>
          <w14:props3d w14:extrusionH="0" w14:contourW="0" w14:prstMaterial="warmMatte"/>
        </w:rPr>
        <w:t>2.</w:t>
      </w:r>
      <w:r>
        <w:rPr>
          <w:rFonts w:asciiTheme="minorHAnsi" w:eastAsiaTheme="minorEastAsia" w:hAnsiTheme="minorHAnsi" w:cstheme="minorBidi"/>
          <w:noProof/>
          <w:color w:val="auto"/>
          <w:szCs w:val="22"/>
        </w:rPr>
        <w:tab/>
      </w:r>
      <w:r>
        <w:rPr>
          <w:noProof/>
        </w:rPr>
        <w:t>IMPLEMENTATION OF EC BUDGET EXPENDITURE</w:t>
      </w:r>
      <w:r>
        <w:rPr>
          <w:noProof/>
        </w:rPr>
        <w:tab/>
      </w:r>
      <w:r>
        <w:rPr>
          <w:noProof/>
        </w:rPr>
        <w:fldChar w:fldCharType="begin"/>
      </w:r>
      <w:r>
        <w:rPr>
          <w:noProof/>
        </w:rPr>
        <w:instrText xml:space="preserve"> PAGEREF _Toc517248445 \h </w:instrText>
      </w:r>
      <w:r>
        <w:rPr>
          <w:noProof/>
        </w:rPr>
      </w:r>
      <w:r>
        <w:rPr>
          <w:noProof/>
        </w:rPr>
        <w:fldChar w:fldCharType="separate"/>
      </w:r>
      <w:r>
        <w:rPr>
          <w:noProof/>
        </w:rPr>
        <w:t>65</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2.1.</w:t>
      </w:r>
      <w:r>
        <w:rPr>
          <w:rFonts w:asciiTheme="minorHAnsi" w:eastAsiaTheme="minorEastAsia" w:hAnsiTheme="minorHAnsi" w:cstheme="minorBidi"/>
          <w:noProof/>
          <w:color w:val="auto"/>
          <w:szCs w:val="22"/>
        </w:rPr>
        <w:tab/>
      </w:r>
      <w:r>
        <w:rPr>
          <w:noProof/>
        </w:rPr>
        <w:t>MFF: BREAKDOWN &amp; CHANGES IN COMMITMENT &amp; PAYMENT APPROPRIATIONS</w:t>
      </w:r>
      <w:r>
        <w:rPr>
          <w:noProof/>
        </w:rPr>
        <w:tab/>
      </w:r>
      <w:r>
        <w:rPr>
          <w:noProof/>
        </w:rPr>
        <w:fldChar w:fldCharType="begin"/>
      </w:r>
      <w:r>
        <w:rPr>
          <w:noProof/>
        </w:rPr>
        <w:instrText xml:space="preserve"> PAGEREF _Toc517248446 \h </w:instrText>
      </w:r>
      <w:r>
        <w:rPr>
          <w:noProof/>
        </w:rPr>
      </w:r>
      <w:r>
        <w:rPr>
          <w:noProof/>
        </w:rPr>
        <w:fldChar w:fldCharType="separate"/>
      </w:r>
      <w:r>
        <w:rPr>
          <w:noProof/>
        </w:rPr>
        <w:t>65</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2.2.</w:t>
      </w:r>
      <w:r>
        <w:rPr>
          <w:rFonts w:asciiTheme="minorHAnsi" w:eastAsiaTheme="minorEastAsia" w:hAnsiTheme="minorHAnsi" w:cstheme="minorBidi"/>
          <w:noProof/>
          <w:color w:val="auto"/>
          <w:szCs w:val="22"/>
        </w:rPr>
        <w:tab/>
      </w:r>
      <w:r>
        <w:rPr>
          <w:noProof/>
        </w:rPr>
        <w:t>MFF: IMPLEMENTATION OF COMMITMENT APPROPRIAT</w:t>
      </w:r>
      <w:r>
        <w:rPr>
          <w:noProof/>
        </w:rPr>
        <w:t>IONS</w:t>
      </w:r>
      <w:r>
        <w:rPr>
          <w:noProof/>
        </w:rPr>
        <w:tab/>
      </w:r>
      <w:r>
        <w:rPr>
          <w:noProof/>
        </w:rPr>
        <w:fldChar w:fldCharType="begin"/>
      </w:r>
      <w:r>
        <w:rPr>
          <w:noProof/>
        </w:rPr>
        <w:instrText xml:space="preserve"> PAGEREF _Toc517248447 \h </w:instrText>
      </w:r>
      <w:r>
        <w:rPr>
          <w:noProof/>
        </w:rPr>
      </w:r>
      <w:r>
        <w:rPr>
          <w:noProof/>
        </w:rPr>
        <w:fldChar w:fldCharType="separate"/>
      </w:r>
      <w:r>
        <w:rPr>
          <w:noProof/>
        </w:rPr>
        <w:t>66</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2.3.</w:t>
      </w:r>
      <w:r>
        <w:rPr>
          <w:rFonts w:asciiTheme="minorHAnsi" w:eastAsiaTheme="minorEastAsia" w:hAnsiTheme="minorHAnsi" w:cstheme="minorBidi"/>
          <w:noProof/>
          <w:color w:val="auto"/>
          <w:szCs w:val="22"/>
        </w:rPr>
        <w:tab/>
      </w:r>
      <w:r>
        <w:rPr>
          <w:noProof/>
        </w:rPr>
        <w:t>MFF: IMPLEMENTATION OF PAYMENT APPROPRIATIONS</w:t>
      </w:r>
      <w:r>
        <w:rPr>
          <w:noProof/>
        </w:rPr>
        <w:tab/>
      </w:r>
      <w:r>
        <w:rPr>
          <w:noProof/>
        </w:rPr>
        <w:fldChar w:fldCharType="begin"/>
      </w:r>
      <w:r>
        <w:rPr>
          <w:noProof/>
        </w:rPr>
        <w:instrText xml:space="preserve"> PAGEREF _Toc517248448 \h </w:instrText>
      </w:r>
      <w:r>
        <w:rPr>
          <w:noProof/>
        </w:rPr>
      </w:r>
      <w:r>
        <w:rPr>
          <w:noProof/>
        </w:rPr>
        <w:fldChar w:fldCharType="separate"/>
      </w:r>
      <w:r>
        <w:rPr>
          <w:noProof/>
        </w:rPr>
        <w:t>67</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2.4.</w:t>
      </w:r>
      <w:r>
        <w:rPr>
          <w:rFonts w:asciiTheme="minorHAnsi" w:eastAsiaTheme="minorEastAsia" w:hAnsiTheme="minorHAnsi" w:cstheme="minorBidi"/>
          <w:noProof/>
          <w:color w:val="auto"/>
          <w:szCs w:val="22"/>
        </w:rPr>
        <w:tab/>
      </w:r>
      <w:r>
        <w:rPr>
          <w:noProof/>
        </w:rPr>
        <w:t>MF</w:t>
      </w:r>
      <w:r>
        <w:rPr>
          <w:noProof/>
        </w:rPr>
        <w:t>F: MOVEMENTS IN COMMITMENTS OUTSTANDING (RAL)</w:t>
      </w:r>
      <w:r>
        <w:rPr>
          <w:noProof/>
        </w:rPr>
        <w:tab/>
      </w:r>
      <w:r>
        <w:rPr>
          <w:noProof/>
        </w:rPr>
        <w:fldChar w:fldCharType="begin"/>
      </w:r>
      <w:r>
        <w:rPr>
          <w:noProof/>
        </w:rPr>
        <w:instrText xml:space="preserve"> PAGEREF _Toc517248449 \h </w:instrText>
      </w:r>
      <w:r>
        <w:rPr>
          <w:noProof/>
        </w:rPr>
      </w:r>
      <w:r>
        <w:rPr>
          <w:noProof/>
        </w:rPr>
        <w:fldChar w:fldCharType="separate"/>
      </w:r>
      <w:r>
        <w:rPr>
          <w:noProof/>
        </w:rPr>
        <w:t>68</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2.5.</w:t>
      </w:r>
      <w:r>
        <w:rPr>
          <w:rFonts w:asciiTheme="minorHAnsi" w:eastAsiaTheme="minorEastAsia" w:hAnsiTheme="minorHAnsi" w:cstheme="minorBidi"/>
          <w:noProof/>
          <w:color w:val="auto"/>
          <w:szCs w:val="22"/>
        </w:rPr>
        <w:tab/>
      </w:r>
      <w:r>
        <w:rPr>
          <w:noProof/>
        </w:rPr>
        <w:t>MFF: COMMITMENTS OUTSTANDING BY YEAR OF ORIGIN</w:t>
      </w:r>
      <w:r>
        <w:rPr>
          <w:noProof/>
        </w:rPr>
        <w:tab/>
      </w:r>
      <w:r>
        <w:rPr>
          <w:noProof/>
        </w:rPr>
        <w:fldChar w:fldCharType="begin"/>
      </w:r>
      <w:r>
        <w:rPr>
          <w:noProof/>
        </w:rPr>
        <w:instrText xml:space="preserve"> PAGEREF _Toc517248450 \h </w:instrText>
      </w:r>
      <w:r>
        <w:rPr>
          <w:noProof/>
        </w:rPr>
      </w:r>
      <w:r>
        <w:rPr>
          <w:noProof/>
        </w:rPr>
        <w:fldChar w:fldCharType="separate"/>
      </w:r>
      <w:r>
        <w:rPr>
          <w:noProof/>
        </w:rPr>
        <w:t>69</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2.6.</w:t>
      </w:r>
      <w:r>
        <w:rPr>
          <w:rFonts w:asciiTheme="minorHAnsi" w:eastAsiaTheme="minorEastAsia" w:hAnsiTheme="minorHAnsi" w:cstheme="minorBidi"/>
          <w:noProof/>
          <w:color w:val="auto"/>
          <w:szCs w:val="22"/>
        </w:rPr>
        <w:tab/>
      </w:r>
      <w:r>
        <w:rPr>
          <w:noProof/>
        </w:rPr>
        <w:t>POLICY AREA: BREAKDOWN AND CHANGES IN COMMITMENT AND PAYMENT APPROPRIATIONS</w:t>
      </w:r>
      <w:r>
        <w:rPr>
          <w:noProof/>
        </w:rPr>
        <w:tab/>
      </w:r>
      <w:r>
        <w:rPr>
          <w:noProof/>
        </w:rPr>
        <w:fldChar w:fldCharType="begin"/>
      </w:r>
      <w:r>
        <w:rPr>
          <w:noProof/>
        </w:rPr>
        <w:instrText xml:space="preserve"> PAGEREF _Toc517248451 \h </w:instrText>
      </w:r>
      <w:r>
        <w:rPr>
          <w:noProof/>
        </w:rPr>
      </w:r>
      <w:r>
        <w:rPr>
          <w:noProof/>
        </w:rPr>
        <w:fldChar w:fldCharType="separate"/>
      </w:r>
      <w:r>
        <w:rPr>
          <w:noProof/>
        </w:rPr>
        <w:t>70</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2.7.</w:t>
      </w:r>
      <w:r>
        <w:rPr>
          <w:rFonts w:asciiTheme="minorHAnsi" w:eastAsiaTheme="minorEastAsia" w:hAnsiTheme="minorHAnsi" w:cstheme="minorBidi"/>
          <w:noProof/>
          <w:color w:val="auto"/>
          <w:szCs w:val="22"/>
        </w:rPr>
        <w:tab/>
      </w:r>
      <w:r>
        <w:rPr>
          <w:noProof/>
        </w:rPr>
        <w:t>POLICY A</w:t>
      </w:r>
      <w:r>
        <w:rPr>
          <w:noProof/>
        </w:rPr>
        <w:t>REA: IMPLEMENTATION OF COMMITMENT APPROPRIATIONS</w:t>
      </w:r>
      <w:r>
        <w:rPr>
          <w:noProof/>
        </w:rPr>
        <w:tab/>
      </w:r>
      <w:r>
        <w:rPr>
          <w:noProof/>
        </w:rPr>
        <w:fldChar w:fldCharType="begin"/>
      </w:r>
      <w:r>
        <w:rPr>
          <w:noProof/>
        </w:rPr>
        <w:instrText xml:space="preserve"> PAGEREF _Toc517248452 \h </w:instrText>
      </w:r>
      <w:r>
        <w:rPr>
          <w:noProof/>
        </w:rPr>
      </w:r>
      <w:r>
        <w:rPr>
          <w:noProof/>
        </w:rPr>
        <w:fldChar w:fldCharType="separate"/>
      </w:r>
      <w:r>
        <w:rPr>
          <w:noProof/>
        </w:rPr>
        <w:t>72</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2.8.</w:t>
      </w:r>
      <w:r>
        <w:rPr>
          <w:rFonts w:asciiTheme="minorHAnsi" w:eastAsiaTheme="minorEastAsia" w:hAnsiTheme="minorHAnsi" w:cstheme="minorBidi"/>
          <w:noProof/>
          <w:color w:val="auto"/>
          <w:szCs w:val="22"/>
        </w:rPr>
        <w:tab/>
      </w:r>
      <w:r>
        <w:rPr>
          <w:noProof/>
        </w:rPr>
        <w:t>POLICY AREA: IMPLEMENTATION OF PAYMENT APPROPRIATIONS</w:t>
      </w:r>
      <w:r>
        <w:rPr>
          <w:noProof/>
        </w:rPr>
        <w:tab/>
      </w:r>
      <w:r>
        <w:rPr>
          <w:noProof/>
        </w:rPr>
        <w:fldChar w:fldCharType="begin"/>
      </w:r>
      <w:r>
        <w:rPr>
          <w:noProof/>
        </w:rPr>
        <w:instrText xml:space="preserve"> PAGEREF _Toc517248453 \h </w:instrText>
      </w:r>
      <w:r>
        <w:rPr>
          <w:noProof/>
        </w:rPr>
      </w:r>
      <w:r>
        <w:rPr>
          <w:noProof/>
        </w:rPr>
        <w:fldChar w:fldCharType="separate"/>
      </w:r>
      <w:r>
        <w:rPr>
          <w:noProof/>
        </w:rPr>
        <w:t>74</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2.9.</w:t>
      </w:r>
      <w:r>
        <w:rPr>
          <w:rFonts w:asciiTheme="minorHAnsi" w:eastAsiaTheme="minorEastAsia" w:hAnsiTheme="minorHAnsi" w:cstheme="minorBidi"/>
          <w:noProof/>
          <w:color w:val="auto"/>
          <w:szCs w:val="22"/>
        </w:rPr>
        <w:tab/>
      </w:r>
      <w:r>
        <w:rPr>
          <w:noProof/>
        </w:rPr>
        <w:t>POLICY AREA: MOVEMENTS IN COMMITMENTS OUTSTANDING (RAL)</w:t>
      </w:r>
      <w:r>
        <w:rPr>
          <w:noProof/>
        </w:rPr>
        <w:tab/>
      </w:r>
      <w:r>
        <w:rPr>
          <w:noProof/>
        </w:rPr>
        <w:fldChar w:fldCharType="begin"/>
      </w:r>
      <w:r>
        <w:rPr>
          <w:noProof/>
        </w:rPr>
        <w:instrText xml:space="preserve"> PAGEREF _Toc517248454 \h </w:instrText>
      </w:r>
      <w:r>
        <w:rPr>
          <w:noProof/>
        </w:rPr>
      </w:r>
      <w:r>
        <w:rPr>
          <w:noProof/>
        </w:rPr>
        <w:fldChar w:fldCharType="separate"/>
      </w:r>
      <w:r>
        <w:rPr>
          <w:noProof/>
        </w:rPr>
        <w:t>76</w:t>
      </w:r>
      <w:r>
        <w:rPr>
          <w:noProof/>
        </w:rPr>
        <w:fldChar w:fldCharType="end"/>
      </w:r>
    </w:p>
    <w:p w:rsidR="004D38C4" w:rsidRDefault="00BC2113">
      <w:pPr>
        <w:pStyle w:val="TOC2"/>
        <w:rPr>
          <w:rFonts w:asciiTheme="minorHAnsi" w:eastAsiaTheme="minorEastAsia" w:hAnsiTheme="minorHAnsi" w:cstheme="minorBidi"/>
          <w:noProof/>
          <w:color w:val="auto"/>
          <w:szCs w:val="22"/>
        </w:rPr>
      </w:pPr>
      <w:r>
        <w:rPr>
          <w:noProof/>
        </w:rPr>
        <w:t>2.10.</w:t>
      </w:r>
      <w:r>
        <w:rPr>
          <w:rFonts w:asciiTheme="minorHAnsi" w:eastAsiaTheme="minorEastAsia" w:hAnsiTheme="minorHAnsi" w:cstheme="minorBidi"/>
          <w:noProof/>
          <w:color w:val="auto"/>
          <w:szCs w:val="22"/>
        </w:rPr>
        <w:tab/>
      </w:r>
      <w:r>
        <w:rPr>
          <w:noProof/>
        </w:rPr>
        <w:t>POLICY AREA: COMMITMENTS OUTSTANDING BY YEAR OF</w:t>
      </w:r>
      <w:r>
        <w:rPr>
          <w:noProof/>
        </w:rPr>
        <w:t xml:space="preserve"> ORIGIN</w:t>
      </w:r>
      <w:r>
        <w:rPr>
          <w:noProof/>
        </w:rPr>
        <w:tab/>
      </w:r>
      <w:r>
        <w:rPr>
          <w:noProof/>
        </w:rPr>
        <w:fldChar w:fldCharType="begin"/>
      </w:r>
      <w:r>
        <w:rPr>
          <w:noProof/>
        </w:rPr>
        <w:instrText xml:space="preserve"> PAGEREF _Toc517248455 \h </w:instrText>
      </w:r>
      <w:r>
        <w:rPr>
          <w:noProof/>
        </w:rPr>
      </w:r>
      <w:r>
        <w:rPr>
          <w:noProof/>
        </w:rPr>
        <w:fldChar w:fldCharType="separate"/>
      </w:r>
      <w:r>
        <w:rPr>
          <w:noProof/>
        </w:rPr>
        <w:t>78</w:t>
      </w:r>
      <w:r>
        <w:rPr>
          <w:noProof/>
        </w:rPr>
        <w:fldChar w:fldCharType="end"/>
      </w:r>
    </w:p>
    <w:p w:rsidR="004D38C4" w:rsidRDefault="00BC2113">
      <w:pPr>
        <w:pStyle w:val="TOC1"/>
        <w:tabs>
          <w:tab w:val="right" w:leader="dot" w:pos="9629"/>
        </w:tabs>
        <w:rPr>
          <w:rFonts w:asciiTheme="minorHAnsi" w:eastAsiaTheme="minorEastAsia" w:hAnsiTheme="minorHAnsi" w:cstheme="minorBidi"/>
          <w:noProof/>
          <w:color w:val="auto"/>
          <w:szCs w:val="22"/>
        </w:rPr>
      </w:pPr>
      <w:r>
        <w:rPr>
          <w:noProof/>
        </w:rPr>
        <w:t>RECONCILIATION OF ECONOMIC RESULT WITH BUDGET RESULT</w:t>
      </w:r>
      <w:r>
        <w:rPr>
          <w:noProof/>
        </w:rPr>
        <w:tab/>
      </w:r>
      <w:r>
        <w:rPr>
          <w:noProof/>
        </w:rPr>
        <w:fldChar w:fldCharType="begin"/>
      </w:r>
      <w:r>
        <w:rPr>
          <w:noProof/>
        </w:rPr>
        <w:instrText xml:space="preserve"> PAGEREF _Toc517248456 \h </w:instrText>
      </w:r>
      <w:r>
        <w:rPr>
          <w:noProof/>
        </w:rPr>
      </w:r>
      <w:r>
        <w:rPr>
          <w:noProof/>
        </w:rPr>
        <w:fldChar w:fldCharType="separate"/>
      </w:r>
      <w:r>
        <w:rPr>
          <w:noProof/>
        </w:rPr>
        <w:t>79</w:t>
      </w:r>
      <w:r>
        <w:rPr>
          <w:noProof/>
        </w:rPr>
        <w:fldChar w:fldCharType="end"/>
      </w:r>
    </w:p>
    <w:p w:rsidR="004D38C4" w:rsidRDefault="00BC2113">
      <w:pPr>
        <w:pStyle w:val="Textstand-alone"/>
      </w:pPr>
      <w:r>
        <w:rPr>
          <w:color w:val="016794"/>
          <w:sz w:val="22"/>
          <w:szCs w:val="22"/>
        </w:rPr>
        <w:fldChar w:fldCharType="end"/>
      </w:r>
    </w:p>
    <w:p w:rsidR="004D38C4" w:rsidRDefault="00BC2113">
      <w:pPr>
        <w:pStyle w:val="Textstand-alone"/>
        <w:sectPr w:rsidR="004D38C4">
          <w:headerReference w:type="even" r:id="rId333"/>
          <w:headerReference w:type="default" r:id="rId334"/>
          <w:footerReference w:type="even" r:id="rId335"/>
          <w:footerReference w:type="default" r:id="rId336"/>
          <w:headerReference w:type="first" r:id="rId337"/>
          <w:footerReference w:type="first" r:id="rId338"/>
          <w:pgSz w:w="11907" w:h="16840"/>
          <w:pgMar w:top="1134" w:right="1134" w:bottom="1134" w:left="1134" w:header="709" w:footer="709" w:gutter="0"/>
          <w:cols w:space="708"/>
          <w:docGrid w:linePitch="360"/>
        </w:sectPr>
      </w:pPr>
      <w:r>
        <w:t xml:space="preserve"> </w:t>
      </w:r>
      <w:bookmarkEnd w:id="185"/>
    </w:p>
    <w:p w:rsidR="004D38C4" w:rsidRDefault="00BC2113">
      <w:pPr>
        <w:pStyle w:val="HEADERTITLE2"/>
      </w:pPr>
      <w:bookmarkStart w:id="186" w:name="_Toc517248440"/>
      <w:bookmarkStart w:id="187" w:name="_DMBM_11093"/>
      <w:r>
        <w:t>EU BUDGET RESULT</w:t>
      </w:r>
      <w:bookmarkEnd w:id="186"/>
    </w:p>
    <w:p w:rsidR="004D38C4" w:rsidRDefault="004D38C4">
      <w:pPr>
        <w:spacing w:before="120"/>
        <w:rPr>
          <w:rFonts w:ascii="Verdana" w:eastAsia="Verdana" w:hAnsi="Verdana" w:cs="Verdana"/>
          <w:noProof/>
          <w:sz w:val="16"/>
          <w:szCs w:val="16"/>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985"/>
      </w:tblGrid>
      <w:tr w:rsidR="004D38C4">
        <w:tc>
          <w:tcPr>
            <w:tcW w:w="606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szCs w:val="16"/>
                <w:lang w:bidi="en-GB"/>
              </w:rPr>
            </w:pPr>
            <w:bookmarkStart w:id="188" w:name="DOC_TBL00090_1_1"/>
            <w:bookmarkEnd w:id="188"/>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Heading10pNormalCentered"/>
              <w:rPr>
                <w:rFonts w:eastAsia="Verdana" w:cs="Verdana"/>
                <w:color w:val="auto"/>
                <w:szCs w:val="16"/>
                <w:lang w:bidi="en-GB"/>
              </w:rPr>
            </w:pP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ItalicRight025EUR"/>
              <w:rPr>
                <w:rFonts w:eastAsia="Verdana" w:cs="Verdana"/>
                <w:szCs w:val="16"/>
                <w:lang w:bidi="en-GB"/>
              </w:rPr>
            </w:pPr>
            <w:r>
              <w:rPr>
                <w:rFonts w:eastAsia="Verdana" w:cs="Verdana"/>
                <w:szCs w:val="16"/>
                <w:lang w:bidi="en-GB"/>
              </w:rPr>
              <w:t>EUR million</w:t>
            </w:r>
          </w:p>
        </w:tc>
      </w:tr>
      <w:tr w:rsidR="004D38C4">
        <w:tc>
          <w:tcPr>
            <w:tcW w:w="606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eastAsia="Verdana" w:cs="Verdana"/>
                <w:szCs w:val="16"/>
                <w:lang w:bidi="en-GB"/>
              </w:rPr>
            </w:pP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szCs w:val="16"/>
                <w:lang w:bidi="en-GB"/>
              </w:rPr>
            </w:pPr>
            <w:r>
              <w:rPr>
                <w:rFonts w:eastAsia="Verdana" w:cs="Verdana"/>
                <w:szCs w:val="16"/>
                <w:lang w:bidi="en-GB"/>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eastAsia="Verdana" w:cs="Verdana"/>
                <w:szCs w:val="16"/>
                <w:lang w:bidi="en-GB"/>
              </w:rPr>
            </w:pPr>
            <w:r>
              <w:rPr>
                <w:rFonts w:eastAsia="Verdana" w:cs="Verdana"/>
                <w:szCs w:val="16"/>
                <w:lang w:bidi="en-GB"/>
              </w:rPr>
              <w:t>2016</w:t>
            </w:r>
          </w:p>
        </w:tc>
      </w:tr>
      <w:tr w:rsidR="004D38C4">
        <w:tc>
          <w:tcPr>
            <w:tcW w:w="606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szCs w:val="16"/>
                <w:lang w:bidi="en-GB"/>
              </w:rPr>
            </w:pPr>
            <w:r>
              <w:rPr>
                <w:rFonts w:eastAsia="Verdana" w:cs="Verdana"/>
                <w:szCs w:val="16"/>
                <w:lang w:bidi="en-GB"/>
              </w:rPr>
              <w:t>Revenue</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139 691</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144 717</w:t>
            </w:r>
          </w:p>
        </w:tc>
      </w:tr>
      <w:tr w:rsidR="004D38C4">
        <w:tc>
          <w:tcPr>
            <w:tcW w:w="606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szCs w:val="16"/>
                <w:lang w:bidi="en-GB"/>
              </w:rPr>
            </w:pPr>
            <w:r>
              <w:rPr>
                <w:rFonts w:eastAsia="Verdana" w:cs="Verdana"/>
                <w:szCs w:val="16"/>
                <w:lang w:bidi="en-GB"/>
              </w:rPr>
              <w:t>Expenditure</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(135 764)</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(135 180)</w:t>
            </w:r>
          </w:p>
        </w:tc>
      </w:tr>
      <w:tr w:rsidR="004D38C4">
        <w:tc>
          <w:tcPr>
            <w:tcW w:w="606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szCs w:val="16"/>
                <w:lang w:bidi="en-GB"/>
              </w:rPr>
            </w:pPr>
            <w:r>
              <w:rPr>
                <w:rFonts w:eastAsia="Verdana" w:cs="Verdana"/>
                <w:szCs w:val="16"/>
                <w:lang w:bidi="en-GB"/>
              </w:rPr>
              <w:t xml:space="preserve">Payment appropriat. carried over to the </w:t>
            </w:r>
            <w:r>
              <w:rPr>
                <w:rFonts w:eastAsia="Verdana" w:cs="Verdana"/>
                <w:szCs w:val="16"/>
                <w:lang w:bidi="en-GB"/>
              </w:rPr>
              <w:t>following year</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(1 796)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(1 655)</w:t>
            </w:r>
          </w:p>
        </w:tc>
      </w:tr>
      <w:tr w:rsidR="004D38C4">
        <w:tc>
          <w:tcPr>
            <w:tcW w:w="606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szCs w:val="16"/>
                <w:lang w:bidi="en-GB"/>
              </w:rPr>
            </w:pPr>
            <w:r>
              <w:rPr>
                <w:rFonts w:eastAsia="Verdana" w:cs="Verdana"/>
                <w:szCs w:val="16"/>
                <w:lang w:bidi="en-GB"/>
              </w:rPr>
              <w:t>Cancellation of unused appropr. carried over from previous year</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 xml:space="preserve"> 40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 xml:space="preserve"> 63</w:t>
            </w:r>
          </w:p>
        </w:tc>
      </w:tr>
      <w:tr w:rsidR="004D38C4">
        <w:tc>
          <w:tcPr>
            <w:tcW w:w="606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szCs w:val="16"/>
                <w:lang w:bidi="en-GB"/>
              </w:rPr>
            </w:pPr>
            <w:r>
              <w:rPr>
                <w:rFonts w:eastAsia="Verdana" w:cs="Verdana"/>
                <w:szCs w:val="16"/>
                <w:lang w:bidi="en-GB"/>
              </w:rPr>
              <w:t>Evolution of assigned revenue</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(1 450)</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(1 367)</w:t>
            </w:r>
          </w:p>
        </w:tc>
      </w:tr>
      <w:tr w:rsidR="004D38C4">
        <w:tc>
          <w:tcPr>
            <w:tcW w:w="606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szCs w:val="16"/>
                <w:lang w:bidi="en-GB"/>
              </w:rPr>
            </w:pPr>
            <w:r>
              <w:rPr>
                <w:rFonts w:eastAsia="Verdana" w:cs="Verdana"/>
                <w:szCs w:val="16"/>
                <w:lang w:bidi="en-GB"/>
              </w:rPr>
              <w:t>Exchange differences for the year</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 xml:space="preserve"> (166)</w:t>
            </w:r>
          </w:p>
        </w:tc>
        <w:tc>
          <w:tcPr>
            <w:tcW w:w="1985"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szCs w:val="16"/>
                <w:lang w:bidi="en-GB"/>
              </w:rPr>
            </w:pPr>
            <w:r>
              <w:rPr>
                <w:rFonts w:eastAsia="Verdana" w:cs="Verdana"/>
                <w:szCs w:val="16"/>
                <w:lang w:bidi="en-GB"/>
              </w:rPr>
              <w:t xml:space="preserve"> (173)</w:t>
            </w:r>
          </w:p>
        </w:tc>
      </w:tr>
      <w:tr w:rsidR="004D38C4">
        <w:tc>
          <w:tcPr>
            <w:tcW w:w="6062"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eastAsia="Verdana" w:cs="Verdana"/>
                <w:szCs w:val="16"/>
                <w:lang w:bidi="en-GB"/>
              </w:rPr>
            </w:pPr>
            <w:r>
              <w:rPr>
                <w:rFonts w:eastAsia="Verdana" w:cs="Verdana"/>
                <w:szCs w:val="16"/>
                <w:lang w:bidi="en-GB"/>
              </w:rPr>
              <w:t>Budget result*</w:t>
            </w:r>
          </w:p>
        </w:tc>
        <w:tc>
          <w:tcPr>
            <w:tcW w:w="1701"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szCs w:val="16"/>
                <w:lang w:bidi="en-GB"/>
              </w:rPr>
            </w:pPr>
            <w:r>
              <w:rPr>
                <w:rFonts w:eastAsia="Verdana" w:cs="Verdana"/>
                <w:szCs w:val="16"/>
                <w:lang w:bidi="en-GB"/>
              </w:rPr>
              <w:t xml:space="preserve"> 555</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eastAsia="Verdana" w:cs="Verdana"/>
                <w:szCs w:val="16"/>
                <w:lang w:bidi="en-GB"/>
              </w:rPr>
            </w:pPr>
            <w:r>
              <w:rPr>
                <w:rFonts w:eastAsia="Verdana" w:cs="Verdana"/>
                <w:szCs w:val="16"/>
                <w:lang w:bidi="en-GB"/>
              </w:rPr>
              <w:t>6 405</w:t>
            </w:r>
          </w:p>
        </w:tc>
      </w:tr>
    </w:tbl>
    <w:p w:rsidR="004D38C4" w:rsidRDefault="004D38C4">
      <w:pPr>
        <w:spacing w:before="120"/>
        <w:rPr>
          <w:rFonts w:ascii="Verdana" w:eastAsia="Verdana" w:hAnsi="Verdana" w:cs="Verdana"/>
          <w:noProof/>
          <w:sz w:val="16"/>
          <w:szCs w:val="16"/>
          <w:lang w:bidi="en-GB"/>
        </w:rPr>
      </w:pPr>
    </w:p>
    <w:p w:rsidR="004D38C4" w:rsidRDefault="004D38C4">
      <w:pPr>
        <w:spacing w:before="120"/>
        <w:rPr>
          <w:rFonts w:ascii="Verdana" w:eastAsia="Verdana" w:hAnsi="Verdana" w:cs="Verdana"/>
          <w:noProof/>
          <w:sz w:val="16"/>
          <w:szCs w:val="16"/>
          <w:lang w:bidi="en-GB"/>
        </w:rPr>
        <w:sectPr w:rsidR="004D38C4">
          <w:headerReference w:type="even" r:id="rId339"/>
          <w:headerReference w:type="default" r:id="rId340"/>
          <w:footerReference w:type="even" r:id="rId341"/>
          <w:footerReference w:type="default" r:id="rId342"/>
          <w:headerReference w:type="first" r:id="rId343"/>
          <w:footerReference w:type="first" r:id="rId344"/>
          <w:pgSz w:w="11900" w:h="16840"/>
          <w:pgMar w:top="1134" w:right="1134" w:bottom="1134" w:left="1134" w:header="709" w:footer="709" w:gutter="0"/>
          <w:cols w:space="720"/>
          <w:docGrid w:linePitch="326"/>
        </w:sectPr>
      </w:pPr>
    </w:p>
    <w:p w:rsidR="004D38C4" w:rsidRDefault="00BC2113">
      <w:pPr>
        <w:pStyle w:val="HEADERTITLE2"/>
      </w:pPr>
      <w:bookmarkStart w:id="189" w:name="_Toc454985856"/>
      <w:bookmarkStart w:id="190" w:name="_Toc517248441"/>
      <w:r>
        <w:t>STATEMENT OF COMPARISON OF BUDGET AND ACTUAL AMOUNTS</w:t>
      </w:r>
      <w:bookmarkEnd w:id="189"/>
      <w:bookmarkEnd w:id="19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977"/>
        <w:gridCol w:w="1417"/>
        <w:gridCol w:w="1418"/>
        <w:gridCol w:w="1842"/>
        <w:gridCol w:w="1701"/>
      </w:tblGrid>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91" w:name="DOC_TBL00091_1_1"/>
            <w:bookmarkEnd w:id="191"/>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c>
          <w:tcPr>
            <w:tcW w:w="39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jc w:val="center"/>
              <w:rPr>
                <w:rFonts w:eastAsia="Verdana" w:cs="Verdana"/>
                <w:lang w:bidi="en-GB"/>
              </w:rPr>
            </w:pPr>
          </w:p>
        </w:tc>
        <w:tc>
          <w:tcPr>
            <w:tcW w:w="297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jc w:val="center"/>
              <w:rPr>
                <w:rFonts w:eastAsia="Verdana" w:cs="Verdana"/>
                <w:lang w:bidi="en-GB"/>
              </w:rPr>
            </w:pPr>
            <w:r>
              <w:rPr>
                <w:rFonts w:eastAsia="Verdana" w:cs="Verdana"/>
                <w:lang w:bidi="en-GB"/>
              </w:rPr>
              <w:t>Title</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Initial adopted budget</w:t>
            </w:r>
          </w:p>
        </w:tc>
        <w:tc>
          <w:tcPr>
            <w:tcW w:w="1418"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Final adopted budget</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Entitlements established</w:t>
            </w: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Revenue</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1</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Own resources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131 718</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115 484</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115 455</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115 416</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11 - Sugar levies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133</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134</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134</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12 - Customs duties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21 334</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20 374</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20 364</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20 325</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13 - VAT</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16 599</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16 620</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16 584</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16 584</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14 - GNI</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93 652</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78 356</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78 279</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78 279</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15 - Correction of budgetary </w:t>
            </w:r>
            <w:r>
              <w:rPr>
                <w:rFonts w:eastAsia="Verdana" w:cs="Verdana"/>
                <w:lang w:bidi="en-GB"/>
              </w:rPr>
              <w:t>imbalances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94</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94</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16 - Reduction of GNI based contribution of the Netherlands and Sweden</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(0)</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3</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Surpluses, balances and adjustments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6 405</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6 416</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6 416</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4</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 xml:space="preserve">Revenue accruing from persons working with the institutions and other union </w:t>
            </w:r>
            <w:r>
              <w:rPr>
                <w:rFonts w:eastAsia="Verdana" w:cs="Verdana"/>
                <w:lang w:bidi="en-GB"/>
              </w:rPr>
              <w:t>bodies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1 139</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1 139</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1 148</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1 137</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5</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Revenue accruing from the administrative operation of the institution</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70</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70</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300</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282</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6</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Contributions and refunds in connection with union agreements and programmes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60</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60</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12 473</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12 165</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7</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 xml:space="preserve">Default interest </w:t>
            </w:r>
            <w:r>
              <w:rPr>
                <w:rFonts w:eastAsia="Verdana" w:cs="Verdana"/>
                <w:lang w:bidi="en-GB"/>
              </w:rPr>
              <w:t>and fines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1 120</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3 230</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11 387</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3 573</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8</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Borrowing and lending operations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7</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7</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43</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28</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9</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Miscellaneous revenue</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25</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25</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12</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w:t>
            </w:r>
          </w:p>
        </w:tc>
      </w:tr>
      <w:tr w:rsidR="004D38C4">
        <w:tc>
          <w:tcPr>
            <w:tcW w:w="392" w:type="dxa"/>
            <w:tcBorders>
              <w:top w:val="nil"/>
              <w:left w:val="nil"/>
              <w:bottom w:val="nil"/>
              <w:right w:val="nil"/>
            </w:tcBorders>
            <w:shd w:val="clear" w:color="auto" w:fill="CBE1EA"/>
            <w:tcMar>
              <w:top w:w="0" w:type="dxa"/>
              <w:left w:w="108" w:type="dxa"/>
              <w:bottom w:w="0" w:type="dxa"/>
              <w:right w:w="108" w:type="dxa"/>
            </w:tcMar>
          </w:tcPr>
          <w:p w:rsidR="004D38C4" w:rsidRDefault="004D38C4">
            <w:pPr>
              <w:pStyle w:val="Text9pBoldLeft"/>
              <w:rPr>
                <w:rFonts w:eastAsia="Verdana" w:cs="Verdana"/>
                <w:lang w:bidi="en-GB"/>
              </w:rPr>
            </w:pPr>
          </w:p>
        </w:tc>
        <w:tc>
          <w:tcPr>
            <w:tcW w:w="2977"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1417"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134 139</w:t>
            </w:r>
          </w:p>
        </w:tc>
        <w:tc>
          <w:tcPr>
            <w:tcW w:w="1418"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126 419</w:t>
            </w:r>
          </w:p>
        </w:tc>
        <w:tc>
          <w:tcPr>
            <w:tcW w:w="1842"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147 234</w:t>
            </w:r>
          </w:p>
        </w:tc>
        <w:tc>
          <w:tcPr>
            <w:tcW w:w="1701"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139 023</w:t>
            </w:r>
          </w:p>
        </w:tc>
      </w:tr>
    </w:tbl>
    <w:p w:rsidR="004D38C4" w:rsidRDefault="00BC2113">
      <w:pPr>
        <w:pStyle w:val="HEADERTITLE2"/>
        <w:rPr>
          <w:rFonts w:eastAsia="Calibri"/>
          <w:lang w:eastAsia="en-GB"/>
        </w:rPr>
      </w:pPr>
      <w:r>
        <w:br w:type="page"/>
      </w:r>
      <w:bookmarkStart w:id="192" w:name="_Toc517248442"/>
      <w:r>
        <w:rPr>
          <w:rFonts w:eastAsia="Calibri"/>
          <w:lang w:eastAsia="en-GB"/>
        </w:rPr>
        <w:t xml:space="preserve">BUDGET EXPENDITURE: COMMITMENTS BY MULTIANNUAL FINANCIAL FRAMEWORK (MFF) </w:t>
      </w:r>
      <w:r>
        <w:rPr>
          <w:rFonts w:eastAsia="Calibri"/>
          <w:lang w:eastAsia="en-GB"/>
        </w:rPr>
        <w:t>HEADING</w:t>
      </w:r>
      <w:bookmarkEnd w:id="192"/>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977"/>
        <w:gridCol w:w="1417"/>
        <w:gridCol w:w="1418"/>
        <w:gridCol w:w="1842"/>
        <w:gridCol w:w="1701"/>
      </w:tblGrid>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93" w:name="DOC_TBL00092_1_1"/>
            <w:bookmarkEnd w:id="193"/>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c>
          <w:tcPr>
            <w:tcW w:w="39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jc w:val="center"/>
              <w:rPr>
                <w:rFonts w:eastAsia="Verdana" w:cs="Verdana"/>
                <w:lang w:bidi="en-GB"/>
              </w:rPr>
            </w:pPr>
          </w:p>
        </w:tc>
        <w:tc>
          <w:tcPr>
            <w:tcW w:w="297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jc w:val="center"/>
              <w:rPr>
                <w:rFonts w:eastAsia="Verdana" w:cs="Verdana"/>
                <w:lang w:bidi="en-GB"/>
              </w:rPr>
            </w:pPr>
            <w:r>
              <w:rPr>
                <w:rFonts w:eastAsia="Verdana" w:cs="Verdana"/>
                <w:lang w:bidi="en-GB"/>
              </w:rPr>
              <w:t>MFF Heading</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Initial adopted budget</w:t>
            </w:r>
          </w:p>
        </w:tc>
        <w:tc>
          <w:tcPr>
            <w:tcW w:w="1418"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Final adopted budget</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Total appropriations available</w:t>
            </w: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Commitments made</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1.</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Smart and inclusive growth</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74 899</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75 399</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85 181</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83 268</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1a: Competitiveness for growth and jobs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21 312</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21 312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24 508</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22 654</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1b: Economic, social and territorial cohesion</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53 587</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54 087</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60 673</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60 614</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2.</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Sustainable growth: natural resources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58 584</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58 569</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62 806</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60 859</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of which: Market related expenditure and direct payments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42 613</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42 611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45 830</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44 759</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3.</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Security and citizenship</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4 284</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4 284</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4 472</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4 124</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4.</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Global Europe</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10 162</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10 713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12 382</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11 814</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5.</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Administration</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5 473</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5 473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5 846</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5 652</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6.</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Compensations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8.</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 xml:space="preserve">Negative reserve and deficit carried over from the previous financial year </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9.</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Special Instruments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534</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1 472</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1 544</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1 291</w:t>
            </w:r>
          </w:p>
        </w:tc>
      </w:tr>
      <w:tr w:rsidR="004D38C4">
        <w:tc>
          <w:tcPr>
            <w:tcW w:w="392" w:type="dxa"/>
            <w:tcBorders>
              <w:top w:val="nil"/>
              <w:left w:val="nil"/>
              <w:bottom w:val="nil"/>
              <w:right w:val="nil"/>
            </w:tcBorders>
            <w:shd w:val="clear" w:color="auto" w:fill="CBE1EA"/>
            <w:tcMar>
              <w:top w:w="0" w:type="dxa"/>
              <w:left w:w="108" w:type="dxa"/>
              <w:bottom w:w="0" w:type="dxa"/>
              <w:right w:w="108" w:type="dxa"/>
            </w:tcMar>
          </w:tcPr>
          <w:p w:rsidR="004D38C4" w:rsidRDefault="004D38C4">
            <w:pPr>
              <w:pStyle w:val="Text9pBoldLeft"/>
              <w:rPr>
                <w:rFonts w:eastAsia="Verdana" w:cs="Verdana"/>
                <w:lang w:bidi="en-GB"/>
              </w:rPr>
            </w:pPr>
          </w:p>
        </w:tc>
        <w:tc>
          <w:tcPr>
            <w:tcW w:w="2977"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1417"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153 937</w:t>
            </w:r>
          </w:p>
        </w:tc>
        <w:tc>
          <w:tcPr>
            <w:tcW w:w="1418"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155 910</w:t>
            </w:r>
          </w:p>
        </w:tc>
        <w:tc>
          <w:tcPr>
            <w:tcW w:w="1842"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172 231</w:t>
            </w:r>
          </w:p>
        </w:tc>
        <w:tc>
          <w:tcPr>
            <w:tcW w:w="1701"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167 009</w:t>
            </w:r>
          </w:p>
        </w:tc>
      </w:tr>
    </w:tbl>
    <w:p w:rsidR="004D38C4" w:rsidRDefault="00BC2113">
      <w:pPr>
        <w:pStyle w:val="HEADERTITLE2"/>
        <w:rPr>
          <w:rFonts w:eastAsia="Calibri"/>
          <w:lang w:eastAsia="en-GB"/>
        </w:rPr>
      </w:pPr>
      <w:r>
        <w:br w:type="page"/>
      </w:r>
      <w:bookmarkStart w:id="194" w:name="_Toc517248443"/>
      <w:r>
        <w:rPr>
          <w:rFonts w:eastAsia="Calibri"/>
          <w:lang w:eastAsia="en-GB"/>
        </w:rPr>
        <w:t xml:space="preserve">BUDGET EXPENDITURE: PAYMENTS BY MULTIANNUAL FINANCIAL FRAMEWORK (MFF) </w:t>
      </w:r>
      <w:r>
        <w:rPr>
          <w:rFonts w:eastAsia="Calibri"/>
          <w:lang w:eastAsia="en-GB"/>
        </w:rPr>
        <w:t>HEADING</w:t>
      </w:r>
      <w:bookmarkEnd w:id="194"/>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977"/>
        <w:gridCol w:w="1417"/>
        <w:gridCol w:w="1418"/>
        <w:gridCol w:w="1842"/>
        <w:gridCol w:w="1701"/>
      </w:tblGrid>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195" w:name="DOC_TBL00093_1_1"/>
            <w:bookmarkEnd w:id="195"/>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c>
          <w:tcPr>
            <w:tcW w:w="39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jc w:val="center"/>
              <w:rPr>
                <w:rFonts w:eastAsia="Verdana" w:cs="Verdana"/>
                <w:lang w:bidi="en-GB"/>
              </w:rPr>
            </w:pPr>
          </w:p>
        </w:tc>
        <w:tc>
          <w:tcPr>
            <w:tcW w:w="297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jc w:val="center"/>
              <w:rPr>
                <w:rFonts w:eastAsia="Verdana" w:cs="Verdana"/>
                <w:lang w:bidi="en-GB"/>
              </w:rPr>
            </w:pPr>
            <w:r>
              <w:rPr>
                <w:rFonts w:eastAsia="Verdana" w:cs="Verdana"/>
                <w:lang w:bidi="en-GB"/>
              </w:rPr>
              <w:t>MFF Heading</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Initial adopted budget</w:t>
            </w:r>
          </w:p>
        </w:tc>
        <w:tc>
          <w:tcPr>
            <w:tcW w:w="1418"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Final adopted budget</w:t>
            </w:r>
          </w:p>
        </w:tc>
        <w:tc>
          <w:tcPr>
            <w:tcW w:w="184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Total appropriations available</w:t>
            </w: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Centered"/>
              <w:rPr>
                <w:rFonts w:eastAsia="Verdana" w:cs="Verdana"/>
                <w:lang w:bidi="en-GB"/>
              </w:rPr>
            </w:pPr>
            <w:r>
              <w:rPr>
                <w:rFonts w:eastAsia="Verdana" w:cs="Verdana"/>
                <w:lang w:bidi="en-GB"/>
              </w:rPr>
              <w:t>Payments made</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1.</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Smart and inclusive growth</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56 522</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49 840</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61 168</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57 030</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1a: Competitiveness for growth and jobs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19 321</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20 065</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24 370</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21 376</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1b: Economic, social and territorial cohesion</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37 201</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29 775</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36 797</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35 654</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2.</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Sustainable growth: natural resources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54 914</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54 467</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58 575</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56 743</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9pItalicLeft"/>
              <w:rPr>
                <w:rFonts w:eastAsia="Verdana" w:cs="Verdana"/>
                <w:lang w:bidi="en-GB"/>
              </w:rPr>
            </w:pP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ItalicLeft"/>
              <w:rPr>
                <w:rFonts w:eastAsia="Verdana" w:cs="Verdana"/>
                <w:lang w:bidi="en-GB"/>
              </w:rPr>
            </w:pPr>
            <w:r>
              <w:rPr>
                <w:rFonts w:eastAsia="Verdana" w:cs="Verdana"/>
                <w:lang w:bidi="en-GB"/>
              </w:rPr>
              <w:t xml:space="preserve">    of which: Market related expenditure and direct payments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42 563</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42 558</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45 975</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ItalicRight025"/>
              <w:rPr>
                <w:rFonts w:eastAsia="Verdana" w:cs="Verdana"/>
                <w:lang w:bidi="en-GB"/>
              </w:rPr>
            </w:pPr>
            <w:r>
              <w:rPr>
                <w:rFonts w:eastAsia="Verdana" w:cs="Verdana"/>
                <w:lang w:bidi="en-GB"/>
              </w:rPr>
              <w:t xml:space="preserve"> 44 695</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3.</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Security and citizenship</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3 787</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2 793</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2 994</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2 867</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4.</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Global Europe</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9 483</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8 938</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10 944</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9 793</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5.</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Administration</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5 474</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5 471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6 136</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5 571</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6.</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Compensations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8.</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 xml:space="preserve">Negative reserve and deficit carried over from the previous financial year </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w:t>
            </w:r>
          </w:p>
        </w:tc>
      </w:tr>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8pNormalLeft"/>
              <w:ind w:left="0"/>
              <w:rPr>
                <w:rFonts w:eastAsia="Verdana" w:cs="Verdana"/>
                <w:noProof/>
                <w:lang w:bidi="en-GB"/>
              </w:rPr>
            </w:pPr>
            <w:r>
              <w:rPr>
                <w:rFonts w:eastAsia="Verdana" w:cs="Verdana"/>
                <w:noProof/>
                <w:lang w:bidi="en-GB"/>
              </w:rPr>
              <w:t>9.</w:t>
            </w:r>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9pNormalLeft"/>
              <w:rPr>
                <w:rFonts w:eastAsia="Verdana" w:cs="Verdana"/>
                <w:lang w:bidi="en-GB"/>
              </w:rPr>
            </w:pPr>
            <w:r>
              <w:rPr>
                <w:rFonts w:eastAsia="Verdana" w:cs="Verdana"/>
                <w:lang w:bidi="en-GB"/>
              </w:rPr>
              <w:t>Special Instruments</w:t>
            </w: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390</w:t>
            </w:r>
          </w:p>
        </w:tc>
        <w:tc>
          <w:tcPr>
            <w:tcW w:w="1418"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1 341</w:t>
            </w:r>
          </w:p>
        </w:tc>
        <w:tc>
          <w:tcPr>
            <w:tcW w:w="1842"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1 414</w:t>
            </w:r>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Figures9pNormalRight025"/>
              <w:rPr>
                <w:rFonts w:eastAsia="Verdana" w:cs="Verdana"/>
                <w:lang w:bidi="en-GB"/>
              </w:rPr>
            </w:pPr>
            <w:r>
              <w:rPr>
                <w:rFonts w:eastAsia="Verdana" w:cs="Verdana"/>
                <w:lang w:bidi="en-GB"/>
              </w:rPr>
              <w:t xml:space="preserve"> 1 291</w:t>
            </w:r>
          </w:p>
        </w:tc>
      </w:tr>
      <w:tr w:rsidR="004D38C4">
        <w:tc>
          <w:tcPr>
            <w:tcW w:w="392" w:type="dxa"/>
            <w:tcBorders>
              <w:top w:val="nil"/>
              <w:left w:val="nil"/>
              <w:bottom w:val="nil"/>
              <w:right w:val="nil"/>
            </w:tcBorders>
            <w:shd w:val="clear" w:color="auto" w:fill="CBE1EA"/>
            <w:tcMar>
              <w:top w:w="0" w:type="dxa"/>
              <w:left w:w="108" w:type="dxa"/>
              <w:bottom w:w="0" w:type="dxa"/>
              <w:right w:w="108" w:type="dxa"/>
            </w:tcMar>
          </w:tcPr>
          <w:p w:rsidR="004D38C4" w:rsidRDefault="004D38C4">
            <w:pPr>
              <w:pStyle w:val="Text9pBoldLeft"/>
              <w:rPr>
                <w:rFonts w:eastAsia="Verdana" w:cs="Verdana"/>
                <w:lang w:bidi="en-GB"/>
              </w:rPr>
            </w:pPr>
          </w:p>
        </w:tc>
        <w:tc>
          <w:tcPr>
            <w:tcW w:w="2977"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Text9pBoldLeft"/>
              <w:rPr>
                <w:rFonts w:eastAsia="Verdana" w:cs="Verdana"/>
                <w:lang w:bidi="en-GB"/>
              </w:rPr>
            </w:pPr>
            <w:r>
              <w:rPr>
                <w:rFonts w:eastAsia="Verdana" w:cs="Verdana"/>
                <w:lang w:bidi="en-GB"/>
              </w:rPr>
              <w:t>Total</w:t>
            </w:r>
          </w:p>
        </w:tc>
        <w:tc>
          <w:tcPr>
            <w:tcW w:w="1417"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130 569</w:t>
            </w:r>
          </w:p>
        </w:tc>
        <w:tc>
          <w:tcPr>
            <w:tcW w:w="1418"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122 850</w:t>
            </w:r>
          </w:p>
        </w:tc>
        <w:tc>
          <w:tcPr>
            <w:tcW w:w="1842"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141 230</w:t>
            </w:r>
          </w:p>
        </w:tc>
        <w:tc>
          <w:tcPr>
            <w:tcW w:w="1701" w:type="dxa"/>
            <w:tcBorders>
              <w:top w:val="nil"/>
              <w:left w:val="nil"/>
              <w:bottom w:val="nil"/>
              <w:right w:val="nil"/>
            </w:tcBorders>
            <w:shd w:val="clear" w:color="auto" w:fill="CBE1EA"/>
            <w:tcMar>
              <w:top w:w="0" w:type="dxa"/>
              <w:left w:w="108" w:type="dxa"/>
              <w:bottom w:w="0" w:type="dxa"/>
              <w:right w:w="108" w:type="dxa"/>
            </w:tcMar>
          </w:tcPr>
          <w:p w:rsidR="004D38C4" w:rsidRDefault="00BC2113">
            <w:pPr>
              <w:pStyle w:val="Figures9pBoldRight025"/>
              <w:rPr>
                <w:rFonts w:eastAsia="Verdana" w:cs="Verdana"/>
                <w:lang w:bidi="en-GB"/>
              </w:rPr>
            </w:pPr>
            <w:r>
              <w:rPr>
                <w:rFonts w:eastAsia="Verdana" w:cs="Verdana"/>
                <w:lang w:bidi="en-GB"/>
              </w:rPr>
              <w:t xml:space="preserve"> 133 294</w:t>
            </w:r>
          </w:p>
        </w:tc>
      </w:tr>
    </w:tbl>
    <w:p w:rsidR="004D38C4" w:rsidRDefault="00BC2113">
      <w:pPr>
        <w:rPr>
          <w:noProof/>
        </w:rPr>
        <w:sectPr w:rsidR="004D38C4">
          <w:pgSz w:w="11906" w:h="16838"/>
          <w:pgMar w:top="1134" w:right="1134" w:bottom="1134" w:left="1134" w:header="708" w:footer="708" w:gutter="0"/>
          <w:cols w:space="708"/>
          <w:docGrid w:linePitch="360"/>
        </w:sectPr>
      </w:pPr>
      <w:r>
        <w:rPr>
          <w:noProof/>
        </w:rPr>
        <w:t xml:space="preserve"> </w:t>
      </w:r>
      <w:bookmarkEnd w:id="187"/>
    </w:p>
    <w:p w:rsidR="004D38C4" w:rsidRDefault="00BC2113">
      <w:pPr>
        <w:pStyle w:val="HEADER1PartBUDG"/>
        <w:rPr>
          <w:noProof/>
        </w:rPr>
      </w:pPr>
      <w:bookmarkStart w:id="196" w:name="_DMBM_11067"/>
      <w:r>
        <w:rPr>
          <w:noProof/>
        </w:rPr>
        <w:t xml:space="preserve"> </w:t>
      </w:r>
      <w:bookmarkStart w:id="197" w:name="_Toc517248444"/>
      <w:r>
        <w:rPr>
          <w:noProof/>
        </w:rPr>
        <w:t>IMPLEMENTATION OF EC BUDGET REVENUE</w:t>
      </w:r>
      <w:bookmarkEnd w:id="197"/>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977"/>
        <w:gridCol w:w="1134"/>
        <w:gridCol w:w="1134"/>
        <w:gridCol w:w="1134"/>
        <w:gridCol w:w="1134"/>
        <w:gridCol w:w="1134"/>
        <w:gridCol w:w="1276"/>
        <w:gridCol w:w="1275"/>
        <w:gridCol w:w="1134"/>
        <w:gridCol w:w="1134"/>
        <w:gridCol w:w="1418"/>
      </w:tblGrid>
      <w:tr w:rsidR="004D38C4">
        <w:tc>
          <w:tcPr>
            <w:tcW w:w="28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lang w:bidi="en-GB"/>
              </w:rPr>
            </w:pPr>
            <w:bookmarkStart w:id="198" w:name="DOC_TBL00094_1_1"/>
            <w:bookmarkEnd w:id="198"/>
          </w:p>
        </w:tc>
        <w:tc>
          <w:tcPr>
            <w:tcW w:w="2977"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1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2552"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 xml:space="preserve">EUR </w:t>
            </w:r>
            <w:r>
              <w:rPr>
                <w:rFonts w:eastAsia="Verdana" w:cs="Verdana"/>
                <w:lang w:bidi="en-GB"/>
              </w:rPr>
              <w:t>million</w:t>
            </w:r>
          </w:p>
        </w:tc>
      </w:tr>
      <w:tr w:rsidR="004D38C4">
        <w:trPr>
          <w:trHeight w:val="227"/>
        </w:trPr>
        <w:tc>
          <w:tcPr>
            <w:tcW w:w="28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7pBoldCentered"/>
              <w:rPr>
                <w:rFonts w:eastAsia="Verdana" w:cs="Verdana"/>
                <w:b w:val="0"/>
                <w:lang w:bidi="en-GB"/>
              </w:rPr>
            </w:pPr>
          </w:p>
        </w:tc>
        <w:tc>
          <w:tcPr>
            <w:tcW w:w="297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7pBoldCentered"/>
              <w:rPr>
                <w:rFonts w:eastAsia="Verdana" w:cs="Verdana"/>
                <w:b w:val="0"/>
                <w:lang w:bidi="en-GB"/>
              </w:rPr>
            </w:pPr>
          </w:p>
        </w:tc>
        <w:tc>
          <w:tcPr>
            <w:tcW w:w="2268" w:type="dxa"/>
            <w:gridSpan w:val="2"/>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Income appropriations</w:t>
            </w:r>
          </w:p>
        </w:tc>
        <w:tc>
          <w:tcPr>
            <w:tcW w:w="3402"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Entitlements established</w:t>
            </w:r>
          </w:p>
        </w:tc>
        <w:tc>
          <w:tcPr>
            <w:tcW w:w="3685"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Revenue</w:t>
            </w:r>
          </w:p>
        </w:tc>
        <w:tc>
          <w:tcPr>
            <w:tcW w:w="1134"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Receipts as % of budget</w:t>
            </w:r>
          </w:p>
        </w:tc>
        <w:tc>
          <w:tcPr>
            <w:tcW w:w="1418"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Out-</w:t>
            </w:r>
          </w:p>
          <w:p w:rsidR="004D38C4" w:rsidRDefault="00BC2113">
            <w:pPr>
              <w:pStyle w:val="Heading7pBoldCentered"/>
              <w:rPr>
                <w:rFonts w:eastAsia="Verdana" w:cs="Verdana"/>
                <w:b w:val="0"/>
                <w:lang w:bidi="en-GB"/>
              </w:rPr>
            </w:pPr>
            <w:r>
              <w:rPr>
                <w:rFonts w:eastAsia="Verdana" w:cs="Verdana"/>
                <w:b w:val="0"/>
                <w:lang w:bidi="en-GB"/>
              </w:rPr>
              <w:t>standing</w:t>
            </w:r>
          </w:p>
        </w:tc>
      </w:tr>
      <w:tr w:rsidR="004D38C4">
        <w:trPr>
          <w:trHeight w:val="227"/>
        </w:trPr>
        <w:tc>
          <w:tcPr>
            <w:tcW w:w="284" w:type="dxa"/>
            <w:tcBorders>
              <w:top w:val="nil"/>
              <w:left w:val="nil"/>
              <w:bottom w:val="nil"/>
              <w:right w:val="nil"/>
            </w:tcBorders>
            <w:shd w:val="clear" w:color="auto" w:fill="016794"/>
            <w:tcMar>
              <w:top w:w="0" w:type="dxa"/>
              <w:left w:w="108" w:type="dxa"/>
              <w:bottom w:w="0" w:type="dxa"/>
              <w:right w:w="108" w:type="dxa"/>
            </w:tcMar>
          </w:tcPr>
          <w:p w:rsidR="004D38C4" w:rsidRDefault="004D38C4">
            <w:pPr>
              <w:pStyle w:val="Heading8pNormalCentered"/>
              <w:rPr>
                <w:rFonts w:eastAsia="Verdana" w:cs="Verdana"/>
                <w:lang w:bidi="en-GB"/>
              </w:rPr>
            </w:pPr>
          </w:p>
        </w:tc>
        <w:tc>
          <w:tcPr>
            <w:tcW w:w="297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8pNormalCentered"/>
              <w:rPr>
                <w:rFonts w:eastAsia="Verdana" w:cs="Verdana"/>
                <w:lang w:bidi="en-GB"/>
              </w:rPr>
            </w:pPr>
            <w:r>
              <w:rPr>
                <w:rFonts w:eastAsia="Verdana" w:cs="Verdana"/>
                <w:lang w:bidi="en-GB"/>
              </w:rPr>
              <w:t>Title</w:t>
            </w:r>
          </w:p>
        </w:tc>
        <w:tc>
          <w:tcPr>
            <w:tcW w:w="113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Initial budget adopted</w:t>
            </w:r>
          </w:p>
        </w:tc>
        <w:tc>
          <w:tcPr>
            <w:tcW w:w="113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Final budget adopted</w:t>
            </w:r>
          </w:p>
        </w:tc>
        <w:tc>
          <w:tcPr>
            <w:tcW w:w="113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Current year</w:t>
            </w:r>
          </w:p>
        </w:tc>
        <w:tc>
          <w:tcPr>
            <w:tcW w:w="113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Carried over</w:t>
            </w:r>
          </w:p>
        </w:tc>
        <w:tc>
          <w:tcPr>
            <w:tcW w:w="113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Total</w:t>
            </w:r>
          </w:p>
        </w:tc>
        <w:tc>
          <w:tcPr>
            <w:tcW w:w="1276"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On entitlements of current year</w:t>
            </w:r>
          </w:p>
        </w:tc>
        <w:tc>
          <w:tcPr>
            <w:tcW w:w="1275"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On entitlements carried over</w:t>
            </w:r>
          </w:p>
        </w:tc>
        <w:tc>
          <w:tcPr>
            <w:tcW w:w="113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Total</w:t>
            </w:r>
          </w:p>
        </w:tc>
        <w:tc>
          <w:tcPr>
            <w:tcW w:w="1134"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7pBoldCentered"/>
              <w:rPr>
                <w:rFonts w:eastAsia="Verdana" w:cs="Verdana"/>
                <w:b w:val="0"/>
                <w:lang w:bidi="en-GB"/>
              </w:rPr>
            </w:pPr>
          </w:p>
        </w:tc>
        <w:tc>
          <w:tcPr>
            <w:tcW w:w="1418"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8pNormalCentered"/>
              <w:rPr>
                <w:rFonts w:eastAsia="Verdana" w:cs="Verdana"/>
                <w:color w:val="auto"/>
                <w:lang w:bidi="en-GB"/>
              </w:rPr>
            </w:pPr>
          </w:p>
        </w:tc>
      </w:tr>
      <w:tr w:rsidR="004D38C4">
        <w:trPr>
          <w:trHeight w:val="227"/>
        </w:trPr>
        <w:tc>
          <w:tcPr>
            <w:tcW w:w="28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25"/>
              <w:jc w:val="left"/>
              <w:rPr>
                <w:rFonts w:eastAsia="Verdana" w:cs="Verdana"/>
                <w:lang w:bidi="en-GB"/>
              </w:rPr>
            </w:pPr>
            <w:r>
              <w:rPr>
                <w:rFonts w:eastAsia="Verdana" w:cs="Verdana"/>
                <w:lang w:bidi="en-GB"/>
              </w:rPr>
              <w:t>1</w:t>
            </w:r>
          </w:p>
        </w:tc>
        <w:tc>
          <w:tcPr>
            <w:tcW w:w="297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NormalLeft"/>
              <w:ind w:left="0"/>
              <w:rPr>
                <w:rFonts w:eastAsia="Verdana" w:cs="Verdana"/>
                <w:lang w:bidi="en-GB"/>
              </w:rPr>
            </w:pPr>
            <w:r>
              <w:rPr>
                <w:rFonts w:eastAsia="Verdana" w:cs="Verdana"/>
                <w:lang w:bidi="en-GB"/>
              </w:rPr>
              <w:t>Own resources</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131 718</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115 484</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115 429</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115 455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115 414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115 416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100%</w:t>
            </w:r>
          </w:p>
        </w:tc>
        <w:tc>
          <w:tcPr>
            <w:tcW w:w="141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39</w:t>
            </w:r>
          </w:p>
        </w:tc>
      </w:tr>
      <w:tr w:rsidR="004D38C4">
        <w:trPr>
          <w:trHeight w:val="227"/>
        </w:trPr>
        <w:tc>
          <w:tcPr>
            <w:tcW w:w="28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25"/>
              <w:jc w:val="left"/>
              <w:rPr>
                <w:rFonts w:eastAsia="Verdana" w:cs="Verdana"/>
                <w:lang w:bidi="en-GB"/>
              </w:rPr>
            </w:pPr>
            <w:r>
              <w:rPr>
                <w:rFonts w:eastAsia="Verdana" w:cs="Verdana"/>
                <w:lang w:bidi="en-GB"/>
              </w:rPr>
              <w:t>3</w:t>
            </w:r>
          </w:p>
        </w:tc>
        <w:tc>
          <w:tcPr>
            <w:tcW w:w="297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NormalLeft"/>
              <w:ind w:left="0"/>
              <w:rPr>
                <w:rFonts w:eastAsia="Verdana" w:cs="Verdana"/>
                <w:lang w:bidi="en-GB"/>
              </w:rPr>
            </w:pPr>
            <w:r>
              <w:rPr>
                <w:rFonts w:eastAsia="Verdana" w:cs="Verdana"/>
                <w:lang w:bidi="en-GB"/>
              </w:rPr>
              <w:t>Surpluses, balances and adjustments</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6 405</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6 416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6 416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6 416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6 416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100%</w:t>
            </w:r>
          </w:p>
        </w:tc>
        <w:tc>
          <w:tcPr>
            <w:tcW w:w="141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w:t>
            </w:r>
          </w:p>
        </w:tc>
      </w:tr>
      <w:tr w:rsidR="004D38C4">
        <w:trPr>
          <w:trHeight w:val="227"/>
        </w:trPr>
        <w:tc>
          <w:tcPr>
            <w:tcW w:w="28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25"/>
              <w:jc w:val="left"/>
              <w:rPr>
                <w:rFonts w:eastAsia="Verdana" w:cs="Verdana"/>
                <w:lang w:bidi="en-GB"/>
              </w:rPr>
            </w:pPr>
            <w:r>
              <w:rPr>
                <w:rFonts w:eastAsia="Verdana" w:cs="Verdana"/>
                <w:lang w:bidi="en-GB"/>
              </w:rPr>
              <w:t>4</w:t>
            </w:r>
          </w:p>
        </w:tc>
        <w:tc>
          <w:tcPr>
            <w:tcW w:w="297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NormalLeft"/>
              <w:ind w:left="0"/>
              <w:rPr>
                <w:rFonts w:eastAsia="Verdana" w:cs="Verdana"/>
                <w:lang w:bidi="en-GB"/>
              </w:rPr>
            </w:pPr>
            <w:r>
              <w:rPr>
                <w:rFonts w:eastAsia="Verdana" w:cs="Verdana"/>
                <w:lang w:bidi="en-GB"/>
              </w:rPr>
              <w:t>Revenue accruing from persons working with the institutions and other union</w:t>
            </w:r>
            <w:r>
              <w:rPr>
                <w:rFonts w:eastAsia="Verdana" w:cs="Verdana"/>
                <w:lang w:bidi="en-GB"/>
              </w:rPr>
              <w:t xml:space="preserve"> bodies</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1 139</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1 139</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1 141</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1 148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1 131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1 137</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100%</w:t>
            </w:r>
          </w:p>
        </w:tc>
        <w:tc>
          <w:tcPr>
            <w:tcW w:w="141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11</w:t>
            </w:r>
          </w:p>
        </w:tc>
      </w:tr>
      <w:tr w:rsidR="004D38C4">
        <w:trPr>
          <w:trHeight w:val="227"/>
        </w:trPr>
        <w:tc>
          <w:tcPr>
            <w:tcW w:w="28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25"/>
              <w:jc w:val="left"/>
              <w:rPr>
                <w:rFonts w:eastAsia="Verdana" w:cs="Verdana"/>
                <w:lang w:bidi="en-GB"/>
              </w:rPr>
            </w:pPr>
            <w:r>
              <w:rPr>
                <w:rFonts w:eastAsia="Verdana" w:cs="Verdana"/>
                <w:lang w:bidi="en-GB"/>
              </w:rPr>
              <w:t>5</w:t>
            </w:r>
          </w:p>
        </w:tc>
        <w:tc>
          <w:tcPr>
            <w:tcW w:w="297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NormalLeft"/>
              <w:ind w:left="0"/>
              <w:rPr>
                <w:rFonts w:eastAsia="Verdana" w:cs="Verdana"/>
                <w:lang w:bidi="en-GB"/>
              </w:rPr>
            </w:pPr>
            <w:r>
              <w:rPr>
                <w:rFonts w:eastAsia="Verdana" w:cs="Verdana"/>
                <w:lang w:bidi="en-GB"/>
              </w:rPr>
              <w:t>Revenue accruing from the administrative operation of the institution</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70</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70</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284</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300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269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12</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282</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402%</w:t>
            </w:r>
          </w:p>
        </w:tc>
        <w:tc>
          <w:tcPr>
            <w:tcW w:w="141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18</w:t>
            </w:r>
          </w:p>
        </w:tc>
      </w:tr>
      <w:tr w:rsidR="004D38C4">
        <w:trPr>
          <w:trHeight w:val="227"/>
        </w:trPr>
        <w:tc>
          <w:tcPr>
            <w:tcW w:w="28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25"/>
              <w:jc w:val="left"/>
              <w:rPr>
                <w:rFonts w:eastAsia="Verdana" w:cs="Verdana"/>
                <w:lang w:bidi="en-GB"/>
              </w:rPr>
            </w:pPr>
            <w:r>
              <w:rPr>
                <w:rFonts w:eastAsia="Verdana" w:cs="Verdana"/>
                <w:lang w:bidi="en-GB"/>
              </w:rPr>
              <w:t>6</w:t>
            </w:r>
          </w:p>
        </w:tc>
        <w:tc>
          <w:tcPr>
            <w:tcW w:w="297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NormalLeft"/>
              <w:ind w:left="0"/>
              <w:rPr>
                <w:rFonts w:eastAsia="Verdana" w:cs="Verdana"/>
                <w:lang w:bidi="en-GB"/>
              </w:rPr>
            </w:pPr>
            <w:r>
              <w:rPr>
                <w:rFonts w:eastAsia="Verdana" w:cs="Verdana"/>
                <w:lang w:bidi="en-GB"/>
              </w:rPr>
              <w:t xml:space="preserve">Contributions and refunds in connection with union </w:t>
            </w:r>
            <w:r>
              <w:rPr>
                <w:rFonts w:eastAsia="Verdana" w:cs="Verdana"/>
                <w:lang w:bidi="en-GB"/>
              </w:rPr>
              <w:t>agreements and programmes</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60</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60</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12 216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258</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12 473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12 050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116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12 165</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20276%</w:t>
            </w:r>
          </w:p>
        </w:tc>
        <w:tc>
          <w:tcPr>
            <w:tcW w:w="141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308</w:t>
            </w:r>
          </w:p>
        </w:tc>
      </w:tr>
      <w:tr w:rsidR="004D38C4">
        <w:trPr>
          <w:trHeight w:val="227"/>
        </w:trPr>
        <w:tc>
          <w:tcPr>
            <w:tcW w:w="28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25"/>
              <w:jc w:val="left"/>
              <w:rPr>
                <w:rFonts w:eastAsia="Verdana" w:cs="Verdana"/>
                <w:lang w:bidi="en-GB"/>
              </w:rPr>
            </w:pPr>
            <w:r>
              <w:rPr>
                <w:rFonts w:eastAsia="Verdana" w:cs="Verdana"/>
                <w:lang w:bidi="en-GB"/>
              </w:rPr>
              <w:t>7</w:t>
            </w:r>
          </w:p>
        </w:tc>
        <w:tc>
          <w:tcPr>
            <w:tcW w:w="297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NormalLeft"/>
              <w:ind w:left="0"/>
              <w:rPr>
                <w:rFonts w:eastAsia="Verdana" w:cs="Verdana"/>
                <w:lang w:bidi="en-GB"/>
              </w:rPr>
            </w:pPr>
            <w:r>
              <w:rPr>
                <w:rFonts w:eastAsia="Verdana" w:cs="Verdana"/>
                <w:lang w:bidi="en-GB"/>
              </w:rPr>
              <w:t>Default interest and fines</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1 120</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3 230</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4 823</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6 564</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11 387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541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3 032</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3 573</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111%</w:t>
            </w:r>
          </w:p>
        </w:tc>
        <w:tc>
          <w:tcPr>
            <w:tcW w:w="141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7 814</w:t>
            </w:r>
          </w:p>
        </w:tc>
      </w:tr>
      <w:tr w:rsidR="004D38C4">
        <w:trPr>
          <w:trHeight w:val="227"/>
        </w:trPr>
        <w:tc>
          <w:tcPr>
            <w:tcW w:w="28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25"/>
              <w:jc w:val="left"/>
              <w:rPr>
                <w:rFonts w:eastAsia="Verdana" w:cs="Verdana"/>
                <w:lang w:bidi="en-GB"/>
              </w:rPr>
            </w:pPr>
            <w:r>
              <w:rPr>
                <w:rFonts w:eastAsia="Verdana" w:cs="Verdana"/>
                <w:lang w:bidi="en-GB"/>
              </w:rPr>
              <w:t>8</w:t>
            </w:r>
          </w:p>
        </w:tc>
        <w:tc>
          <w:tcPr>
            <w:tcW w:w="297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NormalLeft"/>
              <w:ind w:left="0"/>
              <w:rPr>
                <w:rFonts w:eastAsia="Verdana" w:cs="Verdana"/>
                <w:lang w:bidi="en-GB"/>
              </w:rPr>
            </w:pPr>
            <w:r>
              <w:rPr>
                <w:rFonts w:eastAsia="Verdana" w:cs="Verdana"/>
                <w:lang w:bidi="en-GB"/>
              </w:rPr>
              <w:t>Borrowing and lending operations</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7</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7</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39</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5</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43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5</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28</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410%</w:t>
            </w:r>
          </w:p>
        </w:tc>
        <w:tc>
          <w:tcPr>
            <w:tcW w:w="141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15</w:t>
            </w:r>
          </w:p>
        </w:tc>
      </w:tr>
      <w:tr w:rsidR="004D38C4">
        <w:trPr>
          <w:trHeight w:val="227"/>
        </w:trPr>
        <w:tc>
          <w:tcPr>
            <w:tcW w:w="28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25"/>
              <w:jc w:val="left"/>
              <w:rPr>
                <w:rFonts w:eastAsia="Verdana" w:cs="Verdana"/>
                <w:lang w:bidi="en-GB"/>
              </w:rPr>
            </w:pPr>
            <w:r>
              <w:rPr>
                <w:rFonts w:eastAsia="Verdana" w:cs="Verdana"/>
                <w:lang w:bidi="en-GB"/>
              </w:rPr>
              <w:t>9</w:t>
            </w:r>
          </w:p>
        </w:tc>
        <w:tc>
          <w:tcPr>
            <w:tcW w:w="297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NormalLeft"/>
              <w:ind w:left="0"/>
              <w:rPr>
                <w:rFonts w:eastAsia="Verdana" w:cs="Verdana"/>
                <w:lang w:bidi="en-GB"/>
              </w:rPr>
            </w:pPr>
            <w:r>
              <w:rPr>
                <w:rFonts w:eastAsia="Verdana" w:cs="Verdana"/>
                <w:lang w:bidi="en-GB"/>
              </w:rPr>
              <w:t>Miscellaneous revenue</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25</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25</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3</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9</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12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4</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w:t>
            </w:r>
          </w:p>
        </w:tc>
        <w:tc>
          <w:tcPr>
            <w:tcW w:w="11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24%</w:t>
            </w:r>
          </w:p>
        </w:tc>
        <w:tc>
          <w:tcPr>
            <w:tcW w:w="141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7pNormalRight01"/>
              <w:rPr>
                <w:rFonts w:eastAsia="Verdana" w:cs="Verdana"/>
                <w:lang w:bidi="en-GB"/>
              </w:rPr>
            </w:pPr>
            <w:r>
              <w:rPr>
                <w:rFonts w:eastAsia="Verdana" w:cs="Verdana"/>
                <w:lang w:bidi="en-GB"/>
              </w:rPr>
              <w:t xml:space="preserve">  6</w:t>
            </w:r>
          </w:p>
        </w:tc>
      </w:tr>
      <w:tr w:rsidR="004D38C4">
        <w:trPr>
          <w:trHeight w:val="227"/>
        </w:trPr>
        <w:tc>
          <w:tcPr>
            <w:tcW w:w="3261"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7pBoldLeft"/>
              <w:rPr>
                <w:rFonts w:eastAsia="Verdana" w:cs="Verdana"/>
                <w:lang w:bidi="en-GB"/>
              </w:rPr>
            </w:pPr>
            <w:r>
              <w:rPr>
                <w:rFonts w:eastAsia="Verdana" w:cs="Verdana"/>
                <w:lang w:bidi="en-GB"/>
              </w:rPr>
              <w:t>Total</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134 139</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126 419</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140 350</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6 883</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147 234</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135 846</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3 177</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139 023</w:t>
            </w:r>
          </w:p>
        </w:tc>
        <w:tc>
          <w:tcPr>
            <w:tcW w:w="113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110%</w:t>
            </w:r>
          </w:p>
        </w:tc>
        <w:tc>
          <w:tcPr>
            <w:tcW w:w="141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7pBoldRight01"/>
              <w:rPr>
                <w:rFonts w:eastAsia="Verdana" w:cs="Verdana"/>
                <w:lang w:bidi="en-GB"/>
              </w:rPr>
            </w:pPr>
            <w:r>
              <w:rPr>
                <w:rFonts w:eastAsia="Verdana" w:cs="Verdana"/>
                <w:lang w:bidi="en-GB"/>
              </w:rPr>
              <w:t xml:space="preserve"> 8 210</w:t>
            </w:r>
          </w:p>
        </w:tc>
      </w:tr>
    </w:tbl>
    <w:p w:rsidR="004D38C4" w:rsidRDefault="00BC2113">
      <w:pPr>
        <w:pStyle w:val="DGTextstand-alone"/>
        <w:sectPr w:rsidR="004D38C4">
          <w:headerReference w:type="even" r:id="rId345"/>
          <w:headerReference w:type="default" r:id="rId346"/>
          <w:footerReference w:type="even" r:id="rId347"/>
          <w:footerReference w:type="default" r:id="rId348"/>
          <w:headerReference w:type="first" r:id="rId349"/>
          <w:footerReference w:type="first" r:id="rId350"/>
          <w:type w:val="continuous"/>
          <w:pgSz w:w="16840" w:h="11907" w:orient="landscape" w:code="9"/>
          <w:pgMar w:top="1134" w:right="1134" w:bottom="1134" w:left="1134" w:header="708" w:footer="708" w:gutter="0"/>
          <w:cols w:space="708"/>
          <w:docGrid w:linePitch="360"/>
        </w:sectPr>
      </w:pPr>
      <w:r>
        <w:t xml:space="preserve"> </w:t>
      </w:r>
      <w:bookmarkEnd w:id="196"/>
    </w:p>
    <w:p w:rsidR="004D38C4" w:rsidRDefault="00BC2113">
      <w:pPr>
        <w:pStyle w:val="HEADER1PartBUDG"/>
        <w:rPr>
          <w:noProof/>
        </w:rPr>
      </w:pPr>
      <w:bookmarkStart w:id="199" w:name="_DMBM_11090"/>
      <w:r>
        <w:rPr>
          <w:noProof/>
        </w:rPr>
        <w:t xml:space="preserve"> </w:t>
      </w:r>
      <w:bookmarkStart w:id="200" w:name="_Toc517248445"/>
      <w:r>
        <w:rPr>
          <w:noProof/>
        </w:rPr>
        <w:t>IMPLEMENTATION OF EC BUDGET EXPENDITURE</w:t>
      </w:r>
      <w:bookmarkEnd w:id="200"/>
      <w:r>
        <w:rPr>
          <w:noProof/>
        </w:rPr>
        <w:t xml:space="preserve"> </w:t>
      </w:r>
    </w:p>
    <w:p w:rsidR="004D38C4" w:rsidRDefault="00BC2113">
      <w:pPr>
        <w:pStyle w:val="HEADER2PartBUDG"/>
        <w:rPr>
          <w:noProof/>
          <w:lang w:val="en-GB"/>
        </w:rPr>
      </w:pPr>
      <w:bookmarkStart w:id="201" w:name="_Toc517248446"/>
      <w:r>
        <w:rPr>
          <w:noProof/>
          <w:lang w:val="en-GB"/>
        </w:rPr>
        <w:t>MFF: BREAKDOWN &amp; CHANGES IN COMMITMENT &amp; PAYMENT APPROPRIATIONS</w:t>
      </w:r>
      <w:bookmarkEnd w:id="201"/>
    </w:p>
    <w:p w:rsidR="004D38C4" w:rsidRDefault="004D38C4">
      <w:pPr>
        <w:pStyle w:val="DGTextstand-alone"/>
        <w:rPr>
          <w:lang w:bidi="en-GB"/>
        </w:rPr>
      </w:pP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834"/>
        <w:gridCol w:w="989"/>
        <w:gridCol w:w="992"/>
        <w:gridCol w:w="992"/>
        <w:gridCol w:w="991"/>
        <w:gridCol w:w="988"/>
        <w:gridCol w:w="991"/>
        <w:gridCol w:w="991"/>
        <w:gridCol w:w="991"/>
        <w:gridCol w:w="988"/>
        <w:gridCol w:w="991"/>
        <w:gridCol w:w="991"/>
        <w:gridCol w:w="1132"/>
      </w:tblGrid>
      <w:tr w:rsidR="004D38C4">
        <w:tc>
          <w:tcPr>
            <w:tcW w:w="391" w:type="dxa"/>
            <w:tcBorders>
              <w:top w:val="nil"/>
              <w:left w:val="nil"/>
              <w:bottom w:val="nil"/>
              <w:right w:val="nil"/>
            </w:tcBorders>
            <w:shd w:val="clear" w:color="auto" w:fill="auto"/>
            <w:tcMar>
              <w:top w:w="0" w:type="dxa"/>
              <w:left w:w="85" w:type="dxa"/>
              <w:bottom w:w="0" w:type="dxa"/>
              <w:right w:w="85" w:type="dxa"/>
            </w:tcMar>
          </w:tcPr>
          <w:p w:rsidR="004D38C4" w:rsidRDefault="004D38C4">
            <w:pPr>
              <w:pStyle w:val="Text7pItalicLeft"/>
              <w:rPr>
                <w:rFonts w:eastAsia="Verdana" w:cs="Verdana"/>
                <w:color w:val="FFFFFF"/>
                <w:lang w:bidi="en-GB"/>
              </w:rPr>
            </w:pPr>
            <w:bookmarkStart w:id="202" w:name="DOC_TBL00095_1_1"/>
            <w:bookmarkEnd w:id="202"/>
          </w:p>
        </w:tc>
        <w:tc>
          <w:tcPr>
            <w:tcW w:w="28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8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2123" w:type="dxa"/>
            <w:gridSpan w:val="2"/>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ItalicRight025"/>
              <w:rPr>
                <w:rFonts w:eastAsia="Verdana" w:cs="Verdana"/>
                <w:lang w:bidi="en-GB"/>
              </w:rPr>
            </w:pPr>
            <w:r>
              <w:rPr>
                <w:rFonts w:eastAsia="Verdana" w:cs="Verdana"/>
                <w:lang w:bidi="en-GB"/>
              </w:rPr>
              <w:t>EUR million</w:t>
            </w:r>
          </w:p>
        </w:tc>
      </w:tr>
      <w:tr w:rsidR="004D38C4">
        <w:trPr>
          <w:trHeight w:val="227"/>
        </w:trPr>
        <w:tc>
          <w:tcPr>
            <w:tcW w:w="3225" w:type="dxa"/>
            <w:gridSpan w:val="2"/>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BoldCentered"/>
              <w:rPr>
                <w:rFonts w:eastAsia="Verdana" w:cs="Verdana"/>
                <w:b w:val="0"/>
                <w:lang w:bidi="en-GB"/>
              </w:rPr>
            </w:pPr>
          </w:p>
        </w:tc>
        <w:tc>
          <w:tcPr>
            <w:tcW w:w="5943" w:type="dxa"/>
            <w:gridSpan w:val="6"/>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Commitment appropriations</w:t>
            </w:r>
          </w:p>
        </w:tc>
        <w:tc>
          <w:tcPr>
            <w:tcW w:w="6084" w:type="dxa"/>
            <w:gridSpan w:val="6"/>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Payment appropriations</w:t>
            </w:r>
          </w:p>
        </w:tc>
      </w:tr>
      <w:tr w:rsidR="004D38C4">
        <w:trPr>
          <w:trHeight w:val="227"/>
        </w:trPr>
        <w:tc>
          <w:tcPr>
            <w:tcW w:w="391" w:type="dxa"/>
            <w:tcBorders>
              <w:top w:val="nil"/>
              <w:left w:val="nil"/>
              <w:bottom w:val="nil"/>
              <w:right w:val="nil"/>
            </w:tcBorders>
            <w:shd w:val="clear" w:color="auto" w:fill="016794"/>
            <w:tcMar>
              <w:top w:w="0" w:type="dxa"/>
              <w:left w:w="85" w:type="dxa"/>
              <w:bottom w:w="0" w:type="dxa"/>
              <w:right w:w="85" w:type="dxa"/>
            </w:tcMar>
            <w:vAlign w:val="bottom"/>
          </w:tcPr>
          <w:p w:rsidR="004D38C4" w:rsidRDefault="004D38C4">
            <w:pPr>
              <w:pStyle w:val="Heading6pBoldCentered"/>
              <w:rPr>
                <w:rFonts w:eastAsia="Verdana" w:cs="Verdana"/>
                <w:lang w:bidi="en-GB"/>
              </w:rPr>
            </w:pPr>
          </w:p>
        </w:tc>
        <w:tc>
          <w:tcPr>
            <w:tcW w:w="2834"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c>
          <w:tcPr>
            <w:tcW w:w="2973"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Budget appropriations</w:t>
            </w:r>
          </w:p>
        </w:tc>
        <w:tc>
          <w:tcPr>
            <w:tcW w:w="1979" w:type="dxa"/>
            <w:gridSpan w:val="2"/>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 xml:space="preserve">Additional </w:t>
            </w:r>
            <w:r>
              <w:rPr>
                <w:rFonts w:eastAsia="Verdana" w:cs="Verdana"/>
                <w:b w:val="0"/>
                <w:lang w:bidi="en-GB"/>
              </w:rPr>
              <w:t>appropriations</w:t>
            </w: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 appropr. available</w:t>
            </w:r>
          </w:p>
        </w:tc>
        <w:tc>
          <w:tcPr>
            <w:tcW w:w="2970"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Budget appropriations</w:t>
            </w:r>
          </w:p>
        </w:tc>
        <w:tc>
          <w:tcPr>
            <w:tcW w:w="1982" w:type="dxa"/>
            <w:gridSpan w:val="2"/>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Additional appropriat.</w:t>
            </w:r>
          </w:p>
        </w:tc>
        <w:tc>
          <w:tcPr>
            <w:tcW w:w="113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 appropr. available</w:t>
            </w:r>
          </w:p>
        </w:tc>
      </w:tr>
      <w:tr w:rsidR="004D38C4">
        <w:trPr>
          <w:trHeight w:val="227"/>
        </w:trPr>
        <w:tc>
          <w:tcPr>
            <w:tcW w:w="391"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BoldCentered"/>
              <w:rPr>
                <w:rFonts w:eastAsia="Verdana" w:cs="Verdana"/>
                <w:b w:val="0"/>
                <w:lang w:bidi="en-GB"/>
              </w:rPr>
            </w:pPr>
          </w:p>
        </w:tc>
        <w:tc>
          <w:tcPr>
            <w:tcW w:w="2834"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MFF Heading</w:t>
            </w:r>
          </w:p>
        </w:tc>
        <w:tc>
          <w:tcPr>
            <w:tcW w:w="989"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Initial adopted budget</w:t>
            </w:r>
          </w:p>
        </w:tc>
        <w:tc>
          <w:tcPr>
            <w:tcW w:w="99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Amending budgets &amp; transfers</w:t>
            </w:r>
          </w:p>
        </w:tc>
        <w:tc>
          <w:tcPr>
            <w:tcW w:w="99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Final adopted budget</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Carry-overs</w:t>
            </w:r>
          </w:p>
        </w:tc>
        <w:tc>
          <w:tcPr>
            <w:tcW w:w="9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Assigned revenue</w:t>
            </w: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Initial adopted budget</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Amending budgets &amp; transfers</w:t>
            </w:r>
          </w:p>
        </w:tc>
        <w:tc>
          <w:tcPr>
            <w:tcW w:w="9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Final adopted budget</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Carry-overs</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Assigned revenue</w:t>
            </w:r>
          </w:p>
        </w:tc>
        <w:tc>
          <w:tcPr>
            <w:tcW w:w="113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r>
      <w:tr w:rsidR="004D38C4">
        <w:trPr>
          <w:trHeight w:val="227"/>
        </w:trPr>
        <w:tc>
          <w:tcPr>
            <w:tcW w:w="3225" w:type="dxa"/>
            <w:gridSpan w:val="2"/>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7pNormalCentered"/>
              <w:rPr>
                <w:rFonts w:eastAsia="Verdana" w:cs="Verdana"/>
                <w:lang w:bidi="en-GB"/>
              </w:rPr>
            </w:pPr>
          </w:p>
        </w:tc>
        <w:tc>
          <w:tcPr>
            <w:tcW w:w="989"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w:t>
            </w:r>
          </w:p>
        </w:tc>
        <w:tc>
          <w:tcPr>
            <w:tcW w:w="99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w:t>
            </w:r>
          </w:p>
        </w:tc>
        <w:tc>
          <w:tcPr>
            <w:tcW w:w="99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3=1+2</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4</w:t>
            </w:r>
          </w:p>
        </w:tc>
        <w:tc>
          <w:tcPr>
            <w:tcW w:w="9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5</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6=3+4+5</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7</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8</w:t>
            </w:r>
          </w:p>
        </w:tc>
        <w:tc>
          <w:tcPr>
            <w:tcW w:w="9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9=7+8</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10</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11</w:t>
            </w:r>
          </w:p>
        </w:tc>
        <w:tc>
          <w:tcPr>
            <w:tcW w:w="113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12=9+10+11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Smart and inclusive growth</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74 899</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500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75 399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9 782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85 181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56 522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(6 682)</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49 840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11 198</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61 168</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NormalLeft"/>
              <w:rPr>
                <w:rFonts w:eastAsia="Verdana" w:cs="Verdana"/>
                <w:lang w:bidi="en-GB"/>
              </w:rPr>
            </w:pP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1a: Competitiveness for growth and jobs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21 312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21 312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3 195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24 508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19 321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744</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20 065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117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4 188</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24 370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NormalLeft"/>
              <w:rPr>
                <w:rFonts w:eastAsia="Verdana" w:cs="Verdana"/>
                <w:lang w:bidi="en-GB"/>
              </w:rPr>
            </w:pP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1b: Economic, social and territorial cohesion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53 587</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500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54 087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6 586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60 673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37 201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(7 426)</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29 775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7 009</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36 797</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Sustainable growth: natural resources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58 584</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58 569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433</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3 804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62 806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54 914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(447)</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54 467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635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3 473</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58 575</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NormalLeft"/>
              <w:rPr>
                <w:rFonts w:eastAsia="Verdana" w:cs="Verdana"/>
                <w:lang w:bidi="en-GB"/>
              </w:rPr>
            </w:pP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of which: Market related expenditure and direct payments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42 613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42 611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433</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2 786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45 830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42 563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(5)</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42 558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630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2 786</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45 975</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Security and citizenship</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4 284</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4 284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4 472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3 787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(994)</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2 793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189</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2 994</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Global Europe</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10 162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551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10 713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109</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1 560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12 382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9 483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(545)</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8 938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1 887</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10 944</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5.</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Administration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5 473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5 473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371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5 846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5 474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5 471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372</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6 136</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6.</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Compensations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8.</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Negative reserve and deficit carried over from the previous financial year </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9.</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Special Instruments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534</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938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1 472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1 544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951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1 341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1 414</w:t>
            </w:r>
          </w:p>
        </w:tc>
      </w:tr>
      <w:tr w:rsidR="004D38C4">
        <w:trPr>
          <w:trHeight w:val="227"/>
        </w:trPr>
        <w:tc>
          <w:tcPr>
            <w:tcW w:w="3225"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989"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153 937</w:t>
            </w:r>
          </w:p>
        </w:tc>
        <w:tc>
          <w:tcPr>
            <w:tcW w:w="99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1 974</w:t>
            </w:r>
          </w:p>
        </w:tc>
        <w:tc>
          <w:tcPr>
            <w:tcW w:w="99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155 910</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575</w:t>
            </w:r>
          </w:p>
        </w:tc>
        <w:tc>
          <w:tcPr>
            <w:tcW w:w="98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15 746</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172 231</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130 569</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(7 720)</w:t>
            </w:r>
          </w:p>
        </w:tc>
        <w:tc>
          <w:tcPr>
            <w:tcW w:w="98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122 850</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1 221</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17 160</w:t>
            </w:r>
          </w:p>
        </w:tc>
        <w:tc>
          <w:tcPr>
            <w:tcW w:w="113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141 230</w:t>
            </w:r>
          </w:p>
        </w:tc>
      </w:tr>
    </w:tbl>
    <w:p w:rsidR="004D38C4" w:rsidRDefault="004D38C4">
      <w:pPr>
        <w:pStyle w:val="DGTextstand-alone"/>
        <w:rPr>
          <w:lang w:bidi="en-GB"/>
        </w:rPr>
        <w:sectPr w:rsidR="004D38C4">
          <w:headerReference w:type="even" r:id="rId351"/>
          <w:headerReference w:type="default" r:id="rId352"/>
          <w:footerReference w:type="even" r:id="rId353"/>
          <w:footerReference w:type="default" r:id="rId354"/>
          <w:headerReference w:type="first" r:id="rId355"/>
          <w:footerReference w:type="first" r:id="rId356"/>
          <w:pgSz w:w="16820" w:h="11900" w:orient="landscape"/>
          <w:pgMar w:top="1134" w:right="1134" w:bottom="1134" w:left="1134" w:header="708" w:footer="708" w:gutter="0"/>
          <w:cols w:space="720" w:equalWidth="0">
            <w:col w:w="14680"/>
          </w:cols>
          <w:noEndnote/>
        </w:sectPr>
      </w:pPr>
    </w:p>
    <w:p w:rsidR="004D38C4" w:rsidRDefault="00BC2113">
      <w:pPr>
        <w:pStyle w:val="HEADER2PartBUDG"/>
        <w:rPr>
          <w:noProof/>
        </w:rPr>
      </w:pPr>
      <w:bookmarkStart w:id="203" w:name="_Toc517248447"/>
      <w:r>
        <w:rPr>
          <w:noProof/>
        </w:rPr>
        <w:t>MFF: IMPLEMENTATION OF COMMITMENT APPROPRIATIONS</w:t>
      </w:r>
      <w:bookmarkEnd w:id="203"/>
    </w:p>
    <w:tbl>
      <w:tblPr>
        <w:tblW w:w="1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690"/>
        <w:gridCol w:w="991"/>
        <w:gridCol w:w="994"/>
        <w:gridCol w:w="848"/>
        <w:gridCol w:w="990"/>
        <w:gridCol w:w="990"/>
        <w:gridCol w:w="724"/>
        <w:gridCol w:w="851"/>
        <w:gridCol w:w="851"/>
        <w:gridCol w:w="851"/>
        <w:gridCol w:w="863"/>
        <w:gridCol w:w="848"/>
        <w:gridCol w:w="955"/>
        <w:gridCol w:w="943"/>
      </w:tblGrid>
      <w:tr w:rsidR="004D38C4">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7pItalicLeft"/>
              <w:rPr>
                <w:rFonts w:eastAsia="Verdana" w:cs="Verdana"/>
                <w:lang w:bidi="en-GB"/>
              </w:rPr>
            </w:pPr>
            <w:bookmarkStart w:id="204" w:name="DOC_TBL00096_1_1"/>
            <w:bookmarkEnd w:id="204"/>
          </w:p>
        </w:tc>
        <w:tc>
          <w:tcPr>
            <w:tcW w:w="269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4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72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6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4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1898"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rPr>
          <w:trHeight w:val="227"/>
        </w:trPr>
        <w:tc>
          <w:tcPr>
            <w:tcW w:w="391"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NormalCentered"/>
              <w:rPr>
                <w:rFonts w:eastAsia="Verdana" w:cs="Verdana"/>
                <w:lang w:bidi="en-GB"/>
              </w:rPr>
            </w:pPr>
          </w:p>
        </w:tc>
        <w:tc>
          <w:tcPr>
            <w:tcW w:w="269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color w:val="auto"/>
                <w:lang w:bidi="en-GB"/>
              </w:rPr>
            </w:pP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c>
          <w:tcPr>
            <w:tcW w:w="4546" w:type="dxa"/>
            <w:gridSpan w:val="5"/>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Commitments made</w:t>
            </w:r>
          </w:p>
        </w:tc>
        <w:tc>
          <w:tcPr>
            <w:tcW w:w="2553"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Appropriat. carried over to 2018</w:t>
            </w:r>
          </w:p>
        </w:tc>
        <w:tc>
          <w:tcPr>
            <w:tcW w:w="3609"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Appropriations lapsing</w:t>
            </w:r>
          </w:p>
        </w:tc>
      </w:tr>
      <w:tr w:rsidR="004D38C4">
        <w:trPr>
          <w:trHeight w:val="227"/>
        </w:trPr>
        <w:tc>
          <w:tcPr>
            <w:tcW w:w="391"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NormalCentered"/>
              <w:rPr>
                <w:rFonts w:eastAsia="Verdana" w:cs="Verdana"/>
                <w:lang w:bidi="en-GB"/>
              </w:rPr>
            </w:pPr>
          </w:p>
        </w:tc>
        <w:tc>
          <w:tcPr>
            <w:tcW w:w="269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MFF Heading</w:t>
            </w: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 appropr. available</w:t>
            </w:r>
          </w:p>
        </w:tc>
        <w:tc>
          <w:tcPr>
            <w:tcW w:w="99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final adopted budget</w:t>
            </w:r>
          </w:p>
        </w:tc>
        <w:tc>
          <w:tcPr>
            <w:tcW w:w="84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 xml:space="preserve">from </w:t>
            </w:r>
            <w:r>
              <w:rPr>
                <w:rFonts w:eastAsia="Verdana" w:cs="Verdana"/>
                <w:b w:val="0"/>
                <w:lang w:bidi="en-GB"/>
              </w:rPr>
              <w:t>carry-overs</w:t>
            </w:r>
          </w:p>
        </w:tc>
        <w:tc>
          <w:tcPr>
            <w:tcW w:w="990"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assigned revenue</w:t>
            </w:r>
          </w:p>
        </w:tc>
        <w:tc>
          <w:tcPr>
            <w:tcW w:w="990"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w:t>
            </w:r>
          </w:p>
        </w:tc>
        <w:tc>
          <w:tcPr>
            <w:tcW w:w="72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NarrowCentred"/>
              <w:rPr>
                <w:rFonts w:eastAsia="Verdana" w:cs="Verdana"/>
                <w:b w:val="0"/>
                <w:lang w:bidi="en-GB"/>
              </w:rPr>
            </w:pPr>
            <w:r>
              <w:rPr>
                <w:rFonts w:eastAsia="Verdana" w:cs="Verdana"/>
                <w:b w:val="0"/>
                <w:lang w:bidi="en-GB"/>
              </w:rPr>
              <w:t>assigned revenue</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carry-overs by decision</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w:t>
            </w:r>
          </w:p>
        </w:tc>
        <w:tc>
          <w:tcPr>
            <w:tcW w:w="86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final adopted budget</w:t>
            </w:r>
          </w:p>
        </w:tc>
        <w:tc>
          <w:tcPr>
            <w:tcW w:w="84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carry- overs</w:t>
            </w:r>
          </w:p>
        </w:tc>
        <w:tc>
          <w:tcPr>
            <w:tcW w:w="955"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assigned revenue</w:t>
            </w:r>
          </w:p>
        </w:tc>
        <w:tc>
          <w:tcPr>
            <w:tcW w:w="94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assigned revenue</w:t>
            </w:r>
          </w:p>
        </w:tc>
      </w:tr>
      <w:tr w:rsidR="004D38C4">
        <w:trPr>
          <w:trHeight w:val="227"/>
        </w:trPr>
        <w:tc>
          <w:tcPr>
            <w:tcW w:w="391"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NormalCentered"/>
              <w:rPr>
                <w:rFonts w:eastAsia="Verdana" w:cs="Verdana"/>
                <w:lang w:bidi="en-GB"/>
              </w:rPr>
            </w:pPr>
          </w:p>
        </w:tc>
        <w:tc>
          <w:tcPr>
            <w:tcW w:w="269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w:t>
            </w:r>
          </w:p>
        </w:tc>
        <w:tc>
          <w:tcPr>
            <w:tcW w:w="99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w:t>
            </w:r>
          </w:p>
        </w:tc>
        <w:tc>
          <w:tcPr>
            <w:tcW w:w="84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3</w:t>
            </w:r>
          </w:p>
        </w:tc>
        <w:tc>
          <w:tcPr>
            <w:tcW w:w="990"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4</w:t>
            </w:r>
          </w:p>
        </w:tc>
        <w:tc>
          <w:tcPr>
            <w:tcW w:w="990"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5=2+3+4</w:t>
            </w:r>
          </w:p>
        </w:tc>
        <w:tc>
          <w:tcPr>
            <w:tcW w:w="72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6=5/1</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NarrowCentred"/>
              <w:rPr>
                <w:rFonts w:eastAsia="Verdana" w:cs="Verdana"/>
                <w:b w:val="0"/>
                <w:lang w:bidi="en-GB"/>
              </w:rPr>
            </w:pPr>
            <w:r>
              <w:rPr>
                <w:rFonts w:eastAsia="Verdana" w:cs="Verdana"/>
                <w:b w:val="0"/>
                <w:lang w:bidi="en-GB"/>
              </w:rPr>
              <w:t>7</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8</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9=7+8</w:t>
            </w:r>
          </w:p>
        </w:tc>
        <w:tc>
          <w:tcPr>
            <w:tcW w:w="86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10</w:t>
            </w:r>
          </w:p>
        </w:tc>
        <w:tc>
          <w:tcPr>
            <w:tcW w:w="84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11</w:t>
            </w:r>
          </w:p>
        </w:tc>
        <w:tc>
          <w:tcPr>
            <w:tcW w:w="955"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12</w:t>
            </w:r>
          </w:p>
        </w:tc>
        <w:tc>
          <w:tcPr>
            <w:tcW w:w="94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Smart and inclusive growth</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85 181</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75 356</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7 912</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83 268</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98 %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1 870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1 897</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1a: Competitiveness for growth and jobs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24 508</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21 301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1 353</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22 654</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92 %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1 842</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1 846</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8</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8</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1b: Economic, social and territorial cohesion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60 673</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54 056</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6 559</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60 614</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100 %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28</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51</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8</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8</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Sustainable growth: natural resources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62 806</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58 100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426</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2 334</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60 859</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1 470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1 920</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of which: Market related expenditure and direct payments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45 830</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42 150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426</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2 183</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44 759</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98 %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603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451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1 054</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8</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18</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Security and citizenship</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4 472</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4 035</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89</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4 124</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92 %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247</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345</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Global Europe</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12 382</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10 710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108</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997</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11 814</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95 %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565</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5.</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Administration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5 846</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5 431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219</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5 652</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152</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152</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6.</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Compensations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0 %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8.</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Negative reserve and deficit carried over from the previous financial year </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0 %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9.</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Special Instruments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1 544</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1 291</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84 %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103</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151</w:t>
            </w:r>
          </w:p>
        </w:tc>
      </w:tr>
      <w:tr w:rsidR="004D38C4">
        <w:trPr>
          <w:trHeight w:val="227"/>
        </w:trPr>
        <w:tc>
          <w:tcPr>
            <w:tcW w:w="3081"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172 231</w:t>
            </w:r>
          </w:p>
        </w:tc>
        <w:tc>
          <w:tcPr>
            <w:tcW w:w="99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154 892</w:t>
            </w:r>
          </w:p>
        </w:tc>
        <w:tc>
          <w:tcPr>
            <w:tcW w:w="84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566</w:t>
            </w:r>
          </w:p>
        </w:tc>
        <w:tc>
          <w:tcPr>
            <w:tcW w:w="990"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11 551</w:t>
            </w:r>
          </w:p>
        </w:tc>
        <w:tc>
          <w:tcPr>
            <w:tcW w:w="990"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167 009</w:t>
            </w:r>
          </w:p>
        </w:tc>
        <w:tc>
          <w:tcPr>
            <w:tcW w:w="72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4 195</w:t>
            </w:r>
          </w:p>
        </w:tc>
        <w:tc>
          <w:tcPr>
            <w:tcW w:w="85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788</w:t>
            </w:r>
          </w:p>
        </w:tc>
        <w:tc>
          <w:tcPr>
            <w:tcW w:w="85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4 983</w:t>
            </w:r>
          </w:p>
        </w:tc>
        <w:tc>
          <w:tcPr>
            <w:tcW w:w="863"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231</w:t>
            </w:r>
          </w:p>
        </w:tc>
        <w:tc>
          <w:tcPr>
            <w:tcW w:w="84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9</w:t>
            </w:r>
          </w:p>
        </w:tc>
        <w:tc>
          <w:tcPr>
            <w:tcW w:w="95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240</w:t>
            </w:r>
          </w:p>
        </w:tc>
      </w:tr>
    </w:tbl>
    <w:p w:rsidR="004D38C4" w:rsidRDefault="00BC2113">
      <w:pPr>
        <w:pStyle w:val="DGTextstand-alone"/>
      </w:pPr>
      <w:r>
        <w:t xml:space="preserve"> </w:t>
      </w:r>
    </w:p>
    <w:p w:rsidR="004D38C4" w:rsidRDefault="004D38C4">
      <w:pPr>
        <w:widowControl w:val="0"/>
        <w:autoSpaceDE w:val="0"/>
        <w:autoSpaceDN w:val="0"/>
        <w:adjustRightInd w:val="0"/>
        <w:rPr>
          <w:noProof/>
        </w:rPr>
        <w:sectPr w:rsidR="004D38C4">
          <w:pgSz w:w="16820" w:h="11900" w:orient="landscape"/>
          <w:pgMar w:top="1100" w:right="1100" w:bottom="280" w:left="1080" w:header="720" w:footer="720" w:gutter="0"/>
          <w:cols w:space="720" w:equalWidth="0">
            <w:col w:w="14640"/>
          </w:cols>
          <w:noEndnote/>
        </w:sectPr>
      </w:pPr>
    </w:p>
    <w:p w:rsidR="004D38C4" w:rsidRDefault="00BC2113">
      <w:pPr>
        <w:pStyle w:val="HEADER2PartBUDG"/>
        <w:rPr>
          <w:noProof/>
        </w:rPr>
      </w:pPr>
      <w:bookmarkStart w:id="205" w:name="_Toc517248448"/>
      <w:r>
        <w:rPr>
          <w:noProof/>
        </w:rPr>
        <w:t>MFF: IMPLEMENTATION OF PAYMENT APPROPRIATIONS</w:t>
      </w:r>
      <w:bookmarkEnd w:id="205"/>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921"/>
        <w:gridCol w:w="921"/>
        <w:gridCol w:w="922"/>
        <w:gridCol w:w="921"/>
        <w:gridCol w:w="922"/>
        <w:gridCol w:w="921"/>
        <w:gridCol w:w="922"/>
        <w:gridCol w:w="921"/>
        <w:gridCol w:w="921"/>
        <w:gridCol w:w="922"/>
        <w:gridCol w:w="921"/>
        <w:gridCol w:w="922"/>
        <w:gridCol w:w="921"/>
        <w:gridCol w:w="922"/>
      </w:tblGrid>
      <w:tr w:rsidR="004D38C4">
        <w:trPr>
          <w:cantSplit/>
          <w:trHeight w:val="68"/>
        </w:trPr>
        <w:tc>
          <w:tcPr>
            <w:tcW w:w="6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Left"/>
              <w:rPr>
                <w:rFonts w:eastAsia="Verdana" w:cs="Verdana"/>
                <w:lang w:bidi="en-GB"/>
              </w:rPr>
            </w:pPr>
            <w:bookmarkStart w:id="206" w:name="DOC_TBL00097_1_1"/>
            <w:bookmarkEnd w:id="206"/>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1843"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6pItalicRight025"/>
              <w:rPr>
                <w:rFonts w:eastAsia="Verdana" w:cs="Verdana"/>
                <w:lang w:bidi="en-GB"/>
              </w:rPr>
            </w:pPr>
            <w:r>
              <w:rPr>
                <w:rFonts w:eastAsia="Verdana" w:cs="Verdana"/>
                <w:lang w:bidi="en-GB"/>
              </w:rPr>
              <w:t>EUR million</w:t>
            </w:r>
          </w:p>
        </w:tc>
      </w:tr>
      <w:tr w:rsidR="004D38C4">
        <w:trPr>
          <w:cantSplit/>
          <w:trHeight w:val="227"/>
        </w:trPr>
        <w:tc>
          <w:tcPr>
            <w:tcW w:w="675"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NormalCentered"/>
              <w:rPr>
                <w:rFonts w:eastAsia="Verdana" w:cs="Verdana"/>
                <w:lang w:bidi="en-GB"/>
              </w:rPr>
            </w:pP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NormalCentered"/>
              <w:rPr>
                <w:rFonts w:eastAsia="Verdana" w:cs="Verdana"/>
                <w:lang w:bidi="en-GB"/>
              </w:rPr>
            </w:pPr>
          </w:p>
        </w:tc>
        <w:tc>
          <w:tcPr>
            <w:tcW w:w="92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NormalCentered"/>
              <w:rPr>
                <w:rFonts w:eastAsia="Verdana" w:cs="Verdana"/>
                <w:color w:val="auto"/>
                <w:lang w:bidi="en-GB"/>
              </w:rPr>
            </w:pPr>
          </w:p>
        </w:tc>
        <w:tc>
          <w:tcPr>
            <w:tcW w:w="4607" w:type="dxa"/>
            <w:gridSpan w:val="5"/>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Payments made</w:t>
            </w:r>
          </w:p>
        </w:tc>
        <w:tc>
          <w:tcPr>
            <w:tcW w:w="3686"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Appropriations carried over to 2018</w:t>
            </w:r>
          </w:p>
        </w:tc>
        <w:tc>
          <w:tcPr>
            <w:tcW w:w="3686"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Appropriations lapsing</w:t>
            </w:r>
          </w:p>
        </w:tc>
      </w:tr>
      <w:tr w:rsidR="004D38C4">
        <w:trPr>
          <w:cantSplit/>
          <w:trHeight w:val="227"/>
        </w:trPr>
        <w:tc>
          <w:tcPr>
            <w:tcW w:w="675"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NormalCentered"/>
              <w:rPr>
                <w:rFonts w:eastAsia="Verdana" w:cs="Verdana"/>
                <w:lang w:bidi="en-GB"/>
              </w:rPr>
            </w:pP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MFF Heading</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Total appropr. available</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final adopted budget</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carry-overs</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assigned revenue</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Total</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auto-</w:t>
            </w:r>
          </w:p>
          <w:p w:rsidR="004D38C4" w:rsidRDefault="00BC2113">
            <w:pPr>
              <w:pStyle w:val="Heading6pNormalCentered"/>
              <w:rPr>
                <w:rFonts w:eastAsia="Verdana" w:cs="Verdana"/>
                <w:lang w:bidi="en-GB"/>
              </w:rPr>
            </w:pPr>
            <w:r>
              <w:rPr>
                <w:rFonts w:eastAsia="Verdana" w:cs="Verdana"/>
                <w:lang w:bidi="en-GB"/>
              </w:rPr>
              <w:t>matic carry-overs</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carry-overs by decis.</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assigned revenue</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Total</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final adopted budget</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carry-  overs</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assigned revenue</w:t>
            </w:r>
          </w:p>
        </w:tc>
        <w:tc>
          <w:tcPr>
            <w:tcW w:w="92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Total</w:t>
            </w:r>
          </w:p>
        </w:tc>
      </w:tr>
      <w:tr w:rsidR="004D38C4">
        <w:trPr>
          <w:cantSplit/>
          <w:trHeight w:val="227"/>
        </w:trPr>
        <w:tc>
          <w:tcPr>
            <w:tcW w:w="675"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NormalCentered"/>
              <w:rPr>
                <w:rFonts w:eastAsia="Verdana" w:cs="Verdana"/>
                <w:lang w:bidi="en-GB"/>
              </w:rPr>
            </w:pP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NormalCentered"/>
              <w:rPr>
                <w:rFonts w:eastAsia="Verdana" w:cs="Verdana"/>
                <w:lang w:bidi="en-GB"/>
              </w:rPr>
            </w:pP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2</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3</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4</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5=2+3+4</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6=5/1</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7</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8</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9</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10=7+8+9</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11</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12</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13</w:t>
            </w:r>
          </w:p>
        </w:tc>
        <w:tc>
          <w:tcPr>
            <w:tcW w:w="92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14=11+12+13</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Smart and inclusive growth</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61 168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49 698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7 220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57 030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93 %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3 977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4 098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NormalLeft"/>
              <w:rPr>
                <w:rFonts w:eastAsia="Verdana" w:cs="Verdana"/>
                <w:lang w:bidi="en-GB"/>
              </w:rPr>
            </w:pP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    1a: Competitiveness for growth and jobs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24 370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19 945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1 330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21 376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88 %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2 858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2 966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28</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NormalLeft"/>
              <w:rPr>
                <w:rFonts w:eastAsia="Verdana" w:cs="Verdana"/>
                <w:lang w:bidi="en-GB"/>
              </w:rPr>
            </w:pP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    1b: Economic, social and territorial cohesion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36 797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29 754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5 890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35 654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1 119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1 132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Sustainable growth: natural resources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58 575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53 889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2 228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56 743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1 245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NormalLeft"/>
              <w:rPr>
                <w:rFonts w:eastAsia="Verdana" w:cs="Verdana"/>
                <w:lang w:bidi="en-GB"/>
              </w:rPr>
            </w:pP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    of which: Market related expenditure and direct payments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45 975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41 992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2 081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44 695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705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Security and citizenship</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2 994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2 767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2 867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96 %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Global Europe</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10 944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8 610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1 067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9 793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89 %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820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1 136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5.</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Administration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6 136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5 123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5 571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91 %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501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63</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6.</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Compensations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0 %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8.</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Negative reserve and deficit carried over from the previous financial year </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0 %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cantSplit/>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9.</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Special Instruments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1 414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1 241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1 291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91 %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r>
      <w:tr w:rsidR="004D38C4">
        <w:trPr>
          <w:cantSplit/>
          <w:trHeight w:val="227"/>
        </w:trPr>
        <w:tc>
          <w:tcPr>
            <w:tcW w:w="2376"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141 230</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121 328</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1 167</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10 800</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133 294</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94 %</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862</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458</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6 359</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7 680</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201</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54</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255</w:t>
            </w:r>
          </w:p>
        </w:tc>
      </w:tr>
    </w:tbl>
    <w:p w:rsidR="004D38C4" w:rsidRDefault="00BC2113">
      <w:pPr>
        <w:pStyle w:val="DGTextstand-alone"/>
      </w:pPr>
      <w:r>
        <w:t xml:space="preserve">  </w:t>
      </w:r>
    </w:p>
    <w:p w:rsidR="004D38C4" w:rsidRDefault="004D38C4">
      <w:pPr>
        <w:rPr>
          <w:noProof/>
        </w:rPr>
        <w:sectPr w:rsidR="004D38C4">
          <w:pgSz w:w="16838" w:h="11906" w:orient="landscape"/>
          <w:pgMar w:top="1134" w:right="1134" w:bottom="1134" w:left="1134" w:header="708" w:footer="708" w:gutter="0"/>
          <w:cols w:space="708"/>
          <w:docGrid w:linePitch="360"/>
        </w:sectPr>
      </w:pPr>
    </w:p>
    <w:p w:rsidR="004D38C4" w:rsidRDefault="00BC2113">
      <w:pPr>
        <w:pStyle w:val="HEADER2PartBUDG"/>
        <w:rPr>
          <w:noProof/>
          <w:lang w:val="en-GB"/>
        </w:rPr>
      </w:pPr>
      <w:bookmarkStart w:id="207" w:name="_Toc517248449"/>
      <w:r>
        <w:rPr>
          <w:noProof/>
          <w:lang w:val="en-GB"/>
        </w:rPr>
        <w:t>MFF: MOVEMENTS IN COMMITMENTS OUTSTANDING (RAL)</w:t>
      </w:r>
      <w:bookmarkEnd w:id="207"/>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02"/>
        <w:gridCol w:w="1276"/>
        <w:gridCol w:w="1275"/>
        <w:gridCol w:w="1276"/>
        <w:gridCol w:w="1276"/>
        <w:gridCol w:w="1276"/>
        <w:gridCol w:w="1275"/>
        <w:gridCol w:w="1276"/>
        <w:gridCol w:w="1276"/>
        <w:gridCol w:w="1417"/>
      </w:tblGrid>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208" w:name="DOC_TBL00098_1_1"/>
            <w:bookmarkEnd w:id="208"/>
          </w:p>
        </w:tc>
        <w:tc>
          <w:tcPr>
            <w:tcW w:w="340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rPr>
          <w:trHeight w:val="227"/>
        </w:trPr>
        <w:tc>
          <w:tcPr>
            <w:tcW w:w="392"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NormalCentered"/>
              <w:rPr>
                <w:rFonts w:eastAsia="Verdana" w:cs="Verdana"/>
                <w:lang w:bidi="en-GB"/>
              </w:rPr>
            </w:pPr>
          </w:p>
        </w:tc>
        <w:tc>
          <w:tcPr>
            <w:tcW w:w="340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7pNormalCentered"/>
              <w:rPr>
                <w:rFonts w:eastAsia="Verdana" w:cs="Verdana"/>
                <w:lang w:bidi="en-GB"/>
              </w:rPr>
            </w:pPr>
          </w:p>
        </w:tc>
        <w:tc>
          <w:tcPr>
            <w:tcW w:w="5103"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 xml:space="preserve">Commitments outstanding at the end of previous </w:t>
            </w:r>
            <w:r>
              <w:rPr>
                <w:rFonts w:eastAsia="Verdana" w:cs="Verdana"/>
                <w:lang w:bidi="en-GB"/>
              </w:rPr>
              <w:t>year</w:t>
            </w:r>
          </w:p>
        </w:tc>
        <w:tc>
          <w:tcPr>
            <w:tcW w:w="5103"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Commitments of the year</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Total commitm. outstanding at end of the year</w:t>
            </w:r>
          </w:p>
        </w:tc>
      </w:tr>
      <w:tr w:rsidR="004D38C4">
        <w:trPr>
          <w:trHeight w:val="227"/>
        </w:trPr>
        <w:tc>
          <w:tcPr>
            <w:tcW w:w="392"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BoldCentered"/>
              <w:rPr>
                <w:rFonts w:eastAsia="Verdana" w:cs="Verdana"/>
                <w:b w:val="0"/>
                <w:lang w:bidi="en-GB"/>
              </w:rPr>
            </w:pPr>
          </w:p>
        </w:tc>
        <w:tc>
          <w:tcPr>
            <w:tcW w:w="340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MFF Heading</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 carried forward from prev. year</w:t>
            </w:r>
          </w:p>
        </w:tc>
        <w:tc>
          <w:tcPr>
            <w:tcW w:w="127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NarrowCentred"/>
              <w:rPr>
                <w:rFonts w:eastAsia="Verdana" w:cs="Verdana"/>
                <w:b w:val="0"/>
                <w:lang w:bidi="en-GB"/>
              </w:rPr>
            </w:pPr>
            <w:r>
              <w:rPr>
                <w:rFonts w:eastAsia="Verdana" w:cs="Verdana"/>
                <w:b w:val="0"/>
                <w:lang w:bidi="en-GB"/>
              </w:rPr>
              <w:t>Decommitments/</w:t>
            </w:r>
            <w:r>
              <w:rPr>
                <w:rFonts w:eastAsia="Verdana" w:cs="Verdana"/>
                <w:b w:val="0"/>
                <w:lang w:bidi="en-GB"/>
              </w:rPr>
              <w:br/>
              <w:t>Revaluat./</w:t>
            </w:r>
            <w:r>
              <w:rPr>
                <w:rFonts w:eastAsia="Verdana" w:cs="Verdana"/>
                <w:b w:val="0"/>
                <w:lang w:bidi="en-GB"/>
              </w:rPr>
              <w:br/>
              <w:t>Cancellations</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Payments</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Commitm. outstanding at year-end</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 made during the year</w:t>
            </w:r>
          </w:p>
        </w:tc>
        <w:tc>
          <w:tcPr>
            <w:tcW w:w="127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Payments</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Cancellation of commitm. which cannot be carried-over</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Commitm. outstanding at year-end</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Smart and inclusive growth</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174 938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(4 337)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(49 231)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121 370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83 268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(7 799)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75 467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196 837</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1a: Competitiveness for growth and jobs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35 622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(1 321)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(13 887)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20 414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22 654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(7 489)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15 162</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35 576</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1b: Economic, social and territorial cohesion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139 316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(3 015)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(35 345)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100 956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60 614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(310)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60 304</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161 260</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Sustainable growth: natural resources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33 947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(11 860)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21 907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60 859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(44 882)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15 977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37 883</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of which: Market related expenditure and direct payments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247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(211)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44 759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(44 484)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275</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309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Security and citizenship</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4 167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(1 650)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2 286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4 124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(1 217)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2 908</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5 194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Global Europe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24 974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(517)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(6 662)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17 795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11 814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(3 131)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8 682</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26 478</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5.</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Administration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5 652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(5 294)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358</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359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ItalicLeft"/>
              <w:rPr>
                <w:rFonts w:eastAsia="Verdana" w:cs="Verdana"/>
                <w:lang w:bidi="en-GB"/>
              </w:rPr>
            </w:pPr>
            <w:r>
              <w:rPr>
                <w:rFonts w:eastAsia="Verdana" w:cs="Verdana"/>
                <w:lang w:bidi="en-GB"/>
              </w:rPr>
              <w:t>6.</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Compensations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8.</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Negative reserve and deficit carried over from the previous financial year </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9.</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Special Instruments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1 291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(1 290)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r>
      <w:tr w:rsidR="004D38C4">
        <w:trPr>
          <w:trHeight w:val="227"/>
        </w:trPr>
        <w:tc>
          <w:tcPr>
            <w:tcW w:w="3794"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238 328</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(5 287)</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(69 681)</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163 359</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167 009</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(63 613)</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(4)</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103 392</w:t>
            </w:r>
          </w:p>
        </w:tc>
        <w:tc>
          <w:tcPr>
            <w:tcW w:w="1417"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266 751</w:t>
            </w:r>
          </w:p>
        </w:tc>
      </w:tr>
    </w:tbl>
    <w:p w:rsidR="004D38C4" w:rsidRDefault="004D38C4">
      <w:pPr>
        <w:pStyle w:val="DGTextstand-alone"/>
        <w:rPr>
          <w:lang w:bidi="en-GB"/>
        </w:rPr>
        <w:sectPr w:rsidR="004D38C4">
          <w:pgSz w:w="16838" w:h="11906" w:orient="landscape"/>
          <w:pgMar w:top="1134" w:right="1134" w:bottom="1134" w:left="1134" w:header="708" w:footer="708" w:gutter="0"/>
          <w:cols w:space="708"/>
          <w:docGrid w:linePitch="360"/>
        </w:sectPr>
      </w:pPr>
    </w:p>
    <w:p w:rsidR="004D38C4" w:rsidRDefault="00BC2113">
      <w:pPr>
        <w:pStyle w:val="HEADER2PartBUDG"/>
        <w:rPr>
          <w:noProof/>
          <w:lang w:val="en-GB"/>
        </w:rPr>
      </w:pPr>
      <w:bookmarkStart w:id="209" w:name="_Toc517248450"/>
      <w:r>
        <w:rPr>
          <w:noProof/>
          <w:lang w:val="en-GB"/>
        </w:rPr>
        <w:t>MFF: COMMITMENTS OUTSTANDING BY YEAR OF ORIGIN</w:t>
      </w:r>
      <w:bookmarkEnd w:id="209"/>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02"/>
        <w:gridCol w:w="1276"/>
        <w:gridCol w:w="1275"/>
        <w:gridCol w:w="1276"/>
        <w:gridCol w:w="1276"/>
        <w:gridCol w:w="1276"/>
        <w:gridCol w:w="1275"/>
        <w:gridCol w:w="1276"/>
        <w:gridCol w:w="1276"/>
        <w:gridCol w:w="1417"/>
      </w:tblGrid>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210" w:name="DOC_TBL00099_1_1"/>
            <w:bookmarkEnd w:id="210"/>
          </w:p>
        </w:tc>
        <w:tc>
          <w:tcPr>
            <w:tcW w:w="340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rPr>
          <w:trHeight w:val="227"/>
        </w:trPr>
        <w:tc>
          <w:tcPr>
            <w:tcW w:w="392"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BoldCentered"/>
              <w:rPr>
                <w:rFonts w:eastAsia="Verdana" w:cs="Verdana"/>
                <w:b w:val="0"/>
                <w:lang w:bidi="en-GB"/>
              </w:rPr>
            </w:pPr>
          </w:p>
        </w:tc>
        <w:tc>
          <w:tcPr>
            <w:tcW w:w="340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MFF Heading</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&lt;2011</w:t>
            </w:r>
          </w:p>
        </w:tc>
        <w:tc>
          <w:tcPr>
            <w:tcW w:w="127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2011</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2012</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2013</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2014</w:t>
            </w:r>
          </w:p>
        </w:tc>
        <w:tc>
          <w:tcPr>
            <w:tcW w:w="127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2015</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2016</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2017</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Smart and inclusive growth</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1 575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1 464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13 556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6 680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41 805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55 759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75 467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196 837</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1a: Competitiveness for growth and jobs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741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294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829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2 754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3 620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4 893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7 283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15 162</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35 576</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1b: Economic, social and territorial cohesion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834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238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635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10 802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3 060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36 912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48 475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60 304</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161 260</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Sustainable growth: natural </w:t>
            </w:r>
            <w:r>
              <w:rPr>
                <w:rFonts w:eastAsia="Verdana" w:cs="Verdana"/>
                <w:lang w:bidi="en-GB"/>
              </w:rPr>
              <w:t>resources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5 470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14 588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15 977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37 883</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6pItalicLeft"/>
              <w:rPr>
                <w:rFonts w:eastAsia="Verdana" w:cs="Verdana"/>
                <w:lang w:bidi="en-GB"/>
              </w:rPr>
            </w:pP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ItalicLeft"/>
              <w:rPr>
                <w:rFonts w:eastAsia="Verdana" w:cs="Verdana"/>
                <w:lang w:bidi="en-GB"/>
              </w:rPr>
            </w:pPr>
            <w:r>
              <w:rPr>
                <w:rFonts w:eastAsia="Verdana" w:cs="Verdana"/>
                <w:lang w:bidi="en-GB"/>
              </w:rPr>
              <w:t xml:space="preserve">    of which: Market related expenditure and direct payments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12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275</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ItalicRight01"/>
              <w:rPr>
                <w:rFonts w:eastAsia="Verdana" w:cs="Verdana"/>
                <w:lang w:bidi="en-GB"/>
              </w:rPr>
            </w:pPr>
            <w:r>
              <w:rPr>
                <w:rFonts w:eastAsia="Verdana" w:cs="Verdana"/>
                <w:lang w:bidi="en-GB"/>
              </w:rPr>
              <w:t xml:space="preserve">  309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Security and citizenship</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1 669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2 908</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5 194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Global</w:t>
            </w:r>
            <w:r>
              <w:rPr>
                <w:rFonts w:eastAsia="Verdana" w:cs="Verdana"/>
                <w:lang w:bidi="en-GB"/>
              </w:rPr>
              <w:t xml:space="preserve"> Europe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1 036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1 054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2 232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2 675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4 226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6 030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8 682</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26 478</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5</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Administration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358</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359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6</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Compensations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8</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Negative reserve and deficit carried over from the previous financial year </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9</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Special Instruments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r>
      <w:tr w:rsidR="004D38C4">
        <w:trPr>
          <w:trHeight w:val="227"/>
        </w:trPr>
        <w:tc>
          <w:tcPr>
            <w:tcW w:w="3794"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2 878</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1 166</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2 668</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16 893</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9 928</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51 779</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78 048</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103 392</w:t>
            </w:r>
          </w:p>
        </w:tc>
        <w:tc>
          <w:tcPr>
            <w:tcW w:w="1417"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266 751</w:t>
            </w:r>
          </w:p>
        </w:tc>
      </w:tr>
    </w:tbl>
    <w:p w:rsidR="004D38C4" w:rsidRDefault="004D38C4">
      <w:pPr>
        <w:pStyle w:val="DGTextstand-alone"/>
        <w:rPr>
          <w:lang w:bidi="en-GB"/>
        </w:rPr>
        <w:sectPr w:rsidR="004D38C4">
          <w:pgSz w:w="16838" w:h="11906" w:orient="landscape"/>
          <w:pgMar w:top="1134" w:right="1134" w:bottom="1134" w:left="1134" w:header="708" w:footer="708" w:gutter="0"/>
          <w:cols w:space="708"/>
          <w:docGrid w:linePitch="360"/>
        </w:sectPr>
      </w:pPr>
    </w:p>
    <w:p w:rsidR="004D38C4" w:rsidRDefault="00BC2113">
      <w:pPr>
        <w:pStyle w:val="HEADER2PartBUDG"/>
        <w:rPr>
          <w:noProof/>
          <w:lang w:val="en-GB"/>
        </w:rPr>
      </w:pPr>
      <w:bookmarkStart w:id="211" w:name="_Toc517248451"/>
      <w:r>
        <w:rPr>
          <w:noProof/>
          <w:lang w:val="en-GB"/>
        </w:rPr>
        <w:t>POLICY AREA: BREAKDOWN AND CHANGES IN COMMITMENT AND PAYMENT APPROPRIATIONS</w:t>
      </w:r>
      <w:bookmarkEnd w:id="211"/>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834"/>
        <w:gridCol w:w="989"/>
        <w:gridCol w:w="992"/>
        <w:gridCol w:w="992"/>
        <w:gridCol w:w="991"/>
        <w:gridCol w:w="988"/>
        <w:gridCol w:w="991"/>
        <w:gridCol w:w="991"/>
        <w:gridCol w:w="991"/>
        <w:gridCol w:w="988"/>
        <w:gridCol w:w="991"/>
        <w:gridCol w:w="991"/>
        <w:gridCol w:w="1132"/>
      </w:tblGrid>
      <w:tr w:rsidR="004D38C4">
        <w:trPr>
          <w:tblHeader/>
        </w:trPr>
        <w:tc>
          <w:tcPr>
            <w:tcW w:w="391" w:type="dxa"/>
            <w:tcBorders>
              <w:top w:val="nil"/>
              <w:left w:val="nil"/>
              <w:bottom w:val="nil"/>
              <w:right w:val="nil"/>
            </w:tcBorders>
            <w:shd w:val="clear" w:color="auto" w:fill="auto"/>
            <w:tcMar>
              <w:top w:w="0" w:type="dxa"/>
              <w:left w:w="85" w:type="dxa"/>
              <w:bottom w:w="0" w:type="dxa"/>
              <w:right w:w="85" w:type="dxa"/>
            </w:tcMar>
          </w:tcPr>
          <w:p w:rsidR="004D38C4" w:rsidRDefault="004D38C4">
            <w:pPr>
              <w:pStyle w:val="Text7pItalicLeft"/>
              <w:rPr>
                <w:rFonts w:eastAsia="Verdana" w:cs="Verdana"/>
                <w:color w:val="FFFFFF"/>
                <w:lang w:bidi="en-GB"/>
              </w:rPr>
            </w:pPr>
            <w:bookmarkStart w:id="212" w:name="DOC_TBL00100_1_1"/>
            <w:bookmarkEnd w:id="212"/>
          </w:p>
        </w:tc>
        <w:tc>
          <w:tcPr>
            <w:tcW w:w="283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89"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8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2123" w:type="dxa"/>
            <w:gridSpan w:val="2"/>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7pItalicRight025"/>
              <w:rPr>
                <w:rFonts w:eastAsia="Verdana" w:cs="Verdana"/>
                <w:lang w:bidi="en-GB"/>
              </w:rPr>
            </w:pPr>
            <w:r>
              <w:rPr>
                <w:rFonts w:eastAsia="Verdana" w:cs="Verdana"/>
                <w:lang w:bidi="en-GB"/>
              </w:rPr>
              <w:t>EUR million</w:t>
            </w:r>
          </w:p>
        </w:tc>
      </w:tr>
      <w:tr w:rsidR="004D38C4">
        <w:trPr>
          <w:trHeight w:val="227"/>
          <w:tblHeader/>
        </w:trPr>
        <w:tc>
          <w:tcPr>
            <w:tcW w:w="3225" w:type="dxa"/>
            <w:gridSpan w:val="2"/>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BoldCentered"/>
              <w:rPr>
                <w:rFonts w:eastAsia="Verdana" w:cs="Verdana"/>
                <w:b w:val="0"/>
                <w:lang w:bidi="en-GB"/>
              </w:rPr>
            </w:pPr>
          </w:p>
        </w:tc>
        <w:tc>
          <w:tcPr>
            <w:tcW w:w="5943" w:type="dxa"/>
            <w:gridSpan w:val="6"/>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Commitment appropriations</w:t>
            </w:r>
          </w:p>
        </w:tc>
        <w:tc>
          <w:tcPr>
            <w:tcW w:w="6084" w:type="dxa"/>
            <w:gridSpan w:val="6"/>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BoldCentered"/>
              <w:rPr>
                <w:rFonts w:eastAsia="Verdana" w:cs="Verdana"/>
                <w:b w:val="0"/>
                <w:lang w:bidi="en-GB"/>
              </w:rPr>
            </w:pPr>
            <w:r>
              <w:rPr>
                <w:rFonts w:eastAsia="Verdana" w:cs="Verdana"/>
                <w:b w:val="0"/>
                <w:lang w:bidi="en-GB"/>
              </w:rPr>
              <w:t>Payment appropriations</w:t>
            </w:r>
          </w:p>
        </w:tc>
      </w:tr>
      <w:tr w:rsidR="004D38C4">
        <w:trPr>
          <w:trHeight w:val="227"/>
          <w:tblHeader/>
        </w:trPr>
        <w:tc>
          <w:tcPr>
            <w:tcW w:w="391" w:type="dxa"/>
            <w:tcBorders>
              <w:top w:val="nil"/>
              <w:left w:val="nil"/>
              <w:bottom w:val="nil"/>
              <w:right w:val="nil"/>
            </w:tcBorders>
            <w:shd w:val="clear" w:color="auto" w:fill="016794"/>
            <w:tcMar>
              <w:top w:w="0" w:type="dxa"/>
              <w:left w:w="85" w:type="dxa"/>
              <w:bottom w:w="0" w:type="dxa"/>
              <w:right w:w="85" w:type="dxa"/>
            </w:tcMar>
            <w:vAlign w:val="bottom"/>
          </w:tcPr>
          <w:p w:rsidR="004D38C4" w:rsidRDefault="004D38C4">
            <w:pPr>
              <w:pStyle w:val="Heading6pBoldCentered"/>
              <w:rPr>
                <w:rFonts w:eastAsia="Verdana" w:cs="Verdana"/>
                <w:lang w:bidi="en-GB"/>
              </w:rPr>
            </w:pPr>
          </w:p>
        </w:tc>
        <w:tc>
          <w:tcPr>
            <w:tcW w:w="2834"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c>
          <w:tcPr>
            <w:tcW w:w="2973"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Budget appropriations</w:t>
            </w:r>
          </w:p>
        </w:tc>
        <w:tc>
          <w:tcPr>
            <w:tcW w:w="1979" w:type="dxa"/>
            <w:gridSpan w:val="2"/>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Additional appropriations</w:t>
            </w: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 appropr. available</w:t>
            </w:r>
          </w:p>
        </w:tc>
        <w:tc>
          <w:tcPr>
            <w:tcW w:w="2970"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Budget appropriations</w:t>
            </w:r>
          </w:p>
        </w:tc>
        <w:tc>
          <w:tcPr>
            <w:tcW w:w="1982" w:type="dxa"/>
            <w:gridSpan w:val="2"/>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Additional appropriations</w:t>
            </w:r>
          </w:p>
        </w:tc>
        <w:tc>
          <w:tcPr>
            <w:tcW w:w="113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 appropr. available</w:t>
            </w:r>
          </w:p>
        </w:tc>
      </w:tr>
      <w:tr w:rsidR="004D38C4">
        <w:trPr>
          <w:trHeight w:val="227"/>
          <w:tblHeader/>
        </w:trPr>
        <w:tc>
          <w:tcPr>
            <w:tcW w:w="391"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BoldCentered"/>
              <w:rPr>
                <w:rFonts w:eastAsia="Verdana" w:cs="Verdana"/>
                <w:b w:val="0"/>
                <w:lang w:bidi="en-GB"/>
              </w:rPr>
            </w:pPr>
          </w:p>
        </w:tc>
        <w:tc>
          <w:tcPr>
            <w:tcW w:w="2834"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Policy area</w:t>
            </w:r>
          </w:p>
        </w:tc>
        <w:tc>
          <w:tcPr>
            <w:tcW w:w="989"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Initial adopted budget</w:t>
            </w:r>
          </w:p>
        </w:tc>
        <w:tc>
          <w:tcPr>
            <w:tcW w:w="99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 xml:space="preserve">Amending budgets &amp; </w:t>
            </w:r>
            <w:r>
              <w:rPr>
                <w:rFonts w:eastAsia="Verdana" w:cs="Verdana"/>
                <w:b w:val="0"/>
                <w:lang w:bidi="en-GB"/>
              </w:rPr>
              <w:t>transfers</w:t>
            </w:r>
          </w:p>
        </w:tc>
        <w:tc>
          <w:tcPr>
            <w:tcW w:w="99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Final adopted budget</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Carried-over</w:t>
            </w:r>
          </w:p>
        </w:tc>
        <w:tc>
          <w:tcPr>
            <w:tcW w:w="9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Assigned revenue</w:t>
            </w: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Initial adopted budget</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Amending budgets &amp; transfers</w:t>
            </w:r>
          </w:p>
        </w:tc>
        <w:tc>
          <w:tcPr>
            <w:tcW w:w="9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Final adopted budget</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Carried-over</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Assigned revenue</w:t>
            </w:r>
          </w:p>
        </w:tc>
        <w:tc>
          <w:tcPr>
            <w:tcW w:w="113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r>
      <w:tr w:rsidR="004D38C4">
        <w:trPr>
          <w:trHeight w:val="227"/>
          <w:tblHeader/>
        </w:trPr>
        <w:tc>
          <w:tcPr>
            <w:tcW w:w="3225" w:type="dxa"/>
            <w:gridSpan w:val="2"/>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7pNormalCentered"/>
              <w:rPr>
                <w:rFonts w:eastAsia="Verdana" w:cs="Verdana"/>
                <w:lang w:bidi="en-GB"/>
              </w:rPr>
            </w:pPr>
          </w:p>
        </w:tc>
        <w:tc>
          <w:tcPr>
            <w:tcW w:w="989"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w:t>
            </w:r>
          </w:p>
        </w:tc>
        <w:tc>
          <w:tcPr>
            <w:tcW w:w="99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w:t>
            </w:r>
          </w:p>
        </w:tc>
        <w:tc>
          <w:tcPr>
            <w:tcW w:w="99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3=1+2</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4</w:t>
            </w:r>
          </w:p>
        </w:tc>
        <w:tc>
          <w:tcPr>
            <w:tcW w:w="9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5</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6=3+4+5</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7</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8</w:t>
            </w:r>
          </w:p>
        </w:tc>
        <w:tc>
          <w:tcPr>
            <w:tcW w:w="98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9=7+8</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10</w:t>
            </w:r>
          </w:p>
        </w:tc>
        <w:tc>
          <w:tcPr>
            <w:tcW w:w="99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11</w:t>
            </w:r>
          </w:p>
        </w:tc>
        <w:tc>
          <w:tcPr>
            <w:tcW w:w="113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12=9+10+11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01</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Economic and financial affairs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3 086</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269</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3 356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2 840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316</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3 156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458</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3 620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02</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Internal market, industry, entrepreneurship and SMEs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2 456</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2 449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2 700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2 260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2 255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452</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2 721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03</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Competition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04</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Employment, social affairs and inclusion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13 813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527</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14 341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1 731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16 072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10 726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(1 342)</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9 383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2 166</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11 562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05</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Agriculture and rural development</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57 538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57 530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433</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3 690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61 653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54 110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(204)</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53 906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636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3 364</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57 907</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06</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Mobility and transport</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3 784</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3 783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3 964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1 815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179</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1 994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177</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2 176</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07</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Environment</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371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08</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Research and innovation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6 193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6 193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1 142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7 334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5 912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5 911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1 716</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7 655</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09</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Communications networks, content and technology</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2 008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2 009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2 280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2 165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2 104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339</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2 459</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10</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Direct research</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984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518</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957</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11</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Maritime affairs and fisheries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1 105</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1 094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1 231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768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137</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716</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12</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Financial stability, financial services and capital markets union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98</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13</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Regional and urban policy</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38 612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1 203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39 815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4 920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44 767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26 780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(4 883)</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21 898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4 912</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26 852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14</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Taxation and customs union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174</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15</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Education and culture</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3 366</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3 367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3 916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3 146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3 163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721</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3 898</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16</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17</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Health and food safety</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564</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605</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18</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Migration and home affairs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3 459</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3 458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3 607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3 103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(1 035)</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2 068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165</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2 240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19</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Foreign policy instruments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738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685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753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699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(109)</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652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20</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Trade</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116</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21</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International cooperation and development</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3 703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3 676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3 866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3 339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(178)</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3 161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214</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3 397</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22</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Neighbourhood and enlargement negotiations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4 508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4 531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4 653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3 856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(673)</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3 183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456</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3 650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23</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Humanitarian aid and civil protection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1 053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319</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1 372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774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2 244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228</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1 483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733</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2 308</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24</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Fight against fraud</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25</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policy coordination and legal advice</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26</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administration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1 070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1 069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1 068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1 061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193</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1 400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27</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Budget</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76</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87</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28</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Audit</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29</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Statistics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144</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165</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30</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Pensions and related expenditure</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1 797</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1 797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1 809</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31</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Language services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408</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406</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74</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498</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32</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Energy</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1 643</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1 643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1 771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1 317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478</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1 795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151</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1 952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33</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Justice and consumers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280</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34</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Climate action</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147</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147</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148</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102</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89</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40</w:t>
            </w:r>
          </w:p>
        </w:tc>
        <w:tc>
          <w:tcPr>
            <w:tcW w:w="283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Reserves</w:t>
            </w:r>
          </w:p>
        </w:tc>
        <w:tc>
          <w:tcPr>
            <w:tcW w:w="989"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484</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(271)</w:t>
            </w:r>
          </w:p>
        </w:tc>
        <w:tc>
          <w:tcPr>
            <w:tcW w:w="99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213</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315</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(216)</w:t>
            </w:r>
          </w:p>
        </w:tc>
        <w:tc>
          <w:tcPr>
            <w:tcW w:w="98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13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r>
      <w:tr w:rsidR="004D38C4">
        <w:trPr>
          <w:trHeight w:val="227"/>
        </w:trPr>
        <w:tc>
          <w:tcPr>
            <w:tcW w:w="3225"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989"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153 937</w:t>
            </w:r>
          </w:p>
        </w:tc>
        <w:tc>
          <w:tcPr>
            <w:tcW w:w="99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1 974</w:t>
            </w:r>
          </w:p>
        </w:tc>
        <w:tc>
          <w:tcPr>
            <w:tcW w:w="99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155 910</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575</w:t>
            </w:r>
          </w:p>
        </w:tc>
        <w:tc>
          <w:tcPr>
            <w:tcW w:w="98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15 746</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172 231</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130 569</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(7 720)</w:t>
            </w:r>
          </w:p>
        </w:tc>
        <w:tc>
          <w:tcPr>
            <w:tcW w:w="98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122 850</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1 221</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17 160</w:t>
            </w:r>
          </w:p>
        </w:tc>
        <w:tc>
          <w:tcPr>
            <w:tcW w:w="113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141 230</w:t>
            </w:r>
          </w:p>
        </w:tc>
      </w:tr>
    </w:tbl>
    <w:p w:rsidR="004D38C4" w:rsidRDefault="00BC2113">
      <w:pPr>
        <w:pStyle w:val="DGTextstand-alone"/>
      </w:pPr>
      <w:r>
        <w:t xml:space="preserve"> </w:t>
      </w:r>
      <w:r>
        <w:br w:type="page"/>
      </w:r>
    </w:p>
    <w:p w:rsidR="004D38C4" w:rsidRDefault="00BC2113">
      <w:pPr>
        <w:pStyle w:val="HEADER2PartBUDG"/>
        <w:rPr>
          <w:noProof/>
          <w:lang w:val="en-GB"/>
        </w:rPr>
      </w:pPr>
      <w:bookmarkStart w:id="213" w:name="_Toc517248452"/>
      <w:r>
        <w:rPr>
          <w:noProof/>
          <w:lang w:val="en-GB"/>
        </w:rPr>
        <w:t>POLICY AREA: IMPLEMENTATION OF</w:t>
      </w:r>
      <w:r>
        <w:rPr>
          <w:noProof/>
          <w:lang w:val="en-GB"/>
        </w:rPr>
        <w:t xml:space="preserve"> COMMITMENT APPROPRIATIONS</w:t>
      </w:r>
      <w:bookmarkEnd w:id="213"/>
    </w:p>
    <w:tbl>
      <w:tblPr>
        <w:tblW w:w="1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690"/>
        <w:gridCol w:w="991"/>
        <w:gridCol w:w="994"/>
        <w:gridCol w:w="848"/>
        <w:gridCol w:w="990"/>
        <w:gridCol w:w="990"/>
        <w:gridCol w:w="724"/>
        <w:gridCol w:w="851"/>
        <w:gridCol w:w="851"/>
        <w:gridCol w:w="851"/>
        <w:gridCol w:w="863"/>
        <w:gridCol w:w="848"/>
        <w:gridCol w:w="955"/>
        <w:gridCol w:w="943"/>
      </w:tblGrid>
      <w:tr w:rsidR="004D38C4">
        <w:trPr>
          <w:tblHeader/>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4D38C4">
            <w:pPr>
              <w:pStyle w:val="Text7pItalicLeft"/>
              <w:rPr>
                <w:rFonts w:eastAsia="Verdana" w:cs="Verdana"/>
                <w:lang w:bidi="en-GB"/>
              </w:rPr>
            </w:pPr>
            <w:bookmarkStart w:id="214" w:name="DOC_TBL00101_1_1"/>
            <w:bookmarkEnd w:id="214"/>
          </w:p>
        </w:tc>
        <w:tc>
          <w:tcPr>
            <w:tcW w:w="269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4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90"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724"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5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63"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848"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1898"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rPr>
          <w:trHeight w:val="227"/>
          <w:tblHeader/>
        </w:trPr>
        <w:tc>
          <w:tcPr>
            <w:tcW w:w="391"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NormalCentered"/>
              <w:rPr>
                <w:rFonts w:eastAsia="Verdana" w:cs="Verdana"/>
                <w:lang w:bidi="en-GB"/>
              </w:rPr>
            </w:pPr>
          </w:p>
        </w:tc>
        <w:tc>
          <w:tcPr>
            <w:tcW w:w="269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color w:val="auto"/>
                <w:lang w:bidi="en-GB"/>
              </w:rPr>
            </w:pP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c>
          <w:tcPr>
            <w:tcW w:w="4546" w:type="dxa"/>
            <w:gridSpan w:val="5"/>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Commitments made</w:t>
            </w:r>
          </w:p>
        </w:tc>
        <w:tc>
          <w:tcPr>
            <w:tcW w:w="2553" w:type="dxa"/>
            <w:gridSpan w:val="3"/>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Appropriations carried over to 2018</w:t>
            </w:r>
          </w:p>
        </w:tc>
        <w:tc>
          <w:tcPr>
            <w:tcW w:w="3609"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Appropriations lapsing</w:t>
            </w:r>
          </w:p>
        </w:tc>
      </w:tr>
      <w:tr w:rsidR="004D38C4">
        <w:trPr>
          <w:trHeight w:val="227"/>
          <w:tblHeader/>
        </w:trPr>
        <w:tc>
          <w:tcPr>
            <w:tcW w:w="391"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NormalCentered"/>
              <w:rPr>
                <w:rFonts w:eastAsia="Verdana" w:cs="Verdana"/>
                <w:lang w:bidi="en-GB"/>
              </w:rPr>
            </w:pPr>
          </w:p>
        </w:tc>
        <w:tc>
          <w:tcPr>
            <w:tcW w:w="2690"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Policy area</w:t>
            </w: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 appropr. available</w:t>
            </w:r>
          </w:p>
        </w:tc>
        <w:tc>
          <w:tcPr>
            <w:tcW w:w="99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final adopted budget</w:t>
            </w:r>
          </w:p>
        </w:tc>
        <w:tc>
          <w:tcPr>
            <w:tcW w:w="84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carry-overs</w:t>
            </w:r>
          </w:p>
        </w:tc>
        <w:tc>
          <w:tcPr>
            <w:tcW w:w="990"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assigned revenue</w:t>
            </w:r>
          </w:p>
        </w:tc>
        <w:tc>
          <w:tcPr>
            <w:tcW w:w="990"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w:t>
            </w:r>
          </w:p>
        </w:tc>
        <w:tc>
          <w:tcPr>
            <w:tcW w:w="72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NarrowCentred"/>
              <w:rPr>
                <w:rFonts w:eastAsia="Verdana" w:cs="Verdana"/>
                <w:b w:val="0"/>
                <w:lang w:bidi="en-GB"/>
              </w:rPr>
            </w:pPr>
            <w:r>
              <w:rPr>
                <w:rFonts w:eastAsia="Verdana" w:cs="Verdana"/>
                <w:b w:val="0"/>
                <w:lang w:bidi="en-GB"/>
              </w:rPr>
              <w:t xml:space="preserve">assigned </w:t>
            </w:r>
            <w:r>
              <w:rPr>
                <w:rFonts w:eastAsia="Verdana" w:cs="Verdana"/>
                <w:b w:val="0"/>
                <w:lang w:bidi="en-GB"/>
              </w:rPr>
              <w:t>revenue</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carry-overs by decision</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w:t>
            </w:r>
          </w:p>
        </w:tc>
        <w:tc>
          <w:tcPr>
            <w:tcW w:w="86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final adopted budget</w:t>
            </w:r>
          </w:p>
        </w:tc>
        <w:tc>
          <w:tcPr>
            <w:tcW w:w="84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carry-overs</w:t>
            </w:r>
          </w:p>
        </w:tc>
        <w:tc>
          <w:tcPr>
            <w:tcW w:w="955"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from assigned revenue</w:t>
            </w:r>
          </w:p>
        </w:tc>
        <w:tc>
          <w:tcPr>
            <w:tcW w:w="94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w:t>
            </w:r>
          </w:p>
        </w:tc>
      </w:tr>
      <w:tr w:rsidR="004D38C4">
        <w:trPr>
          <w:trHeight w:val="227"/>
          <w:tblHeader/>
        </w:trPr>
        <w:tc>
          <w:tcPr>
            <w:tcW w:w="3081" w:type="dxa"/>
            <w:gridSpan w:val="2"/>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BoldCentered"/>
              <w:rPr>
                <w:rFonts w:eastAsia="Verdana" w:cs="Verdana"/>
                <w:b w:val="0"/>
                <w:lang w:bidi="en-GB"/>
              </w:rPr>
            </w:pPr>
          </w:p>
        </w:tc>
        <w:tc>
          <w:tcPr>
            <w:tcW w:w="99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w:t>
            </w:r>
          </w:p>
        </w:tc>
        <w:tc>
          <w:tcPr>
            <w:tcW w:w="99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w:t>
            </w:r>
          </w:p>
        </w:tc>
        <w:tc>
          <w:tcPr>
            <w:tcW w:w="84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3</w:t>
            </w:r>
          </w:p>
        </w:tc>
        <w:tc>
          <w:tcPr>
            <w:tcW w:w="990"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4</w:t>
            </w:r>
          </w:p>
        </w:tc>
        <w:tc>
          <w:tcPr>
            <w:tcW w:w="990"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5=2+3+4</w:t>
            </w:r>
          </w:p>
        </w:tc>
        <w:tc>
          <w:tcPr>
            <w:tcW w:w="724"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6=5/1</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NarrowCentred"/>
              <w:rPr>
                <w:rFonts w:eastAsia="Verdana" w:cs="Verdana"/>
                <w:b w:val="0"/>
                <w:lang w:bidi="en-GB"/>
              </w:rPr>
            </w:pPr>
            <w:r>
              <w:rPr>
                <w:rFonts w:eastAsia="Verdana" w:cs="Verdana"/>
                <w:b w:val="0"/>
                <w:lang w:bidi="en-GB"/>
              </w:rPr>
              <w:t>7</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8</w:t>
            </w:r>
          </w:p>
        </w:tc>
        <w:tc>
          <w:tcPr>
            <w:tcW w:w="85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9=7+8</w:t>
            </w:r>
          </w:p>
        </w:tc>
        <w:tc>
          <w:tcPr>
            <w:tcW w:w="86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10</w:t>
            </w:r>
          </w:p>
        </w:tc>
        <w:tc>
          <w:tcPr>
            <w:tcW w:w="848"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11</w:t>
            </w:r>
          </w:p>
        </w:tc>
        <w:tc>
          <w:tcPr>
            <w:tcW w:w="955"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12</w:t>
            </w:r>
          </w:p>
        </w:tc>
        <w:tc>
          <w:tcPr>
            <w:tcW w:w="943"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13=10+ 11+12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01</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Economic and financial affairs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3 812</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3 355</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43</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3 398</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89 %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413</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02</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Internal market, industry, entrepreneurship and SMEs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2 700</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2 449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2 559</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95 %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141</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03</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Competition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113</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107</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110</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04</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Employment, social affairs and inclusion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16 072</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14 332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1 678</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16 010</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100 %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05</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Agriculture and rural development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61 653</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57 064</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426</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2 203</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59 693</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1 487</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1 938</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06</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Mobility and transport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3 964</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3 781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48</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3 830</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133</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07</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Environment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492</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486</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99 %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08</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Research and innovation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7 334</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6 192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598</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6 790</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93 %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543</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09</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Communications networks, content and technology</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2 280</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2 005</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86</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2 091</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92 %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184</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188</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10</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Direct research</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984</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523</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53 %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461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461</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11</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Maritime affairs and fisheries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1 231</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1 089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136</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1 225</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100 %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12</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Financial stability, financial services and capital markets </w:t>
            </w:r>
            <w:r>
              <w:rPr>
                <w:rFonts w:eastAsia="Verdana" w:cs="Verdana"/>
                <w:lang w:bidi="en-GB"/>
              </w:rPr>
              <w:t>union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96</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92</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96 %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13</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Regional and urban policy</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44 767</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39 788</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4 890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44 710</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100 %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14</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Taxation and customs union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194</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185</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188</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15</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Education and </w:t>
            </w:r>
            <w:r>
              <w:rPr>
                <w:rFonts w:eastAsia="Verdana" w:cs="Verdana"/>
                <w:lang w:bidi="en-GB"/>
              </w:rPr>
              <w:t>culture</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3 916</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3 366</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3 666</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94 %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249</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249</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16</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224</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218</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17</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Health and food safety</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614</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565</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596</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18</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Migration and home affairs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3 607</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3 209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63</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3 272</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91 %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86</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247</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332</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19</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Foreign policy instruments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753</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684</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739</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98 %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20</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Trade</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115</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113</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98 %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21</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International cooperation and </w:t>
            </w:r>
            <w:r>
              <w:rPr>
                <w:rFonts w:eastAsia="Verdana" w:cs="Verdana"/>
                <w:lang w:bidi="en-GB"/>
              </w:rPr>
              <w:t>development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3 866</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3 672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159</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3 832</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99 %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22</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Neighbourhood and enlargement negotiations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4 653</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4 529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4 599</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99 %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52</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52</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23</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Humanitarian aid and civil protection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2 244</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1 371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724</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2 194</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98 %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24</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Fight against fraud</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82</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79</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95 %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25</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policy coordination and legal advice</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245</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237</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26</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administration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1 259</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1 067</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1 188</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94 %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70</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27</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Budget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79</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73</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92 %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28</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Audit</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29</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Statistics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161</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149</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93 %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30</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Pensions and related </w:t>
            </w:r>
            <w:r>
              <w:rPr>
                <w:rFonts w:eastAsia="Verdana" w:cs="Verdana"/>
                <w:lang w:bidi="en-GB"/>
              </w:rPr>
              <w:t>expenditure</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1 809</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1 800</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99 %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31</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Language services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479</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402</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446</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93 %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32</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Energy</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1 771</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1 639</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1 665</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94 %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102</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102</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33</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Justice and consumers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280</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273</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98 %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34</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Climate action</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148</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146</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147</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100 %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r>
      <w:tr w:rsidR="004D38C4">
        <w:trPr>
          <w:trHeight w:val="227"/>
        </w:trPr>
        <w:tc>
          <w:tcPr>
            <w:tcW w:w="391"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40</w:t>
            </w:r>
          </w:p>
        </w:tc>
        <w:tc>
          <w:tcPr>
            <w:tcW w:w="26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Reserves</w:t>
            </w:r>
          </w:p>
        </w:tc>
        <w:tc>
          <w:tcPr>
            <w:tcW w:w="99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213</w:t>
            </w:r>
          </w:p>
        </w:tc>
        <w:tc>
          <w:tcPr>
            <w:tcW w:w="99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90"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724"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0 %</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w:t>
            </w:r>
          </w:p>
        </w:tc>
        <w:tc>
          <w:tcPr>
            <w:tcW w:w="85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w:t>
            </w:r>
          </w:p>
        </w:tc>
        <w:tc>
          <w:tcPr>
            <w:tcW w:w="86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151</w:t>
            </w:r>
          </w:p>
        </w:tc>
        <w:tc>
          <w:tcPr>
            <w:tcW w:w="848"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5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43"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151</w:t>
            </w:r>
          </w:p>
        </w:tc>
      </w:tr>
      <w:tr w:rsidR="004D38C4">
        <w:trPr>
          <w:trHeight w:val="227"/>
        </w:trPr>
        <w:tc>
          <w:tcPr>
            <w:tcW w:w="3081"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99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172 231</w:t>
            </w:r>
          </w:p>
        </w:tc>
        <w:tc>
          <w:tcPr>
            <w:tcW w:w="99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154 892</w:t>
            </w:r>
          </w:p>
        </w:tc>
        <w:tc>
          <w:tcPr>
            <w:tcW w:w="84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566</w:t>
            </w:r>
          </w:p>
        </w:tc>
        <w:tc>
          <w:tcPr>
            <w:tcW w:w="990"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11 551</w:t>
            </w:r>
          </w:p>
        </w:tc>
        <w:tc>
          <w:tcPr>
            <w:tcW w:w="990"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167 009</w:t>
            </w:r>
          </w:p>
        </w:tc>
        <w:tc>
          <w:tcPr>
            <w:tcW w:w="724"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97 %</w:t>
            </w:r>
          </w:p>
        </w:tc>
        <w:tc>
          <w:tcPr>
            <w:tcW w:w="85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4 195</w:t>
            </w:r>
          </w:p>
        </w:tc>
        <w:tc>
          <w:tcPr>
            <w:tcW w:w="85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788</w:t>
            </w:r>
          </w:p>
        </w:tc>
        <w:tc>
          <w:tcPr>
            <w:tcW w:w="85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4 983</w:t>
            </w:r>
          </w:p>
        </w:tc>
        <w:tc>
          <w:tcPr>
            <w:tcW w:w="863"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231</w:t>
            </w:r>
          </w:p>
        </w:tc>
        <w:tc>
          <w:tcPr>
            <w:tcW w:w="848"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9</w:t>
            </w:r>
          </w:p>
        </w:tc>
        <w:tc>
          <w:tcPr>
            <w:tcW w:w="95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0</w:t>
            </w:r>
          </w:p>
        </w:tc>
        <w:tc>
          <w:tcPr>
            <w:tcW w:w="943"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240</w:t>
            </w:r>
          </w:p>
        </w:tc>
      </w:tr>
    </w:tbl>
    <w:p w:rsidR="004D38C4" w:rsidRDefault="00BC2113">
      <w:pPr>
        <w:pStyle w:val="DGTextstand-alone"/>
      </w:pPr>
      <w:r>
        <w:t xml:space="preserve"> </w:t>
      </w:r>
    </w:p>
    <w:p w:rsidR="004D38C4" w:rsidRDefault="004D38C4">
      <w:pPr>
        <w:pStyle w:val="DGTextstand-alone"/>
        <w:sectPr w:rsidR="004D38C4">
          <w:pgSz w:w="16838" w:h="11906" w:orient="landscape"/>
          <w:pgMar w:top="1134" w:right="1134" w:bottom="1134" w:left="1134" w:header="708" w:footer="708" w:gutter="0"/>
          <w:cols w:space="708"/>
          <w:docGrid w:linePitch="360"/>
        </w:sectPr>
      </w:pPr>
    </w:p>
    <w:p w:rsidR="004D38C4" w:rsidRDefault="00BC2113">
      <w:pPr>
        <w:pStyle w:val="HEADER2PartBUDG"/>
        <w:rPr>
          <w:noProof/>
          <w:lang w:val="en-GB"/>
        </w:rPr>
      </w:pPr>
      <w:bookmarkStart w:id="215" w:name="_Toc517248453"/>
      <w:r>
        <w:rPr>
          <w:noProof/>
          <w:lang w:val="en-GB"/>
        </w:rPr>
        <w:t>POLICY AREA: IMPLEMENTATION OF PAYMENT APPROPRIATIONS</w:t>
      </w:r>
      <w:bookmarkEnd w:id="215"/>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921"/>
        <w:gridCol w:w="921"/>
        <w:gridCol w:w="922"/>
        <w:gridCol w:w="921"/>
        <w:gridCol w:w="922"/>
        <w:gridCol w:w="921"/>
        <w:gridCol w:w="922"/>
        <w:gridCol w:w="921"/>
        <w:gridCol w:w="921"/>
        <w:gridCol w:w="922"/>
        <w:gridCol w:w="921"/>
        <w:gridCol w:w="922"/>
        <w:gridCol w:w="921"/>
        <w:gridCol w:w="922"/>
      </w:tblGrid>
      <w:tr w:rsidR="004D38C4">
        <w:trPr>
          <w:trHeight w:val="68"/>
          <w:tblHeader/>
        </w:trPr>
        <w:tc>
          <w:tcPr>
            <w:tcW w:w="6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Left"/>
              <w:rPr>
                <w:rFonts w:eastAsia="Verdana" w:cs="Verdana"/>
                <w:lang w:bidi="en-GB"/>
              </w:rPr>
            </w:pPr>
            <w:bookmarkStart w:id="216" w:name="DOC_TBL00102_1_1"/>
            <w:bookmarkEnd w:id="216"/>
          </w:p>
        </w:tc>
        <w:tc>
          <w:tcPr>
            <w:tcW w:w="170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1"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92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7pItalicRight025"/>
              <w:rPr>
                <w:rFonts w:eastAsia="Verdana" w:cs="Verdana"/>
                <w:i w:val="0"/>
                <w:lang w:bidi="en-GB"/>
              </w:rPr>
            </w:pPr>
          </w:p>
        </w:tc>
        <w:tc>
          <w:tcPr>
            <w:tcW w:w="1843" w:type="dxa"/>
            <w:gridSpan w:val="2"/>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6pItalicRight025"/>
              <w:rPr>
                <w:rFonts w:eastAsia="Verdana" w:cs="Verdana"/>
                <w:lang w:bidi="en-GB"/>
              </w:rPr>
            </w:pPr>
            <w:r>
              <w:rPr>
                <w:rFonts w:eastAsia="Verdana" w:cs="Verdana"/>
                <w:lang w:bidi="en-GB"/>
              </w:rPr>
              <w:t>EUR million</w:t>
            </w:r>
          </w:p>
        </w:tc>
      </w:tr>
      <w:tr w:rsidR="004D38C4">
        <w:trPr>
          <w:trHeight w:val="227"/>
          <w:tblHeader/>
        </w:trPr>
        <w:tc>
          <w:tcPr>
            <w:tcW w:w="675"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NormalCentered"/>
              <w:rPr>
                <w:rFonts w:eastAsia="Verdana" w:cs="Verdana"/>
                <w:lang w:bidi="en-GB"/>
              </w:rPr>
            </w:pP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NormalCentered"/>
              <w:rPr>
                <w:rFonts w:eastAsia="Verdana" w:cs="Verdana"/>
                <w:lang w:bidi="en-GB"/>
              </w:rPr>
            </w:pPr>
          </w:p>
        </w:tc>
        <w:tc>
          <w:tcPr>
            <w:tcW w:w="92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NormalCentered"/>
              <w:rPr>
                <w:rFonts w:eastAsia="Verdana" w:cs="Verdana"/>
                <w:color w:val="auto"/>
                <w:lang w:bidi="en-GB"/>
              </w:rPr>
            </w:pPr>
          </w:p>
        </w:tc>
        <w:tc>
          <w:tcPr>
            <w:tcW w:w="4607" w:type="dxa"/>
            <w:gridSpan w:val="5"/>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Payments made</w:t>
            </w:r>
          </w:p>
        </w:tc>
        <w:tc>
          <w:tcPr>
            <w:tcW w:w="3686"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Appropriations carried over to 2018</w:t>
            </w:r>
          </w:p>
        </w:tc>
        <w:tc>
          <w:tcPr>
            <w:tcW w:w="3686"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Appropriations lapsing</w:t>
            </w:r>
          </w:p>
        </w:tc>
      </w:tr>
      <w:tr w:rsidR="004D38C4">
        <w:trPr>
          <w:trHeight w:val="227"/>
          <w:tblHeader/>
        </w:trPr>
        <w:tc>
          <w:tcPr>
            <w:tcW w:w="675"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NormalCentered"/>
              <w:rPr>
                <w:rFonts w:eastAsia="Verdana" w:cs="Verdana"/>
                <w:lang w:bidi="en-GB"/>
              </w:rPr>
            </w:pP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Policy area</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Total appropr. available</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final adopted budget</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carry-overs</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assigned revenue</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Total</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automatic carry-overs</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carry-overs by decis.</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assigned revenue</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Total</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final adopted budget</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carry-overs</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from assigned revenue</w:t>
            </w:r>
          </w:p>
        </w:tc>
        <w:tc>
          <w:tcPr>
            <w:tcW w:w="92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Total</w:t>
            </w:r>
          </w:p>
        </w:tc>
      </w:tr>
      <w:tr w:rsidR="004D38C4">
        <w:trPr>
          <w:trHeight w:val="227"/>
          <w:tblHeader/>
        </w:trPr>
        <w:tc>
          <w:tcPr>
            <w:tcW w:w="675"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NormalCentered"/>
              <w:rPr>
                <w:rFonts w:eastAsia="Verdana" w:cs="Verdana"/>
                <w:lang w:bidi="en-GB"/>
              </w:rPr>
            </w:pPr>
          </w:p>
        </w:tc>
        <w:tc>
          <w:tcPr>
            <w:tcW w:w="1701"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6pNormalCentered"/>
              <w:rPr>
                <w:rFonts w:eastAsia="Verdana" w:cs="Verdana"/>
                <w:lang w:bidi="en-GB"/>
              </w:rPr>
            </w:pP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2</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3</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4</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5=2+3+4</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6=5/1</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7</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8</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9</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10=7+8+9</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11</w:t>
            </w:r>
          </w:p>
        </w:tc>
        <w:tc>
          <w:tcPr>
            <w:tcW w:w="922"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12</w:t>
            </w:r>
          </w:p>
        </w:tc>
        <w:tc>
          <w:tcPr>
            <w:tcW w:w="921"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13</w:t>
            </w:r>
          </w:p>
        </w:tc>
        <w:tc>
          <w:tcPr>
            <w:tcW w:w="92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NormalCentered"/>
              <w:rPr>
                <w:rFonts w:eastAsia="Verdana" w:cs="Verdana"/>
                <w:lang w:bidi="en-GB"/>
              </w:rPr>
            </w:pPr>
            <w:r>
              <w:rPr>
                <w:rFonts w:eastAsia="Verdana" w:cs="Verdana"/>
                <w:lang w:bidi="en-GB"/>
              </w:rPr>
              <w:t>14=11+12+13</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01</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Economic and financial affairs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3 620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2 873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2 923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81 %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282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695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02</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Internal market, industry, entrepreneurship and SMEs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2 721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2 238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2 363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87 %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340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356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03</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Competition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88 %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04</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Employment, social affairs and inclusion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11 562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9 365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1 069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10 443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90 %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1 097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1 108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05</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Agriculture and rural development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57 907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53 329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2 212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56 167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1 152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1 715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06</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Mobility and transport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2 176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1 988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2 078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96 %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07</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Environment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366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98 %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08</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Research and innovation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7 655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5 878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486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6 390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83 %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1 230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09</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Communications networks, content and technology</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2 459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2 090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2 190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89 %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10</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Direct research</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957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346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51 %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460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11</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Maritime affairs and fisheries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716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81 %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12</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Financial stability, financial services and capital markets union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92 %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13</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Regional and urban policy</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26 852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21 878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4 853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26 772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100 %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14</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Taxation and customs union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93 %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15</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Education and culture</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3 898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3 149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351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3 512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90 %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370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16</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91 %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17</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Health and food safety</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573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95 %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18</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Migration and home affairs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2 240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2 051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2 127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95 %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19</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Foreign policy instruments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652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95 %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20</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Trade</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95 %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21</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International cooperation and development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3 397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3 133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3 292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97 %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22</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Neighbourhood and enlargement negotiations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3 650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3 165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3 415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94 %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23</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Humanitarian aid and civil protection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2 308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1 466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648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2 206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96 %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24</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Fight against fraud</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84 %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25</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policy coordination and legal advice</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89 %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26</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administration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1 400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926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1 157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83 %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27</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Budget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72 %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28</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Audit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91 %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29</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Statistics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84 %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30</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Pensions and related expenditure</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99 %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31</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Language services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382</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88 %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34</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32</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Energy</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1 952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1 786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46</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1 837</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94 %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33</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Justice and consumers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96 %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34</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Climate action</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78</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82</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93 %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675"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40</w:t>
            </w:r>
          </w:p>
        </w:tc>
        <w:tc>
          <w:tcPr>
            <w:tcW w:w="170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Reserves</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0 %</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1"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92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r>
      <w:tr w:rsidR="004D38C4">
        <w:trPr>
          <w:trHeight w:val="227"/>
        </w:trPr>
        <w:tc>
          <w:tcPr>
            <w:tcW w:w="2376"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141 230</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121 328</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1 167</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10 800</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133 294</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94 %</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862</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458</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6 359</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7 680</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201</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54</w:t>
            </w:r>
          </w:p>
        </w:tc>
        <w:tc>
          <w:tcPr>
            <w:tcW w:w="921"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0</w:t>
            </w:r>
          </w:p>
        </w:tc>
        <w:tc>
          <w:tcPr>
            <w:tcW w:w="922"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255</w:t>
            </w:r>
          </w:p>
        </w:tc>
      </w:tr>
    </w:tbl>
    <w:p w:rsidR="004D38C4" w:rsidRDefault="00BC2113">
      <w:pPr>
        <w:pStyle w:val="DGTextstand-alone"/>
      </w:pPr>
      <w:r>
        <w:t xml:space="preserve"> </w:t>
      </w:r>
    </w:p>
    <w:p w:rsidR="004D38C4" w:rsidRDefault="004D38C4">
      <w:pPr>
        <w:rPr>
          <w:noProof/>
        </w:rPr>
        <w:sectPr w:rsidR="004D38C4">
          <w:pgSz w:w="16838" w:h="11906" w:orient="landscape"/>
          <w:pgMar w:top="1134" w:right="1134" w:bottom="1134" w:left="1134" w:header="708" w:footer="708" w:gutter="0"/>
          <w:cols w:space="708"/>
          <w:docGrid w:linePitch="360"/>
        </w:sectPr>
      </w:pPr>
    </w:p>
    <w:p w:rsidR="004D38C4" w:rsidRDefault="00BC2113">
      <w:pPr>
        <w:pStyle w:val="HEADER2PartBUDG"/>
        <w:rPr>
          <w:noProof/>
          <w:lang w:val="en-GB"/>
        </w:rPr>
      </w:pPr>
      <w:bookmarkStart w:id="217" w:name="_Toc517248454"/>
      <w:r>
        <w:rPr>
          <w:noProof/>
          <w:lang w:val="en-GB"/>
        </w:rPr>
        <w:t>POLICY AREA: MOVEMENTS IN COMMITMENTS OUTSTANDING (RAL)</w:t>
      </w:r>
      <w:bookmarkEnd w:id="217"/>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02"/>
        <w:gridCol w:w="1276"/>
        <w:gridCol w:w="1275"/>
        <w:gridCol w:w="1276"/>
        <w:gridCol w:w="1276"/>
        <w:gridCol w:w="1276"/>
        <w:gridCol w:w="1275"/>
        <w:gridCol w:w="1276"/>
        <w:gridCol w:w="1276"/>
        <w:gridCol w:w="1417"/>
      </w:tblGrid>
      <w:tr w:rsidR="004D38C4">
        <w:trPr>
          <w:tblHeader/>
        </w:trPr>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218" w:name="DOC_TBL00103_1_1"/>
            <w:bookmarkEnd w:id="218"/>
          </w:p>
        </w:tc>
        <w:tc>
          <w:tcPr>
            <w:tcW w:w="340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rPr>
          <w:trHeight w:val="227"/>
          <w:tblHeader/>
        </w:trPr>
        <w:tc>
          <w:tcPr>
            <w:tcW w:w="392"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7pNormalCentered"/>
              <w:rPr>
                <w:rFonts w:eastAsia="Verdana" w:cs="Verdana"/>
                <w:lang w:bidi="en-GB"/>
              </w:rPr>
            </w:pPr>
          </w:p>
        </w:tc>
        <w:tc>
          <w:tcPr>
            <w:tcW w:w="340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7pNormalCentered"/>
              <w:rPr>
                <w:rFonts w:eastAsia="Verdana" w:cs="Verdana"/>
                <w:lang w:bidi="en-GB"/>
              </w:rPr>
            </w:pPr>
          </w:p>
        </w:tc>
        <w:tc>
          <w:tcPr>
            <w:tcW w:w="5103"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Commitments outstanding at the end of previous</w:t>
            </w:r>
            <w:r>
              <w:rPr>
                <w:rFonts w:eastAsia="Verdana" w:cs="Verdana"/>
                <w:lang w:bidi="en-GB"/>
              </w:rPr>
              <w:t xml:space="preserve"> year</w:t>
            </w:r>
          </w:p>
        </w:tc>
        <w:tc>
          <w:tcPr>
            <w:tcW w:w="5103" w:type="dxa"/>
            <w:gridSpan w:val="4"/>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7pNormalCentered"/>
              <w:rPr>
                <w:rFonts w:eastAsia="Verdana" w:cs="Verdana"/>
                <w:lang w:bidi="en-GB"/>
              </w:rPr>
            </w:pPr>
            <w:r>
              <w:rPr>
                <w:rFonts w:eastAsia="Verdana" w:cs="Verdana"/>
                <w:lang w:bidi="en-GB"/>
              </w:rPr>
              <w:t>Commitments of the year</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7pNormalCentered"/>
              <w:rPr>
                <w:rFonts w:eastAsia="Verdana" w:cs="Verdana"/>
                <w:lang w:bidi="en-GB"/>
              </w:rPr>
            </w:pPr>
          </w:p>
        </w:tc>
      </w:tr>
      <w:tr w:rsidR="004D38C4">
        <w:trPr>
          <w:trHeight w:val="227"/>
          <w:tblHeader/>
        </w:trPr>
        <w:tc>
          <w:tcPr>
            <w:tcW w:w="392"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BoldCentered"/>
              <w:rPr>
                <w:rFonts w:eastAsia="Verdana" w:cs="Verdana"/>
                <w:b w:val="0"/>
                <w:lang w:bidi="en-GB"/>
              </w:rPr>
            </w:pPr>
          </w:p>
        </w:tc>
        <w:tc>
          <w:tcPr>
            <w:tcW w:w="340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Policy area</w:t>
            </w:r>
          </w:p>
        </w:tc>
        <w:tc>
          <w:tcPr>
            <w:tcW w:w="1276"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Commitm. carried forward from prev. year</w:t>
            </w:r>
          </w:p>
        </w:tc>
        <w:tc>
          <w:tcPr>
            <w:tcW w:w="1275"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NarrowCentred"/>
              <w:rPr>
                <w:rFonts w:eastAsia="Verdana" w:cs="Verdana"/>
                <w:b w:val="0"/>
                <w:lang w:bidi="en-GB"/>
              </w:rPr>
            </w:pPr>
            <w:r>
              <w:rPr>
                <w:rFonts w:eastAsia="Verdana" w:cs="Verdana"/>
                <w:b w:val="0"/>
                <w:lang w:bidi="en-GB"/>
              </w:rPr>
              <w:t>Decommitm./Revaluat./Cancellations</w:t>
            </w:r>
          </w:p>
        </w:tc>
        <w:tc>
          <w:tcPr>
            <w:tcW w:w="1276"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Payments</w:t>
            </w:r>
          </w:p>
        </w:tc>
        <w:tc>
          <w:tcPr>
            <w:tcW w:w="1276"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Commitm. outstanding at year-end</w:t>
            </w:r>
          </w:p>
        </w:tc>
        <w:tc>
          <w:tcPr>
            <w:tcW w:w="1276"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Commitm. made during the year</w:t>
            </w:r>
          </w:p>
        </w:tc>
        <w:tc>
          <w:tcPr>
            <w:tcW w:w="1275"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Payments</w:t>
            </w:r>
          </w:p>
        </w:tc>
        <w:tc>
          <w:tcPr>
            <w:tcW w:w="1276"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Cancellation of commitm. which cannot be carried-over</w:t>
            </w:r>
          </w:p>
        </w:tc>
        <w:tc>
          <w:tcPr>
            <w:tcW w:w="1276"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Commitm. outstanding at year-end</w:t>
            </w:r>
          </w:p>
        </w:tc>
        <w:tc>
          <w:tcPr>
            <w:tcW w:w="1417" w:type="dxa"/>
            <w:tcBorders>
              <w:top w:val="nil"/>
              <w:left w:val="nil"/>
              <w:bottom w:val="nil"/>
              <w:right w:val="nil"/>
            </w:tcBorders>
            <w:shd w:val="clear" w:color="auto" w:fill="3486A9"/>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 commitm. outstanding at end of the year</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Economic and financial affairs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2 861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(2 501)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287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3 398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2 975</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3 262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Internal market, industry, entrepreneurship and SMEs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2 648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(1 361)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2 559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(1 002)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1 556</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2 812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Competition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Employment, social affairs and inclusion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37 331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(10 098)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26 955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16 010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(345)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15 665</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42 620</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05</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Agriculture and rural development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30 520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(11 338)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19 028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59 693</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(44 829)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14 863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33 891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06</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Mobility and transport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7 801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(663)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(1 581)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5 557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3 830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3 333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8 889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07</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Environment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1 182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913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486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369</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1 282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08</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Research and </w:t>
            </w:r>
            <w:r>
              <w:rPr>
                <w:rFonts w:eastAsia="Verdana" w:cs="Verdana"/>
                <w:lang w:bidi="en-GB"/>
              </w:rPr>
              <w:t>innovation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13 309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(4 300)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8 781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6 790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(2 090)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4 700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13 481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09</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Communications networks, content and technology</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2 832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(1 278)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1 530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2 091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(912)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1 179</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2 709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10</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Direct research</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523</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Maritime affairs and fisheries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2 630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2 202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1 225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1 042</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3 244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Financial stability, financial services and capital markets union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Regional and urban </w:t>
            </w:r>
            <w:r>
              <w:rPr>
                <w:rFonts w:eastAsia="Verdana" w:cs="Verdana"/>
                <w:lang w:bidi="en-GB"/>
              </w:rPr>
              <w:t>policy</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99 518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(2 761)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(25 240)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71 518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44 710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(1 532)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43 177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114 695</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Taxation and customs union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148</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15</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Education and culture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2 644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(1 103)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1 310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3 666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(2 409)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2 566</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16</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65</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17</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Health and food safety</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480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18</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Migration and home affairs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3 539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(1 324)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2 041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3 272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(803)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2 470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4 511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19</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Foreign policy instruments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930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739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431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1 027</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20</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Trade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113</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International cooperation and development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9 150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(2 643)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6 296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3 832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(649)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3 183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9 479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Neighbourhood and enlargement negotiations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12 870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(2 830)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9 808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4 599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4 014</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13 822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Humanitarian aid and civil protection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1 050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2 194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(1 601)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983</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Fight against fraud</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25</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policy coordination and legal advice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26</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administration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1 188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206</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27</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Budget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73</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28</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Audit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29</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Statistics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64</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125</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30</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Pensions and related expenditure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(1 800)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Language services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446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Energy</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5 740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(1 539)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4 189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1 665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1 367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5 556</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Justice and consumers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273</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135</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Climate action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40</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Reserves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794"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238 328</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(5 287)</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(69 681)</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163 359</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167 009</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(63 613)</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(4)</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103 392</w:t>
            </w:r>
          </w:p>
        </w:tc>
        <w:tc>
          <w:tcPr>
            <w:tcW w:w="1417"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266 751</w:t>
            </w:r>
          </w:p>
        </w:tc>
      </w:tr>
    </w:tbl>
    <w:p w:rsidR="004D38C4" w:rsidRDefault="00BC2113">
      <w:pPr>
        <w:pStyle w:val="DGTextstand-alone"/>
      </w:pPr>
      <w:r>
        <w:t xml:space="preserve">  </w:t>
      </w:r>
      <w:r>
        <w:br w:type="page"/>
      </w:r>
    </w:p>
    <w:p w:rsidR="004D38C4" w:rsidRDefault="00BC2113">
      <w:pPr>
        <w:pStyle w:val="HEADER2PartBUDG"/>
        <w:rPr>
          <w:noProof/>
          <w:lang w:val="en-GB"/>
        </w:rPr>
      </w:pPr>
      <w:bookmarkStart w:id="219" w:name="_Toc517248455"/>
      <w:r>
        <w:rPr>
          <w:noProof/>
          <w:lang w:val="en-GB"/>
        </w:rPr>
        <w:t>POLICY AREA: COMMITMENTS OUTSTANDING BY YEAR OF ORIGIN</w:t>
      </w:r>
      <w:bookmarkEnd w:id="219"/>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02"/>
        <w:gridCol w:w="1276"/>
        <w:gridCol w:w="1275"/>
        <w:gridCol w:w="1276"/>
        <w:gridCol w:w="1276"/>
        <w:gridCol w:w="1276"/>
        <w:gridCol w:w="1275"/>
        <w:gridCol w:w="1276"/>
        <w:gridCol w:w="1276"/>
        <w:gridCol w:w="1417"/>
      </w:tblGrid>
      <w:tr w:rsidR="004D38C4">
        <w:tc>
          <w:tcPr>
            <w:tcW w:w="39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color w:val="FFFFFF"/>
                <w:lang w:bidi="en-GB"/>
              </w:rPr>
            </w:pPr>
            <w:bookmarkStart w:id="220" w:name="DOC_TBL00104_1_1"/>
            <w:bookmarkEnd w:id="220"/>
          </w:p>
        </w:tc>
        <w:tc>
          <w:tcPr>
            <w:tcW w:w="3402"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Left"/>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5"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276" w:type="dxa"/>
            <w:tcBorders>
              <w:top w:val="nil"/>
              <w:left w:val="nil"/>
              <w:bottom w:val="nil"/>
              <w:right w:val="nil"/>
            </w:tcBorders>
            <w:shd w:val="clear" w:color="auto" w:fill="auto"/>
            <w:tcMar>
              <w:top w:w="0" w:type="dxa"/>
              <w:left w:w="108" w:type="dxa"/>
              <w:bottom w:w="0" w:type="dxa"/>
              <w:right w:w="108" w:type="dxa"/>
            </w:tcMar>
          </w:tcPr>
          <w:p w:rsidR="004D38C4" w:rsidRDefault="004D38C4">
            <w:pPr>
              <w:pStyle w:val="Text8pItalicRight025EUR"/>
              <w:rPr>
                <w:rFonts w:eastAsia="Verdana" w:cs="Verdana"/>
                <w:i w:val="0"/>
                <w:lang w:bidi="en-GB"/>
              </w:rPr>
            </w:pPr>
          </w:p>
        </w:tc>
        <w:tc>
          <w:tcPr>
            <w:tcW w:w="1417" w:type="dxa"/>
            <w:tcBorders>
              <w:top w:val="nil"/>
              <w:left w:val="nil"/>
              <w:bottom w:val="nil"/>
              <w:right w:val="nil"/>
            </w:tcBorders>
            <w:shd w:val="clear" w:color="auto" w:fill="auto"/>
            <w:tcMar>
              <w:top w:w="0" w:type="dxa"/>
              <w:left w:w="108" w:type="dxa"/>
              <w:bottom w:w="0" w:type="dxa"/>
              <w:right w:w="108" w:type="dxa"/>
            </w:tcMar>
          </w:tcPr>
          <w:p w:rsidR="004D38C4" w:rsidRDefault="00BC2113">
            <w:pPr>
              <w:pStyle w:val="Text7pItalicRight025"/>
              <w:rPr>
                <w:rFonts w:eastAsia="Verdana" w:cs="Verdana"/>
                <w:lang w:bidi="en-GB"/>
              </w:rPr>
            </w:pPr>
            <w:r>
              <w:rPr>
                <w:rFonts w:eastAsia="Verdana" w:cs="Verdana"/>
                <w:lang w:bidi="en-GB"/>
              </w:rPr>
              <w:t>EUR million</w:t>
            </w:r>
          </w:p>
        </w:tc>
      </w:tr>
      <w:tr w:rsidR="004D38C4">
        <w:trPr>
          <w:trHeight w:val="227"/>
        </w:trPr>
        <w:tc>
          <w:tcPr>
            <w:tcW w:w="392" w:type="dxa"/>
            <w:tcBorders>
              <w:top w:val="nil"/>
              <w:left w:val="nil"/>
              <w:bottom w:val="nil"/>
              <w:right w:val="nil"/>
            </w:tcBorders>
            <w:shd w:val="clear" w:color="auto" w:fill="016794"/>
            <w:tcMar>
              <w:top w:w="0" w:type="dxa"/>
              <w:left w:w="85" w:type="dxa"/>
              <w:bottom w:w="0" w:type="dxa"/>
              <w:right w:w="85" w:type="dxa"/>
            </w:tcMar>
            <w:vAlign w:val="center"/>
          </w:tcPr>
          <w:p w:rsidR="004D38C4" w:rsidRDefault="004D38C4">
            <w:pPr>
              <w:pStyle w:val="Heading6pBoldCentered"/>
              <w:rPr>
                <w:rFonts w:eastAsia="Verdana" w:cs="Verdana"/>
                <w:b w:val="0"/>
                <w:lang w:bidi="en-GB"/>
              </w:rPr>
            </w:pPr>
          </w:p>
        </w:tc>
        <w:tc>
          <w:tcPr>
            <w:tcW w:w="3402"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Policy area</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&lt;2011</w:t>
            </w:r>
          </w:p>
        </w:tc>
        <w:tc>
          <w:tcPr>
            <w:tcW w:w="127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2011</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2012</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2013</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2014</w:t>
            </w:r>
          </w:p>
        </w:tc>
        <w:tc>
          <w:tcPr>
            <w:tcW w:w="127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2015</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2016</w:t>
            </w:r>
          </w:p>
        </w:tc>
        <w:tc>
          <w:tcPr>
            <w:tcW w:w="127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2017</w:t>
            </w:r>
          </w:p>
        </w:tc>
        <w:tc>
          <w:tcPr>
            <w:tcW w:w="141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6pBoldCentered"/>
              <w:rPr>
                <w:rFonts w:eastAsia="Verdana" w:cs="Verdana"/>
                <w:b w:val="0"/>
                <w:lang w:bidi="en-GB"/>
              </w:rPr>
            </w:pPr>
            <w:r>
              <w:rPr>
                <w:rFonts w:eastAsia="Verdana" w:cs="Verdana"/>
                <w:b w:val="0"/>
                <w:lang w:bidi="en-GB"/>
              </w:rPr>
              <w:t>Total</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Economic and financial affairs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2 975</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3 262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Internal market, industry, entrepreneurship and SMEs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823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1 556</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2 812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Competition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 xml:space="preserve">Employment, social </w:t>
            </w:r>
            <w:r>
              <w:rPr>
                <w:rFonts w:eastAsia="Verdana" w:cs="Verdana"/>
                <w:lang w:bidi="en-GB"/>
              </w:rPr>
              <w:t>affairs and inclusion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2 092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1 231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10 492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12 369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15 665</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42 620</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05</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Agriculture and rural development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681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4 368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13 625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14 863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33 891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06</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Mobility and transport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978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1 224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3 025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3 333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8 889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07</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Environment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239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369</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1 282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08</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Research and innovation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919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1 857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2 426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2 975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4 700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13 481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09</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Communications networks, content and technology</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395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1 179</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2 709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10</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Direct research</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Maritime affairs and fisheries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84</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972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856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1 042</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3 244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Financial stability, financial services and capital markets union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Regional and urban policy</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665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493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8 938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1 395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25 751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34 270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43 177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114 695</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Taxation and customs union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103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148</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15</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Education and culture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209</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1 257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2 566</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16</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Communication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65</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17</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Health and food safety</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474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18</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Migration and home affairs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220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1 489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2 470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4 511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19</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Foreign policy instruments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218</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431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1 027</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20</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Trade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16</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International cooperation and development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253</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183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407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813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1 032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1 530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2 079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3 183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9 479</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Neighbourhood and enlargement negotiations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532</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334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1 093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1 480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2 412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3 353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4 014</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13 822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Humanitarian aid and civil protection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26</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593</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983</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Fight against fraud</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27</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25</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policy coordination and legal advice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26</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Commission's administration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197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206</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27</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Budget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17</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28</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Audit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29</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Statistics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64</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125</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30</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Pensions and related expenditure</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31</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Language services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24</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32</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Energy</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1 093</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600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789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999</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1 367</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5 556</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33</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Justice and consumers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4</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7</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15</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61</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135</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252</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34</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Climate action</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0</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38</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56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86</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121</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 xml:space="preserve">  301</w:t>
            </w:r>
          </w:p>
        </w:tc>
      </w:tr>
      <w:tr w:rsidR="004D38C4">
        <w:trPr>
          <w:trHeight w:val="227"/>
        </w:trPr>
        <w:tc>
          <w:tcPr>
            <w:tcW w:w="392" w:type="dxa"/>
            <w:tcBorders>
              <w:top w:val="nil"/>
              <w:left w:val="nil"/>
              <w:bottom w:val="nil"/>
              <w:right w:val="nil"/>
            </w:tcBorders>
            <w:shd w:val="clear" w:color="auto" w:fill="auto"/>
            <w:tcMar>
              <w:top w:w="0" w:type="dxa"/>
              <w:left w:w="85" w:type="dxa"/>
              <w:bottom w:w="0" w:type="dxa"/>
              <w:right w:w="85" w:type="dxa"/>
            </w:tcMar>
            <w:vAlign w:val="center"/>
          </w:tcPr>
          <w:p w:rsidR="004D38C4" w:rsidRDefault="00BC2113">
            <w:pPr>
              <w:pStyle w:val="Text6pNormalLeft"/>
              <w:rPr>
                <w:rFonts w:eastAsia="Verdana" w:cs="Verdana"/>
                <w:lang w:bidi="en-GB"/>
              </w:rPr>
            </w:pPr>
            <w:r>
              <w:rPr>
                <w:rFonts w:eastAsia="Verdana" w:cs="Verdana"/>
                <w:lang w:bidi="en-GB"/>
              </w:rPr>
              <w:t>40</w:t>
            </w:r>
          </w:p>
        </w:tc>
        <w:tc>
          <w:tcPr>
            <w:tcW w:w="3402"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Text6pNormalLeft"/>
              <w:rPr>
                <w:rFonts w:eastAsia="Verdana" w:cs="Verdana"/>
                <w:lang w:bidi="en-GB"/>
              </w:rPr>
            </w:pPr>
            <w:r>
              <w:rPr>
                <w:rFonts w:eastAsia="Verdana" w:cs="Verdana"/>
                <w:lang w:bidi="en-GB"/>
              </w:rPr>
              <w:t>Reserves</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5"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276"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c>
          <w:tcPr>
            <w:tcW w:w="1417" w:type="dxa"/>
            <w:tcBorders>
              <w:top w:val="nil"/>
              <w:left w:val="nil"/>
              <w:bottom w:val="nil"/>
              <w:right w:val="nil"/>
            </w:tcBorders>
            <w:shd w:val="clear" w:color="auto" w:fill="auto"/>
            <w:tcMar>
              <w:top w:w="0" w:type="dxa"/>
              <w:left w:w="108" w:type="dxa"/>
              <w:bottom w:w="0" w:type="dxa"/>
              <w:right w:w="108" w:type="dxa"/>
            </w:tcMar>
            <w:vAlign w:val="center"/>
          </w:tcPr>
          <w:p w:rsidR="004D38C4" w:rsidRDefault="00BC2113">
            <w:pPr>
              <w:pStyle w:val="Figures6pNormalright01"/>
              <w:rPr>
                <w:rFonts w:eastAsia="Verdana" w:cs="Verdana"/>
                <w:lang w:bidi="en-GB"/>
              </w:rPr>
            </w:pPr>
            <w:r>
              <w:rPr>
                <w:rFonts w:eastAsia="Verdana" w:cs="Verdana"/>
                <w:lang w:bidi="en-GB"/>
              </w:rPr>
              <w:t>–</w:t>
            </w:r>
          </w:p>
        </w:tc>
      </w:tr>
      <w:tr w:rsidR="004D38C4">
        <w:trPr>
          <w:trHeight w:val="227"/>
        </w:trPr>
        <w:tc>
          <w:tcPr>
            <w:tcW w:w="3794" w:type="dxa"/>
            <w:gridSpan w:val="2"/>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Text6pBoldLeft"/>
              <w:rPr>
                <w:rFonts w:eastAsia="Verdana" w:cs="Verdana"/>
                <w:lang w:bidi="en-GB"/>
              </w:rPr>
            </w:pPr>
            <w:r>
              <w:rPr>
                <w:rFonts w:eastAsia="Verdana" w:cs="Verdana"/>
                <w:lang w:bidi="en-GB"/>
              </w:rPr>
              <w:t>Total</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2 878</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1 166</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2 668</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16 893</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9 928</w:t>
            </w:r>
          </w:p>
        </w:tc>
        <w:tc>
          <w:tcPr>
            <w:tcW w:w="1275"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51 779</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78 048</w:t>
            </w:r>
          </w:p>
        </w:tc>
        <w:tc>
          <w:tcPr>
            <w:tcW w:w="1276"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103 392</w:t>
            </w:r>
          </w:p>
        </w:tc>
        <w:tc>
          <w:tcPr>
            <w:tcW w:w="1417" w:type="dxa"/>
            <w:tcBorders>
              <w:top w:val="nil"/>
              <w:left w:val="nil"/>
              <w:bottom w:val="nil"/>
              <w:right w:val="nil"/>
            </w:tcBorders>
            <w:shd w:val="clear" w:color="auto" w:fill="CCE1EA"/>
            <w:tcMar>
              <w:top w:w="0" w:type="dxa"/>
              <w:left w:w="108" w:type="dxa"/>
              <w:bottom w:w="0" w:type="dxa"/>
              <w:right w:w="108" w:type="dxa"/>
            </w:tcMar>
            <w:vAlign w:val="center"/>
          </w:tcPr>
          <w:p w:rsidR="004D38C4" w:rsidRDefault="00BC2113">
            <w:pPr>
              <w:pStyle w:val="Figures6pBoldRight01"/>
              <w:rPr>
                <w:rFonts w:eastAsia="Verdana" w:cs="Verdana"/>
                <w:lang w:bidi="en-GB"/>
              </w:rPr>
            </w:pPr>
            <w:r>
              <w:rPr>
                <w:rFonts w:eastAsia="Verdana" w:cs="Verdana"/>
                <w:lang w:bidi="en-GB"/>
              </w:rPr>
              <w:t xml:space="preserve"> 266 751</w:t>
            </w:r>
          </w:p>
        </w:tc>
      </w:tr>
      <w:bookmarkEnd w:id="199"/>
    </w:tbl>
    <w:p w:rsidR="004D38C4" w:rsidRDefault="004D38C4">
      <w:pPr>
        <w:pStyle w:val="DGTextstand-alone"/>
        <w:sectPr w:rsidR="004D38C4">
          <w:pgSz w:w="16838" w:h="11906" w:orient="landscape"/>
          <w:pgMar w:top="1134" w:right="1134" w:bottom="1134" w:left="1134" w:header="708" w:footer="708" w:gutter="0"/>
          <w:cols w:space="708"/>
          <w:docGrid w:linePitch="360"/>
        </w:sectPr>
      </w:pPr>
    </w:p>
    <w:p w:rsidR="004D38C4" w:rsidRDefault="00BC2113">
      <w:pPr>
        <w:pStyle w:val="HEADERTITLE2"/>
      </w:pPr>
      <w:bookmarkStart w:id="221" w:name="_Toc517248456"/>
      <w:bookmarkStart w:id="222" w:name="_DMBM_11065"/>
      <w:r>
        <w:t>RECONCILIATION OF ECONOMIC RESULT WITH BUDGET RESULT</w:t>
      </w:r>
      <w:bookmarkEnd w:id="221"/>
    </w:p>
    <w:p w:rsidR="004D38C4" w:rsidRDefault="00BC2113">
      <w:pPr>
        <w:pStyle w:val="DGTextstand-alone"/>
      </w:pPr>
      <w: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5"/>
      </w:tblGrid>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4D38C4">
            <w:pPr>
              <w:pStyle w:val="Text8pItalicLeft"/>
              <w:rPr>
                <w:rFonts w:cs="Verdana"/>
                <w:color w:val="FFFFFF"/>
              </w:rPr>
            </w:pPr>
            <w:bookmarkStart w:id="223" w:name="DOC_TBL00105_1_1"/>
            <w:bookmarkEnd w:id="223"/>
          </w:p>
        </w:tc>
        <w:tc>
          <w:tcPr>
            <w:tcW w:w="2126" w:type="dxa"/>
            <w:tcBorders>
              <w:top w:val="nil"/>
              <w:left w:val="nil"/>
              <w:bottom w:val="nil"/>
              <w:right w:val="nil"/>
            </w:tcBorders>
            <w:tcMar>
              <w:top w:w="0" w:type="dxa"/>
              <w:left w:w="108" w:type="dxa"/>
              <w:bottom w:w="0" w:type="dxa"/>
              <w:right w:w="108" w:type="dxa"/>
            </w:tcMar>
          </w:tcPr>
          <w:p w:rsidR="004D38C4" w:rsidRDefault="004D38C4">
            <w:pPr>
              <w:pStyle w:val="Heading10pNormalCentered"/>
              <w:rPr>
                <w:rFonts w:eastAsia="Times New Roman" w:cs="Verdana"/>
                <w:color w:val="auto"/>
              </w:rPr>
            </w:pPr>
          </w:p>
        </w:tc>
        <w:tc>
          <w:tcPr>
            <w:tcW w:w="1985" w:type="dxa"/>
            <w:tcBorders>
              <w:top w:val="nil"/>
              <w:left w:val="nil"/>
              <w:bottom w:val="nil"/>
              <w:right w:val="nil"/>
            </w:tcBorders>
            <w:tcMar>
              <w:top w:w="0" w:type="dxa"/>
              <w:left w:w="108" w:type="dxa"/>
              <w:bottom w:w="0" w:type="dxa"/>
              <w:right w:w="108" w:type="dxa"/>
            </w:tcMar>
          </w:tcPr>
          <w:p w:rsidR="004D38C4" w:rsidRDefault="00BC2113">
            <w:pPr>
              <w:pStyle w:val="Text8pItalicRight025EUR"/>
              <w:rPr>
                <w:rFonts w:cs="Verdana"/>
              </w:rPr>
            </w:pPr>
            <w:r>
              <w:rPr>
                <w:rFonts w:cs="Verdana"/>
              </w:rPr>
              <w:t>EUR millions</w:t>
            </w:r>
          </w:p>
        </w:tc>
      </w:tr>
      <w:tr w:rsidR="004D38C4">
        <w:trPr>
          <w:cantSplit/>
        </w:trPr>
        <w:tc>
          <w:tcPr>
            <w:tcW w:w="5637"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4D38C4">
            <w:pPr>
              <w:pStyle w:val="Heading10pNormalLeft"/>
              <w:rPr>
                <w:rFonts w:cs="Verdana"/>
              </w:rPr>
            </w:pPr>
          </w:p>
        </w:tc>
        <w:tc>
          <w:tcPr>
            <w:tcW w:w="2126"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2017</w:t>
            </w:r>
          </w:p>
        </w:tc>
        <w:tc>
          <w:tcPr>
            <w:tcW w:w="1985" w:type="dxa"/>
            <w:tcBorders>
              <w:top w:val="nil"/>
              <w:left w:val="nil"/>
              <w:bottom w:val="nil"/>
              <w:right w:val="nil"/>
            </w:tcBorders>
            <w:shd w:val="clear" w:color="auto" w:fill="016794"/>
            <w:tcMar>
              <w:top w:w="0" w:type="dxa"/>
              <w:left w:w="108" w:type="dxa"/>
              <w:bottom w:w="0" w:type="dxa"/>
              <w:right w:w="108" w:type="dxa"/>
            </w:tcMar>
            <w:vAlign w:val="center"/>
          </w:tcPr>
          <w:p w:rsidR="004D38C4" w:rsidRDefault="00BC2113">
            <w:pPr>
              <w:pStyle w:val="Heading10pNormalRight025"/>
              <w:rPr>
                <w:rFonts w:cs="Verdana"/>
              </w:rPr>
            </w:pPr>
            <w:r>
              <w:rPr>
                <w:rFonts w:cs="Verdana"/>
              </w:rPr>
              <w:t>2016</w:t>
            </w:r>
          </w:p>
        </w:tc>
      </w:tr>
      <w:tr w:rsidR="004D38C4">
        <w:trPr>
          <w:cantSplit/>
        </w:trPr>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ECONOMIC RESULT OF THE YEAR</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7 901</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1 775</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2126"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c>
          <w:tcPr>
            <w:tcW w:w="1985"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Revenue</w:t>
            </w:r>
          </w:p>
        </w:tc>
        <w:tc>
          <w:tcPr>
            <w:tcW w:w="2126" w:type="dxa"/>
            <w:tcBorders>
              <w:top w:val="nil"/>
              <w:left w:val="nil"/>
              <w:bottom w:val="nil"/>
              <w:right w:val="nil"/>
            </w:tcBorders>
            <w:tcMar>
              <w:top w:w="0" w:type="dxa"/>
              <w:left w:w="108" w:type="dxa"/>
              <w:bottom w:w="0" w:type="dxa"/>
              <w:right w:w="108" w:type="dxa"/>
            </w:tcMar>
          </w:tcPr>
          <w:p w:rsidR="004D38C4" w:rsidRDefault="004D38C4">
            <w:pPr>
              <w:pStyle w:val="Figures9pBoldRight025"/>
              <w:rPr>
                <w:rFonts w:cs="Verdana"/>
              </w:rPr>
            </w:pPr>
          </w:p>
        </w:tc>
        <w:tc>
          <w:tcPr>
            <w:tcW w:w="1985" w:type="dxa"/>
            <w:tcBorders>
              <w:top w:val="nil"/>
              <w:left w:val="nil"/>
              <w:bottom w:val="nil"/>
              <w:right w:val="nil"/>
            </w:tcBorders>
            <w:tcMar>
              <w:top w:w="0" w:type="dxa"/>
              <w:left w:w="108" w:type="dxa"/>
              <w:bottom w:w="0" w:type="dxa"/>
              <w:right w:w="108" w:type="dxa"/>
            </w:tcMar>
          </w:tcPr>
          <w:p w:rsidR="004D38C4" w:rsidRDefault="004D38C4">
            <w:pPr>
              <w:pStyle w:val="Figures9pBoldRight025"/>
              <w:rPr>
                <w:rFonts w:cs="Verdana"/>
              </w:rPr>
            </w:pP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Entitlements established in current year but not yet collected</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(4 402)</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(1 963)</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Entitlements established in previous years and collected in current year</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10 733</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3 356</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Accrued revenue (net)</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(257)</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611</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BoldLeft"/>
              <w:rPr>
                <w:rFonts w:cs="Verdana"/>
              </w:rPr>
            </w:pPr>
            <w:r>
              <w:rPr>
                <w:rFonts w:cs="Verdana"/>
              </w:rPr>
              <w:t>Expenses</w:t>
            </w:r>
          </w:p>
        </w:tc>
        <w:tc>
          <w:tcPr>
            <w:tcW w:w="2126" w:type="dxa"/>
            <w:tcBorders>
              <w:top w:val="nil"/>
              <w:left w:val="nil"/>
              <w:bottom w:val="nil"/>
              <w:right w:val="nil"/>
            </w:tcBorders>
            <w:tcMar>
              <w:top w:w="0" w:type="dxa"/>
              <w:left w:w="108" w:type="dxa"/>
              <w:bottom w:w="0" w:type="dxa"/>
              <w:right w:w="108" w:type="dxa"/>
            </w:tcMar>
          </w:tcPr>
          <w:p w:rsidR="004D38C4" w:rsidRDefault="004D38C4">
            <w:pPr>
              <w:pStyle w:val="Figures9pBoldRight025"/>
              <w:rPr>
                <w:rFonts w:cs="Verdana"/>
              </w:rPr>
            </w:pPr>
          </w:p>
        </w:tc>
        <w:tc>
          <w:tcPr>
            <w:tcW w:w="1985" w:type="dxa"/>
            <w:tcBorders>
              <w:top w:val="nil"/>
              <w:left w:val="nil"/>
              <w:bottom w:val="nil"/>
              <w:right w:val="nil"/>
            </w:tcBorders>
            <w:tcMar>
              <w:top w:w="0" w:type="dxa"/>
              <w:left w:w="108" w:type="dxa"/>
              <w:bottom w:w="0" w:type="dxa"/>
              <w:right w:w="108" w:type="dxa"/>
            </w:tcMar>
          </w:tcPr>
          <w:p w:rsidR="004D38C4" w:rsidRDefault="004D38C4">
            <w:pPr>
              <w:pStyle w:val="Figures9pBoldRight025"/>
              <w:rPr>
                <w:rFonts w:cs="Verdana"/>
              </w:rPr>
            </w:pP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Accrued expenses (net)</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3 706</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10 626</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Amount from liaison account</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3 378</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3 286</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Expenses prior year paid in current year</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(3 574)</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(7 656)</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Net-effect pre-financing</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(12 039)</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(366)</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Payment appropriations carried over to next year</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(2 746)</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(2 500)</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 xml:space="preserve">Payments made from carry-overs &amp; cancellation of </w:t>
            </w:r>
            <w:r>
              <w:rPr>
                <w:rFonts w:cs="Verdana"/>
              </w:rPr>
              <w:t>unused payment appropriations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1 181</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 xml:space="preserve"> 841</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Movement in provisions</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6 795</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3 890</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BC2113">
            <w:pPr>
              <w:pStyle w:val="Text9pItalicLeft"/>
              <w:rPr>
                <w:rFonts w:cs="Verdana"/>
              </w:rPr>
            </w:pPr>
            <w:r>
              <w:rPr>
                <w:rFonts w:cs="Verdana"/>
              </w:rPr>
              <w:t>Other</w:t>
            </w:r>
          </w:p>
        </w:tc>
        <w:tc>
          <w:tcPr>
            <w:tcW w:w="2126"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(6 675)</w:t>
            </w:r>
          </w:p>
        </w:tc>
        <w:tc>
          <w:tcPr>
            <w:tcW w:w="1985" w:type="dxa"/>
            <w:tcBorders>
              <w:top w:val="nil"/>
              <w:left w:val="nil"/>
              <w:bottom w:val="nil"/>
              <w:right w:val="nil"/>
            </w:tcBorders>
            <w:tcMar>
              <w:top w:w="0" w:type="dxa"/>
              <w:left w:w="108" w:type="dxa"/>
              <w:bottom w:w="0" w:type="dxa"/>
              <w:right w:w="108" w:type="dxa"/>
            </w:tcMar>
          </w:tcPr>
          <w:p w:rsidR="004D38C4" w:rsidRDefault="00BC2113">
            <w:pPr>
              <w:pStyle w:val="Figures9pItalicRight025"/>
              <w:rPr>
                <w:rFonts w:cs="Verdana"/>
              </w:rPr>
            </w:pPr>
            <w:r>
              <w:rPr>
                <w:rFonts w:cs="Verdana"/>
              </w:rPr>
              <w:t>(2 084)</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2126"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c>
          <w:tcPr>
            <w:tcW w:w="1985"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r>
      <w:tr w:rsidR="004D38C4">
        <w:trPr>
          <w:cantSplit/>
        </w:trPr>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BUDGET RESULT OF THE YEAR</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4 000</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9 817</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2126"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c>
          <w:tcPr>
            <w:tcW w:w="1985"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r>
      <w:tr w:rsidR="004D38C4">
        <w:trPr>
          <w:cantSplit/>
        </w:trPr>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BUDGET RESULT OTHER INSTITUTIONS</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(3 445)</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(3 413)</w:t>
            </w:r>
          </w:p>
        </w:tc>
      </w:tr>
      <w:tr w:rsidR="004D38C4">
        <w:trPr>
          <w:cantSplit/>
        </w:trPr>
        <w:tc>
          <w:tcPr>
            <w:tcW w:w="5637" w:type="dxa"/>
            <w:tcBorders>
              <w:top w:val="nil"/>
              <w:left w:val="nil"/>
              <w:bottom w:val="nil"/>
              <w:right w:val="nil"/>
            </w:tcBorders>
            <w:tcMar>
              <w:top w:w="0" w:type="dxa"/>
              <w:left w:w="108" w:type="dxa"/>
              <w:bottom w:w="0" w:type="dxa"/>
              <w:right w:w="108" w:type="dxa"/>
            </w:tcMar>
          </w:tcPr>
          <w:p w:rsidR="004D38C4" w:rsidRDefault="004D38C4">
            <w:pPr>
              <w:pStyle w:val="Text9pItalicLeft"/>
              <w:rPr>
                <w:rFonts w:cs="Verdana"/>
              </w:rPr>
            </w:pPr>
          </w:p>
        </w:tc>
        <w:tc>
          <w:tcPr>
            <w:tcW w:w="2126"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c>
          <w:tcPr>
            <w:tcW w:w="1985" w:type="dxa"/>
            <w:tcBorders>
              <w:top w:val="nil"/>
              <w:left w:val="nil"/>
              <w:bottom w:val="nil"/>
              <w:right w:val="nil"/>
            </w:tcBorders>
            <w:tcMar>
              <w:top w:w="0" w:type="dxa"/>
              <w:left w:w="108" w:type="dxa"/>
              <w:bottom w:w="0" w:type="dxa"/>
              <w:right w:w="108" w:type="dxa"/>
            </w:tcMar>
          </w:tcPr>
          <w:p w:rsidR="004D38C4" w:rsidRDefault="004D38C4">
            <w:pPr>
              <w:pStyle w:val="Figures9pItalicRight025"/>
              <w:rPr>
                <w:rFonts w:cs="Verdana"/>
              </w:rPr>
            </w:pPr>
          </w:p>
        </w:tc>
      </w:tr>
      <w:tr w:rsidR="004D38C4">
        <w:trPr>
          <w:cantSplit/>
        </w:trPr>
        <w:tc>
          <w:tcPr>
            <w:tcW w:w="5637"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Text9pBoldLeft"/>
              <w:rPr>
                <w:rFonts w:cs="Verdana"/>
              </w:rPr>
            </w:pPr>
            <w:r>
              <w:rPr>
                <w:rFonts w:cs="Verdana"/>
              </w:rPr>
              <w:t>BUDGET RESULT OF THE YEAR (EU)</w:t>
            </w:r>
          </w:p>
        </w:tc>
        <w:tc>
          <w:tcPr>
            <w:tcW w:w="2126"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 xml:space="preserve"> 555</w:t>
            </w:r>
          </w:p>
        </w:tc>
        <w:tc>
          <w:tcPr>
            <w:tcW w:w="1985" w:type="dxa"/>
            <w:tcBorders>
              <w:top w:val="nil"/>
              <w:left w:val="nil"/>
              <w:bottom w:val="nil"/>
              <w:right w:val="nil"/>
            </w:tcBorders>
            <w:shd w:val="clear" w:color="auto" w:fill="CCE1EA"/>
            <w:tcMar>
              <w:top w:w="0" w:type="dxa"/>
              <w:left w:w="108" w:type="dxa"/>
              <w:bottom w:w="0" w:type="dxa"/>
              <w:right w:w="108" w:type="dxa"/>
            </w:tcMar>
          </w:tcPr>
          <w:p w:rsidR="004D38C4" w:rsidRDefault="00BC2113">
            <w:pPr>
              <w:pStyle w:val="Figures9pBoldRight025"/>
              <w:rPr>
                <w:rFonts w:cs="Verdana"/>
              </w:rPr>
            </w:pPr>
            <w:r>
              <w:rPr>
                <w:rFonts w:cs="Verdana"/>
              </w:rPr>
              <w:t>6 405</w:t>
            </w:r>
          </w:p>
        </w:tc>
      </w:tr>
      <w:bookmarkEnd w:id="222"/>
    </w:tbl>
    <w:p w:rsidR="004D38C4" w:rsidRDefault="004D38C4">
      <w:pPr>
        <w:pStyle w:val="DGTextstand-alone"/>
        <w:rPr>
          <w:lang w:bidi="en-GB"/>
        </w:rPr>
      </w:pPr>
    </w:p>
    <w:p w:rsidR="004D38C4" w:rsidRDefault="004D38C4">
      <w:pPr>
        <w:rPr>
          <w:noProof/>
        </w:rPr>
      </w:pPr>
    </w:p>
    <w:p w:rsidR="004D38C4" w:rsidRDefault="004D38C4">
      <w:pPr>
        <w:rPr>
          <w:noProof/>
        </w:rPr>
      </w:pPr>
    </w:p>
    <w:sectPr w:rsidR="004D38C4">
      <w:headerReference w:type="even" r:id="rId357"/>
      <w:headerReference w:type="default" r:id="rId358"/>
      <w:footerReference w:type="even" r:id="rId359"/>
      <w:footerReference w:type="default" r:id="rId360"/>
      <w:headerReference w:type="first" r:id="rId361"/>
      <w:footerReference w:type="first" r:id="rId362"/>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8C4" w:rsidRDefault="00BC2113">
      <w:pPr>
        <w:spacing w:after="0" w:line="240" w:lineRule="auto"/>
      </w:pPr>
      <w:r>
        <w:separator/>
      </w:r>
    </w:p>
  </w:endnote>
  <w:endnote w:type="continuationSeparator" w:id="0">
    <w:p w:rsidR="004D38C4" w:rsidRDefault="00BC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13" w:rsidRPr="00BC2113" w:rsidRDefault="00BC2113" w:rsidP="00BC211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1824" behindDoc="1" locked="0" layoutInCell="1" allowOverlap="1" wp14:anchorId="3421F89E" wp14:editId="164B870A">
              <wp:simplePos x="0" y="0"/>
              <wp:positionH relativeFrom="column">
                <wp:posOffset>2887345</wp:posOffset>
              </wp:positionH>
              <wp:positionV relativeFrom="paragraph">
                <wp:posOffset>4445</wp:posOffset>
              </wp:positionV>
              <wp:extent cx="403225" cy="795655"/>
              <wp:effectExtent l="0" t="0" r="15875" b="23495"/>
              <wp:wrapNone/>
              <wp:docPr id="1319852260"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D010CE" id="Rectangle 3" o:spid="_x0000_s1026" style="position:absolute;margin-left:227.35pt;margin-top:.35pt;width:31.75pt;height:6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ilF/7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44</w:t>
    </w:r>
    <w:r>
      <w:rPr>
        <w:rFonts w:ascii="Verdana" w:hAnsi="Verdana"/>
        <w:b/>
        <w:noProof/>
        <w:color w:val="FFFFFF"/>
        <w:sz w:val="18"/>
        <w:szCs w:val="18"/>
      </w:rPr>
      <w:fldChar w:fldCharType="end"/>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2848" behindDoc="1" locked="0" layoutInCell="1" allowOverlap="1" wp14:anchorId="6A88429A" wp14:editId="08700216">
              <wp:simplePos x="0" y="0"/>
              <wp:positionH relativeFrom="column">
                <wp:posOffset>2887345</wp:posOffset>
              </wp:positionH>
              <wp:positionV relativeFrom="paragraph">
                <wp:posOffset>4445</wp:posOffset>
              </wp:positionV>
              <wp:extent cx="403225" cy="795655"/>
              <wp:effectExtent l="0" t="0" r="15875" b="23495"/>
              <wp:wrapNone/>
              <wp:docPr id="200832752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AB7C6C" id="Rectangle 3" o:spid="_x0000_s1026" style="position:absolute;margin-left:227.35pt;margin-top:.35pt;width:31.75pt;height:6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JSjXu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41</w:t>
    </w:r>
    <w:r>
      <w:rPr>
        <w:rFonts w:ascii="Verdana" w:hAnsi="Verdana"/>
        <w:b/>
        <w:noProof/>
        <w:color w:val="FFFFFF"/>
        <w:sz w:val="18"/>
        <w:szCs w:val="18"/>
      </w:rPr>
      <w:fldChar w:fldCharType="end"/>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3872" behindDoc="1" locked="0" layoutInCell="1" allowOverlap="1" wp14:anchorId="4C0CCE4C" wp14:editId="22531E51">
              <wp:simplePos x="0" y="0"/>
              <wp:positionH relativeFrom="column">
                <wp:posOffset>2887345</wp:posOffset>
              </wp:positionH>
              <wp:positionV relativeFrom="paragraph">
                <wp:posOffset>4445</wp:posOffset>
              </wp:positionV>
              <wp:extent cx="403225" cy="795655"/>
              <wp:effectExtent l="0" t="0" r="15875" b="23495"/>
              <wp:wrapNone/>
              <wp:docPr id="84886338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F6FBC9" id="Rectangle 3" o:spid="_x0000_s1026" style="position:absolute;margin-left:227.35pt;margin-top:.35pt;width:31.75pt;height:6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z4/eG1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1104" behindDoc="1" locked="0" layoutInCell="1" allowOverlap="1" wp14:anchorId="7FBE2023" wp14:editId="3BE3E510">
              <wp:simplePos x="0" y="0"/>
              <wp:positionH relativeFrom="column">
                <wp:posOffset>2887345</wp:posOffset>
              </wp:positionH>
              <wp:positionV relativeFrom="paragraph">
                <wp:posOffset>4445</wp:posOffset>
              </wp:positionV>
              <wp:extent cx="403225" cy="795655"/>
              <wp:effectExtent l="0" t="0" r="15875" b="23495"/>
              <wp:wrapNone/>
              <wp:docPr id="150495902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0EC284" id="Rectangle 3" o:spid="_x0000_s1026" style="position:absolute;margin-left:227.35pt;margin-top:.35pt;width:31.75pt;height:62.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MWSBE1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w:t>
    </w:r>
    <w:r>
      <w:rPr>
        <w:rFonts w:ascii="Verdana" w:hAnsi="Verdana"/>
        <w:b/>
        <w:noProof/>
        <w:color w:val="FFFFFF"/>
        <w:sz w:val="18"/>
        <w:szCs w:val="18"/>
      </w:rPr>
      <w:fldChar w:fldCharType="end"/>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4896" behindDoc="1" locked="0" layoutInCell="1" allowOverlap="1" wp14:anchorId="69BEC1B2" wp14:editId="5619B350">
              <wp:simplePos x="0" y="0"/>
              <wp:positionH relativeFrom="column">
                <wp:posOffset>2887345</wp:posOffset>
              </wp:positionH>
              <wp:positionV relativeFrom="paragraph">
                <wp:posOffset>4445</wp:posOffset>
              </wp:positionV>
              <wp:extent cx="403225" cy="795655"/>
              <wp:effectExtent l="0" t="0" r="15875" b="23495"/>
              <wp:wrapNone/>
              <wp:docPr id="164582428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CDFC3F" id="Rectangle 3" o:spid="_x0000_s1026" style="position:absolute;margin-left:227.35pt;margin-top:.35pt;width:31.75pt;height:6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hoEy2l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5920" behindDoc="1" locked="0" layoutInCell="1" allowOverlap="1" wp14:anchorId="3300E240" wp14:editId="43F47117">
              <wp:simplePos x="0" y="0"/>
              <wp:positionH relativeFrom="column">
                <wp:posOffset>2887345</wp:posOffset>
              </wp:positionH>
              <wp:positionV relativeFrom="paragraph">
                <wp:posOffset>4445</wp:posOffset>
              </wp:positionV>
              <wp:extent cx="403225" cy="795655"/>
              <wp:effectExtent l="0" t="0" r="15875" b="23495"/>
              <wp:wrapNone/>
              <wp:docPr id="173627984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38386B" id="Rectangle 3" o:spid="_x0000_s1026" style="position:absolute;margin-left:227.35pt;margin-top:.35pt;width:31.75pt;height:62.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&#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DDimKx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45</w:t>
    </w:r>
    <w:r>
      <w:rPr>
        <w:rFonts w:ascii="Verdana" w:hAnsi="Verdana"/>
        <w:b/>
        <w:noProof/>
        <w:color w:val="FFFFFF"/>
        <w:sz w:val="18"/>
        <w:szCs w:val="18"/>
      </w:rPr>
      <w:fldChar w:fldCharType="end"/>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6944" behindDoc="1" locked="0" layoutInCell="1" allowOverlap="1" wp14:anchorId="13A34FE8" wp14:editId="7B3D34DE">
              <wp:simplePos x="0" y="0"/>
              <wp:positionH relativeFrom="column">
                <wp:posOffset>2887345</wp:posOffset>
              </wp:positionH>
              <wp:positionV relativeFrom="paragraph">
                <wp:posOffset>4445</wp:posOffset>
              </wp:positionV>
              <wp:extent cx="403225" cy="795655"/>
              <wp:effectExtent l="0" t="0" r="15875" b="23495"/>
              <wp:wrapNone/>
              <wp:docPr id="179643995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9B5997" id="Rectangle 3" o:spid="_x0000_s1026" style="position:absolute;margin-left:227.35pt;margin-top:.35pt;width:31.75pt;height:6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HwzF3R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7968" behindDoc="1" locked="0" layoutInCell="1" allowOverlap="1" wp14:anchorId="762234B0" wp14:editId="194C3083">
              <wp:simplePos x="0" y="0"/>
              <wp:positionH relativeFrom="column">
                <wp:posOffset>2887345</wp:posOffset>
              </wp:positionH>
              <wp:positionV relativeFrom="paragraph">
                <wp:posOffset>4445</wp:posOffset>
              </wp:positionV>
              <wp:extent cx="403225" cy="795655"/>
              <wp:effectExtent l="0" t="0" r="15875" b="23495"/>
              <wp:wrapNone/>
              <wp:docPr id="160469677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0B3159" id="Rectangle 3" o:spid="_x0000_s1026" style="position:absolute;margin-left:227.35pt;margin-top:.35pt;width:31.75pt;height:62.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H2w9S5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8992" behindDoc="1" locked="0" layoutInCell="1" allowOverlap="1" wp14:anchorId="1AEDCCB6" wp14:editId="2FD321A8">
              <wp:simplePos x="0" y="0"/>
              <wp:positionH relativeFrom="column">
                <wp:posOffset>2887345</wp:posOffset>
              </wp:positionH>
              <wp:positionV relativeFrom="paragraph">
                <wp:posOffset>4445</wp:posOffset>
              </wp:positionV>
              <wp:extent cx="403225" cy="795655"/>
              <wp:effectExtent l="0" t="0" r="15875" b="23495"/>
              <wp:wrapNone/>
              <wp:docPr id="34061242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A71938" id="Rectangle 3" o:spid="_x0000_s1026" style="position:absolute;margin-left:227.35pt;margin-top:.35pt;width:31.75pt;height:62.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QOifU1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43</w:t>
    </w:r>
    <w:r>
      <w:rPr>
        <w:rFonts w:ascii="Verdana" w:hAnsi="Verdana"/>
        <w:b/>
        <w:noProof/>
        <w:color w:val="FFFFFF"/>
        <w:sz w:val="18"/>
        <w:szCs w:val="18"/>
      </w:rPr>
      <w:fldChar w:fldCharType="end"/>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0016" behindDoc="1" locked="0" layoutInCell="1" allowOverlap="1" wp14:anchorId="51BF0512" wp14:editId="2832519E">
              <wp:simplePos x="0" y="0"/>
              <wp:positionH relativeFrom="column">
                <wp:posOffset>4445635</wp:posOffset>
              </wp:positionH>
              <wp:positionV relativeFrom="paragraph">
                <wp:posOffset>82740</wp:posOffset>
              </wp:positionV>
              <wp:extent cx="403225" cy="795655"/>
              <wp:effectExtent l="0" t="0" r="15875" b="23495"/>
              <wp:wrapNone/>
              <wp:docPr id="20522055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3F7E27" id="Rectangle 3" o:spid="_x0000_s1026" style="position:absolute;margin-left:350.05pt;margin-top:6.5pt;width:31.75pt;height:62.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46</w:t>
    </w:r>
    <w:r>
      <w:rPr>
        <w:rFonts w:ascii="Verdana" w:hAnsi="Verdana"/>
        <w:b/>
        <w:noProof/>
        <w:color w:val="FFFFFF"/>
        <w:sz w:val="18"/>
        <w:szCs w:val="18"/>
      </w:rPr>
      <w:fldChar w:fldCharType="end"/>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1040" behindDoc="1" locked="0" layoutInCell="1" allowOverlap="1" wp14:anchorId="2D71D837" wp14:editId="03808A34">
              <wp:simplePos x="0" y="0"/>
              <wp:positionH relativeFrom="column">
                <wp:posOffset>2887345</wp:posOffset>
              </wp:positionH>
              <wp:positionV relativeFrom="paragraph">
                <wp:posOffset>4445</wp:posOffset>
              </wp:positionV>
              <wp:extent cx="403225" cy="795655"/>
              <wp:effectExtent l="0" t="0" r="15875" b="23495"/>
              <wp:wrapNone/>
              <wp:docPr id="525774855"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C1C2C2" id="Rectangle 3" o:spid="_x0000_s1026" style="position:absolute;margin-left:227.35pt;margin-top:.35pt;width:31.75pt;height:6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Bor5Fi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47</w:t>
    </w:r>
    <w:r>
      <w:rPr>
        <w:rFonts w:ascii="Verdana" w:hAnsi="Verdana"/>
        <w:b/>
        <w:noProof/>
        <w:color w:val="FFFFFF"/>
        <w:sz w:val="18"/>
        <w:szCs w:val="18"/>
      </w:rPr>
      <w:fldChar w:fldCharType="end"/>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2064" behindDoc="1" locked="0" layoutInCell="1" allowOverlap="1" wp14:anchorId="7542A6A8" wp14:editId="19007CF6">
              <wp:simplePos x="0" y="0"/>
              <wp:positionH relativeFrom="column">
                <wp:posOffset>2887345</wp:posOffset>
              </wp:positionH>
              <wp:positionV relativeFrom="paragraph">
                <wp:posOffset>4445</wp:posOffset>
              </wp:positionV>
              <wp:extent cx="403225" cy="795655"/>
              <wp:effectExtent l="0" t="0" r="15875" b="23495"/>
              <wp:wrapNone/>
              <wp:docPr id="176841675"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D92703" id="Rectangle 3" o:spid="_x0000_s1026" style="position:absolute;margin-left:227.35pt;margin-top:.35pt;width:31.75pt;height:62.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Cc7UiA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3088" behindDoc="1" locked="0" layoutInCell="1" allowOverlap="1" wp14:anchorId="42C69B7F" wp14:editId="58481E78">
              <wp:simplePos x="0" y="0"/>
              <wp:positionH relativeFrom="column">
                <wp:posOffset>2887345</wp:posOffset>
              </wp:positionH>
              <wp:positionV relativeFrom="paragraph">
                <wp:posOffset>4445</wp:posOffset>
              </wp:positionV>
              <wp:extent cx="403225" cy="795655"/>
              <wp:effectExtent l="0" t="0" r="15875" b="23495"/>
              <wp:wrapNone/>
              <wp:docPr id="148372592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CCFAAF" id="Rectangle 3" o:spid="_x0000_s1026" style="position:absolute;margin-left:227.35pt;margin-top:.35pt;width:31.75pt;height:62.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&#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MoVm+5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45</w:t>
    </w:r>
    <w:r>
      <w:rPr>
        <w:rFonts w:ascii="Verdana" w:hAnsi="Verdana"/>
        <w:b/>
        <w:noProof/>
        <w:color w:val="FFFFFF"/>
        <w:sz w:val="18"/>
        <w:szCs w:val="18"/>
      </w:rPr>
      <w:fldChar w:fldCharType="end"/>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4112" behindDoc="1" locked="0" layoutInCell="1" allowOverlap="1" wp14:anchorId="0BF62AE3" wp14:editId="7DD800AE">
              <wp:simplePos x="0" y="0"/>
              <wp:positionH relativeFrom="column">
                <wp:posOffset>2887345</wp:posOffset>
              </wp:positionH>
              <wp:positionV relativeFrom="paragraph">
                <wp:posOffset>4445</wp:posOffset>
              </wp:positionV>
              <wp:extent cx="403225" cy="795655"/>
              <wp:effectExtent l="0" t="0" r="15875" b="23495"/>
              <wp:wrapNone/>
              <wp:docPr id="123830934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E77481" id="Rectangle 3" o:spid="_x0000_s1026" style="position:absolute;margin-left:227.35pt;margin-top:.35pt;width:31.75pt;height:62.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FFIanN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49</w:t>
    </w:r>
    <w:r>
      <w:rPr>
        <w:rFonts w:ascii="Verdana" w:hAnsi="Verdana"/>
        <w:b/>
        <w:noProof/>
        <w:color w:val="FFFFFF"/>
        <w:sz w:val="18"/>
        <w:szCs w:val="18"/>
      </w:rPr>
      <w:fldChar w:fldCharType="end"/>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2128" behindDoc="1" locked="0" layoutInCell="1" allowOverlap="1" wp14:anchorId="30D76484" wp14:editId="5237DD4A">
              <wp:simplePos x="0" y="0"/>
              <wp:positionH relativeFrom="column">
                <wp:posOffset>2887345</wp:posOffset>
              </wp:positionH>
              <wp:positionV relativeFrom="paragraph">
                <wp:posOffset>4445</wp:posOffset>
              </wp:positionV>
              <wp:extent cx="403225" cy="795655"/>
              <wp:effectExtent l="0" t="0" r="15875" b="23495"/>
              <wp:wrapNone/>
              <wp:docPr id="40421262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A1B9AB" id="Rectangle 3" o:spid="_x0000_s1026" style="position:absolute;margin-left:227.35pt;margin-top:.35pt;width:31.75pt;height:62.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&#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kUhfgV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6</w:t>
    </w:r>
    <w:r>
      <w:rPr>
        <w:rFonts w:ascii="Verdana" w:hAnsi="Verdana"/>
        <w:b/>
        <w:noProof/>
        <w:color w:val="FFFFFF"/>
        <w:sz w:val="18"/>
        <w:szCs w:val="18"/>
      </w:rPr>
      <w:fldChar w:fldCharType="end"/>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5136" behindDoc="1" locked="0" layoutInCell="1" allowOverlap="1" wp14:anchorId="629F1895" wp14:editId="0C7EF242">
              <wp:simplePos x="0" y="0"/>
              <wp:positionH relativeFrom="column">
                <wp:posOffset>2887345</wp:posOffset>
              </wp:positionH>
              <wp:positionV relativeFrom="paragraph">
                <wp:posOffset>4445</wp:posOffset>
              </wp:positionV>
              <wp:extent cx="403225" cy="795655"/>
              <wp:effectExtent l="0" t="0" r="15875" b="23495"/>
              <wp:wrapNone/>
              <wp:docPr id="103788806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804975" id="Rectangle 3" o:spid="_x0000_s1026" style="position:absolute;margin-left:227.35pt;margin-top:.35pt;width:31.75pt;height:62.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&#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D5tc5p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50</w:t>
    </w:r>
    <w:r>
      <w:rPr>
        <w:rFonts w:ascii="Verdana" w:hAnsi="Verdana"/>
        <w:b/>
        <w:noProof/>
        <w:color w:val="FFFFFF"/>
        <w:sz w:val="18"/>
        <w:szCs w:val="18"/>
      </w:rPr>
      <w:fldChar w:fldCharType="end"/>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6160" behindDoc="1" locked="0" layoutInCell="1" allowOverlap="1" wp14:anchorId="0C942A51" wp14:editId="2B282D5C">
              <wp:simplePos x="0" y="0"/>
              <wp:positionH relativeFrom="column">
                <wp:posOffset>2887345</wp:posOffset>
              </wp:positionH>
              <wp:positionV relativeFrom="paragraph">
                <wp:posOffset>4445</wp:posOffset>
              </wp:positionV>
              <wp:extent cx="403225" cy="795655"/>
              <wp:effectExtent l="0" t="0" r="15875" b="23495"/>
              <wp:wrapNone/>
              <wp:docPr id="45786026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BE5749" id="Rectangle 3" o:spid="_x0000_s1026" style="position:absolute;margin-left:227.35pt;margin-top:.35pt;width:31.75pt;height:62.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62bPE1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7184" behindDoc="1" locked="0" layoutInCell="1" allowOverlap="1" wp14:anchorId="24AFFDEC" wp14:editId="0EAD1663">
              <wp:simplePos x="0" y="0"/>
              <wp:positionH relativeFrom="column">
                <wp:posOffset>2887345</wp:posOffset>
              </wp:positionH>
              <wp:positionV relativeFrom="paragraph">
                <wp:posOffset>4445</wp:posOffset>
              </wp:positionV>
              <wp:extent cx="403225" cy="795655"/>
              <wp:effectExtent l="0" t="0" r="15875" b="23495"/>
              <wp:wrapNone/>
              <wp:docPr id="616331916"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1F343D" id="Rectangle 3" o:spid="_x0000_s1026" style="position:absolute;margin-left:227.35pt;margin-top:.35pt;width:31.75pt;height:62.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1fDLbV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51</w:t>
    </w:r>
    <w:r>
      <w:rPr>
        <w:rFonts w:ascii="Verdana" w:hAnsi="Verdana"/>
        <w:b/>
        <w:noProof/>
        <w:color w:val="FFFFFF"/>
        <w:sz w:val="18"/>
        <w:szCs w:val="18"/>
      </w:rPr>
      <w:fldChar w:fldCharType="end"/>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8208" behindDoc="1" locked="0" layoutInCell="1" allowOverlap="1" wp14:anchorId="6A82C67E" wp14:editId="3605C3FD">
              <wp:simplePos x="0" y="0"/>
              <wp:positionH relativeFrom="column">
                <wp:posOffset>2887345</wp:posOffset>
              </wp:positionH>
              <wp:positionV relativeFrom="paragraph">
                <wp:posOffset>4445</wp:posOffset>
              </wp:positionV>
              <wp:extent cx="403225" cy="795655"/>
              <wp:effectExtent l="0" t="0" r="15875" b="23495"/>
              <wp:wrapNone/>
              <wp:docPr id="140182908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BAB530" id="Rectangle 3" o:spid="_x0000_s1026" style="position:absolute;margin-left:227.35pt;margin-top:.35pt;width:31.75pt;height:62.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&#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jr2jol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53</w:t>
    </w:r>
    <w:r>
      <w:rPr>
        <w:rFonts w:ascii="Verdana" w:hAnsi="Verdana"/>
        <w:b/>
        <w:noProof/>
        <w:color w:val="FFFFFF"/>
        <w:sz w:val="18"/>
        <w:szCs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79232" behindDoc="1" locked="0" layoutInCell="1" allowOverlap="1" wp14:anchorId="2B8A1FA0" wp14:editId="6CEC0E45">
              <wp:simplePos x="0" y="0"/>
              <wp:positionH relativeFrom="column">
                <wp:posOffset>2887345</wp:posOffset>
              </wp:positionH>
              <wp:positionV relativeFrom="paragraph">
                <wp:posOffset>4445</wp:posOffset>
              </wp:positionV>
              <wp:extent cx="403225" cy="795655"/>
              <wp:effectExtent l="0" t="0" r="15875" b="23495"/>
              <wp:wrapNone/>
              <wp:docPr id="211914452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40DA92" id="Rectangle 3" o:spid="_x0000_s1026" style="position:absolute;margin-left:227.35pt;margin-top:.35pt;width:31.75pt;height:62.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CuHnV4WAIAALk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50</w:t>
    </w:r>
    <w:r>
      <w:rPr>
        <w:rFonts w:ascii="Verdana" w:hAnsi="Verdana"/>
        <w:b/>
        <w:noProof/>
        <w:color w:val="FFFFFF"/>
        <w:sz w:val="18"/>
        <w:szCs w:val="18"/>
      </w:rPr>
      <w:fldChar w:fldCharType="end"/>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80256" behindDoc="1" locked="0" layoutInCell="1" allowOverlap="1" wp14:anchorId="36EC6268" wp14:editId="2587F47E">
              <wp:simplePos x="0" y="0"/>
              <wp:positionH relativeFrom="column">
                <wp:posOffset>2887345</wp:posOffset>
              </wp:positionH>
              <wp:positionV relativeFrom="paragraph">
                <wp:posOffset>4445</wp:posOffset>
              </wp:positionV>
              <wp:extent cx="403225" cy="795655"/>
              <wp:effectExtent l="0" t="0" r="15875" b="23495"/>
              <wp:wrapNone/>
              <wp:docPr id="1529845076"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4FA9F3" id="Rectangle 3" o:spid="_x0000_s1026" style="position:absolute;margin-left:227.35pt;margin-top:.35pt;width:31.75pt;height:62.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&#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FRVx1F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w:instrText>
    </w:r>
    <w:r>
      <w:rPr>
        <w:rFonts w:ascii="Verdana" w:hAnsi="Verdana"/>
        <w:b/>
        <w:color w:val="FFFFFF"/>
        <w:sz w:val="18"/>
        <w:szCs w:val="18"/>
      </w:rPr>
      <w:instrText xml:space="preserve"> </w:instrText>
    </w:r>
    <w:r>
      <w:rPr>
        <w:rFonts w:ascii="Verdana" w:hAnsi="Verdana"/>
        <w:b/>
        <w:color w:val="FFFFFF"/>
        <w:sz w:val="18"/>
        <w:szCs w:val="18"/>
      </w:rPr>
      <w:fldChar w:fldCharType="separate"/>
    </w:r>
    <w:r>
      <w:rPr>
        <w:rFonts w:ascii="Verdana" w:hAnsi="Verdana"/>
        <w:b/>
        <w:noProof/>
        <w:color w:val="FFFFFF"/>
        <w:sz w:val="18"/>
        <w:szCs w:val="18"/>
      </w:rPr>
      <w:t>54</w:t>
    </w:r>
    <w:r>
      <w:rPr>
        <w:rFonts w:ascii="Verdana" w:hAnsi="Verdana"/>
        <w:b/>
        <w:noProof/>
        <w:color w:val="FFFFFF"/>
        <w:sz w:val="18"/>
        <w:szCs w:val="18"/>
      </w:rPr>
      <w:fldChar w:fldCharType="end"/>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81280" behindDoc="1" locked="0" layoutInCell="1" allowOverlap="1" wp14:anchorId="6BBB4EE7" wp14:editId="0BCED88D">
              <wp:simplePos x="0" y="0"/>
              <wp:positionH relativeFrom="column">
                <wp:posOffset>2887345</wp:posOffset>
              </wp:positionH>
              <wp:positionV relativeFrom="paragraph">
                <wp:posOffset>4445</wp:posOffset>
              </wp:positionV>
              <wp:extent cx="403225" cy="795655"/>
              <wp:effectExtent l="0" t="0" r="15875" b="23495"/>
              <wp:wrapNone/>
              <wp:docPr id="21615692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2BB20A" id="Rectangle 3" o:spid="_x0000_s1026" style="position:absolute;margin-left:227.35pt;margin-top:.35pt;width:31.75pt;height:62.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Bsxkmw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55</w:t>
    </w:r>
    <w:r>
      <w:rPr>
        <w:rFonts w:ascii="Verdana" w:hAnsi="Verdana"/>
        <w:b/>
        <w:noProof/>
        <w:color w:val="FFFFFF"/>
        <w:sz w:val="18"/>
        <w:szCs w:val="18"/>
      </w:rPr>
      <w:fldChar w:fldCharType="end"/>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82304" behindDoc="1" locked="0" layoutInCell="1" allowOverlap="1" wp14:anchorId="19564A9A" wp14:editId="1E78C453">
              <wp:simplePos x="0" y="0"/>
              <wp:positionH relativeFrom="column">
                <wp:posOffset>2887345</wp:posOffset>
              </wp:positionH>
              <wp:positionV relativeFrom="paragraph">
                <wp:posOffset>4445</wp:posOffset>
              </wp:positionV>
              <wp:extent cx="403225" cy="795655"/>
              <wp:effectExtent l="0" t="0" r="15875" b="23495"/>
              <wp:wrapNone/>
              <wp:docPr id="198536804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4372E4" id="Rectangle 3" o:spid="_x0000_s1026" style="position:absolute;margin-left:227.35pt;margin-top:.35pt;width:31.75pt;height:62.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A0+WYdWAIAALk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57</w:t>
    </w:r>
    <w:r>
      <w:rPr>
        <w:rFonts w:ascii="Verdana" w:hAnsi="Verdana"/>
        <w:b/>
        <w:noProof/>
        <w:color w:val="FFFFFF"/>
        <w:sz w:val="18"/>
        <w:szCs w:val="18"/>
      </w:rPr>
      <w:fldChar w:fldCharType="end"/>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83328" behindDoc="1" locked="0" layoutInCell="1" allowOverlap="1" wp14:anchorId="1A10577B" wp14:editId="7FF8CD6A">
              <wp:simplePos x="0" y="0"/>
              <wp:positionH relativeFrom="column">
                <wp:posOffset>2887345</wp:posOffset>
              </wp:positionH>
              <wp:positionV relativeFrom="paragraph">
                <wp:posOffset>4445</wp:posOffset>
              </wp:positionV>
              <wp:extent cx="403225" cy="795655"/>
              <wp:effectExtent l="0" t="0" r="15875" b="23495"/>
              <wp:wrapNone/>
              <wp:docPr id="175814244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746929" id="Rectangle 3" o:spid="_x0000_s1026" style="position:absolute;margin-left:227.35pt;margin-top:.35pt;width:31.75pt;height:62.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OqHDV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59</w:t>
    </w:r>
    <w:r>
      <w:rPr>
        <w:rFonts w:ascii="Verdana" w:hAnsi="Verdana"/>
        <w:b/>
        <w:noProof/>
        <w:color w:val="FFFFFF"/>
        <w:sz w:val="18"/>
        <w:szCs w:val="18"/>
      </w:rPr>
      <w:fldChar w:fldCharType="end"/>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84352" behindDoc="1" locked="0" layoutInCell="1" allowOverlap="1" wp14:anchorId="06ED6382" wp14:editId="5C0F196A">
              <wp:simplePos x="0" y="0"/>
              <wp:positionH relativeFrom="column">
                <wp:posOffset>2887345</wp:posOffset>
              </wp:positionH>
              <wp:positionV relativeFrom="paragraph">
                <wp:posOffset>4445</wp:posOffset>
              </wp:positionV>
              <wp:extent cx="403225" cy="795655"/>
              <wp:effectExtent l="0" t="0" r="15875" b="23495"/>
              <wp:wrapNone/>
              <wp:docPr id="189268055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3AF278" id="Rectangle 3" o:spid="_x0000_s1026" style="position:absolute;margin-left:227.35pt;margin-top:.35pt;width:31.75pt;height:62.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DgOx+XWAIAALk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63</w:t>
    </w:r>
    <w:r>
      <w:rPr>
        <w:rFonts w:ascii="Verdana" w:hAnsi="Verdana"/>
        <w:b/>
        <w:noProof/>
        <w:color w:val="FFFFFF"/>
        <w:sz w:val="18"/>
        <w:szCs w:val="18"/>
      </w:rPr>
      <w:fldChar w:fldCharType="end"/>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3152" behindDoc="1" locked="0" layoutInCell="1" allowOverlap="1" wp14:anchorId="443148B5" wp14:editId="31BF2604">
              <wp:simplePos x="0" y="0"/>
              <wp:positionH relativeFrom="column">
                <wp:posOffset>2887345</wp:posOffset>
              </wp:positionH>
              <wp:positionV relativeFrom="paragraph">
                <wp:posOffset>4445</wp:posOffset>
              </wp:positionV>
              <wp:extent cx="403225" cy="795655"/>
              <wp:effectExtent l="0" t="0" r="15875" b="23495"/>
              <wp:wrapNone/>
              <wp:docPr id="170980646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153E58" id="Rectangle 3" o:spid="_x0000_s1026" style="position:absolute;margin-left:227.35pt;margin-top:.35pt;width:31.75pt;height:62.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&#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NKSciF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8</w:t>
    </w:r>
    <w:r>
      <w:rPr>
        <w:rFonts w:ascii="Verdana" w:hAnsi="Verdana"/>
        <w:b/>
        <w:noProof/>
        <w:color w:val="FFFFFF"/>
        <w:sz w:val="18"/>
        <w:szCs w:val="18"/>
      </w:rPr>
      <w:fldChar w:fldCharType="end"/>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85376" behindDoc="1" locked="0" layoutInCell="1" allowOverlap="1" wp14:anchorId="7D8BD579" wp14:editId="7889766B">
              <wp:simplePos x="0" y="0"/>
              <wp:positionH relativeFrom="column">
                <wp:posOffset>4445635</wp:posOffset>
              </wp:positionH>
              <wp:positionV relativeFrom="paragraph">
                <wp:posOffset>82740</wp:posOffset>
              </wp:positionV>
              <wp:extent cx="403225" cy="795655"/>
              <wp:effectExtent l="0" t="0" r="15875" b="23495"/>
              <wp:wrapNone/>
              <wp:docPr id="39554513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B3B180" id="Rectangle 3" o:spid="_x0000_s1026" style="position:absolute;margin-left:350.05pt;margin-top:6.5pt;width:31.75pt;height:62.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64</w:t>
    </w:r>
    <w:r>
      <w:rPr>
        <w:rFonts w:ascii="Verdana" w:hAnsi="Verdana"/>
        <w:b/>
        <w:noProof/>
        <w:color w:val="FFFFFF"/>
        <w:sz w:val="18"/>
        <w:szCs w:val="18"/>
      </w:rPr>
      <w:fldChar w:fldCharType="end"/>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86400" behindDoc="1" locked="0" layoutInCell="1" allowOverlap="1" wp14:anchorId="4C90E3A0" wp14:editId="6D795B98">
              <wp:simplePos x="0" y="0"/>
              <wp:positionH relativeFrom="column">
                <wp:posOffset>4445635</wp:posOffset>
              </wp:positionH>
              <wp:positionV relativeFrom="paragraph">
                <wp:posOffset>82740</wp:posOffset>
              </wp:positionV>
              <wp:extent cx="403225" cy="795655"/>
              <wp:effectExtent l="0" t="0" r="15875" b="23495"/>
              <wp:wrapNone/>
              <wp:docPr id="169491592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E4A406" id="Rectangle 3" o:spid="_x0000_s1026" style="position:absolute;margin-left:350.05pt;margin-top:6.5pt;width:31.75pt;height:62.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78</w:t>
    </w:r>
    <w:r>
      <w:rPr>
        <w:rFonts w:ascii="Verdana" w:hAnsi="Verdana"/>
        <w:b/>
        <w:noProof/>
        <w:color w:val="FFFFFF"/>
        <w:sz w:val="18"/>
        <w:szCs w:val="18"/>
      </w:rPr>
      <w:fldChar w:fldCharType="end"/>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0080" behindDoc="1" locked="0" layoutInCell="1" allowOverlap="1">
              <wp:simplePos x="0" y="0"/>
              <wp:positionH relativeFrom="column">
                <wp:posOffset>2887345</wp:posOffset>
              </wp:positionH>
              <wp:positionV relativeFrom="paragraph">
                <wp:posOffset>4445</wp:posOffset>
              </wp:positionV>
              <wp:extent cx="403225" cy="795655"/>
              <wp:effectExtent l="0" t="0" r="15875" b="23495"/>
              <wp:wrapNone/>
              <wp:docPr id="17947835"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2B267C" id="Rectangle 3" o:spid="_x0000_s1026" style="position:absolute;margin-left:227.35pt;margin-top:.35pt;width:31.75pt;height:6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79</w:t>
    </w:r>
    <w:r>
      <w:rPr>
        <w:rFonts w:ascii="Verdana" w:hAnsi="Verdana"/>
        <w:b/>
        <w:noProof/>
        <w:color w:val="FFFFFF"/>
        <w:sz w:val="18"/>
        <w:szCs w:val="18"/>
      </w:rPr>
      <w:fldChar w:fldCharType="end"/>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13" w:rsidRPr="00BC2113" w:rsidRDefault="00BC2113" w:rsidP="00BC2113">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4176" behindDoc="1" locked="0" layoutInCell="1" allowOverlap="1" wp14:anchorId="0D222E44" wp14:editId="73558CC4">
              <wp:simplePos x="0" y="0"/>
              <wp:positionH relativeFrom="column">
                <wp:posOffset>2887345</wp:posOffset>
              </wp:positionH>
              <wp:positionV relativeFrom="paragraph">
                <wp:posOffset>4445</wp:posOffset>
              </wp:positionV>
              <wp:extent cx="403225" cy="795655"/>
              <wp:effectExtent l="0" t="0" r="15875" b="23495"/>
              <wp:wrapNone/>
              <wp:docPr id="75158001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4208B7" id="Rectangle 3" o:spid="_x0000_s1026" style="position:absolute;margin-left:227.35pt;margin-top:.35pt;width:31.75pt;height:62.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&#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C7QYo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9</w:t>
    </w:r>
    <w:r>
      <w:rPr>
        <w:rFonts w:ascii="Verdana" w:hAnsi="Verdana"/>
        <w:b/>
        <w:noProof/>
        <w:color w:val="FFFFFF"/>
        <w:sz w:val="18"/>
        <w:szCs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5200" behindDoc="1" locked="0" layoutInCell="1" allowOverlap="1" wp14:anchorId="34061F88" wp14:editId="69F486A3">
              <wp:simplePos x="0" y="0"/>
              <wp:positionH relativeFrom="column">
                <wp:posOffset>2887345</wp:posOffset>
              </wp:positionH>
              <wp:positionV relativeFrom="paragraph">
                <wp:posOffset>4445</wp:posOffset>
              </wp:positionV>
              <wp:extent cx="403225" cy="795655"/>
              <wp:effectExtent l="0" t="0" r="15875" b="23495"/>
              <wp:wrapNone/>
              <wp:docPr id="189355360"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398C4A" id="Rectangle 3" o:spid="_x0000_s1026" style="position:absolute;margin-left:227.35pt;margin-top:.35pt;width:31.75pt;height:62.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CvAo/q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10</w:t>
    </w:r>
    <w:r>
      <w:rPr>
        <w:rFonts w:ascii="Verdana" w:hAnsi="Verdana"/>
        <w:b/>
        <w:noProof/>
        <w:color w:val="FFFFFF"/>
        <w:sz w:val="18"/>
        <w:szCs w:val="18"/>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6224" behindDoc="1" locked="0" layoutInCell="1" allowOverlap="1" wp14:anchorId="64DDFA12" wp14:editId="32CF8318">
              <wp:simplePos x="0" y="0"/>
              <wp:positionH relativeFrom="column">
                <wp:posOffset>2887345</wp:posOffset>
              </wp:positionH>
              <wp:positionV relativeFrom="paragraph">
                <wp:posOffset>4445</wp:posOffset>
              </wp:positionV>
              <wp:extent cx="403225" cy="795655"/>
              <wp:effectExtent l="0" t="0" r="15875" b="23495"/>
              <wp:wrapNone/>
              <wp:docPr id="109394752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65F553" id="Rectangle 3" o:spid="_x0000_s1026" style="position:absolute;margin-left:227.35pt;margin-top:.35pt;width:31.75pt;height:62.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G4bGz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11</w:t>
    </w:r>
    <w:r>
      <w:rPr>
        <w:rFonts w:ascii="Verdana" w:hAnsi="Verdana"/>
        <w:b/>
        <w:noProof/>
        <w:color w:val="FFFFFF"/>
        <w:sz w:val="18"/>
        <w:szCs w:val="18"/>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7248" behindDoc="1" locked="0" layoutInCell="1" allowOverlap="1" wp14:anchorId="5DE5018A" wp14:editId="3578F276">
              <wp:simplePos x="0" y="0"/>
              <wp:positionH relativeFrom="column">
                <wp:posOffset>4445635</wp:posOffset>
              </wp:positionH>
              <wp:positionV relativeFrom="paragraph">
                <wp:posOffset>82740</wp:posOffset>
              </wp:positionV>
              <wp:extent cx="403225" cy="795655"/>
              <wp:effectExtent l="0" t="0" r="15875" b="23495"/>
              <wp:wrapNone/>
              <wp:docPr id="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14E336" id="Rectangle 3" o:spid="_x0000_s1026" style="position:absolute;margin-left:350.05pt;margin-top:6.5pt;width:31.75pt;height:62.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12</w:t>
    </w:r>
    <w:r>
      <w:rPr>
        <w:rFonts w:ascii="Verdana" w:hAnsi="Verdana"/>
        <w:b/>
        <w:noProof/>
        <w:color w:val="FFFFF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13" w:rsidRPr="00BC2113" w:rsidRDefault="00BC2113" w:rsidP="00BC2113">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8272" behindDoc="1" locked="0" layoutInCell="1" allowOverlap="1" wp14:anchorId="7BFA5ED9" wp14:editId="4F159DB2">
              <wp:simplePos x="0" y="0"/>
              <wp:positionH relativeFrom="column">
                <wp:posOffset>2887345</wp:posOffset>
              </wp:positionH>
              <wp:positionV relativeFrom="paragraph">
                <wp:posOffset>4445</wp:posOffset>
              </wp:positionV>
              <wp:extent cx="403225" cy="795655"/>
              <wp:effectExtent l="0" t="0" r="15875" b="23495"/>
              <wp:wrapNone/>
              <wp:docPr id="224720376"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39F7F0" id="Rectangle 3" o:spid="_x0000_s1026" style="position:absolute;margin-left:227.35pt;margin-top:.35pt;width:31.75pt;height:62.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&#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scQ+X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13</w:t>
    </w:r>
    <w:r>
      <w:rPr>
        <w:rFonts w:ascii="Verdana" w:hAnsi="Verdana"/>
        <w:b/>
        <w:noProof/>
        <w:color w:val="FFFFFF"/>
        <w:sz w:val="18"/>
        <w:szCs w:val="18"/>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39296" behindDoc="1" locked="0" layoutInCell="1" allowOverlap="1" wp14:anchorId="0B4FA10A" wp14:editId="08E1BB47">
              <wp:simplePos x="0" y="0"/>
              <wp:positionH relativeFrom="column">
                <wp:posOffset>2887345</wp:posOffset>
              </wp:positionH>
              <wp:positionV relativeFrom="paragraph">
                <wp:posOffset>4445</wp:posOffset>
              </wp:positionV>
              <wp:extent cx="403225" cy="795655"/>
              <wp:effectExtent l="0" t="0" r="15875" b="23495"/>
              <wp:wrapNone/>
              <wp:docPr id="177188077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A55071" id="Rectangle 3" o:spid="_x0000_s1026" style="position:absolute;margin-left:227.35pt;margin-top:.35pt;width:31.75pt;height:62.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M8EhjN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26</w:t>
    </w:r>
    <w:r>
      <w:rPr>
        <w:rFonts w:ascii="Verdana" w:hAnsi="Verdana"/>
        <w:b/>
        <w:noProof/>
        <w:color w:val="FFFFFF"/>
        <w:sz w:val="18"/>
        <w:szCs w:val="18"/>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0320" behindDoc="1" locked="0" layoutInCell="1" allowOverlap="1" wp14:anchorId="56DA4093" wp14:editId="0DEC2092">
              <wp:simplePos x="0" y="0"/>
              <wp:positionH relativeFrom="column">
                <wp:posOffset>2887345</wp:posOffset>
              </wp:positionH>
              <wp:positionV relativeFrom="paragraph">
                <wp:posOffset>4445</wp:posOffset>
              </wp:positionV>
              <wp:extent cx="403225" cy="795655"/>
              <wp:effectExtent l="0" t="0" r="15875" b="23495"/>
              <wp:wrapNone/>
              <wp:docPr id="14923650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977BDA" id="Rectangle 3" o:spid="_x0000_s1026" style="position:absolute;margin-left:227.35pt;margin-top:.35pt;width:31.75pt;height:62.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AWOOdD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27</w:t>
    </w:r>
    <w:r>
      <w:rPr>
        <w:rFonts w:ascii="Verdana" w:hAnsi="Verdana"/>
        <w:b/>
        <w:noProof/>
        <w:color w:val="FFFFFF"/>
        <w:sz w:val="18"/>
        <w:szCs w:val="18"/>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1344" behindDoc="1" locked="0" layoutInCell="1" allowOverlap="1" wp14:anchorId="36AA3A5C" wp14:editId="3B8DB38A">
              <wp:simplePos x="0" y="0"/>
              <wp:positionH relativeFrom="column">
                <wp:posOffset>2887345</wp:posOffset>
              </wp:positionH>
              <wp:positionV relativeFrom="paragraph">
                <wp:posOffset>4445</wp:posOffset>
              </wp:positionV>
              <wp:extent cx="403225" cy="795655"/>
              <wp:effectExtent l="0" t="0" r="15875" b="23495"/>
              <wp:wrapNone/>
              <wp:docPr id="1790121870"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DDBA3D" id="Rectangle 3" o:spid="_x0000_s1026" style="position:absolute;margin-left:227.35pt;margin-top:.35pt;width:31.75pt;height:62.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cWz5o1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2368" behindDoc="1" locked="0" layoutInCell="1" allowOverlap="1" wp14:anchorId="462D7FFC" wp14:editId="5A93D1FE">
              <wp:simplePos x="0" y="0"/>
              <wp:positionH relativeFrom="column">
                <wp:posOffset>2887345</wp:posOffset>
              </wp:positionH>
              <wp:positionV relativeFrom="paragraph">
                <wp:posOffset>4445</wp:posOffset>
              </wp:positionV>
              <wp:extent cx="403225" cy="795655"/>
              <wp:effectExtent l="0" t="0" r="15875" b="23495"/>
              <wp:wrapNone/>
              <wp:docPr id="44238743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019BD6" id="Rectangle 3" o:spid="_x0000_s1026" style="position:absolute;margin-left:227.35pt;margin-top:.35pt;width:31.75pt;height:62.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ry1Cc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3392" behindDoc="1" locked="0" layoutInCell="1" allowOverlap="1" wp14:anchorId="73EBE93E" wp14:editId="3C5FE5E9">
              <wp:simplePos x="0" y="0"/>
              <wp:positionH relativeFrom="column">
                <wp:posOffset>4445635</wp:posOffset>
              </wp:positionH>
              <wp:positionV relativeFrom="paragraph">
                <wp:posOffset>82740</wp:posOffset>
              </wp:positionV>
              <wp:extent cx="403225" cy="795655"/>
              <wp:effectExtent l="0" t="0" r="15875" b="23495"/>
              <wp:wrapNone/>
              <wp:docPr id="189012410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F54C46" id="Rectangle 3" o:spid="_x0000_s1026" style="position:absolute;margin-left:350.05pt;margin-top:6.5pt;width:31.75pt;height:6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28</w:t>
    </w:r>
    <w:r>
      <w:rPr>
        <w:rFonts w:ascii="Verdana" w:hAnsi="Verdana"/>
        <w:b/>
        <w:noProof/>
        <w:color w:val="FFFFFF"/>
        <w:sz w:val="18"/>
        <w:szCs w:val="18"/>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proofErr w:type="spellStart"/>
    <w:r>
      <w:rPr>
        <w:rFonts w:ascii="Arial" w:hAnsi="Arial" w:cs="Arial"/>
        <w:b/>
        <w:sz w:val="48"/>
      </w:rPr>
      <w:t>EN</w:t>
    </w:r>
    <w:proofErr w:type="spellEnd"/>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4416" behindDoc="1" locked="0" layoutInCell="1" allowOverlap="1" wp14:anchorId="4603F52F" wp14:editId="20E1E83D">
              <wp:simplePos x="0" y="0"/>
              <wp:positionH relativeFrom="column">
                <wp:posOffset>2887345</wp:posOffset>
              </wp:positionH>
              <wp:positionV relativeFrom="paragraph">
                <wp:posOffset>4445</wp:posOffset>
              </wp:positionV>
              <wp:extent cx="403225" cy="795655"/>
              <wp:effectExtent l="0" t="0" r="15875" b="23495"/>
              <wp:wrapNone/>
              <wp:docPr id="116141486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4A94C1" id="Rectangle 3" o:spid="_x0000_s1026" style="position:absolute;margin-left:227.35pt;margin-top:.35pt;width:31.75pt;height:6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AZcCXF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29</w:t>
    </w:r>
    <w:r>
      <w:rPr>
        <w:rFonts w:ascii="Verdana" w:hAnsi="Verdana"/>
        <w:b/>
        <w:noProof/>
        <w:color w:val="FFFFFF"/>
        <w:sz w:val="18"/>
        <w:szCs w:val="18"/>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5440" behindDoc="1" locked="0" layoutInCell="1" allowOverlap="1" wp14:anchorId="15972FAC" wp14:editId="640CA636">
              <wp:simplePos x="0" y="0"/>
              <wp:positionH relativeFrom="column">
                <wp:posOffset>2887345</wp:posOffset>
              </wp:positionH>
              <wp:positionV relativeFrom="paragraph">
                <wp:posOffset>4445</wp:posOffset>
              </wp:positionV>
              <wp:extent cx="403225" cy="795655"/>
              <wp:effectExtent l="0" t="0" r="15875" b="23495"/>
              <wp:wrapNone/>
              <wp:docPr id="40184343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6502A7" id="Rectangle 3" o:spid="_x0000_s1026" style="position:absolute;margin-left:227.35pt;margin-top:.35pt;width:31.75pt;height:62.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&#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tnL78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33</w:t>
    </w:r>
    <w:r>
      <w:rPr>
        <w:rFonts w:ascii="Verdana" w:hAnsi="Verdana"/>
        <w:b/>
        <w:noProof/>
        <w:color w:val="FFFFFF"/>
        <w:sz w:val="18"/>
        <w:szCs w:val="18"/>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6464" behindDoc="1" locked="0" layoutInCell="1" allowOverlap="1" wp14:anchorId="54513F75" wp14:editId="4BFC3D2D">
              <wp:simplePos x="0" y="0"/>
              <wp:positionH relativeFrom="column">
                <wp:posOffset>2887345</wp:posOffset>
              </wp:positionH>
              <wp:positionV relativeFrom="paragraph">
                <wp:posOffset>4445</wp:posOffset>
              </wp:positionV>
              <wp:extent cx="403225" cy="795655"/>
              <wp:effectExtent l="0" t="0" r="15875" b="23495"/>
              <wp:wrapNone/>
              <wp:docPr id="206188556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87FDC3" id="Rectangle 3" o:spid="_x0000_s1026" style="position:absolute;margin-left:227.35pt;margin-top:.35pt;width:31.75pt;height:6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&#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Ynjsn1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36</w:t>
    </w:r>
    <w:r>
      <w:rPr>
        <w:rFonts w:ascii="Verdana" w:hAnsi="Verdana"/>
        <w:b/>
        <w:noProof/>
        <w:color w:val="FFFFFF"/>
        <w:sz w:val="18"/>
        <w:szCs w:val="18"/>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7488" behindDoc="1" locked="0" layoutInCell="1" allowOverlap="1" wp14:anchorId="26C3C0BD" wp14:editId="3EC5E0E3">
              <wp:simplePos x="0" y="0"/>
              <wp:positionH relativeFrom="column">
                <wp:posOffset>2887345</wp:posOffset>
              </wp:positionH>
              <wp:positionV relativeFrom="paragraph">
                <wp:posOffset>4445</wp:posOffset>
              </wp:positionV>
              <wp:extent cx="403225" cy="795655"/>
              <wp:effectExtent l="0" t="0" r="15875" b="23495"/>
              <wp:wrapNone/>
              <wp:docPr id="128806903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00EFA9" id="Rectangle 3" o:spid="_x0000_s1026" style="position:absolute;margin-left:227.35pt;margin-top:.35pt;width:31.75pt;height:6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IYv+id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37</w:t>
    </w:r>
    <w:r>
      <w:rPr>
        <w:rFonts w:ascii="Verdana" w:hAnsi="Verdana"/>
        <w:b/>
        <w:noProof/>
        <w:color w:val="FFFFF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CoverPage"/>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8512" behindDoc="1" locked="0" layoutInCell="1" allowOverlap="1" wp14:anchorId="48513038" wp14:editId="6DB3A052">
              <wp:simplePos x="0" y="0"/>
              <wp:positionH relativeFrom="column">
                <wp:posOffset>2887345</wp:posOffset>
              </wp:positionH>
              <wp:positionV relativeFrom="paragraph">
                <wp:posOffset>4445</wp:posOffset>
              </wp:positionV>
              <wp:extent cx="403225" cy="795655"/>
              <wp:effectExtent l="0" t="0" r="15875" b="23495"/>
              <wp:wrapNone/>
              <wp:docPr id="1842299709"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CC3E9B" id="Rectangle 3" o:spid="_x0000_s1026" style="position:absolute;margin-left:227.35pt;margin-top:.35pt;width:31.75pt;height:6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r0XZ1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37</w:t>
    </w:r>
    <w:r>
      <w:rPr>
        <w:rFonts w:ascii="Verdana" w:hAnsi="Verdana"/>
        <w:b/>
        <w:noProof/>
        <w:color w:val="FFFFFF"/>
        <w:sz w:val="18"/>
        <w:szCs w:val="18"/>
      </w:rP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49536" behindDoc="1" locked="0" layoutInCell="1" allowOverlap="1" wp14:anchorId="1F1A4AAC" wp14:editId="4EAF7D14">
              <wp:simplePos x="0" y="0"/>
              <wp:positionH relativeFrom="column">
                <wp:posOffset>2887345</wp:posOffset>
              </wp:positionH>
              <wp:positionV relativeFrom="paragraph">
                <wp:posOffset>4445</wp:posOffset>
              </wp:positionV>
              <wp:extent cx="403225" cy="795655"/>
              <wp:effectExtent l="0" t="0" r="15875" b="23495"/>
              <wp:wrapNone/>
              <wp:docPr id="22243134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8D4B5D" id="Rectangle 3" o:spid="_x0000_s1026" style="position:absolute;margin-left:227.35pt;margin-top:.35pt;width:31.75pt;height:6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&#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F8+oSl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38</w:t>
    </w:r>
    <w:r>
      <w:rPr>
        <w:rFonts w:ascii="Verdana" w:hAnsi="Verdana"/>
        <w:b/>
        <w:noProof/>
        <w:color w:val="FFFFFF"/>
        <w:sz w:val="18"/>
        <w:szCs w:val="18"/>
      </w:rPr>
      <w:fldChar w:fldCharType="end"/>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0560" behindDoc="1" locked="0" layoutInCell="1" allowOverlap="1" wp14:anchorId="3D5E44E1" wp14:editId="648532B2">
              <wp:simplePos x="0" y="0"/>
              <wp:positionH relativeFrom="column">
                <wp:posOffset>2887345</wp:posOffset>
              </wp:positionH>
              <wp:positionV relativeFrom="paragraph">
                <wp:posOffset>4445</wp:posOffset>
              </wp:positionV>
              <wp:extent cx="403225" cy="795655"/>
              <wp:effectExtent l="0" t="0" r="15875" b="23495"/>
              <wp:wrapNone/>
              <wp:docPr id="106877965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427B66" id="Rectangle 3" o:spid="_x0000_s1026" style="position:absolute;margin-left:227.35pt;margin-top:.35pt;width:31.75pt;height:62.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Jqaatl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1584" behindDoc="1" locked="0" layoutInCell="1" allowOverlap="1" wp14:anchorId="64F6B107" wp14:editId="66F235A1">
              <wp:simplePos x="0" y="0"/>
              <wp:positionH relativeFrom="column">
                <wp:posOffset>2887345</wp:posOffset>
              </wp:positionH>
              <wp:positionV relativeFrom="paragraph">
                <wp:posOffset>4445</wp:posOffset>
              </wp:positionV>
              <wp:extent cx="403225" cy="795655"/>
              <wp:effectExtent l="0" t="0" r="15875" b="23495"/>
              <wp:wrapNone/>
              <wp:docPr id="117516810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45C354" id="Rectangle 3" o:spid="_x0000_s1026" style="position:absolute;margin-left:227.35pt;margin-top:.35pt;width:31.75pt;height:6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&#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SvmqKl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40</w:t>
    </w:r>
    <w:r>
      <w:rPr>
        <w:rFonts w:ascii="Verdana" w:hAnsi="Verdana"/>
        <w:b/>
        <w:noProof/>
        <w:color w:val="FFFFFF"/>
        <w:sz w:val="18"/>
        <w:szCs w:val="18"/>
      </w:rPr>
      <w:fldChar w:fldCharType="end"/>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2608" behindDoc="1" locked="0" layoutInCell="1" allowOverlap="1" wp14:anchorId="75004464" wp14:editId="264CA78A">
              <wp:simplePos x="0" y="0"/>
              <wp:positionH relativeFrom="column">
                <wp:posOffset>2887345</wp:posOffset>
              </wp:positionH>
              <wp:positionV relativeFrom="paragraph">
                <wp:posOffset>4445</wp:posOffset>
              </wp:positionV>
              <wp:extent cx="403225" cy="795655"/>
              <wp:effectExtent l="0" t="0" r="15875" b="23495"/>
              <wp:wrapNone/>
              <wp:docPr id="35351235"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BDFBD0" id="Rectangle 3" o:spid="_x0000_s1026" style="position:absolute;margin-left:227.35pt;margin-top:.35pt;width:31.75pt;height:6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BqDllEWAIAALc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41</w:t>
    </w:r>
    <w:r>
      <w:rPr>
        <w:rFonts w:ascii="Verdana" w:hAnsi="Verdana"/>
        <w:b/>
        <w:noProof/>
        <w:color w:val="FFFFFF"/>
        <w:sz w:val="18"/>
        <w:szCs w:val="18"/>
      </w:rPr>
      <w:fldChar w:fldCharType="end"/>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3632" behindDoc="1" locked="0" layoutInCell="1" allowOverlap="1" wp14:anchorId="65C432AC" wp14:editId="32D8CCA6">
              <wp:simplePos x="0" y="0"/>
              <wp:positionH relativeFrom="column">
                <wp:posOffset>2887345</wp:posOffset>
              </wp:positionH>
              <wp:positionV relativeFrom="paragraph">
                <wp:posOffset>4445</wp:posOffset>
              </wp:positionV>
              <wp:extent cx="403225" cy="795655"/>
              <wp:effectExtent l="0" t="0" r="15875" b="23495"/>
              <wp:wrapNone/>
              <wp:docPr id="61403015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948629" id="Rectangle 3" o:spid="_x0000_s1026" style="position:absolute;margin-left:227.35pt;margin-top:.35pt;width:31.75pt;height:6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AGdU7R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29056" behindDoc="1" locked="0" layoutInCell="1" allowOverlap="1" wp14:anchorId="083B419B" wp14:editId="645082FD">
              <wp:simplePos x="0" y="0"/>
              <wp:positionH relativeFrom="column">
                <wp:posOffset>2887345</wp:posOffset>
              </wp:positionH>
              <wp:positionV relativeFrom="paragraph">
                <wp:posOffset>4445</wp:posOffset>
              </wp:positionV>
              <wp:extent cx="403225" cy="795655"/>
              <wp:effectExtent l="0" t="0" r="15875" b="23495"/>
              <wp:wrapNone/>
              <wp:docPr id="2"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7C6A08" id="Rectangle 3" o:spid="_x0000_s1026" style="position:absolute;margin-left:227.35pt;margin-top:.35pt;width:31.75pt;height:62.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2</w:t>
    </w:r>
    <w:r>
      <w:rPr>
        <w:rFonts w:ascii="Verdana" w:hAnsi="Verdana"/>
        <w:b/>
        <w:noProof/>
        <w:color w:val="FFFFFF"/>
        <w:sz w:val="18"/>
        <w:szCs w:val="18"/>
      </w:rPr>
      <w:fldChar w:fldCharType="end"/>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4656" behindDoc="1" locked="0" layoutInCell="1" allowOverlap="1" wp14:anchorId="422FBFD1" wp14:editId="3CDE81A7">
              <wp:simplePos x="0" y="0"/>
              <wp:positionH relativeFrom="column">
                <wp:posOffset>2887345</wp:posOffset>
              </wp:positionH>
              <wp:positionV relativeFrom="paragraph">
                <wp:posOffset>4445</wp:posOffset>
              </wp:positionV>
              <wp:extent cx="403225" cy="795655"/>
              <wp:effectExtent l="0" t="0" r="15875" b="23495"/>
              <wp:wrapNone/>
              <wp:docPr id="884878814"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CCD279" id="Rectangle 3" o:spid="_x0000_s1026" style="position:absolute;margin-left:227.35pt;margin-top:.35pt;width:31.75pt;height:6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&#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ls+YP1kCAAC4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42</w:t>
    </w:r>
    <w:r>
      <w:rPr>
        <w:rFonts w:ascii="Verdana" w:hAnsi="Verdana"/>
        <w:b/>
        <w:noProof/>
        <w:color w:val="FFFFFF"/>
        <w:sz w:val="18"/>
        <w:szCs w:val="18"/>
      </w:rPr>
      <w:fldChar w:fldCharType="end"/>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5680" behindDoc="1" locked="0" layoutInCell="1" allowOverlap="1" wp14:anchorId="3F20BD82" wp14:editId="6612F5E5">
              <wp:simplePos x="0" y="0"/>
              <wp:positionH relativeFrom="column">
                <wp:posOffset>2887345</wp:posOffset>
              </wp:positionH>
              <wp:positionV relativeFrom="paragraph">
                <wp:posOffset>4445</wp:posOffset>
              </wp:positionV>
              <wp:extent cx="403225" cy="795655"/>
              <wp:effectExtent l="0" t="0" r="15875" b="23495"/>
              <wp:wrapNone/>
              <wp:docPr id="1833016848"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1F970A" id="Rectangle 3" o:spid="_x0000_s1026" style="position:absolute;margin-left:227.35pt;margin-top:.35pt;width:31.75pt;height:6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iHpO3V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43</w:t>
    </w:r>
    <w:r>
      <w:rPr>
        <w:rFonts w:ascii="Verdana" w:hAnsi="Verdana"/>
        <w:b/>
        <w:noProof/>
        <w:color w:val="FFFFFF"/>
        <w:sz w:val="18"/>
        <w:szCs w:val="18"/>
      </w:rPr>
      <w:fldChar w:fldCharType="end"/>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6704" behindDoc="1" locked="0" layoutInCell="1" allowOverlap="1" wp14:anchorId="007051F3" wp14:editId="70047F23">
              <wp:simplePos x="0" y="0"/>
              <wp:positionH relativeFrom="column">
                <wp:posOffset>2887345</wp:posOffset>
              </wp:positionH>
              <wp:positionV relativeFrom="paragraph">
                <wp:posOffset>4445</wp:posOffset>
              </wp:positionV>
              <wp:extent cx="403225" cy="795655"/>
              <wp:effectExtent l="0" t="0" r="15875" b="23495"/>
              <wp:wrapNone/>
              <wp:docPr id="1798819027"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0761D2" id="Rectangle 3" o:spid="_x0000_s1026" style="position:absolute;margin-left:227.35pt;margin-top:.35pt;width:31.75pt;height:6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7728" behindDoc="1" locked="0" layoutInCell="1" allowOverlap="1" wp14:anchorId="778E53D4" wp14:editId="2A32E9D2">
              <wp:simplePos x="0" y="0"/>
              <wp:positionH relativeFrom="column">
                <wp:posOffset>2887345</wp:posOffset>
              </wp:positionH>
              <wp:positionV relativeFrom="paragraph">
                <wp:posOffset>4445</wp:posOffset>
              </wp:positionV>
              <wp:extent cx="403225" cy="795655"/>
              <wp:effectExtent l="0" t="0" r="15875" b="23495"/>
              <wp:wrapNone/>
              <wp:docPr id="184128484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E6A65A" id="Rectangle 3" o:spid="_x0000_s1026" style="position:absolute;margin-left:227.35pt;margin-top:.35pt;width:31.75pt;height:6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CMbUXCWAIAALk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8752" behindDoc="1" locked="0" layoutInCell="1" allowOverlap="1" wp14:anchorId="7E40F63A" wp14:editId="1D330037">
              <wp:simplePos x="0" y="0"/>
              <wp:positionH relativeFrom="column">
                <wp:posOffset>2887345</wp:posOffset>
              </wp:positionH>
              <wp:positionV relativeFrom="paragraph">
                <wp:posOffset>4445</wp:posOffset>
              </wp:positionV>
              <wp:extent cx="403225" cy="795655"/>
              <wp:effectExtent l="0" t="0" r="15875" b="23495"/>
              <wp:wrapNone/>
              <wp:docPr id="565961180"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D11C3A" id="Rectangle 3" o:spid="_x0000_s1026" style="position:absolute;margin-left:227.35pt;margin-top:.35pt;width:31.75pt;height:6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59776" behindDoc="1" locked="0" layoutInCell="1" allowOverlap="1" wp14:anchorId="489BFC19" wp14:editId="232314D0">
              <wp:simplePos x="0" y="0"/>
              <wp:positionH relativeFrom="column">
                <wp:posOffset>2887345</wp:posOffset>
              </wp:positionH>
              <wp:positionV relativeFrom="paragraph">
                <wp:posOffset>4445</wp:posOffset>
              </wp:positionV>
              <wp:extent cx="403225" cy="795655"/>
              <wp:effectExtent l="0" t="0" r="15875" b="23495"/>
              <wp:wrapNone/>
              <wp:docPr id="1769030963"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0510FD" id="Rectangle 3" o:spid="_x0000_s1026" style="position:absolute;margin-left:227.35pt;margin-top:.35pt;width:31.75pt;height:6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Footer"/>
      <w:jc w:val="center"/>
      <w:rPr>
        <w:rFonts w:ascii="Verdana" w:hAnsi="Verdana"/>
        <w:b/>
        <w:color w:val="FFFFFF"/>
        <w:sz w:val="18"/>
        <w:szCs w:val="18"/>
      </w:rPr>
    </w:pPr>
    <w:r>
      <w:rPr>
        <w:noProof/>
        <w:lang w:eastAsia="en-GB"/>
      </w:rPr>
      <mc:AlternateContent>
        <mc:Choice Requires="wps">
          <w:drawing>
            <wp:anchor distT="0" distB="0" distL="114300" distR="114300" simplePos="0" relativeHeight="251660800" behindDoc="1" locked="0" layoutInCell="1" allowOverlap="1" wp14:anchorId="13E23F37" wp14:editId="699FD7AD">
              <wp:simplePos x="0" y="0"/>
              <wp:positionH relativeFrom="column">
                <wp:posOffset>2887345</wp:posOffset>
              </wp:positionH>
              <wp:positionV relativeFrom="paragraph">
                <wp:posOffset>4445</wp:posOffset>
              </wp:positionV>
              <wp:extent cx="403225" cy="795655"/>
              <wp:effectExtent l="0" t="0" r="15875" b="23495"/>
              <wp:wrapNone/>
              <wp:docPr id="5478821" name="Rectangle 3"/>
              <wp:cNvGraphicFramePr/>
              <a:graphic xmlns:a="http://schemas.openxmlformats.org/drawingml/2006/main">
                <a:graphicData uri="http://schemas.microsoft.com/office/word/2010/wordprocessingShape">
                  <wps:wsp>
                    <wps:cNvSpPr/>
                    <wps:spPr>
                      <a:xfrm>
                        <a:off x="0" y="0"/>
                        <a:ext cx="403225" cy="795655"/>
                      </a:xfrm>
                      <a:prstGeom prst="rect">
                        <a:avLst/>
                      </a:prstGeom>
                      <a:solidFill>
                        <a:srgbClr val="016794"/>
                      </a:solidFill>
                      <a:ln w="25400">
                        <a:solidFill>
                          <a:srgbClr val="4F81BD">
                            <a:shade val="50000"/>
                          </a:srgbClr>
                        </a:solidFill>
                      </a:ln>
                      <a:effectLst/>
                    </wps:spPr>
                    <wps:bodyPr rot="0" spcFirstLastPara="0" vertOverflow="overflow" horzOverflow="overflow" vert="horz" wrap="square" lIns="91440" tIns="4680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98A005" id="Rectangle 3" o:spid="_x0000_s1026" style="position:absolute;margin-left:227.35pt;margin-top:.35pt;width:31.75pt;height:6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" fillcolor="#016794" strokecolor="#385d8a" strokeweight="2pt">
              <v:textbox inset=",1.3mm"/>
            </v:rect>
          </w:pict>
        </mc:Fallback>
      </mc:AlternateContent>
    </w:r>
  </w:p>
  <w:p w:rsidR="004D38C4" w:rsidRDefault="00BC2113">
    <w:pPr>
      <w:pStyle w:val="Footer"/>
      <w:jc w:val="center"/>
      <w:rPr>
        <w:rFonts w:ascii="Verdana" w:hAnsi="Verdana"/>
        <w:b/>
        <w:color w:val="FFFFFF"/>
        <w:sz w:val="18"/>
      </w:rPr>
    </w:pPr>
    <w:r>
      <w:rPr>
        <w:rFonts w:ascii="Verdana" w:hAnsi="Verdana"/>
        <w:b/>
        <w:color w:val="FFFFFF"/>
        <w:sz w:val="18"/>
        <w:szCs w:val="18"/>
      </w:rPr>
      <w:fldChar w:fldCharType="begin"/>
    </w:r>
    <w:r>
      <w:rPr>
        <w:rFonts w:ascii="Verdana" w:hAnsi="Verdana"/>
        <w:b/>
        <w:color w:val="FFFFFF"/>
        <w:sz w:val="18"/>
        <w:szCs w:val="18"/>
      </w:rPr>
      <w:instrText xml:space="preserve"> PAGE   \* MERGEFORMAT </w:instrText>
    </w:r>
    <w:r>
      <w:rPr>
        <w:rFonts w:ascii="Verdana" w:hAnsi="Verdana"/>
        <w:b/>
        <w:color w:val="FFFFFF"/>
        <w:sz w:val="18"/>
        <w:szCs w:val="18"/>
      </w:rPr>
      <w:fldChar w:fldCharType="separate"/>
    </w:r>
    <w:r>
      <w:rPr>
        <w:rFonts w:ascii="Verdana" w:hAnsi="Verdana"/>
        <w:b/>
        <w:noProof/>
        <w:color w:val="FFFFFF"/>
        <w:sz w:val="18"/>
        <w:szCs w:val="18"/>
      </w:rPr>
      <w:t>1</w:t>
    </w:r>
    <w:r>
      <w:rPr>
        <w:rFonts w:ascii="Verdana" w:hAnsi="Verdana"/>
        <w:b/>
        <w:noProof/>
        <w:color w:val="FFFFFF"/>
        <w:sz w:val="18"/>
        <w:szCs w:val="18"/>
      </w:rPr>
      <w:fldChar w:fldCharType="end"/>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8C4" w:rsidRDefault="00BC2113">
      <w:pPr>
        <w:spacing w:after="0" w:line="240" w:lineRule="auto"/>
      </w:pPr>
      <w:r>
        <w:separator/>
      </w:r>
    </w:p>
  </w:footnote>
  <w:footnote w:type="continuationSeparator" w:id="0">
    <w:p w:rsidR="004D38C4" w:rsidRDefault="00BC2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13" w:rsidRPr="00BC2113" w:rsidRDefault="00BC2113" w:rsidP="00BC211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w:t>
    </w:r>
    <w:r>
      <w:rPr>
        <w:rFonts w:ascii="Verdana" w:hAnsi="Verdana" w:cs="Verdana"/>
        <w:i/>
        <w:iCs/>
        <w:color w:val="016794"/>
        <w:sz w:val="16"/>
        <w:szCs w:val="16"/>
      </w:rPr>
      <w:t xml:space="preserve"> of the European Commission 2017</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 xml:space="preserve">nnual </w:t>
    </w:r>
    <w:r>
      <w:rPr>
        <w:rFonts w:ascii="Verdana" w:hAnsi="Verdana" w:cs="Verdana"/>
        <w:i/>
        <w:iCs/>
        <w:color w:val="016794"/>
        <w:sz w:val="16"/>
        <w:szCs w:val="16"/>
      </w:rPr>
      <w:t>accounts of the European Commission 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Header"/>
      <w:tabs>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2017</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w:t>
    </w:r>
    <w:r>
      <w:rPr>
        <w:rFonts w:ascii="Verdana" w:hAnsi="Verdana" w:cs="Verdana"/>
        <w:i/>
        <w:iCs/>
        <w:color w:val="016794"/>
        <w:sz w:val="16"/>
        <w:szCs w:val="16"/>
      </w:rPr>
      <w:t>ion 2017</w: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 xml:space="preserve">nnual accounts of the European </w:t>
    </w:r>
    <w:r>
      <w:rPr>
        <w:rFonts w:ascii="Verdana" w:hAnsi="Verdana" w:cs="Verdana"/>
        <w:i/>
        <w:iCs/>
        <w:color w:val="016794"/>
        <w:sz w:val="16"/>
        <w:szCs w:val="16"/>
      </w:rPr>
      <w:t>Commission 2017</w:t>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 xml:space="preserve">nnual accounts of the </w:t>
    </w:r>
    <w:r>
      <w:rPr>
        <w:rFonts w:ascii="Verdana" w:hAnsi="Verdana" w:cs="Verdana"/>
        <w:i/>
        <w:iCs/>
        <w:color w:val="016794"/>
        <w:sz w:val="16"/>
        <w:szCs w:val="16"/>
      </w:rPr>
      <w:t>European Commission 2017</w:t>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Header"/>
      <w:tabs>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2017</w:t>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Header"/>
      <w:tabs>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2017</w:t>
    </w: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 xml:space="preserve">nnual </w:t>
    </w:r>
    <w:r>
      <w:rPr>
        <w:rFonts w:ascii="Verdana" w:hAnsi="Verdana" w:cs="Verdana"/>
        <w:i/>
        <w:iCs/>
        <w:color w:val="016794"/>
        <w:sz w:val="16"/>
        <w:szCs w:val="16"/>
      </w:rPr>
      <w:t>accounts of the European Commission 2017</w:t>
    </w: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13" w:rsidRPr="00BC2113" w:rsidRDefault="00BC2113" w:rsidP="00BC211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Header"/>
      <w:tabs>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13" w:rsidRPr="00BC2113" w:rsidRDefault="00BC2113" w:rsidP="00BC211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 xml:space="preserve">nnual accounts of the European Commission </w:t>
    </w:r>
    <w:r>
      <w:rPr>
        <w:rFonts w:ascii="Verdana" w:hAnsi="Verdana" w:cs="Verdana"/>
        <w:i/>
        <w:iCs/>
        <w:color w:val="016794"/>
        <w:sz w:val="16"/>
        <w:szCs w:val="16"/>
      </w:rPr>
      <w:t>2017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pStyle w:val="Header"/>
      <w:tabs>
        <w:tab w:val="center" w:pos="4819"/>
        <w:tab w:val="right" w:pos="9638"/>
      </w:tabs>
      <w:jc w:val="center"/>
      <w:rPr>
        <w:rFonts w:ascii="Verdana" w:hAnsi="Verdana"/>
        <w:i/>
        <w:color w:val="016794"/>
        <w:sz w:val="16"/>
        <w:szCs w:val="14"/>
      </w:rPr>
    </w:pPr>
    <w:r>
      <w:rPr>
        <w:rFonts w:ascii="Verdana" w:hAnsi="Verdana"/>
        <w:i/>
        <w:color w:val="016794"/>
        <w:sz w:val="16"/>
        <w:szCs w:val="14"/>
      </w:rPr>
      <w:t>Annual accounts of the European Commission 2017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CoverPage"/>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CoverPage"/>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BC2113">
    <w:pPr>
      <w:tabs>
        <w:tab w:val="center" w:pos="4819"/>
        <w:tab w:val="right" w:pos="9638"/>
      </w:tabs>
      <w:autoSpaceDE w:val="0"/>
      <w:autoSpaceDN w:val="0"/>
      <w:adjustRightInd w:val="0"/>
      <w:jc w:val="center"/>
    </w:pPr>
    <w:r>
      <w:rPr>
        <w:rFonts w:ascii="Verdana" w:hAnsi="Verdana"/>
        <w:i/>
        <w:color w:val="016794"/>
        <w:sz w:val="16"/>
        <w:szCs w:val="14"/>
      </w:rPr>
      <w:t>A</w:t>
    </w:r>
    <w:r>
      <w:rPr>
        <w:rFonts w:ascii="Verdana" w:hAnsi="Verdana" w:cs="Verdana"/>
        <w:i/>
        <w:iCs/>
        <w:color w:val="016794"/>
        <w:sz w:val="16"/>
        <w:szCs w:val="16"/>
      </w:rPr>
      <w:t>nnual accounts of the European Commission 2017</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C4" w:rsidRDefault="004D3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B9A8520"/>
    <w:lvl w:ilvl="0">
      <w:start w:val="1"/>
      <w:numFmt w:val="decimal"/>
      <w:pStyle w:val="HEADER1Part3"/>
      <w:lvlText w:val="%1."/>
      <w:lvlJc w:val="left"/>
      <w:pPr>
        <w:ind w:left="907" w:hanging="907"/>
      </w:pPr>
      <w:rPr>
        <w:rFonts w:cs="Times New Roman" w:hint="default"/>
        <w:i w:val="0"/>
        <w:iCs w:val="0"/>
        <w:caps w:val="0"/>
        <w:smallCaps w:val="0"/>
        <w:strike w:val="0"/>
        <w:dstrike w:val="0"/>
        <w:noProof w:val="0"/>
        <w:vanish w:val="0"/>
        <w:color w:val="016794"/>
        <w:spacing w:val="0"/>
        <w:position w:val="0"/>
        <w:u w:val="none"/>
        <w:effect w:val="none"/>
        <w:vertAlign w:val="baseline"/>
        <w:specVanish w:val="0"/>
      </w:rPr>
    </w:lvl>
    <w:lvl w:ilvl="1">
      <w:start w:val="1"/>
      <w:numFmt w:val="decimal"/>
      <w:pStyle w:val="HEADER2Part3"/>
      <w:lvlText w:val="%1.%2."/>
      <w:lvlJc w:val="left"/>
      <w:pPr>
        <w:ind w:left="907" w:hanging="907"/>
      </w:pPr>
      <w:rPr>
        <w:rFonts w:cs="Times New Roman" w:hint="default"/>
        <w:i w:val="0"/>
        <w:iCs w:val="0"/>
        <w:caps w:val="0"/>
        <w:smallCaps w:val="0"/>
        <w:strike w:val="0"/>
        <w:dstrike w:val="0"/>
        <w:noProof w:val="0"/>
        <w:vanish w:val="0"/>
        <w:color w:val="016794"/>
        <w:spacing w:val="0"/>
        <w:position w:val="0"/>
        <w:u w:val="none"/>
        <w:effect w:val="none"/>
        <w:vertAlign w:val="baseline"/>
        <w:specVanish w:val="0"/>
      </w:rPr>
    </w:lvl>
    <w:lvl w:ilvl="2">
      <w:start w:val="1"/>
      <w:numFmt w:val="decimal"/>
      <w:pStyle w:val="HEADER3Part3"/>
      <w:lvlText w:val="%1.%2.%3."/>
      <w:lvlJc w:val="left"/>
      <w:pPr>
        <w:ind w:left="907" w:hanging="907"/>
      </w:pPr>
      <w:rPr>
        <w:rFonts w:cs="Times New Roman" w:hint="default"/>
        <w:i w:val="0"/>
        <w:iCs w:val="0"/>
        <w:caps w:val="0"/>
        <w:smallCaps w:val="0"/>
        <w:strike w:val="0"/>
        <w:dstrike w:val="0"/>
        <w:noProof w:val="0"/>
        <w:vanish w:val="0"/>
        <w:color w:val="016794"/>
        <w:spacing w:val="0"/>
        <w:position w:val="0"/>
        <w:u w:val="none"/>
        <w:effect w:val="none"/>
        <w:vertAlign w:val="baseline"/>
        <w:specVanish w:val="0"/>
      </w:rPr>
    </w:lvl>
    <w:lvl w:ilvl="3">
      <w:start w:val="1"/>
      <w:numFmt w:val="decimal"/>
      <w:lvlText w:val="%1.%2.%3.%4."/>
      <w:lvlJc w:val="left"/>
      <w:pPr>
        <w:ind w:left="907" w:hanging="90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1">
    <w:nsid w:val="00000002"/>
    <w:multiLevelType w:val="hybridMultilevel"/>
    <w:tmpl w:val="675ED66A"/>
    <w:lvl w:ilvl="0" w:tplc="DF182FEE">
      <w:start w:val="1"/>
      <w:numFmt w:val="lowerLetter"/>
      <w:pStyle w:val="Textstand-alonenumberingLetters"/>
      <w:lvlText w:val="%1)"/>
      <w:lvlJc w:val="left"/>
      <w:pPr>
        <w:ind w:left="720" w:hanging="360"/>
      </w:pPr>
      <w:rPr>
        <w:rFonts w:hint="default"/>
      </w:rPr>
    </w:lvl>
    <w:lvl w:ilvl="1" w:tplc="05862E84" w:tentative="1">
      <w:start w:val="1"/>
      <w:numFmt w:val="lowerLetter"/>
      <w:lvlText w:val="%2."/>
      <w:lvlJc w:val="left"/>
      <w:pPr>
        <w:ind w:left="1440" w:hanging="360"/>
      </w:pPr>
    </w:lvl>
    <w:lvl w:ilvl="2" w:tplc="E43C8BA2" w:tentative="1">
      <w:start w:val="1"/>
      <w:numFmt w:val="lowerRoman"/>
      <w:lvlText w:val="%3."/>
      <w:lvlJc w:val="right"/>
      <w:pPr>
        <w:ind w:left="2160" w:hanging="180"/>
      </w:pPr>
    </w:lvl>
    <w:lvl w:ilvl="3" w:tplc="377E62B6" w:tentative="1">
      <w:start w:val="1"/>
      <w:numFmt w:val="decimal"/>
      <w:lvlText w:val="%4."/>
      <w:lvlJc w:val="left"/>
      <w:pPr>
        <w:ind w:left="2880" w:hanging="360"/>
      </w:pPr>
    </w:lvl>
    <w:lvl w:ilvl="4" w:tplc="63702056" w:tentative="1">
      <w:start w:val="1"/>
      <w:numFmt w:val="lowerLetter"/>
      <w:lvlText w:val="%5."/>
      <w:lvlJc w:val="left"/>
      <w:pPr>
        <w:ind w:left="3600" w:hanging="360"/>
      </w:pPr>
    </w:lvl>
    <w:lvl w:ilvl="5" w:tplc="EC96BE42" w:tentative="1">
      <w:start w:val="1"/>
      <w:numFmt w:val="lowerRoman"/>
      <w:lvlText w:val="%6."/>
      <w:lvlJc w:val="right"/>
      <w:pPr>
        <w:ind w:left="4320" w:hanging="180"/>
      </w:pPr>
    </w:lvl>
    <w:lvl w:ilvl="6" w:tplc="91087EF0" w:tentative="1">
      <w:start w:val="1"/>
      <w:numFmt w:val="decimal"/>
      <w:lvlText w:val="%7."/>
      <w:lvlJc w:val="left"/>
      <w:pPr>
        <w:ind w:left="5040" w:hanging="360"/>
      </w:pPr>
    </w:lvl>
    <w:lvl w:ilvl="7" w:tplc="44C48796" w:tentative="1">
      <w:start w:val="1"/>
      <w:numFmt w:val="lowerLetter"/>
      <w:lvlText w:val="%8."/>
      <w:lvlJc w:val="left"/>
      <w:pPr>
        <w:ind w:left="5760" w:hanging="360"/>
      </w:pPr>
    </w:lvl>
    <w:lvl w:ilvl="8" w:tplc="F978039E" w:tentative="1">
      <w:start w:val="1"/>
      <w:numFmt w:val="lowerRoman"/>
      <w:lvlText w:val="%9."/>
      <w:lvlJc w:val="right"/>
      <w:pPr>
        <w:ind w:left="6480" w:hanging="180"/>
      </w:pPr>
    </w:lvl>
  </w:abstractNum>
  <w:abstractNum w:abstractNumId="2">
    <w:nsid w:val="00000004"/>
    <w:multiLevelType w:val="hybridMultilevel"/>
    <w:tmpl w:val="7CB6E1C4"/>
    <w:lvl w:ilvl="0" w:tplc="A612A19E">
      <w:start w:val="1"/>
      <w:numFmt w:val="decimal"/>
      <w:pStyle w:val="DGTextstand-alonenumbering"/>
      <w:lvlText w:val="(%1)"/>
      <w:lvlJc w:val="left"/>
      <w:pPr>
        <w:ind w:left="720" w:hanging="360"/>
      </w:pPr>
      <w:rPr>
        <w:rFonts w:hint="default"/>
      </w:rPr>
    </w:lvl>
    <w:lvl w:ilvl="1" w:tplc="9DA2C74A" w:tentative="1">
      <w:start w:val="1"/>
      <w:numFmt w:val="lowerLetter"/>
      <w:lvlText w:val="%2."/>
      <w:lvlJc w:val="left"/>
      <w:pPr>
        <w:ind w:left="1440" w:hanging="360"/>
      </w:pPr>
    </w:lvl>
    <w:lvl w:ilvl="2" w:tplc="1316A9E6" w:tentative="1">
      <w:start w:val="1"/>
      <w:numFmt w:val="lowerRoman"/>
      <w:lvlText w:val="%3."/>
      <w:lvlJc w:val="right"/>
      <w:pPr>
        <w:ind w:left="2160" w:hanging="180"/>
      </w:pPr>
    </w:lvl>
    <w:lvl w:ilvl="3" w:tplc="4DDE9268" w:tentative="1">
      <w:start w:val="1"/>
      <w:numFmt w:val="decimal"/>
      <w:lvlText w:val="%4."/>
      <w:lvlJc w:val="left"/>
      <w:pPr>
        <w:ind w:left="2880" w:hanging="360"/>
      </w:pPr>
    </w:lvl>
    <w:lvl w:ilvl="4" w:tplc="47645D9C" w:tentative="1">
      <w:start w:val="1"/>
      <w:numFmt w:val="lowerLetter"/>
      <w:lvlText w:val="%5."/>
      <w:lvlJc w:val="left"/>
      <w:pPr>
        <w:ind w:left="3600" w:hanging="360"/>
      </w:pPr>
    </w:lvl>
    <w:lvl w:ilvl="5" w:tplc="B3425B1C" w:tentative="1">
      <w:start w:val="1"/>
      <w:numFmt w:val="lowerRoman"/>
      <w:lvlText w:val="%6."/>
      <w:lvlJc w:val="right"/>
      <w:pPr>
        <w:ind w:left="4320" w:hanging="180"/>
      </w:pPr>
    </w:lvl>
    <w:lvl w:ilvl="6" w:tplc="ACB2BC30" w:tentative="1">
      <w:start w:val="1"/>
      <w:numFmt w:val="decimal"/>
      <w:lvlText w:val="%7."/>
      <w:lvlJc w:val="left"/>
      <w:pPr>
        <w:ind w:left="5040" w:hanging="360"/>
      </w:pPr>
    </w:lvl>
    <w:lvl w:ilvl="7" w:tplc="15C2F904" w:tentative="1">
      <w:start w:val="1"/>
      <w:numFmt w:val="lowerLetter"/>
      <w:lvlText w:val="%8."/>
      <w:lvlJc w:val="left"/>
      <w:pPr>
        <w:ind w:left="5760" w:hanging="360"/>
      </w:pPr>
    </w:lvl>
    <w:lvl w:ilvl="8" w:tplc="D868C7D6" w:tentative="1">
      <w:start w:val="1"/>
      <w:numFmt w:val="lowerRoman"/>
      <w:lvlText w:val="%9."/>
      <w:lvlJc w:val="right"/>
      <w:pPr>
        <w:ind w:left="6480" w:hanging="180"/>
      </w:pPr>
    </w:lvl>
  </w:abstractNum>
  <w:abstractNum w:abstractNumId="3">
    <w:nsid w:val="00000006"/>
    <w:multiLevelType w:val="hybridMultilevel"/>
    <w:tmpl w:val="42FC2B20"/>
    <w:lvl w:ilvl="0" w:tplc="2F96000C">
      <w:start w:val="1"/>
      <w:numFmt w:val="lowerRoman"/>
      <w:pStyle w:val="TextSubtitlenumberingRCItalic"/>
      <w:lvlText w:val="(%1)"/>
      <w:lvlJc w:val="left"/>
      <w:pPr>
        <w:ind w:left="720" w:hanging="360"/>
      </w:pPr>
      <w:rPr>
        <w:rFonts w:hint="default"/>
      </w:rPr>
    </w:lvl>
    <w:lvl w:ilvl="1" w:tplc="4858D42E">
      <w:start w:val="1"/>
      <w:numFmt w:val="lowerLetter"/>
      <w:lvlText w:val="%2."/>
      <w:lvlJc w:val="left"/>
      <w:pPr>
        <w:ind w:left="1440" w:hanging="360"/>
      </w:pPr>
    </w:lvl>
    <w:lvl w:ilvl="2" w:tplc="A5A401BA" w:tentative="1">
      <w:start w:val="1"/>
      <w:numFmt w:val="lowerRoman"/>
      <w:lvlText w:val="%3."/>
      <w:lvlJc w:val="right"/>
      <w:pPr>
        <w:ind w:left="2160" w:hanging="180"/>
      </w:pPr>
    </w:lvl>
    <w:lvl w:ilvl="3" w:tplc="9BE63E8E" w:tentative="1">
      <w:start w:val="1"/>
      <w:numFmt w:val="decimal"/>
      <w:lvlText w:val="%4."/>
      <w:lvlJc w:val="left"/>
      <w:pPr>
        <w:ind w:left="2880" w:hanging="360"/>
      </w:pPr>
    </w:lvl>
    <w:lvl w:ilvl="4" w:tplc="2E1EBC22" w:tentative="1">
      <w:start w:val="1"/>
      <w:numFmt w:val="lowerLetter"/>
      <w:lvlText w:val="%5."/>
      <w:lvlJc w:val="left"/>
      <w:pPr>
        <w:ind w:left="3600" w:hanging="360"/>
      </w:pPr>
    </w:lvl>
    <w:lvl w:ilvl="5" w:tplc="E9A0518A" w:tentative="1">
      <w:start w:val="1"/>
      <w:numFmt w:val="lowerRoman"/>
      <w:lvlText w:val="%6."/>
      <w:lvlJc w:val="right"/>
      <w:pPr>
        <w:ind w:left="4320" w:hanging="180"/>
      </w:pPr>
    </w:lvl>
    <w:lvl w:ilvl="6" w:tplc="74206264" w:tentative="1">
      <w:start w:val="1"/>
      <w:numFmt w:val="decimal"/>
      <w:lvlText w:val="%7."/>
      <w:lvlJc w:val="left"/>
      <w:pPr>
        <w:ind w:left="5040" w:hanging="360"/>
      </w:pPr>
    </w:lvl>
    <w:lvl w:ilvl="7" w:tplc="EF2E68BE" w:tentative="1">
      <w:start w:val="1"/>
      <w:numFmt w:val="lowerLetter"/>
      <w:lvlText w:val="%8."/>
      <w:lvlJc w:val="left"/>
      <w:pPr>
        <w:ind w:left="5760" w:hanging="360"/>
      </w:pPr>
    </w:lvl>
    <w:lvl w:ilvl="8" w:tplc="B9E2B86A" w:tentative="1">
      <w:start w:val="1"/>
      <w:numFmt w:val="lowerRoman"/>
      <w:lvlText w:val="%9."/>
      <w:lvlJc w:val="right"/>
      <w:pPr>
        <w:ind w:left="6480" w:hanging="180"/>
      </w:pPr>
    </w:lvl>
  </w:abstractNum>
  <w:abstractNum w:abstractNumId="4">
    <w:nsid w:val="00000007"/>
    <w:multiLevelType w:val="hybridMultilevel"/>
    <w:tmpl w:val="5DD0517A"/>
    <w:lvl w:ilvl="0" w:tplc="D5CC85C2">
      <w:start w:val="1"/>
      <w:numFmt w:val="lowerRoman"/>
      <w:pStyle w:val="TextstandalonenumberingRCJustified"/>
      <w:lvlText w:val="(%1)"/>
      <w:lvlJc w:val="left"/>
      <w:pPr>
        <w:tabs>
          <w:tab w:val="num" w:pos="0"/>
        </w:tabs>
        <w:ind w:left="107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highlight w:val="none"/>
        <w:u w:val="none"/>
        <w:effect w:val="none"/>
        <w:vertAlign w:val="baseline"/>
        <w:rtl w:val="0"/>
        <w:cs w:val="0"/>
        <w:specVanish w:val="0"/>
      </w:rPr>
    </w:lvl>
    <w:lvl w:ilvl="1" w:tplc="E31C6AC6" w:tentative="1">
      <w:start w:val="1"/>
      <w:numFmt w:val="lowerLetter"/>
      <w:lvlText w:val="%2."/>
      <w:lvlJc w:val="left"/>
      <w:pPr>
        <w:ind w:left="1797" w:hanging="360"/>
      </w:pPr>
    </w:lvl>
    <w:lvl w:ilvl="2" w:tplc="A9989FBC" w:tentative="1">
      <w:start w:val="1"/>
      <w:numFmt w:val="lowerRoman"/>
      <w:lvlText w:val="%3."/>
      <w:lvlJc w:val="right"/>
      <w:pPr>
        <w:ind w:left="2517" w:hanging="180"/>
      </w:pPr>
    </w:lvl>
    <w:lvl w:ilvl="3" w:tplc="82E89ACE" w:tentative="1">
      <w:start w:val="1"/>
      <w:numFmt w:val="decimal"/>
      <w:lvlText w:val="%4."/>
      <w:lvlJc w:val="left"/>
      <w:pPr>
        <w:ind w:left="3237" w:hanging="360"/>
      </w:pPr>
    </w:lvl>
    <w:lvl w:ilvl="4" w:tplc="49BE7BF6" w:tentative="1">
      <w:start w:val="1"/>
      <w:numFmt w:val="lowerLetter"/>
      <w:lvlText w:val="%5."/>
      <w:lvlJc w:val="left"/>
      <w:pPr>
        <w:ind w:left="3957" w:hanging="360"/>
      </w:pPr>
    </w:lvl>
    <w:lvl w:ilvl="5" w:tplc="FCD62BE8" w:tentative="1">
      <w:start w:val="1"/>
      <w:numFmt w:val="lowerRoman"/>
      <w:lvlText w:val="%6."/>
      <w:lvlJc w:val="right"/>
      <w:pPr>
        <w:ind w:left="4677" w:hanging="180"/>
      </w:pPr>
    </w:lvl>
    <w:lvl w:ilvl="6" w:tplc="AA5289D0" w:tentative="1">
      <w:start w:val="1"/>
      <w:numFmt w:val="decimal"/>
      <w:lvlText w:val="%7."/>
      <w:lvlJc w:val="left"/>
      <w:pPr>
        <w:ind w:left="5397" w:hanging="360"/>
      </w:pPr>
    </w:lvl>
    <w:lvl w:ilvl="7" w:tplc="89667DFC" w:tentative="1">
      <w:start w:val="1"/>
      <w:numFmt w:val="lowerLetter"/>
      <w:lvlText w:val="%8."/>
      <w:lvlJc w:val="left"/>
      <w:pPr>
        <w:ind w:left="6117" w:hanging="360"/>
      </w:pPr>
    </w:lvl>
    <w:lvl w:ilvl="8" w:tplc="BD68DEA8" w:tentative="1">
      <w:start w:val="1"/>
      <w:numFmt w:val="lowerRoman"/>
      <w:lvlText w:val="%9."/>
      <w:lvlJc w:val="right"/>
      <w:pPr>
        <w:ind w:left="6837" w:hanging="180"/>
      </w:pPr>
    </w:lvl>
  </w:abstractNum>
  <w:abstractNum w:abstractNumId="5">
    <w:nsid w:val="00000008"/>
    <w:multiLevelType w:val="multilevel"/>
    <w:tmpl w:val="9EC0C04E"/>
    <w:lvl w:ilvl="0">
      <w:start w:val="1"/>
      <w:numFmt w:val="lowerLetter"/>
      <w:pStyle w:val="TextSubtitleItalicnumberinglettera"/>
      <w:lvlText w:val="(%1)"/>
      <w:lvlJc w:val="left"/>
      <w:pPr>
        <w:ind w:left="0" w:firstLine="0"/>
      </w:pPr>
      <w:rPr>
        <w:rFonts w:ascii="Verdana" w:hAnsi="Verdana" w:hint="default"/>
        <w:b w:val="0"/>
        <w:i w:val="0"/>
        <w:iCs w:val="0"/>
        <w:caps w:val="0"/>
        <w:smallCaps w:val="0"/>
        <w:strike w:val="0"/>
        <w:dstrike w:val="0"/>
        <w:noProof w:val="0"/>
        <w:vanish w:val="0"/>
        <w:color w:val="auto"/>
        <w:spacing w:val="0"/>
        <w:position w:val="0"/>
        <w:sz w:val="18"/>
        <w:u w:val="none"/>
        <w:effect w:val="none"/>
        <w:vertAlign w:val="baseline"/>
        <w:specVanish w:val="0"/>
      </w:rPr>
    </w:lvl>
    <w:lvl w:ilvl="1">
      <w:start w:val="1"/>
      <w:numFmt w:val="decimal"/>
      <w:lvlText w:val="%1.%2"/>
      <w:lvlJc w:val="left"/>
      <w:pPr>
        <w:ind w:left="1440" w:hanging="1440"/>
      </w:pPr>
      <w:rPr>
        <w:rFonts w:cs="Times New Roman" w:hint="default"/>
        <w:i w:val="0"/>
        <w:iCs w:val="0"/>
        <w:caps w:val="0"/>
        <w:smallCaps w:val="0"/>
        <w:strike w:val="0"/>
        <w:dstrike w:val="0"/>
        <w:noProof w:val="0"/>
        <w:vanish w:val="0"/>
        <w:color w:val="016794"/>
        <w:spacing w:val="0"/>
        <w:position w:val="0"/>
        <w:u w:val="none"/>
        <w:effect w:val="none"/>
        <w:vertAlign w:val="baseline"/>
        <w:specVanish w:val="0"/>
      </w:rPr>
    </w:lvl>
    <w:lvl w:ilvl="2">
      <w:start w:val="1"/>
      <w:numFmt w:val="decimal"/>
      <w:lvlText w:val="%1.%2.%3."/>
      <w:lvlJc w:val="left"/>
      <w:pPr>
        <w:ind w:left="992" w:hanging="992"/>
      </w:pPr>
      <w:rPr>
        <w:rFonts w:cs="Times New Roman" w:hint="default"/>
        <w:b w:val="0"/>
        <w:bCs w:val="0"/>
        <w:i w:val="0"/>
        <w:iCs w:val="0"/>
        <w:caps w:val="0"/>
        <w:smallCaps w:val="0"/>
        <w:strike w:val="0"/>
        <w:dstrike w:val="0"/>
        <w:vanish w:val="0"/>
        <w:spacing w:val="0"/>
        <w:kern w:val="0"/>
        <w:position w:val="0"/>
        <w:u w:val="none"/>
        <w:effect w:val="none"/>
        <w:vertAlign w:val="baseli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2757792"/>
    <w:multiLevelType w:val="multilevel"/>
    <w:tmpl w:val="20141470"/>
    <w:lvl w:ilvl="0">
      <w:start w:val="1"/>
      <w:numFmt w:val="decimal"/>
      <w:pStyle w:val="HEADER1Part1"/>
      <w:isLgl/>
      <w:lvlText w:val="%1."/>
      <w:lvlJc w:val="left"/>
      <w:pPr>
        <w:ind w:left="907" w:hanging="907"/>
      </w:pPr>
      <w:rPr>
        <w:rFonts w:hint="default"/>
        <w:b/>
        <w:i w:val="0"/>
        <w:color w:val="016794"/>
        <w:sz w:val="32"/>
        <w:szCs w:val="28"/>
      </w:rPr>
    </w:lvl>
    <w:lvl w:ilvl="1">
      <w:start w:val="1"/>
      <w:numFmt w:val="decimal"/>
      <w:pStyle w:val="HEADER2Part1"/>
      <w:isLgl/>
      <w:lvlText w:val="%1.%2."/>
      <w:lvlJc w:val="left"/>
      <w:pPr>
        <w:ind w:left="907" w:hanging="907"/>
      </w:pPr>
      <w:rPr>
        <w:rFonts w:hint="default"/>
      </w:rPr>
    </w:lvl>
    <w:lvl w:ilvl="2">
      <w:start w:val="1"/>
      <w:numFmt w:val="decimal"/>
      <w:pStyle w:val="HEADER3Part1"/>
      <w:isLgl/>
      <w:lvlText w:val="%1.%2.%3."/>
      <w:lvlJc w:val="left"/>
      <w:pPr>
        <w:ind w:left="907" w:hanging="907"/>
      </w:pPr>
      <w:rPr>
        <w:rFonts w:hint="default"/>
      </w:rPr>
    </w:lvl>
    <w:lvl w:ilvl="3">
      <w:start w:val="1"/>
      <w:numFmt w:val="decimal"/>
      <w:isLgl/>
      <w:lvlText w:val="%1.%2.%3.%4."/>
      <w:lvlJc w:val="left"/>
      <w:pPr>
        <w:ind w:left="907" w:hanging="90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98A3198"/>
    <w:multiLevelType w:val="hybridMultilevel"/>
    <w:tmpl w:val="A99C3C74"/>
    <w:lvl w:ilvl="0" w:tplc="E9F268A6">
      <w:start w:val="1"/>
      <w:numFmt w:val="decimal"/>
      <w:pStyle w:val="HEADER4Part3"/>
      <w:lvlText w:val="%1.1.1.1"/>
      <w:lvlJc w:val="left"/>
      <w:pPr>
        <w:ind w:left="720" w:hanging="360"/>
      </w:pPr>
      <w:rPr>
        <w:rFonts w:ascii="Verdana" w:hAnsi="Verdana" w:hint="default"/>
        <w:sz w:val="18"/>
        <w:szCs w:val="18"/>
      </w:rPr>
    </w:lvl>
    <w:lvl w:ilvl="1" w:tplc="FDCC2FE0" w:tentative="1">
      <w:start w:val="1"/>
      <w:numFmt w:val="lowerLetter"/>
      <w:lvlText w:val="%2."/>
      <w:lvlJc w:val="left"/>
      <w:pPr>
        <w:ind w:left="1440" w:hanging="360"/>
      </w:pPr>
    </w:lvl>
    <w:lvl w:ilvl="2" w:tplc="FE1644BA" w:tentative="1">
      <w:start w:val="1"/>
      <w:numFmt w:val="lowerRoman"/>
      <w:lvlText w:val="%3."/>
      <w:lvlJc w:val="right"/>
      <w:pPr>
        <w:ind w:left="2160" w:hanging="180"/>
      </w:pPr>
    </w:lvl>
    <w:lvl w:ilvl="3" w:tplc="27740286">
      <w:start w:val="1"/>
      <w:numFmt w:val="decimal"/>
      <w:lvlText w:val="%4."/>
      <w:lvlJc w:val="left"/>
      <w:pPr>
        <w:ind w:left="2880" w:hanging="360"/>
      </w:pPr>
    </w:lvl>
    <w:lvl w:ilvl="4" w:tplc="3228A40E" w:tentative="1">
      <w:start w:val="1"/>
      <w:numFmt w:val="lowerLetter"/>
      <w:lvlText w:val="%5."/>
      <w:lvlJc w:val="left"/>
      <w:pPr>
        <w:ind w:left="3600" w:hanging="360"/>
      </w:pPr>
    </w:lvl>
    <w:lvl w:ilvl="5" w:tplc="53FC4AEA" w:tentative="1">
      <w:start w:val="1"/>
      <w:numFmt w:val="lowerRoman"/>
      <w:lvlText w:val="%6."/>
      <w:lvlJc w:val="right"/>
      <w:pPr>
        <w:ind w:left="4320" w:hanging="180"/>
      </w:pPr>
    </w:lvl>
    <w:lvl w:ilvl="6" w:tplc="66D09358" w:tentative="1">
      <w:start w:val="1"/>
      <w:numFmt w:val="decimal"/>
      <w:lvlText w:val="%7."/>
      <w:lvlJc w:val="left"/>
      <w:pPr>
        <w:ind w:left="5040" w:hanging="360"/>
      </w:pPr>
    </w:lvl>
    <w:lvl w:ilvl="7" w:tplc="120CDE32" w:tentative="1">
      <w:start w:val="1"/>
      <w:numFmt w:val="lowerLetter"/>
      <w:lvlText w:val="%8."/>
      <w:lvlJc w:val="left"/>
      <w:pPr>
        <w:ind w:left="5760" w:hanging="360"/>
      </w:pPr>
    </w:lvl>
    <w:lvl w:ilvl="8" w:tplc="DD8E46E8" w:tentative="1">
      <w:start w:val="1"/>
      <w:numFmt w:val="lowerRoman"/>
      <w:lvlText w:val="%9."/>
      <w:lvlJc w:val="right"/>
      <w:pPr>
        <w:ind w:left="6480" w:hanging="180"/>
      </w:pPr>
    </w:lvl>
  </w:abstractNum>
  <w:abstractNum w:abstractNumId="8">
    <w:nsid w:val="0F3F1D52"/>
    <w:multiLevelType w:val="multilevel"/>
    <w:tmpl w:val="2A64B2D4"/>
    <w:lvl w:ilvl="0">
      <w:start w:val="1"/>
      <w:numFmt w:val="decimal"/>
      <w:pStyle w:val="HEADER1NOTES"/>
      <w:lvlText w:val="%1."/>
      <w:lvlJc w:val="left"/>
      <w:pPr>
        <w:ind w:left="907" w:hanging="907"/>
      </w:pPr>
      <w:rPr>
        <w:rFonts w:hint="default"/>
      </w:rPr>
    </w:lvl>
    <w:lvl w:ilvl="1">
      <w:start w:val="1"/>
      <w:numFmt w:val="decimal"/>
      <w:pStyle w:val="HEADER2NOTES"/>
      <w:lvlText w:val="%1.%2."/>
      <w:lvlJc w:val="left"/>
      <w:pPr>
        <w:ind w:left="907" w:hanging="907"/>
      </w:pPr>
      <w:rPr>
        <w:rFonts w:hint="default"/>
      </w:rPr>
    </w:lvl>
    <w:lvl w:ilvl="2">
      <w:start w:val="1"/>
      <w:numFmt w:val="decimal"/>
      <w:pStyle w:val="HEADER3NOTES"/>
      <w:lvlText w:val="%1.%2.%3."/>
      <w:lvlJc w:val="left"/>
      <w:pPr>
        <w:ind w:left="907" w:hanging="907"/>
      </w:pPr>
      <w:rPr>
        <w:rFonts w:hint="default"/>
      </w:rPr>
    </w:lvl>
    <w:lvl w:ilvl="3">
      <w:start w:val="1"/>
      <w:numFmt w:val="decimal"/>
      <w:pStyle w:val="HEADER4Part1"/>
      <w:lvlText w:val="%1.%2.%3.%4."/>
      <w:lvlJc w:val="left"/>
      <w:pPr>
        <w:ind w:left="907" w:hanging="907"/>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
    <w:nsid w:val="10FF3492"/>
    <w:multiLevelType w:val="multilevel"/>
    <w:tmpl w:val="3290469E"/>
    <w:lvl w:ilvl="0">
      <w:start w:val="1"/>
      <w:numFmt w:val="decimal"/>
      <w:pStyle w:val="HEADER1PartBUDG"/>
      <w:lvlText w:val="%1."/>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HEADER2PartBUDG"/>
      <w:lvlText w:val="%1.%2."/>
      <w:lvlJc w:val="left"/>
      <w:pPr>
        <w:ind w:left="360" w:hanging="360"/>
      </w:pPr>
      <w:rPr>
        <w:rFonts w:hint="default"/>
      </w:rPr>
    </w:lvl>
    <w:lvl w:ilvl="2">
      <w:start w:val="1"/>
      <w:numFmt w:val="decimal"/>
      <w:pStyle w:val="HEADER3PartBUGD"/>
      <w:lvlText w:val="%1.%2.%3."/>
      <w:lvlJc w:val="right"/>
      <w:pPr>
        <w:ind w:left="180" w:hanging="180"/>
      </w:pPr>
      <w:rPr>
        <w:rFonts w:hint="default"/>
      </w:rPr>
    </w:lvl>
    <w:lvl w:ilvl="3">
      <w:start w:val="1"/>
      <w:numFmt w:val="decimal"/>
      <w:pStyle w:val="HEADER4PartBUDG"/>
      <w:lvlText w:val="%1.%2.%3.%4."/>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199F1DAA"/>
    <w:multiLevelType w:val="hybridMultilevel"/>
    <w:tmpl w:val="1248AB5A"/>
    <w:lvl w:ilvl="0" w:tplc="A22E6872">
      <w:start w:val="1"/>
      <w:numFmt w:val="decimal"/>
      <w:pStyle w:val="Textstand-alonenumberingJustified"/>
      <w:lvlText w:val="(%1)"/>
      <w:lvlJc w:val="left"/>
      <w:pPr>
        <w:ind w:left="720" w:hanging="360"/>
      </w:pPr>
      <w:rPr>
        <w:rFonts w:ascii="Verdana" w:hAnsi="Verdana" w:hint="default"/>
        <w:b w:val="0"/>
        <w:i w:val="0"/>
        <w:sz w:val="18"/>
      </w:rPr>
    </w:lvl>
    <w:lvl w:ilvl="1" w:tplc="6A8262D0" w:tentative="1">
      <w:start w:val="1"/>
      <w:numFmt w:val="lowerLetter"/>
      <w:lvlText w:val="%2."/>
      <w:lvlJc w:val="left"/>
      <w:pPr>
        <w:ind w:left="1440" w:hanging="360"/>
      </w:pPr>
    </w:lvl>
    <w:lvl w:ilvl="2" w:tplc="45729DFE" w:tentative="1">
      <w:start w:val="1"/>
      <w:numFmt w:val="lowerRoman"/>
      <w:lvlText w:val="%3."/>
      <w:lvlJc w:val="right"/>
      <w:pPr>
        <w:ind w:left="2160" w:hanging="180"/>
      </w:pPr>
    </w:lvl>
    <w:lvl w:ilvl="3" w:tplc="996ADDFA" w:tentative="1">
      <w:start w:val="1"/>
      <w:numFmt w:val="decimal"/>
      <w:lvlText w:val="%4."/>
      <w:lvlJc w:val="left"/>
      <w:pPr>
        <w:ind w:left="2880" w:hanging="360"/>
      </w:pPr>
    </w:lvl>
    <w:lvl w:ilvl="4" w:tplc="4D8A2A52" w:tentative="1">
      <w:start w:val="1"/>
      <w:numFmt w:val="lowerLetter"/>
      <w:lvlText w:val="%5."/>
      <w:lvlJc w:val="left"/>
      <w:pPr>
        <w:ind w:left="3600" w:hanging="360"/>
      </w:pPr>
    </w:lvl>
    <w:lvl w:ilvl="5" w:tplc="E5A8ED4E" w:tentative="1">
      <w:start w:val="1"/>
      <w:numFmt w:val="lowerRoman"/>
      <w:lvlText w:val="%6."/>
      <w:lvlJc w:val="right"/>
      <w:pPr>
        <w:ind w:left="4320" w:hanging="180"/>
      </w:pPr>
    </w:lvl>
    <w:lvl w:ilvl="6" w:tplc="68F05398" w:tentative="1">
      <w:start w:val="1"/>
      <w:numFmt w:val="decimal"/>
      <w:lvlText w:val="%7."/>
      <w:lvlJc w:val="left"/>
      <w:pPr>
        <w:ind w:left="5040" w:hanging="360"/>
      </w:pPr>
    </w:lvl>
    <w:lvl w:ilvl="7" w:tplc="56427E6E" w:tentative="1">
      <w:start w:val="1"/>
      <w:numFmt w:val="lowerLetter"/>
      <w:lvlText w:val="%8."/>
      <w:lvlJc w:val="left"/>
      <w:pPr>
        <w:ind w:left="5760" w:hanging="360"/>
      </w:pPr>
    </w:lvl>
    <w:lvl w:ilvl="8" w:tplc="DCC89C1A" w:tentative="1">
      <w:start w:val="1"/>
      <w:numFmt w:val="lowerRoman"/>
      <w:lvlText w:val="%9."/>
      <w:lvlJc w:val="right"/>
      <w:pPr>
        <w:ind w:left="6480" w:hanging="180"/>
      </w:pPr>
    </w:lvl>
  </w:abstractNum>
  <w:abstractNum w:abstractNumId="11">
    <w:nsid w:val="263169F2"/>
    <w:multiLevelType w:val="multilevel"/>
    <w:tmpl w:val="2BC217C8"/>
    <w:lvl w:ilvl="0">
      <w:start w:val="1"/>
      <w:numFmt w:val="decimal"/>
      <w:pStyle w:val="HEADER1Part2"/>
      <w:lvlText w:val="%1."/>
      <w:lvlJc w:val="left"/>
      <w:pPr>
        <w:ind w:left="907" w:hanging="907"/>
      </w:pPr>
      <w:rPr>
        <w:rFonts w:hint="default"/>
      </w:rPr>
    </w:lvl>
    <w:lvl w:ilvl="1">
      <w:start w:val="1"/>
      <w:numFmt w:val="decimal"/>
      <w:pStyle w:val="HEADER2Part2"/>
      <w:lvlText w:val="%1.%2."/>
      <w:lvlJc w:val="left"/>
      <w:pPr>
        <w:ind w:left="907" w:hanging="907"/>
      </w:pPr>
      <w:rPr>
        <w:rFonts w:hint="default"/>
      </w:rPr>
    </w:lvl>
    <w:lvl w:ilvl="2">
      <w:start w:val="1"/>
      <w:numFmt w:val="decimal"/>
      <w:pStyle w:val="HEADER3Part2"/>
      <w:lvlText w:val="%1.%2.%3."/>
      <w:lvlJc w:val="left"/>
      <w:pPr>
        <w:ind w:left="907" w:hanging="907"/>
      </w:pPr>
      <w:rPr>
        <w:rFonts w:hint="default"/>
      </w:rPr>
    </w:lvl>
    <w:lvl w:ilvl="3">
      <w:start w:val="1"/>
      <w:numFmt w:val="decimal"/>
      <w:pStyle w:val="HEADER4Part2"/>
      <w:lvlText w:val="%1.%2.%3.%4."/>
      <w:lvlJc w:val="left"/>
      <w:pPr>
        <w:ind w:left="907" w:hanging="907"/>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
    <w:nsid w:val="2DF123A2"/>
    <w:multiLevelType w:val="hybridMultilevel"/>
    <w:tmpl w:val="17543FC2"/>
    <w:lvl w:ilvl="0" w:tplc="60E6D480">
      <w:start w:val="1"/>
      <w:numFmt w:val="decimal"/>
      <w:pStyle w:val="HEADER1Part4"/>
      <w:lvlText w:val="%1."/>
      <w:lvlJc w:val="left"/>
      <w:pPr>
        <w:ind w:left="360" w:hanging="360"/>
      </w:pPr>
    </w:lvl>
    <w:lvl w:ilvl="1" w:tplc="C7D86756" w:tentative="1">
      <w:start w:val="1"/>
      <w:numFmt w:val="lowerLetter"/>
      <w:lvlText w:val="%2."/>
      <w:lvlJc w:val="left"/>
      <w:pPr>
        <w:ind w:left="1080" w:hanging="360"/>
      </w:pPr>
    </w:lvl>
    <w:lvl w:ilvl="2" w:tplc="BA061C44" w:tentative="1">
      <w:start w:val="1"/>
      <w:numFmt w:val="lowerRoman"/>
      <w:lvlText w:val="%3."/>
      <w:lvlJc w:val="right"/>
      <w:pPr>
        <w:ind w:left="1800" w:hanging="180"/>
      </w:pPr>
    </w:lvl>
    <w:lvl w:ilvl="3" w:tplc="ABB863DC" w:tentative="1">
      <w:start w:val="1"/>
      <w:numFmt w:val="decimal"/>
      <w:lvlText w:val="%4."/>
      <w:lvlJc w:val="left"/>
      <w:pPr>
        <w:ind w:left="2520" w:hanging="360"/>
      </w:pPr>
    </w:lvl>
    <w:lvl w:ilvl="4" w:tplc="683E9292" w:tentative="1">
      <w:start w:val="1"/>
      <w:numFmt w:val="lowerLetter"/>
      <w:lvlText w:val="%5."/>
      <w:lvlJc w:val="left"/>
      <w:pPr>
        <w:ind w:left="3240" w:hanging="360"/>
      </w:pPr>
    </w:lvl>
    <w:lvl w:ilvl="5" w:tplc="931C25D6" w:tentative="1">
      <w:start w:val="1"/>
      <w:numFmt w:val="lowerRoman"/>
      <w:lvlText w:val="%6."/>
      <w:lvlJc w:val="right"/>
      <w:pPr>
        <w:ind w:left="3960" w:hanging="180"/>
      </w:pPr>
    </w:lvl>
    <w:lvl w:ilvl="6" w:tplc="E68E5324" w:tentative="1">
      <w:start w:val="1"/>
      <w:numFmt w:val="decimal"/>
      <w:lvlText w:val="%7."/>
      <w:lvlJc w:val="left"/>
      <w:pPr>
        <w:ind w:left="4680" w:hanging="360"/>
      </w:pPr>
    </w:lvl>
    <w:lvl w:ilvl="7" w:tplc="F8660F36" w:tentative="1">
      <w:start w:val="1"/>
      <w:numFmt w:val="lowerLetter"/>
      <w:lvlText w:val="%8."/>
      <w:lvlJc w:val="left"/>
      <w:pPr>
        <w:ind w:left="5400" w:hanging="360"/>
      </w:pPr>
    </w:lvl>
    <w:lvl w:ilvl="8" w:tplc="FA9AA754" w:tentative="1">
      <w:start w:val="1"/>
      <w:numFmt w:val="lowerRoman"/>
      <w:lvlText w:val="%9."/>
      <w:lvlJc w:val="right"/>
      <w:pPr>
        <w:ind w:left="6120" w:hanging="180"/>
      </w:pPr>
    </w:lvl>
  </w:abstractNum>
  <w:abstractNum w:abstractNumId="13">
    <w:nsid w:val="31D31BBD"/>
    <w:multiLevelType w:val="hybridMultilevel"/>
    <w:tmpl w:val="AB545582"/>
    <w:lvl w:ilvl="0" w:tplc="BB622BD0">
      <w:start w:val="1"/>
      <w:numFmt w:val="bullet"/>
      <w:pStyle w:val="Textstand-alonebulletpointJustified"/>
      <w:lvlText w:val=""/>
      <w:lvlJc w:val="left"/>
      <w:pPr>
        <w:ind w:left="1080" w:hanging="360"/>
      </w:pPr>
      <w:rPr>
        <w:rFonts w:ascii="Verdana" w:hAnsi="Verdana" w:hint="default"/>
      </w:rPr>
    </w:lvl>
    <w:lvl w:ilvl="1" w:tplc="56FA33AE" w:tentative="1">
      <w:start w:val="1"/>
      <w:numFmt w:val="bullet"/>
      <w:lvlText w:val="o"/>
      <w:lvlJc w:val="left"/>
      <w:pPr>
        <w:ind w:left="1800" w:hanging="360"/>
      </w:pPr>
      <w:rPr>
        <w:rFonts w:ascii="Courier New" w:hAnsi="Courier New" w:cs="Courier New" w:hint="default"/>
      </w:rPr>
    </w:lvl>
    <w:lvl w:ilvl="2" w:tplc="F148044E" w:tentative="1">
      <w:start w:val="1"/>
      <w:numFmt w:val="bullet"/>
      <w:lvlText w:val=""/>
      <w:lvlJc w:val="left"/>
      <w:pPr>
        <w:ind w:left="2520" w:hanging="360"/>
      </w:pPr>
      <w:rPr>
        <w:rFonts w:ascii="Wingdings" w:hAnsi="Wingdings" w:hint="default"/>
      </w:rPr>
    </w:lvl>
    <w:lvl w:ilvl="3" w:tplc="6C6E43B6" w:tentative="1">
      <w:start w:val="1"/>
      <w:numFmt w:val="bullet"/>
      <w:lvlText w:val=""/>
      <w:lvlJc w:val="left"/>
      <w:pPr>
        <w:ind w:left="3240" w:hanging="360"/>
      </w:pPr>
      <w:rPr>
        <w:rFonts w:ascii="Symbol" w:hAnsi="Symbol" w:hint="default"/>
      </w:rPr>
    </w:lvl>
    <w:lvl w:ilvl="4" w:tplc="F7307D34" w:tentative="1">
      <w:start w:val="1"/>
      <w:numFmt w:val="bullet"/>
      <w:lvlText w:val="o"/>
      <w:lvlJc w:val="left"/>
      <w:pPr>
        <w:ind w:left="3960" w:hanging="360"/>
      </w:pPr>
      <w:rPr>
        <w:rFonts w:ascii="Courier New" w:hAnsi="Courier New" w:cs="Courier New" w:hint="default"/>
      </w:rPr>
    </w:lvl>
    <w:lvl w:ilvl="5" w:tplc="C742DF00" w:tentative="1">
      <w:start w:val="1"/>
      <w:numFmt w:val="bullet"/>
      <w:lvlText w:val=""/>
      <w:lvlJc w:val="left"/>
      <w:pPr>
        <w:ind w:left="4680" w:hanging="360"/>
      </w:pPr>
      <w:rPr>
        <w:rFonts w:ascii="Wingdings" w:hAnsi="Wingdings" w:hint="default"/>
      </w:rPr>
    </w:lvl>
    <w:lvl w:ilvl="6" w:tplc="BA98EAC0" w:tentative="1">
      <w:start w:val="1"/>
      <w:numFmt w:val="bullet"/>
      <w:lvlText w:val=""/>
      <w:lvlJc w:val="left"/>
      <w:pPr>
        <w:ind w:left="5400" w:hanging="360"/>
      </w:pPr>
      <w:rPr>
        <w:rFonts w:ascii="Symbol" w:hAnsi="Symbol" w:hint="default"/>
      </w:rPr>
    </w:lvl>
    <w:lvl w:ilvl="7" w:tplc="7F08F626" w:tentative="1">
      <w:start w:val="1"/>
      <w:numFmt w:val="bullet"/>
      <w:lvlText w:val="o"/>
      <w:lvlJc w:val="left"/>
      <w:pPr>
        <w:ind w:left="6120" w:hanging="360"/>
      </w:pPr>
      <w:rPr>
        <w:rFonts w:ascii="Courier New" w:hAnsi="Courier New" w:cs="Courier New" w:hint="default"/>
      </w:rPr>
    </w:lvl>
    <w:lvl w:ilvl="8" w:tplc="BA527B1E" w:tentative="1">
      <w:start w:val="1"/>
      <w:numFmt w:val="bullet"/>
      <w:lvlText w:val=""/>
      <w:lvlJc w:val="left"/>
      <w:pPr>
        <w:ind w:left="6840" w:hanging="360"/>
      </w:pPr>
      <w:rPr>
        <w:rFonts w:ascii="Wingdings" w:hAnsi="Wingdings" w:hint="default"/>
      </w:rPr>
    </w:lvl>
  </w:abstractNum>
  <w:abstractNum w:abstractNumId="14">
    <w:nsid w:val="5EA07653"/>
    <w:multiLevelType w:val="hybridMultilevel"/>
    <w:tmpl w:val="549C48F2"/>
    <w:lvl w:ilvl="0" w:tplc="EE46A704">
      <w:start w:val="1"/>
      <w:numFmt w:val="bullet"/>
      <w:pStyle w:val="Textstand-aloneBulletpoint"/>
      <w:lvlText w:val="-"/>
      <w:lvlJc w:val="left"/>
      <w:pPr>
        <w:ind w:left="1080" w:hanging="360"/>
      </w:pPr>
      <w:rPr>
        <w:rFonts w:ascii="Verdana" w:hAnsi="Verdana" w:hint="default"/>
      </w:rPr>
    </w:lvl>
    <w:lvl w:ilvl="1" w:tplc="CE9E4276" w:tentative="1">
      <w:start w:val="1"/>
      <w:numFmt w:val="bullet"/>
      <w:lvlText w:val="o"/>
      <w:lvlJc w:val="left"/>
      <w:pPr>
        <w:ind w:left="1800" w:hanging="360"/>
      </w:pPr>
      <w:rPr>
        <w:rFonts w:ascii="Courier New" w:hAnsi="Courier New" w:cs="Courier New" w:hint="default"/>
      </w:rPr>
    </w:lvl>
    <w:lvl w:ilvl="2" w:tplc="F7AE8B2C" w:tentative="1">
      <w:start w:val="1"/>
      <w:numFmt w:val="bullet"/>
      <w:lvlText w:val=""/>
      <w:lvlJc w:val="left"/>
      <w:pPr>
        <w:ind w:left="2520" w:hanging="360"/>
      </w:pPr>
      <w:rPr>
        <w:rFonts w:ascii="Wingdings" w:hAnsi="Wingdings" w:hint="default"/>
      </w:rPr>
    </w:lvl>
    <w:lvl w:ilvl="3" w:tplc="C09C90EA" w:tentative="1">
      <w:start w:val="1"/>
      <w:numFmt w:val="bullet"/>
      <w:lvlText w:val=""/>
      <w:lvlJc w:val="left"/>
      <w:pPr>
        <w:ind w:left="3240" w:hanging="360"/>
      </w:pPr>
      <w:rPr>
        <w:rFonts w:ascii="Symbol" w:hAnsi="Symbol" w:hint="default"/>
      </w:rPr>
    </w:lvl>
    <w:lvl w:ilvl="4" w:tplc="E4C04D36" w:tentative="1">
      <w:start w:val="1"/>
      <w:numFmt w:val="bullet"/>
      <w:lvlText w:val="o"/>
      <w:lvlJc w:val="left"/>
      <w:pPr>
        <w:ind w:left="3960" w:hanging="360"/>
      </w:pPr>
      <w:rPr>
        <w:rFonts w:ascii="Courier New" w:hAnsi="Courier New" w:cs="Courier New" w:hint="default"/>
      </w:rPr>
    </w:lvl>
    <w:lvl w:ilvl="5" w:tplc="74DA3590" w:tentative="1">
      <w:start w:val="1"/>
      <w:numFmt w:val="bullet"/>
      <w:lvlText w:val=""/>
      <w:lvlJc w:val="left"/>
      <w:pPr>
        <w:ind w:left="4680" w:hanging="360"/>
      </w:pPr>
      <w:rPr>
        <w:rFonts w:ascii="Wingdings" w:hAnsi="Wingdings" w:hint="default"/>
      </w:rPr>
    </w:lvl>
    <w:lvl w:ilvl="6" w:tplc="5A060962" w:tentative="1">
      <w:start w:val="1"/>
      <w:numFmt w:val="bullet"/>
      <w:lvlText w:val=""/>
      <w:lvlJc w:val="left"/>
      <w:pPr>
        <w:ind w:left="5400" w:hanging="360"/>
      </w:pPr>
      <w:rPr>
        <w:rFonts w:ascii="Symbol" w:hAnsi="Symbol" w:hint="default"/>
      </w:rPr>
    </w:lvl>
    <w:lvl w:ilvl="7" w:tplc="56508C2E" w:tentative="1">
      <w:start w:val="1"/>
      <w:numFmt w:val="bullet"/>
      <w:lvlText w:val="o"/>
      <w:lvlJc w:val="left"/>
      <w:pPr>
        <w:ind w:left="6120" w:hanging="360"/>
      </w:pPr>
      <w:rPr>
        <w:rFonts w:ascii="Courier New" w:hAnsi="Courier New" w:cs="Courier New" w:hint="default"/>
      </w:rPr>
    </w:lvl>
    <w:lvl w:ilvl="8" w:tplc="69D22C4A" w:tentative="1">
      <w:start w:val="1"/>
      <w:numFmt w:val="bullet"/>
      <w:lvlText w:val=""/>
      <w:lvlJc w:val="left"/>
      <w:pPr>
        <w:ind w:left="6840" w:hanging="360"/>
      </w:pPr>
      <w:rPr>
        <w:rFonts w:ascii="Wingdings" w:hAnsi="Wingdings" w:hint="default"/>
      </w:rPr>
    </w:lvl>
  </w:abstractNum>
  <w:abstractNum w:abstractNumId="15">
    <w:nsid w:val="65581FE3"/>
    <w:multiLevelType w:val="hybridMultilevel"/>
    <w:tmpl w:val="1968F41E"/>
    <w:lvl w:ilvl="0" w:tplc="D51E9CBA">
      <w:start w:val="1"/>
      <w:numFmt w:val="bullet"/>
      <w:lvlText w:val="-"/>
      <w:lvlJc w:val="left"/>
      <w:pPr>
        <w:ind w:left="1080" w:hanging="360"/>
      </w:pPr>
      <w:rPr>
        <w:rFonts w:ascii="Verdana" w:hAnsi="Verdana" w:hint="default"/>
      </w:rPr>
    </w:lvl>
    <w:lvl w:ilvl="1" w:tplc="0B36538E" w:tentative="1">
      <w:start w:val="1"/>
      <w:numFmt w:val="bullet"/>
      <w:lvlText w:val="o"/>
      <w:lvlJc w:val="left"/>
      <w:pPr>
        <w:ind w:left="1800" w:hanging="360"/>
      </w:pPr>
      <w:rPr>
        <w:rFonts w:ascii="Courier New" w:hAnsi="Courier New" w:cs="Courier New" w:hint="default"/>
      </w:rPr>
    </w:lvl>
    <w:lvl w:ilvl="2" w:tplc="CE1EF912" w:tentative="1">
      <w:start w:val="1"/>
      <w:numFmt w:val="bullet"/>
      <w:lvlText w:val=""/>
      <w:lvlJc w:val="left"/>
      <w:pPr>
        <w:ind w:left="2520" w:hanging="360"/>
      </w:pPr>
      <w:rPr>
        <w:rFonts w:ascii="Wingdings" w:hAnsi="Wingdings" w:hint="default"/>
      </w:rPr>
    </w:lvl>
    <w:lvl w:ilvl="3" w:tplc="E86062EC" w:tentative="1">
      <w:start w:val="1"/>
      <w:numFmt w:val="bullet"/>
      <w:lvlText w:val=""/>
      <w:lvlJc w:val="left"/>
      <w:pPr>
        <w:ind w:left="3240" w:hanging="360"/>
      </w:pPr>
      <w:rPr>
        <w:rFonts w:ascii="Symbol" w:hAnsi="Symbol" w:hint="default"/>
      </w:rPr>
    </w:lvl>
    <w:lvl w:ilvl="4" w:tplc="6E426AE4" w:tentative="1">
      <w:start w:val="1"/>
      <w:numFmt w:val="bullet"/>
      <w:lvlText w:val="o"/>
      <w:lvlJc w:val="left"/>
      <w:pPr>
        <w:ind w:left="3960" w:hanging="360"/>
      </w:pPr>
      <w:rPr>
        <w:rFonts w:ascii="Courier New" w:hAnsi="Courier New" w:cs="Courier New" w:hint="default"/>
      </w:rPr>
    </w:lvl>
    <w:lvl w:ilvl="5" w:tplc="309C2EBA" w:tentative="1">
      <w:start w:val="1"/>
      <w:numFmt w:val="bullet"/>
      <w:lvlText w:val=""/>
      <w:lvlJc w:val="left"/>
      <w:pPr>
        <w:ind w:left="4680" w:hanging="360"/>
      </w:pPr>
      <w:rPr>
        <w:rFonts w:ascii="Wingdings" w:hAnsi="Wingdings" w:hint="default"/>
      </w:rPr>
    </w:lvl>
    <w:lvl w:ilvl="6" w:tplc="1026EE2A" w:tentative="1">
      <w:start w:val="1"/>
      <w:numFmt w:val="bullet"/>
      <w:lvlText w:val=""/>
      <w:lvlJc w:val="left"/>
      <w:pPr>
        <w:ind w:left="5400" w:hanging="360"/>
      </w:pPr>
      <w:rPr>
        <w:rFonts w:ascii="Symbol" w:hAnsi="Symbol" w:hint="default"/>
      </w:rPr>
    </w:lvl>
    <w:lvl w:ilvl="7" w:tplc="6DC0E468" w:tentative="1">
      <w:start w:val="1"/>
      <w:numFmt w:val="bullet"/>
      <w:lvlText w:val="o"/>
      <w:lvlJc w:val="left"/>
      <w:pPr>
        <w:ind w:left="6120" w:hanging="360"/>
      </w:pPr>
      <w:rPr>
        <w:rFonts w:ascii="Courier New" w:hAnsi="Courier New" w:cs="Courier New" w:hint="default"/>
      </w:rPr>
    </w:lvl>
    <w:lvl w:ilvl="8" w:tplc="06B8094C" w:tentative="1">
      <w:start w:val="1"/>
      <w:numFmt w:val="bullet"/>
      <w:lvlText w:val=""/>
      <w:lvlJc w:val="left"/>
      <w:pPr>
        <w:ind w:left="6840" w:hanging="360"/>
      </w:pPr>
      <w:rPr>
        <w:rFonts w:ascii="Wingdings" w:hAnsi="Wingdings" w:hint="default"/>
      </w:rPr>
    </w:lvl>
  </w:abstractNum>
  <w:abstractNum w:abstractNumId="16">
    <w:nsid w:val="6F351A53"/>
    <w:multiLevelType w:val="hybridMultilevel"/>
    <w:tmpl w:val="A22E4046"/>
    <w:lvl w:ilvl="0" w:tplc="A3E02FA4">
      <w:start w:val="1"/>
      <w:numFmt w:val="lowerRoman"/>
      <w:pStyle w:val="Textstand-alonenumberingRCIndentJustified"/>
      <w:lvlText w:val="(%1)"/>
      <w:lvlJc w:val="left"/>
      <w:pPr>
        <w:ind w:left="720" w:hanging="360"/>
      </w:pPr>
      <w:rPr>
        <w:rFonts w:hint="default"/>
      </w:rPr>
    </w:lvl>
    <w:lvl w:ilvl="1" w:tplc="0FA6951E" w:tentative="1">
      <w:start w:val="1"/>
      <w:numFmt w:val="lowerLetter"/>
      <w:lvlText w:val="%2."/>
      <w:lvlJc w:val="left"/>
      <w:pPr>
        <w:ind w:left="1440" w:hanging="360"/>
      </w:pPr>
    </w:lvl>
    <w:lvl w:ilvl="2" w:tplc="45B0F08E" w:tentative="1">
      <w:start w:val="1"/>
      <w:numFmt w:val="lowerRoman"/>
      <w:lvlText w:val="%3."/>
      <w:lvlJc w:val="right"/>
      <w:pPr>
        <w:ind w:left="2160" w:hanging="180"/>
      </w:pPr>
    </w:lvl>
    <w:lvl w:ilvl="3" w:tplc="178EFE4C" w:tentative="1">
      <w:start w:val="1"/>
      <w:numFmt w:val="decimal"/>
      <w:lvlText w:val="%4."/>
      <w:lvlJc w:val="left"/>
      <w:pPr>
        <w:ind w:left="2880" w:hanging="360"/>
      </w:pPr>
    </w:lvl>
    <w:lvl w:ilvl="4" w:tplc="6A246E4A" w:tentative="1">
      <w:start w:val="1"/>
      <w:numFmt w:val="lowerLetter"/>
      <w:lvlText w:val="%5."/>
      <w:lvlJc w:val="left"/>
      <w:pPr>
        <w:ind w:left="3600" w:hanging="360"/>
      </w:pPr>
    </w:lvl>
    <w:lvl w:ilvl="5" w:tplc="8FDEAEF2" w:tentative="1">
      <w:start w:val="1"/>
      <w:numFmt w:val="lowerRoman"/>
      <w:lvlText w:val="%6."/>
      <w:lvlJc w:val="right"/>
      <w:pPr>
        <w:ind w:left="4320" w:hanging="180"/>
      </w:pPr>
    </w:lvl>
    <w:lvl w:ilvl="6" w:tplc="23304BE2" w:tentative="1">
      <w:start w:val="1"/>
      <w:numFmt w:val="decimal"/>
      <w:lvlText w:val="%7."/>
      <w:lvlJc w:val="left"/>
      <w:pPr>
        <w:ind w:left="5040" w:hanging="360"/>
      </w:pPr>
    </w:lvl>
    <w:lvl w:ilvl="7" w:tplc="80D6FA6E" w:tentative="1">
      <w:start w:val="1"/>
      <w:numFmt w:val="lowerLetter"/>
      <w:lvlText w:val="%8."/>
      <w:lvlJc w:val="left"/>
      <w:pPr>
        <w:ind w:left="5760" w:hanging="360"/>
      </w:pPr>
    </w:lvl>
    <w:lvl w:ilvl="8" w:tplc="E8A6AD74" w:tentative="1">
      <w:start w:val="1"/>
      <w:numFmt w:val="lowerRoman"/>
      <w:lvlText w:val="%9."/>
      <w:lvlJc w:val="right"/>
      <w:pPr>
        <w:ind w:left="6480" w:hanging="180"/>
      </w:pPr>
    </w:lvl>
  </w:abstractNum>
  <w:abstractNum w:abstractNumId="17">
    <w:nsid w:val="6F351A54"/>
    <w:multiLevelType w:val="hybridMultilevel"/>
    <w:tmpl w:val="C7DE0E2E"/>
    <w:lvl w:ilvl="0" w:tplc="4CFE054C">
      <w:start w:val="1"/>
      <w:numFmt w:val="bullet"/>
      <w:lvlText w:val=""/>
      <w:lvlJc w:val="left"/>
      <w:pPr>
        <w:ind w:left="720" w:hanging="360"/>
      </w:pPr>
      <w:rPr>
        <w:rFonts w:ascii="Symbol" w:hAnsi="Symbol" w:hint="default"/>
      </w:rPr>
    </w:lvl>
    <w:lvl w:ilvl="1" w:tplc="ADDA0930" w:tentative="1">
      <w:start w:val="1"/>
      <w:numFmt w:val="bullet"/>
      <w:lvlText w:val="o"/>
      <w:lvlJc w:val="left"/>
      <w:pPr>
        <w:ind w:left="1440" w:hanging="360"/>
      </w:pPr>
      <w:rPr>
        <w:rFonts w:ascii="Courier New" w:hAnsi="Courier New" w:cs="Courier New" w:hint="default"/>
      </w:rPr>
    </w:lvl>
    <w:lvl w:ilvl="2" w:tplc="F0625EA4" w:tentative="1">
      <w:start w:val="1"/>
      <w:numFmt w:val="bullet"/>
      <w:lvlText w:val=""/>
      <w:lvlJc w:val="left"/>
      <w:pPr>
        <w:ind w:left="2160" w:hanging="360"/>
      </w:pPr>
      <w:rPr>
        <w:rFonts w:ascii="Wingdings" w:hAnsi="Wingdings" w:hint="default"/>
      </w:rPr>
    </w:lvl>
    <w:lvl w:ilvl="3" w:tplc="4084701A" w:tentative="1">
      <w:start w:val="1"/>
      <w:numFmt w:val="bullet"/>
      <w:lvlText w:val=""/>
      <w:lvlJc w:val="left"/>
      <w:pPr>
        <w:ind w:left="2880" w:hanging="360"/>
      </w:pPr>
      <w:rPr>
        <w:rFonts w:ascii="Symbol" w:hAnsi="Symbol" w:hint="default"/>
      </w:rPr>
    </w:lvl>
    <w:lvl w:ilvl="4" w:tplc="0DCA4954" w:tentative="1">
      <w:start w:val="1"/>
      <w:numFmt w:val="bullet"/>
      <w:lvlText w:val="o"/>
      <w:lvlJc w:val="left"/>
      <w:pPr>
        <w:ind w:left="3600" w:hanging="360"/>
      </w:pPr>
      <w:rPr>
        <w:rFonts w:ascii="Courier New" w:hAnsi="Courier New" w:cs="Courier New" w:hint="default"/>
      </w:rPr>
    </w:lvl>
    <w:lvl w:ilvl="5" w:tplc="7294F75A" w:tentative="1">
      <w:start w:val="1"/>
      <w:numFmt w:val="bullet"/>
      <w:lvlText w:val=""/>
      <w:lvlJc w:val="left"/>
      <w:pPr>
        <w:ind w:left="4320" w:hanging="360"/>
      </w:pPr>
      <w:rPr>
        <w:rFonts w:ascii="Wingdings" w:hAnsi="Wingdings" w:hint="default"/>
      </w:rPr>
    </w:lvl>
    <w:lvl w:ilvl="6" w:tplc="DD70B65A" w:tentative="1">
      <w:start w:val="1"/>
      <w:numFmt w:val="bullet"/>
      <w:lvlText w:val=""/>
      <w:lvlJc w:val="left"/>
      <w:pPr>
        <w:ind w:left="5040" w:hanging="360"/>
      </w:pPr>
      <w:rPr>
        <w:rFonts w:ascii="Symbol" w:hAnsi="Symbol" w:hint="default"/>
      </w:rPr>
    </w:lvl>
    <w:lvl w:ilvl="7" w:tplc="293E7F8A" w:tentative="1">
      <w:start w:val="1"/>
      <w:numFmt w:val="bullet"/>
      <w:lvlText w:val="o"/>
      <w:lvlJc w:val="left"/>
      <w:pPr>
        <w:ind w:left="5760" w:hanging="360"/>
      </w:pPr>
      <w:rPr>
        <w:rFonts w:ascii="Courier New" w:hAnsi="Courier New" w:cs="Courier New" w:hint="default"/>
      </w:rPr>
    </w:lvl>
    <w:lvl w:ilvl="8" w:tplc="306C09E0" w:tentative="1">
      <w:start w:val="1"/>
      <w:numFmt w:val="bullet"/>
      <w:lvlText w:val=""/>
      <w:lvlJc w:val="left"/>
      <w:pPr>
        <w:ind w:left="6480" w:hanging="360"/>
      </w:pPr>
      <w:rPr>
        <w:rFonts w:ascii="Wingdings" w:hAnsi="Wingdings" w:hint="default"/>
      </w:rPr>
    </w:lvl>
  </w:abstractNum>
  <w:abstractNum w:abstractNumId="18">
    <w:nsid w:val="6F351A55"/>
    <w:multiLevelType w:val="hybridMultilevel"/>
    <w:tmpl w:val="4136191E"/>
    <w:lvl w:ilvl="0" w:tplc="E5569E60">
      <w:start w:val="1"/>
      <w:numFmt w:val="bullet"/>
      <w:lvlText w:val=""/>
      <w:lvlJc w:val="left"/>
      <w:pPr>
        <w:ind w:left="720" w:hanging="360"/>
      </w:pPr>
      <w:rPr>
        <w:rFonts w:ascii="Symbol" w:hAnsi="Symbol" w:hint="default"/>
      </w:rPr>
    </w:lvl>
    <w:lvl w:ilvl="1" w:tplc="6414CF02" w:tentative="1">
      <w:start w:val="1"/>
      <w:numFmt w:val="bullet"/>
      <w:lvlText w:val="o"/>
      <w:lvlJc w:val="left"/>
      <w:pPr>
        <w:ind w:left="1440" w:hanging="360"/>
      </w:pPr>
      <w:rPr>
        <w:rFonts w:ascii="Courier New" w:hAnsi="Courier New" w:cs="Courier New" w:hint="default"/>
      </w:rPr>
    </w:lvl>
    <w:lvl w:ilvl="2" w:tplc="245C4B74" w:tentative="1">
      <w:start w:val="1"/>
      <w:numFmt w:val="bullet"/>
      <w:lvlText w:val=""/>
      <w:lvlJc w:val="left"/>
      <w:pPr>
        <w:ind w:left="2160" w:hanging="360"/>
      </w:pPr>
      <w:rPr>
        <w:rFonts w:ascii="Wingdings" w:hAnsi="Wingdings" w:hint="default"/>
      </w:rPr>
    </w:lvl>
    <w:lvl w:ilvl="3" w:tplc="350EDB22" w:tentative="1">
      <w:start w:val="1"/>
      <w:numFmt w:val="bullet"/>
      <w:lvlText w:val=""/>
      <w:lvlJc w:val="left"/>
      <w:pPr>
        <w:ind w:left="2880" w:hanging="360"/>
      </w:pPr>
      <w:rPr>
        <w:rFonts w:ascii="Symbol" w:hAnsi="Symbol" w:hint="default"/>
      </w:rPr>
    </w:lvl>
    <w:lvl w:ilvl="4" w:tplc="379A7D92" w:tentative="1">
      <w:start w:val="1"/>
      <w:numFmt w:val="bullet"/>
      <w:lvlText w:val="o"/>
      <w:lvlJc w:val="left"/>
      <w:pPr>
        <w:ind w:left="3600" w:hanging="360"/>
      </w:pPr>
      <w:rPr>
        <w:rFonts w:ascii="Courier New" w:hAnsi="Courier New" w:cs="Courier New" w:hint="default"/>
      </w:rPr>
    </w:lvl>
    <w:lvl w:ilvl="5" w:tplc="BFF0D19C" w:tentative="1">
      <w:start w:val="1"/>
      <w:numFmt w:val="bullet"/>
      <w:lvlText w:val=""/>
      <w:lvlJc w:val="left"/>
      <w:pPr>
        <w:ind w:left="4320" w:hanging="360"/>
      </w:pPr>
      <w:rPr>
        <w:rFonts w:ascii="Wingdings" w:hAnsi="Wingdings" w:hint="default"/>
      </w:rPr>
    </w:lvl>
    <w:lvl w:ilvl="6" w:tplc="F9F4CE12" w:tentative="1">
      <w:start w:val="1"/>
      <w:numFmt w:val="bullet"/>
      <w:lvlText w:val=""/>
      <w:lvlJc w:val="left"/>
      <w:pPr>
        <w:ind w:left="5040" w:hanging="360"/>
      </w:pPr>
      <w:rPr>
        <w:rFonts w:ascii="Symbol" w:hAnsi="Symbol" w:hint="default"/>
      </w:rPr>
    </w:lvl>
    <w:lvl w:ilvl="7" w:tplc="FD286F4C" w:tentative="1">
      <w:start w:val="1"/>
      <w:numFmt w:val="bullet"/>
      <w:lvlText w:val="o"/>
      <w:lvlJc w:val="left"/>
      <w:pPr>
        <w:ind w:left="5760" w:hanging="360"/>
      </w:pPr>
      <w:rPr>
        <w:rFonts w:ascii="Courier New" w:hAnsi="Courier New" w:cs="Courier New" w:hint="default"/>
      </w:rPr>
    </w:lvl>
    <w:lvl w:ilvl="8" w:tplc="1B9A4760" w:tentative="1">
      <w:start w:val="1"/>
      <w:numFmt w:val="bullet"/>
      <w:lvlText w:val=""/>
      <w:lvlJc w:val="left"/>
      <w:pPr>
        <w:ind w:left="6480" w:hanging="360"/>
      </w:pPr>
      <w:rPr>
        <w:rFonts w:ascii="Wingdings" w:hAnsi="Wingdings" w:hint="default"/>
      </w:rPr>
    </w:lvl>
  </w:abstractNum>
  <w:abstractNum w:abstractNumId="19">
    <w:nsid w:val="6F351A56"/>
    <w:multiLevelType w:val="hybridMultilevel"/>
    <w:tmpl w:val="3EC20C2E"/>
    <w:lvl w:ilvl="0" w:tplc="29527CA6">
      <w:start w:val="1"/>
      <w:numFmt w:val="bullet"/>
      <w:lvlText w:val=""/>
      <w:lvlJc w:val="left"/>
      <w:pPr>
        <w:ind w:left="720" w:hanging="360"/>
      </w:pPr>
      <w:rPr>
        <w:rFonts w:ascii="Symbol" w:hAnsi="Symbol" w:hint="default"/>
      </w:rPr>
    </w:lvl>
    <w:lvl w:ilvl="1" w:tplc="77EAD39E" w:tentative="1">
      <w:start w:val="1"/>
      <w:numFmt w:val="bullet"/>
      <w:lvlText w:val="o"/>
      <w:lvlJc w:val="left"/>
      <w:pPr>
        <w:ind w:left="1440" w:hanging="360"/>
      </w:pPr>
      <w:rPr>
        <w:rFonts w:ascii="Courier New" w:hAnsi="Courier New" w:cs="Courier New" w:hint="default"/>
      </w:rPr>
    </w:lvl>
    <w:lvl w:ilvl="2" w:tplc="D804B5A2" w:tentative="1">
      <w:start w:val="1"/>
      <w:numFmt w:val="bullet"/>
      <w:lvlText w:val=""/>
      <w:lvlJc w:val="left"/>
      <w:pPr>
        <w:ind w:left="2160" w:hanging="360"/>
      </w:pPr>
      <w:rPr>
        <w:rFonts w:ascii="Wingdings" w:hAnsi="Wingdings" w:hint="default"/>
      </w:rPr>
    </w:lvl>
    <w:lvl w:ilvl="3" w:tplc="7C2C055E" w:tentative="1">
      <w:start w:val="1"/>
      <w:numFmt w:val="bullet"/>
      <w:lvlText w:val=""/>
      <w:lvlJc w:val="left"/>
      <w:pPr>
        <w:ind w:left="2880" w:hanging="360"/>
      </w:pPr>
      <w:rPr>
        <w:rFonts w:ascii="Symbol" w:hAnsi="Symbol" w:hint="default"/>
      </w:rPr>
    </w:lvl>
    <w:lvl w:ilvl="4" w:tplc="4866F41A" w:tentative="1">
      <w:start w:val="1"/>
      <w:numFmt w:val="bullet"/>
      <w:lvlText w:val="o"/>
      <w:lvlJc w:val="left"/>
      <w:pPr>
        <w:ind w:left="3600" w:hanging="360"/>
      </w:pPr>
      <w:rPr>
        <w:rFonts w:ascii="Courier New" w:hAnsi="Courier New" w:cs="Courier New" w:hint="default"/>
      </w:rPr>
    </w:lvl>
    <w:lvl w:ilvl="5" w:tplc="42B6A05A" w:tentative="1">
      <w:start w:val="1"/>
      <w:numFmt w:val="bullet"/>
      <w:lvlText w:val=""/>
      <w:lvlJc w:val="left"/>
      <w:pPr>
        <w:ind w:left="4320" w:hanging="360"/>
      </w:pPr>
      <w:rPr>
        <w:rFonts w:ascii="Wingdings" w:hAnsi="Wingdings" w:hint="default"/>
      </w:rPr>
    </w:lvl>
    <w:lvl w:ilvl="6" w:tplc="1086623E" w:tentative="1">
      <w:start w:val="1"/>
      <w:numFmt w:val="bullet"/>
      <w:lvlText w:val=""/>
      <w:lvlJc w:val="left"/>
      <w:pPr>
        <w:ind w:left="5040" w:hanging="360"/>
      </w:pPr>
      <w:rPr>
        <w:rFonts w:ascii="Symbol" w:hAnsi="Symbol" w:hint="default"/>
      </w:rPr>
    </w:lvl>
    <w:lvl w:ilvl="7" w:tplc="4426D568" w:tentative="1">
      <w:start w:val="1"/>
      <w:numFmt w:val="bullet"/>
      <w:lvlText w:val="o"/>
      <w:lvlJc w:val="left"/>
      <w:pPr>
        <w:ind w:left="5760" w:hanging="360"/>
      </w:pPr>
      <w:rPr>
        <w:rFonts w:ascii="Courier New" w:hAnsi="Courier New" w:cs="Courier New" w:hint="default"/>
      </w:rPr>
    </w:lvl>
    <w:lvl w:ilvl="8" w:tplc="7BD6446A" w:tentative="1">
      <w:start w:val="1"/>
      <w:numFmt w:val="bullet"/>
      <w:lvlText w:val=""/>
      <w:lvlJc w:val="left"/>
      <w:pPr>
        <w:ind w:left="6480" w:hanging="360"/>
      </w:pPr>
      <w:rPr>
        <w:rFonts w:ascii="Wingdings" w:hAnsi="Wingdings" w:hint="default"/>
      </w:rPr>
    </w:lvl>
  </w:abstractNum>
  <w:abstractNum w:abstractNumId="20">
    <w:nsid w:val="6F351A57"/>
    <w:multiLevelType w:val="hybridMultilevel"/>
    <w:tmpl w:val="2A682C6A"/>
    <w:lvl w:ilvl="0" w:tplc="3F808F0E">
      <w:start w:val="1"/>
      <w:numFmt w:val="lowerLetter"/>
      <w:lvlText w:val="%1)"/>
      <w:lvlJc w:val="left"/>
      <w:pPr>
        <w:ind w:left="720" w:hanging="360"/>
      </w:pPr>
    </w:lvl>
    <w:lvl w:ilvl="1" w:tplc="A75E4E36" w:tentative="1">
      <w:start w:val="1"/>
      <w:numFmt w:val="lowerLetter"/>
      <w:lvlText w:val="%2."/>
      <w:lvlJc w:val="left"/>
      <w:pPr>
        <w:ind w:left="1440" w:hanging="360"/>
      </w:pPr>
    </w:lvl>
    <w:lvl w:ilvl="2" w:tplc="D6D4FEDC" w:tentative="1">
      <w:start w:val="1"/>
      <w:numFmt w:val="lowerRoman"/>
      <w:lvlText w:val="%3."/>
      <w:lvlJc w:val="right"/>
      <w:pPr>
        <w:ind w:left="2160" w:hanging="180"/>
      </w:pPr>
    </w:lvl>
    <w:lvl w:ilvl="3" w:tplc="F702D3E8" w:tentative="1">
      <w:start w:val="1"/>
      <w:numFmt w:val="decimal"/>
      <w:lvlText w:val="%4."/>
      <w:lvlJc w:val="left"/>
      <w:pPr>
        <w:ind w:left="2880" w:hanging="360"/>
      </w:pPr>
    </w:lvl>
    <w:lvl w:ilvl="4" w:tplc="EA382AB8" w:tentative="1">
      <w:start w:val="1"/>
      <w:numFmt w:val="lowerLetter"/>
      <w:lvlText w:val="%5."/>
      <w:lvlJc w:val="left"/>
      <w:pPr>
        <w:ind w:left="3600" w:hanging="360"/>
      </w:pPr>
    </w:lvl>
    <w:lvl w:ilvl="5" w:tplc="4142EA1C" w:tentative="1">
      <w:start w:val="1"/>
      <w:numFmt w:val="lowerRoman"/>
      <w:lvlText w:val="%6."/>
      <w:lvlJc w:val="right"/>
      <w:pPr>
        <w:ind w:left="4320" w:hanging="180"/>
      </w:pPr>
    </w:lvl>
    <w:lvl w:ilvl="6" w:tplc="F7D66A8E" w:tentative="1">
      <w:start w:val="1"/>
      <w:numFmt w:val="decimal"/>
      <w:lvlText w:val="%7."/>
      <w:lvlJc w:val="left"/>
      <w:pPr>
        <w:ind w:left="5040" w:hanging="360"/>
      </w:pPr>
    </w:lvl>
    <w:lvl w:ilvl="7" w:tplc="25A81ACC" w:tentative="1">
      <w:start w:val="1"/>
      <w:numFmt w:val="lowerLetter"/>
      <w:lvlText w:val="%8."/>
      <w:lvlJc w:val="left"/>
      <w:pPr>
        <w:ind w:left="5760" w:hanging="360"/>
      </w:pPr>
    </w:lvl>
    <w:lvl w:ilvl="8" w:tplc="82021C58" w:tentative="1">
      <w:start w:val="1"/>
      <w:numFmt w:val="lowerRoman"/>
      <w:lvlText w:val="%9."/>
      <w:lvlJc w:val="right"/>
      <w:pPr>
        <w:ind w:left="6480" w:hanging="180"/>
      </w:pPr>
    </w:lvl>
  </w:abstractNum>
  <w:abstractNum w:abstractNumId="21">
    <w:nsid w:val="6F351A58"/>
    <w:multiLevelType w:val="hybridMultilevel"/>
    <w:tmpl w:val="51522B34"/>
    <w:lvl w:ilvl="0" w:tplc="641E5D46">
      <w:start w:val="1"/>
      <w:numFmt w:val="lowerLetter"/>
      <w:lvlText w:val="%1)"/>
      <w:lvlJc w:val="left"/>
      <w:pPr>
        <w:ind w:left="720" w:hanging="360"/>
      </w:pPr>
    </w:lvl>
    <w:lvl w:ilvl="1" w:tplc="E2E037B6" w:tentative="1">
      <w:start w:val="1"/>
      <w:numFmt w:val="lowerLetter"/>
      <w:lvlText w:val="%2."/>
      <w:lvlJc w:val="left"/>
      <w:pPr>
        <w:ind w:left="1440" w:hanging="360"/>
      </w:pPr>
    </w:lvl>
    <w:lvl w:ilvl="2" w:tplc="94B2099C" w:tentative="1">
      <w:start w:val="1"/>
      <w:numFmt w:val="lowerRoman"/>
      <w:lvlText w:val="%3."/>
      <w:lvlJc w:val="right"/>
      <w:pPr>
        <w:ind w:left="2160" w:hanging="180"/>
      </w:pPr>
    </w:lvl>
    <w:lvl w:ilvl="3" w:tplc="EBCCA0C4" w:tentative="1">
      <w:start w:val="1"/>
      <w:numFmt w:val="decimal"/>
      <w:lvlText w:val="%4."/>
      <w:lvlJc w:val="left"/>
      <w:pPr>
        <w:ind w:left="2880" w:hanging="360"/>
      </w:pPr>
    </w:lvl>
    <w:lvl w:ilvl="4" w:tplc="30F8F250" w:tentative="1">
      <w:start w:val="1"/>
      <w:numFmt w:val="lowerLetter"/>
      <w:lvlText w:val="%5."/>
      <w:lvlJc w:val="left"/>
      <w:pPr>
        <w:ind w:left="3600" w:hanging="360"/>
      </w:pPr>
    </w:lvl>
    <w:lvl w:ilvl="5" w:tplc="95426A3C" w:tentative="1">
      <w:start w:val="1"/>
      <w:numFmt w:val="lowerRoman"/>
      <w:lvlText w:val="%6."/>
      <w:lvlJc w:val="right"/>
      <w:pPr>
        <w:ind w:left="4320" w:hanging="180"/>
      </w:pPr>
    </w:lvl>
    <w:lvl w:ilvl="6" w:tplc="F370D54C" w:tentative="1">
      <w:start w:val="1"/>
      <w:numFmt w:val="decimal"/>
      <w:lvlText w:val="%7."/>
      <w:lvlJc w:val="left"/>
      <w:pPr>
        <w:ind w:left="5040" w:hanging="360"/>
      </w:pPr>
    </w:lvl>
    <w:lvl w:ilvl="7" w:tplc="4EAC7288" w:tentative="1">
      <w:start w:val="1"/>
      <w:numFmt w:val="lowerLetter"/>
      <w:lvlText w:val="%8."/>
      <w:lvlJc w:val="left"/>
      <w:pPr>
        <w:ind w:left="5760" w:hanging="360"/>
      </w:pPr>
    </w:lvl>
    <w:lvl w:ilvl="8" w:tplc="31445F6C"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0"/>
  </w:num>
  <w:num w:numId="6">
    <w:abstractNumId w:val="10"/>
  </w:num>
  <w:num w:numId="7">
    <w:abstractNumId w:val="13"/>
  </w:num>
  <w:num w:numId="8">
    <w:abstractNumId w:val="15"/>
  </w:num>
  <w:num w:numId="9">
    <w:abstractNumId w:val="4"/>
  </w:num>
  <w:num w:numId="10">
    <w:abstractNumId w:val="14"/>
  </w:num>
  <w:num w:numId="11">
    <w:abstractNumId w:val="11"/>
  </w:num>
  <w:num w:numId="12">
    <w:abstractNumId w:val="16"/>
  </w:num>
  <w:num w:numId="13">
    <w:abstractNumId w:val="2"/>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8"/>
  </w:num>
  <w:num w:numId="21">
    <w:abstractNumId w:val="8"/>
    <w:lvlOverride w:ilvl="0">
      <w:lvl w:ilvl="0">
        <w:start w:val="1"/>
        <w:numFmt w:val="decimal"/>
        <w:pStyle w:val="HEADER1NOTES"/>
        <w:lvlText w:val="%1."/>
        <w:lvlJc w:val="left"/>
        <w:pPr>
          <w:ind w:left="907" w:hanging="907"/>
        </w:pPr>
        <w:rPr>
          <w:rFonts w:hint="default"/>
        </w:rPr>
      </w:lvl>
    </w:lvlOverride>
    <w:lvlOverride w:ilvl="1">
      <w:lvl w:ilvl="1">
        <w:start w:val="1"/>
        <w:numFmt w:val="decimal"/>
        <w:pStyle w:val="HEADER2NOTES"/>
        <w:lvlText w:val="%1.%2."/>
        <w:lvlJc w:val="left"/>
        <w:pPr>
          <w:ind w:left="907" w:hanging="907"/>
        </w:pPr>
        <w:rPr>
          <w:rFonts w:hint="default"/>
        </w:rPr>
      </w:lvl>
    </w:lvlOverride>
    <w:lvlOverride w:ilvl="2">
      <w:lvl w:ilvl="2">
        <w:start w:val="1"/>
        <w:numFmt w:val="decimal"/>
        <w:pStyle w:val="HEADER3NOTES"/>
        <w:lvlText w:val="%1.%2.%3."/>
        <w:lvlJc w:val="left"/>
        <w:pPr>
          <w:ind w:left="907" w:hanging="907"/>
        </w:pPr>
        <w:rPr>
          <w:rFonts w:hint="default"/>
        </w:rPr>
      </w:lvl>
    </w:lvlOverride>
    <w:lvlOverride w:ilvl="3">
      <w:lvl w:ilvl="3">
        <w:start w:val="1"/>
        <w:numFmt w:val="decimal"/>
        <w:pStyle w:val="HEADER4Part1"/>
        <w:lvlText w:val="%1.%2.%3.%4."/>
        <w:lvlJc w:val="left"/>
        <w:pPr>
          <w:ind w:left="907" w:hanging="907"/>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22">
    <w:abstractNumId w:val="17"/>
  </w:num>
  <w:num w:numId="23">
    <w:abstractNumId w:val="18"/>
  </w:num>
  <w:num w:numId="24">
    <w:abstractNumId w:val="19"/>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COVERPAGE_EXISTS" w:val="True"/>
    <w:docVar w:name="LW_COVERPAGE_GUID" w:val="7E076EBA-8BC3-475D-9469-B030AAEA8B45"/>
    <w:docVar w:name="LW_COVERPAGE_TYPE" w:val="1"/>
    <w:docVar w:name="LW_CROSSREFERENCE" w:val="&lt;UNUSED&gt;"/>
    <w:docVar w:name="LW_DocType" w:val="NORMAL"/>
    <w:docVar w:name="LW_EMISSION" w:val="27.6.2018"/>
    <w:docVar w:name="LW_EMISSION_ISODATE" w:val="2018-06-27"/>
    <w:docVar w:name="LW_EMISSION_LOCATION" w:val="BRX"/>
    <w:docVar w:name="LW_EMISSION_PREFIX" w:val="Brussels,"/>
    <w:docVar w:name="LW_EMISSION_SUFFIX" w:val="&lt;EMPTY&gt;"/>
    <w:docVar w:name="LW_ID_DOCTYPE_NONLW" w:val="CP-040"/>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5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NNUAL ACCOUNTS OF THE EUROPEAN COMMISSION 2017"/>
    <w:docVar w:name="LW_TYPE.DOC.CP" w:val="COMMUNICATION  FROM THE COMMISSION TO THE EUROPEAN PARLIAMENT, THE COUNCIL AND THE COURT OF AUDITORS"/>
  </w:docVars>
  <w:rsids>
    <w:rsidRoot w:val="004D38C4"/>
    <w:rsid w:val="004D38C4"/>
    <w:rsid w:val="00BC2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Cambria" w:eastAsia="Times New Roman" w:hAnsi="Cambria" w:cs="Times New Roman"/>
      <w:b/>
      <w:bCs/>
      <w:color w:val="365F91"/>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Cambria" w:eastAsia="Times New Roman" w:hAnsi="Cambria" w:cs="Times New Roman"/>
      <w:b/>
      <w:bCs/>
      <w:color w:val="365F91"/>
      <w:sz w:val="28"/>
      <w:szCs w:val="28"/>
      <w:lang w:eastAsia="en-GB"/>
    </w:rPr>
  </w:style>
  <w:style w:type="paragraph" w:customStyle="1" w:styleId="CoverPage">
    <w:name w:val="CoverPage"/>
    <w:basedOn w:val="Normal"/>
    <w:qFormat/>
    <w:pPr>
      <w:spacing w:before="240" w:after="720" w:line="360" w:lineRule="auto"/>
      <w:ind w:left="2268"/>
    </w:pPr>
    <w:rPr>
      <w:rFonts w:ascii="Verdana" w:eastAsia="Times New Roman" w:hAnsi="Verdana" w:cs="Times New Roman"/>
      <w:color w:val="016794"/>
      <w:sz w:val="52"/>
      <w:szCs w:val="52"/>
      <w:lang w:eastAsia="en-GB"/>
    </w:rPr>
  </w:style>
  <w:style w:type="paragraph" w:customStyle="1" w:styleId="FIRSTCHAPTERPAGE">
    <w:name w:val="FIRST_CHAPTER_PAGE"/>
    <w:basedOn w:val="Normal"/>
    <w:qFormat/>
    <w:pPr>
      <w:spacing w:before="240" w:after="720" w:line="240" w:lineRule="auto"/>
    </w:pPr>
    <w:rPr>
      <w:rFonts w:ascii="Verdana" w:eastAsia="Times New Roman" w:hAnsi="Verdana" w:cs="Times New Roman"/>
      <w:b/>
      <w:color w:val="016794"/>
      <w:sz w:val="40"/>
      <w:szCs w:val="40"/>
      <w:lang w:eastAsia="en-GB"/>
    </w:rPr>
  </w:style>
  <w:style w:type="paragraph" w:styleId="BalloonText">
    <w:name w:val="Balloon Text"/>
    <w:basedOn w:val="Normal"/>
    <w:link w:val="BalloonTextChar"/>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paragraph" w:customStyle="1" w:styleId="FinancialYear">
    <w:name w:val="Financial_Year"/>
    <w:basedOn w:val="Normal"/>
    <w:qFormat/>
    <w:pPr>
      <w:spacing w:after="0" w:line="240" w:lineRule="auto"/>
      <w:jc w:val="right"/>
    </w:pPr>
    <w:rPr>
      <w:rFonts w:ascii="Verdana" w:eastAsia="Times New Roman" w:hAnsi="Verdana" w:cs="Times New Roman"/>
      <w:color w:val="016794"/>
      <w:lang w:eastAsia="en-GB"/>
    </w:rPr>
  </w:style>
  <w:style w:type="paragraph" w:customStyle="1" w:styleId="TOPHEADERNOTE">
    <w:name w:val="TOPHEADER_NOTE"/>
    <w:basedOn w:val="Normal"/>
    <w:qFormat/>
    <w:pPr>
      <w:spacing w:after="0" w:line="240" w:lineRule="auto"/>
    </w:pPr>
    <w:rPr>
      <w:rFonts w:ascii="Verdana" w:eastAsia="Times New Roman" w:hAnsi="Verdana" w:cs="Times New Roman"/>
      <w:i/>
      <w:color w:val="016794"/>
      <w:sz w:val="18"/>
      <w:szCs w:val="24"/>
      <w:lang w:eastAsia="en-GB"/>
    </w:rPr>
  </w:style>
  <w:style w:type="paragraph" w:customStyle="1" w:styleId="HEADERTABLE">
    <w:name w:val="HEADER_TABLE"/>
    <w:basedOn w:val="Normal"/>
    <w:qFormat/>
    <w:pPr>
      <w:spacing w:after="240" w:line="240" w:lineRule="auto"/>
    </w:pPr>
    <w:rPr>
      <w:rFonts w:ascii="Verdana" w:eastAsia="Times New Roman" w:hAnsi="Verdana" w:cs="Times New Roman"/>
      <w:b/>
      <w:color w:val="016794"/>
      <w:sz w:val="28"/>
      <w:szCs w:val="28"/>
      <w:lang w:eastAsia="en-GB"/>
    </w:rPr>
  </w:style>
  <w:style w:type="paragraph" w:customStyle="1" w:styleId="Textstand-alonenumberingLetters">
    <w:name w:val="Text_stand-alone_(numbering Letters)"/>
    <w:basedOn w:val="Normal"/>
    <w:qFormat/>
    <w:pPr>
      <w:numPr>
        <w:numId w:val="2"/>
      </w:numPr>
      <w:spacing w:after="240" w:line="240" w:lineRule="auto"/>
      <w:ind w:hanging="720"/>
    </w:pPr>
    <w:rPr>
      <w:rFonts w:ascii="Verdana" w:eastAsia="Times New Roman" w:hAnsi="Verdana" w:cs="Times New Roman"/>
      <w:sz w:val="18"/>
      <w:szCs w:val="18"/>
      <w:lang w:eastAsia="en-GB"/>
    </w:rPr>
  </w:style>
  <w:style w:type="paragraph" w:customStyle="1" w:styleId="SignatureRightItalic">
    <w:name w:val="Signature_Right + Italic"/>
    <w:basedOn w:val="Normal"/>
    <w:qFormat/>
    <w:pPr>
      <w:spacing w:before="240" w:after="0" w:line="240" w:lineRule="auto"/>
      <w:ind w:left="4394" w:right="1128"/>
      <w:jc w:val="center"/>
    </w:pPr>
    <w:rPr>
      <w:rFonts w:ascii="Verdana" w:eastAsia="Times New Roman" w:hAnsi="Verdana" w:cs="Times New Roman"/>
      <w:i/>
      <w:sz w:val="18"/>
      <w:szCs w:val="18"/>
      <w:lang w:eastAsia="en-GB"/>
    </w:rPr>
  </w:style>
  <w:style w:type="paragraph" w:customStyle="1" w:styleId="HEADER3Part1">
    <w:name w:val="HEADER 3_Part 1"/>
    <w:basedOn w:val="Normal"/>
    <w:qFormat/>
    <w:pPr>
      <w:numPr>
        <w:ilvl w:val="2"/>
        <w:numId w:val="4"/>
      </w:numPr>
      <w:tabs>
        <w:tab w:val="left" w:pos="907"/>
      </w:tabs>
      <w:spacing w:before="360" w:after="360" w:line="240" w:lineRule="auto"/>
    </w:pPr>
    <w:rPr>
      <w:rFonts w:ascii="Verdana" w:eastAsia="Times New Roman" w:hAnsi="Verdana" w:cs="Times New Roman"/>
      <w:color w:val="016794"/>
      <w:sz w:val="20"/>
      <w:szCs w:val="20"/>
      <w:lang w:eastAsia="en-GB"/>
    </w:rPr>
  </w:style>
  <w:style w:type="paragraph" w:customStyle="1" w:styleId="HEADER4Part1">
    <w:name w:val="HEADER 4_Part 1"/>
    <w:basedOn w:val="HEADER3Part1"/>
    <w:qFormat/>
    <w:pPr>
      <w:numPr>
        <w:ilvl w:val="3"/>
        <w:numId w:val="20"/>
      </w:numPr>
    </w:pPr>
    <w:rPr>
      <w:sz w:val="18"/>
      <w:szCs w:val="18"/>
    </w:rPr>
  </w:style>
  <w:style w:type="paragraph" w:customStyle="1" w:styleId="HEADER2Part1">
    <w:name w:val="HEADER 2 _Part 1"/>
    <w:basedOn w:val="Normal"/>
    <w:qFormat/>
    <w:pPr>
      <w:numPr>
        <w:ilvl w:val="1"/>
        <w:numId w:val="4"/>
      </w:numPr>
      <w:tabs>
        <w:tab w:val="left" w:pos="907"/>
      </w:tabs>
      <w:spacing w:before="360" w:after="360" w:line="240" w:lineRule="auto"/>
    </w:pPr>
    <w:rPr>
      <w:rFonts w:ascii="Verdana" w:eastAsia="Times New Roman" w:hAnsi="Verdana" w:cs="Times New Roman"/>
      <w:b/>
      <w:color w:val="016794"/>
      <w:sz w:val="28"/>
      <w:szCs w:val="24"/>
      <w:lang w:eastAsia="en-GB"/>
    </w:rPr>
  </w:style>
  <w:style w:type="paragraph" w:customStyle="1" w:styleId="Textstand-alonenumberingRCIndentJustified">
    <w:name w:val="Text_stand-alone_numbering RC Indent + Justified"/>
    <w:basedOn w:val="Normal"/>
    <w:qFormat/>
    <w:pPr>
      <w:numPr>
        <w:numId w:val="12"/>
      </w:numPr>
      <w:spacing w:after="0" w:line="240" w:lineRule="auto"/>
      <w:ind w:left="992" w:hanging="635"/>
    </w:pPr>
    <w:rPr>
      <w:rFonts w:ascii="Verdana" w:eastAsia="Times New Roman" w:hAnsi="Verdana" w:cs="Times New Roman"/>
      <w:sz w:val="18"/>
      <w:szCs w:val="18"/>
      <w:lang w:eastAsia="en-GB"/>
    </w:rPr>
  </w:style>
  <w:style w:type="paragraph" w:customStyle="1" w:styleId="HEADER1Part2">
    <w:name w:val="HEADER 1_Part 2"/>
    <w:basedOn w:val="Normal"/>
    <w:qFormat/>
    <w:pPr>
      <w:numPr>
        <w:numId w:val="11"/>
      </w:numPr>
      <w:tabs>
        <w:tab w:val="left" w:pos="907"/>
      </w:tabs>
      <w:spacing w:after="240" w:line="240" w:lineRule="auto"/>
      <w:jc w:val="both"/>
    </w:pPr>
    <w:rPr>
      <w:rFonts w:ascii="Verdana" w:eastAsia="Times New Roman" w:hAnsi="Verdana" w:cs="Times New Roman"/>
      <w:b/>
      <w:color w:val="016794"/>
      <w:sz w:val="32"/>
      <w:szCs w:val="32"/>
      <w:lang w:eastAsia="en-GB"/>
    </w:rPr>
  </w:style>
  <w:style w:type="paragraph" w:customStyle="1" w:styleId="HEADER2Part2">
    <w:name w:val="HEADER 2_Part 2"/>
    <w:basedOn w:val="Normal"/>
    <w:qFormat/>
    <w:pPr>
      <w:numPr>
        <w:ilvl w:val="1"/>
        <w:numId w:val="11"/>
      </w:numPr>
      <w:tabs>
        <w:tab w:val="left" w:pos="907"/>
      </w:tabs>
      <w:spacing w:before="360" w:after="360" w:line="240" w:lineRule="auto"/>
    </w:pPr>
    <w:rPr>
      <w:rFonts w:ascii="Verdana" w:eastAsia="Times New Roman" w:hAnsi="Verdana" w:cs="Times New Roman"/>
      <w:b/>
      <w:color w:val="016794"/>
      <w:sz w:val="28"/>
      <w:szCs w:val="28"/>
      <w:lang w:eastAsia="en-GB"/>
    </w:rPr>
  </w:style>
  <w:style w:type="paragraph" w:customStyle="1" w:styleId="HEADER3Part2">
    <w:name w:val="HEADER 3_Part 2"/>
    <w:basedOn w:val="HEADER3Part1"/>
    <w:qFormat/>
    <w:pPr>
      <w:numPr>
        <w:numId w:val="11"/>
      </w:numPr>
    </w:pPr>
  </w:style>
  <w:style w:type="paragraph" w:customStyle="1" w:styleId="HEADER4Part2">
    <w:name w:val="HEADER 4_Part 2"/>
    <w:basedOn w:val="HEADER4Part1"/>
    <w:qFormat/>
    <w:pPr>
      <w:numPr>
        <w:numId w:val="11"/>
      </w:numPr>
    </w:pPr>
  </w:style>
  <w:style w:type="paragraph" w:customStyle="1" w:styleId="HEADER5">
    <w:name w:val="HEADER 5"/>
    <w:basedOn w:val="Normal"/>
    <w:qFormat/>
    <w:pPr>
      <w:spacing w:after="0" w:line="240" w:lineRule="auto"/>
    </w:pPr>
    <w:rPr>
      <w:rFonts w:ascii="Verdana" w:eastAsia="Times New Roman" w:hAnsi="Verdana" w:cs="Times New Roman"/>
      <w:color w:val="016794"/>
      <w:sz w:val="18"/>
      <w:szCs w:val="18"/>
      <w:lang w:eastAsia="en-GB"/>
    </w:rPr>
  </w:style>
  <w:style w:type="paragraph" w:customStyle="1" w:styleId="TOCTitle">
    <w:name w:val="TOC_Title"/>
    <w:basedOn w:val="Normal"/>
    <w:qFormat/>
    <w:pPr>
      <w:spacing w:before="360" w:after="120" w:line="240" w:lineRule="auto"/>
    </w:pPr>
    <w:rPr>
      <w:rFonts w:ascii="Verdana" w:eastAsia="Times New Roman" w:hAnsi="Verdana" w:cs="Times New Roman"/>
      <w:b/>
      <w:color w:val="016794"/>
      <w:sz w:val="40"/>
      <w:szCs w:val="40"/>
      <w:lang w:eastAsia="en-GB"/>
    </w:rPr>
  </w:style>
  <w:style w:type="paragraph" w:customStyle="1" w:styleId="HEADER1Part3">
    <w:name w:val="HEADER 1_Part 3"/>
    <w:basedOn w:val="Normal"/>
    <w:qFormat/>
    <w:pPr>
      <w:numPr>
        <w:numId w:val="5"/>
      </w:numPr>
      <w:tabs>
        <w:tab w:val="left" w:pos="907"/>
      </w:tabs>
      <w:spacing w:after="240" w:line="240" w:lineRule="auto"/>
    </w:pPr>
    <w:rPr>
      <w:rFonts w:ascii="Verdana" w:eastAsia="Times New Roman" w:hAnsi="Verdana" w:cs="Times New Roman"/>
      <w:b/>
      <w:color w:val="016794"/>
      <w:sz w:val="32"/>
      <w:szCs w:val="32"/>
      <w:lang w:eastAsia="en-GB"/>
    </w:rPr>
  </w:style>
  <w:style w:type="paragraph" w:customStyle="1" w:styleId="HEADER2Part3">
    <w:name w:val="HEADER 2_Part 3"/>
    <w:basedOn w:val="Normal"/>
    <w:qFormat/>
    <w:pPr>
      <w:numPr>
        <w:ilvl w:val="1"/>
        <w:numId w:val="5"/>
      </w:numPr>
      <w:tabs>
        <w:tab w:val="left" w:pos="907"/>
      </w:tabs>
      <w:spacing w:before="360" w:after="360" w:line="240" w:lineRule="auto"/>
    </w:pPr>
    <w:rPr>
      <w:rFonts w:ascii="Verdana" w:eastAsia="Times New Roman" w:hAnsi="Verdana" w:cs="Times New Roman"/>
      <w:b/>
      <w:noProof/>
      <w:color w:val="016794"/>
      <w:sz w:val="28"/>
      <w:szCs w:val="30"/>
    </w:rPr>
  </w:style>
  <w:style w:type="paragraph" w:customStyle="1" w:styleId="HEADER3Part3">
    <w:name w:val="HEADER 3_Part 3"/>
    <w:basedOn w:val="HEADER3Part1"/>
    <w:qFormat/>
    <w:pPr>
      <w:numPr>
        <w:numId w:val="5"/>
      </w:numPr>
    </w:pPr>
  </w:style>
  <w:style w:type="paragraph" w:customStyle="1" w:styleId="HEADER4Part3">
    <w:name w:val="HEADER 4_Part 3"/>
    <w:basedOn w:val="HEADER4Part1"/>
    <w:qFormat/>
    <w:pPr>
      <w:numPr>
        <w:ilvl w:val="0"/>
        <w:numId w:val="14"/>
      </w:numPr>
      <w:spacing w:before="0" w:after="0"/>
      <w:ind w:left="907" w:hanging="907"/>
    </w:pPr>
  </w:style>
  <w:style w:type="paragraph" w:customStyle="1" w:styleId="SignatureRight">
    <w:name w:val="Signature_Right"/>
    <w:basedOn w:val="SignatureRightItalic"/>
    <w:qFormat/>
    <w:rPr>
      <w:i w:val="0"/>
    </w:rPr>
  </w:style>
  <w:style w:type="paragraph" w:customStyle="1" w:styleId="SignatureRightBold">
    <w:name w:val="Signature_Right Bold"/>
    <w:basedOn w:val="SignatureRight"/>
    <w:qFormat/>
    <w:pPr>
      <w:spacing w:before="120" w:after="120"/>
    </w:pPr>
    <w:rPr>
      <w:b/>
    </w:rPr>
  </w:style>
  <w:style w:type="paragraph" w:customStyle="1" w:styleId="Textstand-alone">
    <w:name w:val="Text_stand-alone"/>
    <w:basedOn w:val="Normal"/>
    <w:qFormat/>
    <w:pPr>
      <w:spacing w:before="240" w:after="240" w:line="240" w:lineRule="auto"/>
      <w:jc w:val="both"/>
    </w:pPr>
    <w:rPr>
      <w:rFonts w:ascii="Verdana" w:eastAsia="Times New Roman" w:hAnsi="Verdana" w:cs="Times New Roman"/>
      <w:noProof/>
      <w:sz w:val="18"/>
      <w:szCs w:val="18"/>
    </w:rPr>
  </w:style>
  <w:style w:type="paragraph" w:customStyle="1" w:styleId="SignatureRightItalic0">
    <w:name w:val="Signature_Right Italic"/>
    <w:basedOn w:val="SignatureRightBold"/>
    <w:qFormat/>
    <w:rPr>
      <w:b w:val="0"/>
      <w:i/>
    </w:rPr>
  </w:style>
  <w:style w:type="paragraph" w:customStyle="1" w:styleId="SubTextIndentJustified">
    <w:name w:val="SubText_Indent_Justified"/>
    <w:basedOn w:val="Normal"/>
    <w:qFormat/>
    <w:pPr>
      <w:spacing w:after="240" w:line="240" w:lineRule="auto"/>
      <w:ind w:left="720"/>
    </w:pPr>
    <w:rPr>
      <w:rFonts w:ascii="Verdana" w:eastAsia="Times New Roman" w:hAnsi="Verdana" w:cs="Times New Roman"/>
      <w:sz w:val="18"/>
      <w:szCs w:val="18"/>
      <w:lang w:eastAsia="en-GB"/>
    </w:rPr>
  </w:style>
  <w:style w:type="character" w:styleId="Hyperlink">
    <w:name w:val="Hyperlink"/>
    <w:uiPriority w:val="99"/>
    <w:rPr>
      <w:color w:val="0000FF"/>
      <w:u w:val="single"/>
    </w:rPr>
  </w:style>
  <w:style w:type="paragraph" w:customStyle="1" w:styleId="HEADER1Part1">
    <w:name w:val="HEADER 1_Part 1"/>
    <w:basedOn w:val="HEADER1Part3"/>
    <w:qFormat/>
    <w:pPr>
      <w:numPr>
        <w:numId w:val="4"/>
      </w:numPr>
      <w:jc w:val="both"/>
    </w:pPr>
  </w:style>
  <w:style w:type="paragraph" w:customStyle="1" w:styleId="Textstand-alonebulletpointJustified">
    <w:name w:val="Text_stand-alone_bullet point + Justified"/>
    <w:basedOn w:val="Normal"/>
    <w:qFormat/>
    <w:pPr>
      <w:numPr>
        <w:numId w:val="7"/>
      </w:numPr>
      <w:spacing w:after="240" w:line="240" w:lineRule="auto"/>
      <w:contextualSpacing/>
      <w:jc w:val="both"/>
    </w:pPr>
    <w:rPr>
      <w:rFonts w:ascii="Verdana" w:eastAsia="Times New Roman" w:hAnsi="Verdana" w:cs="Times New Roman"/>
      <w:sz w:val="18"/>
      <w:szCs w:val="24"/>
      <w:lang w:eastAsia="en-GB"/>
    </w:rPr>
  </w:style>
  <w:style w:type="paragraph" w:customStyle="1" w:styleId="TextSubtitlenumberingRCItalic">
    <w:name w:val="Text_Subtitle_(numbering RC Italic)"/>
    <w:basedOn w:val="Normal"/>
    <w:qFormat/>
    <w:pPr>
      <w:numPr>
        <w:numId w:val="1"/>
      </w:numPr>
      <w:spacing w:after="0" w:line="240" w:lineRule="auto"/>
    </w:pPr>
    <w:rPr>
      <w:rFonts w:ascii="Verdana" w:eastAsia="Times New Roman" w:hAnsi="Verdana" w:cs="Times New Roman"/>
      <w:i/>
      <w:sz w:val="18"/>
      <w:szCs w:val="18"/>
      <w:lang w:eastAsia="en-GB"/>
    </w:rPr>
  </w:style>
  <w:style w:type="paragraph" w:customStyle="1" w:styleId="TextstandalonenumberingRCJustified">
    <w:name w:val="Text_stand alone_(numbering RC + Justified)"/>
    <w:qFormat/>
    <w:pPr>
      <w:numPr>
        <w:numId w:val="9"/>
      </w:numPr>
      <w:pBdr>
        <w:top w:val="nil"/>
        <w:left w:val="nil"/>
        <w:bottom w:val="nil"/>
        <w:right w:val="nil"/>
        <w:between w:val="nil"/>
        <w:bar w:val="nil"/>
      </w:pBdr>
      <w:spacing w:before="240" w:after="0" w:line="240" w:lineRule="auto"/>
      <w:ind w:left="567" w:hanging="567"/>
      <w:jc w:val="both"/>
    </w:pPr>
    <w:rPr>
      <w:rFonts w:ascii="Verdana" w:eastAsia="Calibri" w:hAnsi="Verdana" w:cs="Times New Roman"/>
      <w:noProof/>
      <w:sz w:val="18"/>
      <w:szCs w:val="18"/>
      <w:bdr w:val="nil"/>
    </w:rPr>
  </w:style>
  <w:style w:type="paragraph" w:customStyle="1" w:styleId="Textstand-alonenumberingJustified">
    <w:name w:val="Text_stand-alone_(numbering) + Justified"/>
    <w:basedOn w:val="Normal"/>
    <w:qFormat/>
    <w:pPr>
      <w:numPr>
        <w:numId w:val="6"/>
      </w:numPr>
      <w:spacing w:after="240" w:line="240" w:lineRule="auto"/>
      <w:ind w:hanging="720"/>
      <w:jc w:val="both"/>
    </w:pPr>
    <w:rPr>
      <w:rFonts w:ascii="Verdana" w:eastAsia="Times New Roman" w:hAnsi="Verdana" w:cs="Times New Roman"/>
      <w:sz w:val="18"/>
      <w:szCs w:val="18"/>
      <w:lang w:eastAsia="en-GB"/>
    </w:rPr>
  </w:style>
  <w:style w:type="paragraph" w:customStyle="1" w:styleId="Textstand-aloneBulletpoint">
    <w:name w:val="Text_stand-alone Bullet point"/>
    <w:basedOn w:val="Normal"/>
    <w:qFormat/>
    <w:pPr>
      <w:numPr>
        <w:numId w:val="10"/>
      </w:numPr>
      <w:spacing w:after="240" w:line="240" w:lineRule="auto"/>
      <w:ind w:left="357" w:hanging="357"/>
      <w:contextualSpacing/>
    </w:pPr>
    <w:rPr>
      <w:rFonts w:ascii="Verdana" w:eastAsia="Times New Roman" w:hAnsi="Verdana" w:cs="Times New Roman"/>
      <w:sz w:val="18"/>
      <w:szCs w:val="18"/>
      <w:lang w:eastAsia="en-GB"/>
    </w:rPr>
  </w:style>
  <w:style w:type="paragraph" w:customStyle="1" w:styleId="TextSubtitleItalicnumberinglettera">
    <w:name w:val="Text_Subtitle Italic numbering letter (a)"/>
    <w:basedOn w:val="Normal"/>
    <w:qFormat/>
    <w:pPr>
      <w:numPr>
        <w:numId w:val="3"/>
      </w:numPr>
      <w:spacing w:after="0" w:line="240" w:lineRule="auto"/>
      <w:ind w:left="357" w:hanging="357"/>
    </w:pPr>
    <w:rPr>
      <w:rFonts w:ascii="Verdana" w:eastAsia="Times New Roman" w:hAnsi="Verdana" w:cs="Times New Roman"/>
      <w:i/>
      <w:sz w:val="18"/>
      <w:szCs w:val="18"/>
      <w:lang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DGTextstand-alonenumbering">
    <w:name w:val="DG_Text_stand-alone_(numbering)"/>
    <w:qFormat/>
    <w:pPr>
      <w:numPr>
        <w:numId w:val="13"/>
      </w:numPr>
      <w:spacing w:after="240" w:line="240" w:lineRule="auto"/>
      <w:ind w:hanging="720"/>
    </w:pPr>
    <w:rPr>
      <w:rFonts w:ascii="Verdana" w:eastAsia="Times New Roman" w:hAnsi="Verdana" w:cs="Times New Roman"/>
      <w:noProof/>
      <w:sz w:val="18"/>
      <w:szCs w:val="18"/>
    </w:rPr>
  </w:style>
  <w:style w:type="paragraph" w:customStyle="1" w:styleId="HEADERTITLE">
    <w:name w:val="HEADER_TITLE"/>
    <w:basedOn w:val="Textstand-alone"/>
    <w:qFormat/>
    <w:pPr>
      <w:tabs>
        <w:tab w:val="left" w:pos="907"/>
      </w:tabs>
      <w:spacing w:before="0"/>
      <w:jc w:val="left"/>
    </w:pPr>
    <w:rPr>
      <w:b/>
      <w:color w:val="016794"/>
      <w:sz w:val="28"/>
    </w:rPr>
  </w:style>
  <w:style w:type="paragraph" w:customStyle="1" w:styleId="FIRSTCHAPTERPAGE1">
    <w:name w:val="FIRST CHAPTER_PAGE_1"/>
    <w:basedOn w:val="Textstand-alone"/>
    <w:qFormat/>
    <w:pPr>
      <w:tabs>
        <w:tab w:val="left" w:pos="907"/>
      </w:tabs>
      <w:spacing w:after="720"/>
      <w:jc w:val="left"/>
    </w:pPr>
    <w:rPr>
      <w:b/>
      <w:color w:val="016794"/>
      <w:sz w:val="40"/>
    </w:rPr>
  </w:style>
  <w:style w:type="paragraph" w:customStyle="1" w:styleId="FIRSTCHAPTERPAGE2">
    <w:name w:val="FIRST CHAPTER_PAGE_2"/>
    <w:basedOn w:val="Textstand-alone"/>
    <w:qFormat/>
    <w:pPr>
      <w:tabs>
        <w:tab w:val="left" w:pos="907"/>
      </w:tabs>
      <w:spacing w:after="720"/>
    </w:pPr>
    <w:rPr>
      <w:b/>
      <w:color w:val="016794"/>
      <w:sz w:val="40"/>
    </w:rPr>
  </w:style>
  <w:style w:type="paragraph" w:customStyle="1" w:styleId="HEADERTITLE1">
    <w:name w:val="HEADER_TITLE_1"/>
    <w:basedOn w:val="Textstand-alone"/>
    <w:qFormat/>
    <w:pPr>
      <w:tabs>
        <w:tab w:val="left" w:pos="907"/>
      </w:tabs>
      <w:spacing w:before="0"/>
      <w:jc w:val="left"/>
    </w:pPr>
    <w:rPr>
      <w:b/>
      <w:color w:val="016794"/>
      <w:sz w:val="28"/>
    </w:rPr>
  </w:style>
  <w:style w:type="paragraph" w:styleId="TOCHeading">
    <w:name w:val="TOC Heading"/>
    <w:basedOn w:val="Heading1"/>
    <w:next w:val="Normal"/>
    <w:uiPriority w:val="39"/>
    <w:unhideWhenUsed/>
    <w:qFormat/>
    <w:pPr>
      <w:spacing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qFormat/>
    <w:pPr>
      <w:spacing w:after="100" w:line="240" w:lineRule="auto"/>
    </w:pPr>
    <w:rPr>
      <w:rFonts w:ascii="Verdana" w:eastAsia="Times New Roman" w:hAnsi="Verdana" w:cs="Times New Roman"/>
      <w:color w:val="365F91" w:themeColor="accent1" w:themeShade="BF"/>
      <w:szCs w:val="24"/>
      <w:lang w:eastAsia="en-GB"/>
    </w:rPr>
  </w:style>
  <w:style w:type="paragraph" w:styleId="TOC2">
    <w:name w:val="toc 2"/>
    <w:basedOn w:val="Normal"/>
    <w:next w:val="Normal"/>
    <w:autoRedefine/>
    <w:uiPriority w:val="39"/>
    <w:unhideWhenUsed/>
    <w:qFormat/>
    <w:pPr>
      <w:tabs>
        <w:tab w:val="left" w:pos="1100"/>
        <w:tab w:val="right" w:leader="dot" w:pos="9629"/>
      </w:tabs>
      <w:spacing w:after="100" w:line="240" w:lineRule="auto"/>
      <w:ind w:left="1134" w:hanging="894"/>
    </w:pPr>
    <w:rPr>
      <w:rFonts w:ascii="Verdana" w:eastAsia="Times New Roman" w:hAnsi="Verdana" w:cs="Times New Roman"/>
      <w:color w:val="808080" w:themeColor="background1" w:themeShade="80"/>
      <w:szCs w:val="24"/>
      <w:lang w:eastAsia="en-GB"/>
    </w:rPr>
  </w:style>
  <w:style w:type="paragraph" w:customStyle="1" w:styleId="HEADERTITLE2">
    <w:name w:val="HEADER_TITLE_2"/>
    <w:basedOn w:val="HEADERTITLE1"/>
    <w:qFormat/>
  </w:style>
  <w:style w:type="paragraph" w:customStyle="1" w:styleId="HEADER1Part4">
    <w:name w:val="HEADER 1_Part 4"/>
    <w:basedOn w:val="HEADER1Part3"/>
    <w:qFormat/>
    <w:pPr>
      <w:numPr>
        <w:numId w:val="18"/>
      </w:numPr>
      <w:ind w:left="851" w:hanging="851"/>
    </w:pPr>
  </w:style>
  <w:style w:type="paragraph" w:customStyle="1" w:styleId="Header2Part4">
    <w:name w:val="Header 2_Part 4"/>
    <w:basedOn w:val="HEADER2Part3"/>
    <w:qFormat/>
  </w:style>
  <w:style w:type="paragraph" w:customStyle="1" w:styleId="HEADER1PartBUDG">
    <w:name w:val="HEADER 1_Part BUDG"/>
    <w:basedOn w:val="Normal"/>
    <w:qFormat/>
    <w:pPr>
      <w:numPr>
        <w:numId w:val="19"/>
      </w:numPr>
      <w:tabs>
        <w:tab w:val="left" w:pos="907"/>
      </w:tabs>
      <w:spacing w:after="240" w:line="240" w:lineRule="auto"/>
      <w:jc w:val="both"/>
    </w:pPr>
    <w:rPr>
      <w:rFonts w:ascii="Verdana" w:eastAsia="Times New Roman" w:hAnsi="Verdana" w:cs="Times New Roman"/>
      <w:b/>
      <w:color w:val="016794"/>
      <w:sz w:val="32"/>
      <w:szCs w:val="32"/>
      <w:lang w:val="fr-BE" w:eastAsia="en-GB"/>
    </w:rPr>
  </w:style>
  <w:style w:type="paragraph" w:customStyle="1" w:styleId="HEADER2PartBUDG">
    <w:name w:val="HEADER 2_Part BUDG"/>
    <w:basedOn w:val="Normal"/>
    <w:qFormat/>
    <w:pPr>
      <w:numPr>
        <w:ilvl w:val="1"/>
        <w:numId w:val="19"/>
      </w:numPr>
      <w:tabs>
        <w:tab w:val="left" w:pos="709"/>
      </w:tabs>
      <w:spacing w:before="360" w:after="360" w:line="240" w:lineRule="auto"/>
    </w:pPr>
    <w:rPr>
      <w:rFonts w:ascii="Verdana" w:eastAsia="Calibri" w:hAnsi="Verdana" w:cs="Times New Roman"/>
      <w:b/>
      <w:color w:val="016794"/>
      <w:sz w:val="28"/>
      <w:szCs w:val="24"/>
      <w:lang w:val="fr-BE" w:eastAsia="en-GB"/>
    </w:rPr>
  </w:style>
  <w:style w:type="paragraph" w:customStyle="1" w:styleId="HEADER3PartBUGD">
    <w:name w:val="HEADER 3_Part BUGD"/>
    <w:basedOn w:val="Normal"/>
    <w:qFormat/>
    <w:pPr>
      <w:numPr>
        <w:ilvl w:val="2"/>
        <w:numId w:val="19"/>
      </w:numPr>
      <w:tabs>
        <w:tab w:val="left" w:pos="0"/>
      </w:tabs>
      <w:spacing w:before="360" w:after="360" w:line="240" w:lineRule="auto"/>
      <w:ind w:firstLine="387"/>
    </w:pPr>
    <w:rPr>
      <w:rFonts w:ascii="Verdana" w:eastAsia="Times New Roman" w:hAnsi="Verdana" w:cs="Times New Roman"/>
      <w:color w:val="016794"/>
      <w:sz w:val="20"/>
      <w:szCs w:val="20"/>
      <w:lang w:val="fr-BE" w:eastAsia="en-GB"/>
    </w:rPr>
  </w:style>
  <w:style w:type="paragraph" w:customStyle="1" w:styleId="HEADER4PartBUDG">
    <w:name w:val="HEADER 4_Part BUDG"/>
    <w:basedOn w:val="Normal"/>
    <w:qFormat/>
    <w:pPr>
      <w:numPr>
        <w:ilvl w:val="3"/>
        <w:numId w:val="19"/>
      </w:numPr>
      <w:tabs>
        <w:tab w:val="left" w:pos="907"/>
      </w:tabs>
      <w:spacing w:before="360" w:after="360" w:line="240" w:lineRule="auto"/>
      <w:ind w:left="567" w:hanging="567"/>
    </w:pPr>
    <w:rPr>
      <w:rFonts w:ascii="Verdana" w:eastAsia="Times New Roman" w:hAnsi="Verdana" w:cs="Times New Roman"/>
      <w:color w:val="016794"/>
      <w:sz w:val="18"/>
      <w:szCs w:val="18"/>
      <w:lang w:val="fr-BE" w:eastAsia="en-GB"/>
    </w:rPr>
  </w:style>
  <w:style w:type="paragraph" w:customStyle="1" w:styleId="HEADER1NOTES">
    <w:name w:val="HEADER 1_NOTES"/>
    <w:basedOn w:val="HEADER1Part2"/>
    <w:qFormat/>
    <w:pPr>
      <w:numPr>
        <w:numId w:val="20"/>
      </w:numPr>
    </w:pPr>
  </w:style>
  <w:style w:type="paragraph" w:customStyle="1" w:styleId="HEADER2NOTES">
    <w:name w:val="HEADER 2_NOTES"/>
    <w:basedOn w:val="HEADER2Part2"/>
    <w:qFormat/>
    <w:pPr>
      <w:numPr>
        <w:numId w:val="20"/>
      </w:numPr>
    </w:pPr>
  </w:style>
  <w:style w:type="paragraph" w:customStyle="1" w:styleId="HEADER3NOTES">
    <w:name w:val="HEADER 3_NOTES"/>
    <w:basedOn w:val="HEADER3Part2"/>
    <w:qFormat/>
    <w:pPr>
      <w:numPr>
        <w:numId w:val="20"/>
      </w:numPr>
    </w:pPr>
  </w:style>
  <w:style w:type="paragraph" w:customStyle="1" w:styleId="HEADER4NOTES">
    <w:name w:val="HEADER 4_NOTES"/>
    <w:basedOn w:val="HEADER4Part2"/>
    <w:qFormat/>
    <w:pPr>
      <w:numPr>
        <w:ilvl w:val="0"/>
        <w:numId w:val="0"/>
      </w:numPr>
    </w:pPr>
  </w:style>
  <w:style w:type="paragraph" w:customStyle="1" w:styleId="DGTextstand-alone">
    <w:name w:val="DG_Text_stand-alone"/>
    <w:link w:val="DGTextstand-aloneChar"/>
    <w:pPr>
      <w:pBdr>
        <w:top w:val="nil"/>
        <w:left w:val="nil"/>
        <w:bottom w:val="nil"/>
        <w:right w:val="nil"/>
        <w:between w:val="nil"/>
        <w:bar w:val="nil"/>
      </w:pBdr>
      <w:spacing w:before="240" w:after="240" w:line="240" w:lineRule="auto"/>
      <w:jc w:val="both"/>
    </w:pPr>
    <w:rPr>
      <w:rFonts w:ascii="Verdana" w:eastAsia="Calibri" w:hAnsi="Verdana" w:cs="Times New Roman"/>
      <w:noProof/>
      <w:sz w:val="18"/>
      <w:szCs w:val="18"/>
      <w:bdr w:val="nil"/>
    </w:rPr>
  </w:style>
  <w:style w:type="character" w:customStyle="1" w:styleId="DGTextstand-aloneChar">
    <w:name w:val="DG_Text_stand-alone Char"/>
    <w:link w:val="DGTextstand-alone"/>
    <w:rPr>
      <w:rFonts w:ascii="Verdana" w:eastAsia="Calibri" w:hAnsi="Verdana" w:cs="Times New Roman"/>
      <w:noProof/>
      <w:sz w:val="18"/>
      <w:szCs w:val="18"/>
      <w:bdr w:val="nil"/>
    </w:rPr>
  </w:style>
  <w:style w:type="paragraph" w:customStyle="1" w:styleId="Text8pItalicLeft">
    <w:name w:val="Text_8p_Italic_Left"/>
    <w:qFormat/>
    <w:pPr>
      <w:spacing w:after="0" w:line="240" w:lineRule="auto"/>
    </w:pPr>
    <w:rPr>
      <w:rFonts w:ascii="Verdana" w:eastAsia="Times New Roman" w:hAnsi="Verdana" w:cs="Times New Roman"/>
      <w:bCs/>
      <w:i/>
      <w:noProof/>
      <w:sz w:val="16"/>
      <w:szCs w:val="20"/>
    </w:rPr>
  </w:style>
  <w:style w:type="paragraph" w:customStyle="1" w:styleId="Text8pItalicRight025EUR">
    <w:name w:val="Text_8p_Italic_Right_0.25_EUR"/>
    <w:qFormat/>
    <w:pPr>
      <w:spacing w:after="0" w:line="240" w:lineRule="auto"/>
      <w:ind w:right="142"/>
      <w:jc w:val="right"/>
    </w:pPr>
    <w:rPr>
      <w:rFonts w:ascii="Verdana" w:eastAsia="Times New Roman" w:hAnsi="Verdana" w:cs="Times New Roman"/>
      <w:i/>
      <w:noProof/>
      <w:sz w:val="16"/>
      <w:szCs w:val="18"/>
    </w:rPr>
  </w:style>
  <w:style w:type="paragraph" w:customStyle="1" w:styleId="Heading10pNormalLeft">
    <w:name w:val="Heading_10p_Normal_Left"/>
    <w:qFormat/>
    <w:pPr>
      <w:spacing w:after="0" w:line="240" w:lineRule="auto"/>
    </w:pPr>
    <w:rPr>
      <w:rFonts w:ascii="Verdana" w:eastAsia="Times New Roman" w:hAnsi="Verdana" w:cs="Times New Roman"/>
      <w:noProof/>
      <w:color w:val="FFFFFF"/>
      <w:sz w:val="20"/>
      <w:szCs w:val="30"/>
    </w:rPr>
  </w:style>
  <w:style w:type="paragraph" w:customStyle="1" w:styleId="Heading10pNormalRight025">
    <w:name w:val="Heading_10p_Normal_Right_0.25"/>
    <w:qFormat/>
    <w:pPr>
      <w:spacing w:after="0" w:line="240" w:lineRule="auto"/>
      <w:ind w:right="142"/>
      <w:jc w:val="right"/>
    </w:pPr>
    <w:rPr>
      <w:rFonts w:ascii="Verdana" w:eastAsia="Times New Roman" w:hAnsi="Verdana" w:cs="Times New Roman"/>
      <w:noProof/>
      <w:color w:val="FFFFFF"/>
      <w:sz w:val="20"/>
      <w:szCs w:val="30"/>
    </w:rPr>
  </w:style>
  <w:style w:type="paragraph" w:customStyle="1" w:styleId="Text9pBoldLeft">
    <w:name w:val="Text_9p_Bold_Left"/>
    <w:qFormat/>
    <w:pPr>
      <w:spacing w:after="0" w:line="240" w:lineRule="auto"/>
    </w:pPr>
    <w:rPr>
      <w:rFonts w:ascii="Verdana" w:eastAsia="Times New Roman" w:hAnsi="Verdana" w:cs="Times New Roman"/>
      <w:b/>
      <w:noProof/>
      <w:sz w:val="18"/>
      <w:szCs w:val="18"/>
    </w:rPr>
  </w:style>
  <w:style w:type="paragraph" w:customStyle="1" w:styleId="Figures9pItalicRight025">
    <w:name w:val="Figures_9p_Italic_Right_0.25"/>
    <w:qFormat/>
    <w:pPr>
      <w:spacing w:after="0" w:line="240" w:lineRule="auto"/>
      <w:ind w:right="142"/>
      <w:jc w:val="right"/>
    </w:pPr>
    <w:rPr>
      <w:rFonts w:ascii="Verdana" w:eastAsia="Times New Roman" w:hAnsi="Verdana" w:cs="Times New Roman"/>
      <w:i/>
      <w:noProof/>
      <w:sz w:val="18"/>
      <w:szCs w:val="18"/>
    </w:rPr>
  </w:style>
  <w:style w:type="paragraph" w:customStyle="1" w:styleId="Text9pItalicLeft">
    <w:name w:val="Text_9p_Italic_Left"/>
    <w:qFormat/>
    <w:pPr>
      <w:spacing w:after="0" w:line="240" w:lineRule="auto"/>
    </w:pPr>
    <w:rPr>
      <w:rFonts w:ascii="Verdana" w:eastAsia="Times New Roman" w:hAnsi="Verdana" w:cs="Times New Roman"/>
      <w:i/>
      <w:noProof/>
      <w:sz w:val="18"/>
      <w:szCs w:val="18"/>
    </w:rPr>
  </w:style>
  <w:style w:type="paragraph" w:customStyle="1" w:styleId="Text9pItalicCentered">
    <w:name w:val="Text_9p_Italic_Centered"/>
    <w:qFormat/>
    <w:pPr>
      <w:spacing w:after="0" w:line="240" w:lineRule="auto"/>
      <w:jc w:val="center"/>
    </w:pPr>
    <w:rPr>
      <w:rFonts w:ascii="Verdana" w:eastAsia="Times New Roman" w:hAnsi="Verdana" w:cs="Times New Roman"/>
      <w:i/>
      <w:noProof/>
      <w:sz w:val="18"/>
      <w:szCs w:val="18"/>
    </w:rPr>
  </w:style>
  <w:style w:type="paragraph" w:customStyle="1" w:styleId="Figures9pBoldRight025">
    <w:name w:val="Figures_9p_Bold_Right_0.25"/>
    <w:qFormat/>
    <w:pPr>
      <w:spacing w:after="0" w:line="240" w:lineRule="auto"/>
      <w:ind w:right="142"/>
      <w:jc w:val="right"/>
    </w:pPr>
    <w:rPr>
      <w:rFonts w:ascii="Verdana" w:eastAsia="Times New Roman" w:hAnsi="Verdana" w:cs="Times New Roman"/>
      <w:b/>
      <w:noProof/>
      <w:sz w:val="18"/>
      <w:szCs w:val="18"/>
    </w:rPr>
  </w:style>
  <w:style w:type="paragraph" w:customStyle="1" w:styleId="Text9pItalicBoldLeft">
    <w:name w:val="Text_9p_ItalicBold_Left"/>
    <w:qFormat/>
    <w:pPr>
      <w:spacing w:after="0" w:line="240" w:lineRule="auto"/>
    </w:pPr>
    <w:rPr>
      <w:rFonts w:ascii="Verdana" w:eastAsia="Times New Roman" w:hAnsi="Verdana" w:cs="Times New Roman"/>
      <w:b/>
      <w:i/>
      <w:noProof/>
      <w:sz w:val="18"/>
      <w:szCs w:val="18"/>
    </w:rPr>
  </w:style>
  <w:style w:type="paragraph" w:customStyle="1" w:styleId="Heading9pNormalCentered">
    <w:name w:val="Heading_9p_Normal_Centered"/>
    <w:qFormat/>
    <w:pPr>
      <w:spacing w:after="0" w:line="240" w:lineRule="auto"/>
      <w:jc w:val="center"/>
    </w:pPr>
    <w:rPr>
      <w:rFonts w:ascii="Verdana" w:eastAsia="Times New Roman" w:hAnsi="Verdana" w:cs="Calibri"/>
      <w:bCs/>
      <w:color w:val="FFFFFF"/>
      <w:sz w:val="18"/>
      <w:lang w:eastAsia="en-GB"/>
    </w:rPr>
  </w:style>
  <w:style w:type="paragraph" w:customStyle="1" w:styleId="Text9pBoldLeft025">
    <w:name w:val="Text_9p_Bold_Left_0.25"/>
    <w:qFormat/>
    <w:pPr>
      <w:pBdr>
        <w:top w:val="nil"/>
        <w:left w:val="nil"/>
        <w:bottom w:val="nil"/>
        <w:right w:val="nil"/>
        <w:between w:val="nil"/>
        <w:bar w:val="nil"/>
      </w:pBdr>
      <w:spacing w:after="0" w:line="240" w:lineRule="auto"/>
      <w:ind w:left="142"/>
    </w:pPr>
    <w:rPr>
      <w:rFonts w:ascii="Verdana" w:eastAsia="Calibri" w:hAnsi="Verdana" w:cs="Times New Roman"/>
      <w:b/>
      <w:noProof/>
      <w:sz w:val="18"/>
      <w:szCs w:val="18"/>
      <w:bdr w:val="nil"/>
    </w:rPr>
  </w:style>
  <w:style w:type="paragraph" w:customStyle="1" w:styleId="Figures9pItalicCentered">
    <w:name w:val="Figures_9p_Italic_Centered"/>
    <w:qFormat/>
    <w:pPr>
      <w:pBdr>
        <w:top w:val="nil"/>
        <w:left w:val="nil"/>
        <w:bottom w:val="nil"/>
        <w:right w:val="nil"/>
        <w:between w:val="nil"/>
        <w:bar w:val="nil"/>
      </w:pBdr>
      <w:spacing w:after="0" w:line="240" w:lineRule="auto"/>
      <w:jc w:val="center"/>
    </w:pPr>
    <w:rPr>
      <w:rFonts w:ascii="Verdana" w:eastAsia="Calibri" w:hAnsi="Verdana" w:cs="Times New Roman"/>
      <w:i/>
      <w:noProof/>
      <w:sz w:val="18"/>
      <w:szCs w:val="18"/>
      <w:bdr w:val="nil"/>
    </w:rPr>
  </w:style>
  <w:style w:type="paragraph" w:customStyle="1" w:styleId="Heading8pNormalLeft">
    <w:name w:val="Heading_8p_Normal_Left"/>
    <w:qFormat/>
    <w:pPr>
      <w:pBdr>
        <w:top w:val="nil"/>
        <w:left w:val="nil"/>
        <w:bottom w:val="nil"/>
        <w:right w:val="nil"/>
        <w:between w:val="nil"/>
        <w:bar w:val="nil"/>
      </w:pBdr>
      <w:spacing w:after="0" w:line="240" w:lineRule="auto"/>
    </w:pPr>
    <w:rPr>
      <w:rFonts w:ascii="Verdana" w:eastAsia="Times New Roman" w:hAnsi="Verdana" w:cs="Calibri"/>
      <w:bCs/>
      <w:color w:val="FFFFFF"/>
      <w:sz w:val="16"/>
      <w:bdr w:val="nil"/>
      <w:lang w:eastAsia="en-GB"/>
    </w:rPr>
  </w:style>
  <w:style w:type="paragraph" w:customStyle="1" w:styleId="Heading8pNormalCentered">
    <w:name w:val="Heading_8p_Normal_Centered"/>
    <w:qFormat/>
    <w:pPr>
      <w:pBdr>
        <w:top w:val="nil"/>
        <w:left w:val="nil"/>
        <w:bottom w:val="nil"/>
        <w:right w:val="nil"/>
        <w:between w:val="nil"/>
        <w:bar w:val="nil"/>
      </w:pBdr>
      <w:spacing w:after="0" w:line="240" w:lineRule="auto"/>
      <w:jc w:val="center"/>
    </w:pPr>
    <w:rPr>
      <w:rFonts w:ascii="Verdana" w:eastAsia="Calibri" w:hAnsi="Verdana" w:cs="Times New Roman"/>
      <w:noProof/>
      <w:color w:val="FFFFFF"/>
      <w:sz w:val="16"/>
      <w:szCs w:val="30"/>
      <w:bdr w:val="nil"/>
    </w:rPr>
  </w:style>
  <w:style w:type="paragraph" w:customStyle="1" w:styleId="Figures8pItalicRight025">
    <w:name w:val="Figures_8p_Italic_Right_0.25"/>
    <w:qFormat/>
    <w:pPr>
      <w:pBdr>
        <w:top w:val="nil"/>
        <w:left w:val="nil"/>
        <w:bottom w:val="nil"/>
        <w:right w:val="nil"/>
        <w:between w:val="nil"/>
        <w:bar w:val="nil"/>
      </w:pBdr>
      <w:spacing w:after="0" w:line="240" w:lineRule="auto"/>
      <w:ind w:right="142"/>
      <w:jc w:val="right"/>
    </w:pPr>
    <w:rPr>
      <w:rFonts w:ascii="Verdana" w:eastAsia="Calibri" w:hAnsi="Verdana" w:cs="Times New Roman"/>
      <w:i/>
      <w:noProof/>
      <w:sz w:val="16"/>
      <w:szCs w:val="18"/>
      <w:bdr w:val="nil"/>
    </w:rPr>
  </w:style>
  <w:style w:type="paragraph" w:customStyle="1" w:styleId="Text8pBoldLeft">
    <w:name w:val="Text_8p_Bold_Left"/>
    <w:qFormat/>
    <w:pPr>
      <w:pBdr>
        <w:top w:val="nil"/>
        <w:left w:val="nil"/>
        <w:bottom w:val="nil"/>
        <w:right w:val="nil"/>
        <w:between w:val="nil"/>
        <w:bar w:val="nil"/>
      </w:pBdr>
      <w:spacing w:after="0" w:line="240" w:lineRule="auto"/>
    </w:pPr>
    <w:rPr>
      <w:rFonts w:ascii="Verdana" w:eastAsia="Calibri" w:hAnsi="Verdana" w:cs="Times New Roman"/>
      <w:b/>
      <w:bCs/>
      <w:noProof/>
      <w:sz w:val="16"/>
      <w:szCs w:val="20"/>
      <w:bdr w:val="nil"/>
    </w:rPr>
  </w:style>
  <w:style w:type="paragraph" w:customStyle="1" w:styleId="Figures8pBoldRight025">
    <w:name w:val="Figures_8p_Bold_Right_0.25"/>
    <w:qFormat/>
    <w:pPr>
      <w:pBdr>
        <w:top w:val="nil"/>
        <w:left w:val="nil"/>
        <w:bottom w:val="nil"/>
        <w:right w:val="nil"/>
        <w:between w:val="nil"/>
        <w:bar w:val="nil"/>
      </w:pBdr>
      <w:spacing w:after="0" w:line="240" w:lineRule="auto"/>
      <w:ind w:right="142"/>
      <w:jc w:val="right"/>
    </w:pPr>
    <w:rPr>
      <w:rFonts w:ascii="Verdana" w:eastAsia="Calibri" w:hAnsi="Verdana" w:cs="Times New Roman"/>
      <w:b/>
      <w:bCs/>
      <w:noProof/>
      <w:sz w:val="16"/>
      <w:szCs w:val="20"/>
      <w:bdr w:val="nil"/>
    </w:rPr>
  </w:style>
  <w:style w:type="paragraph" w:customStyle="1" w:styleId="Heading10pNormalCentered">
    <w:name w:val="Heading_10p_Normal_Centered"/>
    <w:qFormat/>
    <w:pPr>
      <w:pBdr>
        <w:top w:val="nil"/>
        <w:left w:val="nil"/>
        <w:bottom w:val="nil"/>
        <w:right w:val="nil"/>
        <w:between w:val="nil"/>
        <w:bar w:val="nil"/>
      </w:pBdr>
      <w:spacing w:after="0" w:line="240" w:lineRule="auto"/>
      <w:jc w:val="center"/>
    </w:pPr>
    <w:rPr>
      <w:rFonts w:ascii="Verdana" w:eastAsia="Calibri" w:hAnsi="Verdana" w:cs="Times New Roman"/>
      <w:noProof/>
      <w:color w:val="FFFFFF"/>
      <w:sz w:val="20"/>
      <w:szCs w:val="30"/>
      <w:bdr w:val="nil"/>
    </w:rPr>
  </w:style>
  <w:style w:type="paragraph" w:customStyle="1" w:styleId="Figures9pItalicBoldRight025">
    <w:name w:val="Figures_9p_ItalicBold_Right_0.25"/>
    <w:qFormat/>
    <w:pPr>
      <w:spacing w:after="0" w:line="240" w:lineRule="auto"/>
      <w:ind w:right="142"/>
      <w:jc w:val="right"/>
    </w:pPr>
    <w:rPr>
      <w:rFonts w:ascii="Verdana" w:eastAsia="Times New Roman" w:hAnsi="Verdana" w:cs="Times New Roman"/>
      <w:b/>
      <w:i/>
      <w:noProof/>
      <w:sz w:val="18"/>
      <w:szCs w:val="18"/>
    </w:rPr>
  </w:style>
  <w:style w:type="paragraph" w:customStyle="1" w:styleId="Text9pItalicleftBlue">
    <w:name w:val="Text_9p_Italic_left_Blue"/>
    <w:qFormat/>
    <w:pPr>
      <w:spacing w:after="0" w:line="240" w:lineRule="auto"/>
    </w:pPr>
    <w:rPr>
      <w:rFonts w:ascii="Verdana" w:eastAsia="Times New Roman" w:hAnsi="Verdana" w:cs="Times New Roman"/>
      <w:i/>
      <w:noProof/>
      <w:color w:val="016794"/>
      <w:sz w:val="18"/>
      <w:szCs w:val="18"/>
    </w:rPr>
  </w:style>
  <w:style w:type="paragraph" w:customStyle="1" w:styleId="Figures9pItalicBlueRight">
    <w:name w:val="Figures_9p_Italic_Blue_Right"/>
    <w:basedOn w:val="Figures9pItalicBoldRight025"/>
    <w:qFormat/>
    <w:rPr>
      <w:b w:val="0"/>
      <w:color w:val="016794"/>
    </w:rPr>
  </w:style>
  <w:style w:type="paragraph" w:customStyle="1" w:styleId="Text9pNormalLeft">
    <w:name w:val="Text_9p_Normal_Left"/>
    <w:basedOn w:val="Text9pItalicLeft"/>
    <w:qFormat/>
    <w:rPr>
      <w:i w:val="0"/>
    </w:rPr>
  </w:style>
  <w:style w:type="paragraph" w:customStyle="1" w:styleId="Figures9pNormalRight025">
    <w:name w:val="Figures_9p_Normal_Right_0.25"/>
    <w:basedOn w:val="Figures9pItalicRight025"/>
    <w:qFormat/>
    <w:rPr>
      <w:i w:val="0"/>
    </w:rPr>
  </w:style>
  <w:style w:type="paragraph" w:customStyle="1" w:styleId="Text7pItalicRight025">
    <w:name w:val="Text_7p_Italic_Right_0.25"/>
    <w:basedOn w:val="Text8pItalicRight025EUR"/>
    <w:qFormat/>
    <w:rPr>
      <w:sz w:val="14"/>
    </w:rPr>
  </w:style>
  <w:style w:type="paragraph" w:customStyle="1" w:styleId="Figures8pItalicBlueRight">
    <w:name w:val="Figures_8p_Italic_Blue_Right"/>
    <w:basedOn w:val="Figures9pItalicBlueRight"/>
    <w:qFormat/>
    <w:rPr>
      <w:sz w:val="16"/>
    </w:rPr>
  </w:style>
  <w:style w:type="paragraph" w:customStyle="1" w:styleId="Heading9pNormalLeft">
    <w:name w:val="Heading_9p_Normal_Left"/>
    <w:basedOn w:val="Heading9pNormalCentered"/>
    <w:qFormat/>
    <w:pPr>
      <w:jc w:val="left"/>
    </w:pPr>
  </w:style>
  <w:style w:type="paragraph" w:customStyle="1" w:styleId="Text8pItalicleftBlue">
    <w:name w:val="Text_8p_Italic_left_Blue"/>
    <w:qFormat/>
    <w:pPr>
      <w:pBdr>
        <w:top w:val="nil"/>
        <w:left w:val="nil"/>
        <w:bottom w:val="nil"/>
        <w:right w:val="nil"/>
        <w:between w:val="nil"/>
        <w:bar w:val="nil"/>
      </w:pBdr>
      <w:spacing w:after="0" w:line="240" w:lineRule="auto"/>
    </w:pPr>
    <w:rPr>
      <w:rFonts w:ascii="Verdana" w:eastAsia="Calibri" w:hAnsi="Verdana" w:cs="Times New Roman"/>
      <w:i/>
      <w:noProof/>
      <w:color w:val="016794"/>
      <w:sz w:val="16"/>
      <w:szCs w:val="18"/>
      <w:bdr w:val="nil"/>
    </w:rPr>
  </w:style>
  <w:style w:type="paragraph" w:customStyle="1" w:styleId="Heading9pNormalRight025">
    <w:name w:val="Heading_9p_Normal_Right_0.25"/>
    <w:basedOn w:val="Heading9pNormalCentered"/>
    <w:qFormat/>
    <w:pPr>
      <w:ind w:right="142"/>
      <w:jc w:val="right"/>
    </w:pPr>
  </w:style>
  <w:style w:type="paragraph" w:customStyle="1" w:styleId="Heading-9pNormalCentered">
    <w:name w:val="Heading-9p_Normal_Centered"/>
    <w:basedOn w:val="Heading10pNormalCentered"/>
    <w:qFormat/>
    <w:rPr>
      <w:sz w:val="18"/>
    </w:rPr>
  </w:style>
  <w:style w:type="paragraph" w:customStyle="1" w:styleId="Heading9pNormalRight01">
    <w:name w:val="Heading_9p_Normal_Right_0.1"/>
    <w:basedOn w:val="Heading9pNormalRight025"/>
    <w:qFormat/>
    <w:pPr>
      <w:ind w:right="57"/>
    </w:pPr>
  </w:style>
  <w:style w:type="paragraph" w:styleId="NoSpacing">
    <w:name w:val="No Spacing"/>
    <w:uiPriority w:val="1"/>
    <w:qFormat/>
    <w:pPr>
      <w:spacing w:after="0" w:line="240" w:lineRule="auto"/>
    </w:pPr>
    <w:rPr>
      <w:rFonts w:ascii="Times New Roman" w:eastAsia="Times New Roman" w:hAnsi="Times New Roman" w:cs="Times New Roman"/>
      <w:sz w:val="20"/>
      <w:szCs w:val="20"/>
      <w:lang w:eastAsia="en-GB"/>
    </w:rPr>
  </w:style>
  <w:style w:type="paragraph" w:customStyle="1" w:styleId="Heading8pNormalRight025">
    <w:name w:val="Heading_8p_Normal_Right_0.25"/>
    <w:basedOn w:val="Heading10pNormalRight025"/>
    <w:qFormat/>
    <w:rPr>
      <w:sz w:val="16"/>
    </w:rPr>
  </w:style>
  <w:style w:type="paragraph" w:customStyle="1" w:styleId="Heading7pNormalCentered">
    <w:name w:val="Heading_7p_Normal_Centered"/>
    <w:basedOn w:val="Heading8pNormalCentered"/>
    <w:qFormat/>
    <w:rPr>
      <w:sz w:val="14"/>
    </w:rPr>
  </w:style>
  <w:style w:type="paragraph" w:customStyle="1" w:styleId="Text7pItalicLeft">
    <w:name w:val="Text_7p_Italic_Left"/>
    <w:qFormat/>
    <w:pPr>
      <w:pBdr>
        <w:top w:val="nil"/>
        <w:left w:val="nil"/>
        <w:bottom w:val="nil"/>
        <w:right w:val="nil"/>
        <w:between w:val="nil"/>
        <w:bar w:val="nil"/>
      </w:pBdr>
      <w:spacing w:after="0" w:line="240" w:lineRule="auto"/>
    </w:pPr>
    <w:rPr>
      <w:rFonts w:ascii="Verdana" w:eastAsia="Calibri" w:hAnsi="Verdana" w:cs="Times New Roman"/>
      <w:bCs/>
      <w:i/>
      <w:noProof/>
      <w:sz w:val="14"/>
      <w:szCs w:val="20"/>
      <w:bdr w:val="nil"/>
    </w:rPr>
  </w:style>
  <w:style w:type="paragraph" w:customStyle="1" w:styleId="Figures7pItalicRight025">
    <w:name w:val="Figures_7p_Italic_Right_0.25"/>
    <w:basedOn w:val="Figures8pItalicRight025"/>
    <w:qFormat/>
    <w:rPr>
      <w:sz w:val="14"/>
    </w:rPr>
  </w:style>
  <w:style w:type="paragraph" w:customStyle="1" w:styleId="Text7pBoldLeft">
    <w:name w:val="Text_7p_Bold_Left"/>
    <w:qFormat/>
    <w:pPr>
      <w:pBdr>
        <w:top w:val="nil"/>
        <w:left w:val="nil"/>
        <w:bottom w:val="nil"/>
        <w:right w:val="nil"/>
        <w:between w:val="nil"/>
        <w:bar w:val="nil"/>
      </w:pBdr>
      <w:spacing w:after="0" w:line="240" w:lineRule="auto"/>
    </w:pPr>
    <w:rPr>
      <w:rFonts w:ascii="Verdana" w:eastAsia="Calibri" w:hAnsi="Verdana" w:cs="Times New Roman"/>
      <w:b/>
      <w:noProof/>
      <w:sz w:val="14"/>
      <w:szCs w:val="18"/>
      <w:bdr w:val="nil"/>
    </w:rPr>
  </w:style>
  <w:style w:type="paragraph" w:customStyle="1" w:styleId="Figures7pBoldRight025">
    <w:name w:val="Figures_7p_Bold_Right_0.25"/>
    <w:qFormat/>
    <w:pPr>
      <w:pBdr>
        <w:top w:val="nil"/>
        <w:left w:val="nil"/>
        <w:bottom w:val="nil"/>
        <w:right w:val="nil"/>
        <w:between w:val="nil"/>
        <w:bar w:val="nil"/>
      </w:pBdr>
      <w:spacing w:after="0" w:line="240" w:lineRule="auto"/>
      <w:ind w:right="142"/>
      <w:jc w:val="right"/>
    </w:pPr>
    <w:rPr>
      <w:rFonts w:ascii="Verdana" w:eastAsia="Calibri" w:hAnsi="Verdana" w:cs="Times New Roman"/>
      <w:b/>
      <w:noProof/>
      <w:sz w:val="14"/>
      <w:szCs w:val="18"/>
      <w:bdr w:val="nil"/>
    </w:rPr>
  </w:style>
  <w:style w:type="paragraph" w:customStyle="1" w:styleId="Figures55pBoldRight01">
    <w:name w:val="Figures_5.5p_Bold_Right_0.1"/>
    <w:basedOn w:val="Figures6pBoldRight01"/>
    <w:qFormat/>
    <w:rPr>
      <w:sz w:val="11"/>
      <w:szCs w:val="11"/>
    </w:rPr>
  </w:style>
  <w:style w:type="paragraph" w:customStyle="1" w:styleId="Figures6pBoldRight01">
    <w:name w:val="Figures_6p_Bold_Right_0.1"/>
    <w:basedOn w:val="Figures7pBoldRight025"/>
    <w:qFormat/>
    <w:pPr>
      <w:ind w:right="57"/>
    </w:pPr>
    <w:rPr>
      <w:sz w:val="12"/>
      <w:szCs w:val="12"/>
    </w:rPr>
  </w:style>
  <w:style w:type="paragraph" w:customStyle="1" w:styleId="Text8pNormalLeft">
    <w:name w:val="Text_8p_Normal_Left"/>
    <w:qFormat/>
    <w:pPr>
      <w:pBdr>
        <w:top w:val="nil"/>
        <w:left w:val="nil"/>
        <w:bottom w:val="nil"/>
        <w:right w:val="nil"/>
        <w:between w:val="nil"/>
        <w:bar w:val="nil"/>
      </w:pBdr>
      <w:spacing w:after="0" w:line="240" w:lineRule="auto"/>
      <w:ind w:left="34"/>
    </w:pPr>
    <w:rPr>
      <w:rFonts w:ascii="Verdana" w:eastAsia="Calibri" w:hAnsi="Verdana" w:cs="Times New Roman"/>
      <w:bCs/>
      <w:sz w:val="16"/>
      <w:szCs w:val="20"/>
      <w:bdr w:val="nil"/>
    </w:rPr>
  </w:style>
  <w:style w:type="paragraph" w:customStyle="1" w:styleId="Heading7pBoldCentered">
    <w:name w:val="Heading_7p_Bold_Centered"/>
    <w:basedOn w:val="Heading7pNormalCentered"/>
    <w:qFormat/>
    <w:rPr>
      <w:b/>
    </w:rPr>
  </w:style>
  <w:style w:type="paragraph" w:customStyle="1" w:styleId="Figures7pNormalRight025">
    <w:name w:val="Figures_7p_Normal_Right_0.25"/>
    <w:basedOn w:val="Figures7pItalicRight025"/>
    <w:qFormat/>
    <w:rPr>
      <w:i w:val="0"/>
    </w:rPr>
  </w:style>
  <w:style w:type="paragraph" w:customStyle="1" w:styleId="Text7pNormalLeft">
    <w:name w:val="Text_7p_Normal_Left"/>
    <w:basedOn w:val="Text8pNormalLeft"/>
    <w:qFormat/>
    <w:rPr>
      <w:noProof/>
      <w:sz w:val="14"/>
    </w:rPr>
  </w:style>
  <w:style w:type="paragraph" w:customStyle="1" w:styleId="Figures7pNormalRight01">
    <w:name w:val="Figures_7p_Normal_Right_0.1"/>
    <w:qFormat/>
    <w:pPr>
      <w:pBdr>
        <w:top w:val="nil"/>
        <w:left w:val="nil"/>
        <w:bottom w:val="nil"/>
        <w:right w:val="nil"/>
        <w:between w:val="nil"/>
        <w:bar w:val="nil"/>
      </w:pBdr>
      <w:spacing w:after="0" w:line="240" w:lineRule="auto"/>
      <w:ind w:right="57"/>
      <w:jc w:val="right"/>
    </w:pPr>
    <w:rPr>
      <w:rFonts w:ascii="Verdana" w:eastAsia="Calibri" w:hAnsi="Verdana" w:cs="Times New Roman"/>
      <w:noProof/>
      <w:sz w:val="14"/>
      <w:szCs w:val="18"/>
      <w:bdr w:val="nil"/>
    </w:rPr>
  </w:style>
  <w:style w:type="paragraph" w:customStyle="1" w:styleId="Figures7pBoldRight01">
    <w:name w:val="Figures_7p_Bold_Right_0.1"/>
    <w:qFormat/>
    <w:pPr>
      <w:pBdr>
        <w:top w:val="nil"/>
        <w:left w:val="nil"/>
        <w:bottom w:val="nil"/>
        <w:right w:val="nil"/>
        <w:between w:val="nil"/>
        <w:bar w:val="nil"/>
      </w:pBdr>
      <w:spacing w:after="0" w:line="240" w:lineRule="auto"/>
      <w:ind w:right="57"/>
      <w:jc w:val="right"/>
    </w:pPr>
    <w:rPr>
      <w:rFonts w:ascii="Verdana" w:eastAsia="Calibri" w:hAnsi="Verdana" w:cs="Times New Roman"/>
      <w:b/>
      <w:noProof/>
      <w:sz w:val="14"/>
      <w:szCs w:val="18"/>
      <w:bdr w:val="nil"/>
    </w:rPr>
  </w:style>
  <w:style w:type="paragraph" w:customStyle="1" w:styleId="Heading6pBoldCentered">
    <w:name w:val="Heading_6p_Bold_Centered"/>
    <w:basedOn w:val="Heading6pNormalCentered"/>
    <w:qFormat/>
    <w:rPr>
      <w:b/>
    </w:rPr>
  </w:style>
  <w:style w:type="paragraph" w:customStyle="1" w:styleId="Heading6pNormalCentered">
    <w:name w:val="Heading_6p_Normal_Centered"/>
    <w:qFormat/>
    <w:pPr>
      <w:spacing w:after="0" w:line="240" w:lineRule="auto"/>
      <w:jc w:val="center"/>
    </w:pPr>
    <w:rPr>
      <w:rFonts w:ascii="Verdana" w:eastAsia="Times New Roman" w:hAnsi="Verdana" w:cs="Times New Roman"/>
      <w:noProof/>
      <w:color w:val="FFFFFF"/>
      <w:sz w:val="12"/>
      <w:szCs w:val="18"/>
    </w:rPr>
  </w:style>
  <w:style w:type="paragraph" w:customStyle="1" w:styleId="Text6pNormalLeft">
    <w:name w:val="Text_6p_Normal_Left"/>
    <w:qFormat/>
    <w:pPr>
      <w:spacing w:after="0" w:line="240" w:lineRule="auto"/>
    </w:pPr>
    <w:rPr>
      <w:rFonts w:ascii="Verdana" w:eastAsia="Times New Roman" w:hAnsi="Verdana" w:cs="Times New Roman"/>
      <w:bCs/>
      <w:noProof/>
      <w:sz w:val="12"/>
      <w:szCs w:val="20"/>
    </w:rPr>
  </w:style>
  <w:style w:type="paragraph" w:customStyle="1" w:styleId="Figures6pNormalright01">
    <w:name w:val="Figures_6p_Normal_right_0.1"/>
    <w:qFormat/>
    <w:pPr>
      <w:spacing w:after="0" w:line="240" w:lineRule="auto"/>
      <w:ind w:right="57"/>
      <w:jc w:val="right"/>
    </w:pPr>
    <w:rPr>
      <w:rFonts w:ascii="Verdana" w:eastAsia="Times New Roman" w:hAnsi="Verdana" w:cs="Times New Roman"/>
      <w:noProof/>
      <w:sz w:val="12"/>
      <w:szCs w:val="18"/>
    </w:rPr>
  </w:style>
  <w:style w:type="paragraph" w:customStyle="1" w:styleId="Text6pItalicLeft">
    <w:name w:val="Text_6p_Italic_Left"/>
    <w:qFormat/>
    <w:pPr>
      <w:spacing w:after="0" w:line="240" w:lineRule="auto"/>
    </w:pPr>
    <w:rPr>
      <w:rFonts w:ascii="Verdana" w:eastAsia="Times New Roman" w:hAnsi="Verdana" w:cs="Times New Roman"/>
      <w:bCs/>
      <w:i/>
      <w:noProof/>
      <w:sz w:val="12"/>
      <w:szCs w:val="20"/>
    </w:rPr>
  </w:style>
  <w:style w:type="paragraph" w:customStyle="1" w:styleId="Figures6pItalicRight01">
    <w:name w:val="Figures_6p_Italic_Right_0.1"/>
    <w:basedOn w:val="Figures7pItalicRight025"/>
    <w:qFormat/>
    <w:pPr>
      <w:ind w:right="57"/>
    </w:pPr>
    <w:rPr>
      <w:sz w:val="12"/>
      <w:szCs w:val="12"/>
    </w:rPr>
  </w:style>
  <w:style w:type="paragraph" w:customStyle="1" w:styleId="Text6pBoldLeft">
    <w:name w:val="Text_6p_Bold_Left"/>
    <w:qFormat/>
    <w:pPr>
      <w:spacing w:after="0" w:line="240" w:lineRule="auto"/>
    </w:pPr>
    <w:rPr>
      <w:rFonts w:ascii="Verdana" w:eastAsia="Times New Roman" w:hAnsi="Verdana" w:cs="Times New Roman"/>
      <w:b/>
      <w:noProof/>
      <w:sz w:val="12"/>
      <w:szCs w:val="18"/>
    </w:rPr>
  </w:style>
  <w:style w:type="paragraph" w:customStyle="1" w:styleId="Heading6pBoldNarrowCentred">
    <w:name w:val="Heading_6p_BoldNarrow_Centred"/>
    <w:basedOn w:val="Heading6pBoldCentered"/>
    <w:qFormat/>
    <w:rPr>
      <w:spacing w:val="-10"/>
    </w:rPr>
  </w:style>
  <w:style w:type="paragraph" w:customStyle="1" w:styleId="Text6pItalicRight025">
    <w:name w:val="Text_6p_Italic_Right_0.25"/>
    <w:basedOn w:val="Text7pItalicRight025"/>
    <w:qFormat/>
    <w:rPr>
      <w:sz w:val="1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Cambria" w:eastAsia="Times New Roman" w:hAnsi="Cambria" w:cs="Times New Roman"/>
      <w:b/>
      <w:bCs/>
      <w:color w:val="365F91"/>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Cambria" w:eastAsia="Times New Roman" w:hAnsi="Cambria" w:cs="Times New Roman"/>
      <w:b/>
      <w:bCs/>
      <w:color w:val="365F91"/>
      <w:sz w:val="28"/>
      <w:szCs w:val="28"/>
      <w:lang w:eastAsia="en-GB"/>
    </w:rPr>
  </w:style>
  <w:style w:type="paragraph" w:customStyle="1" w:styleId="CoverPage">
    <w:name w:val="CoverPage"/>
    <w:basedOn w:val="Normal"/>
    <w:qFormat/>
    <w:pPr>
      <w:spacing w:before="240" w:after="720" w:line="360" w:lineRule="auto"/>
      <w:ind w:left="2268"/>
    </w:pPr>
    <w:rPr>
      <w:rFonts w:ascii="Verdana" w:eastAsia="Times New Roman" w:hAnsi="Verdana" w:cs="Times New Roman"/>
      <w:color w:val="016794"/>
      <w:sz w:val="52"/>
      <w:szCs w:val="52"/>
      <w:lang w:eastAsia="en-GB"/>
    </w:rPr>
  </w:style>
  <w:style w:type="paragraph" w:customStyle="1" w:styleId="FIRSTCHAPTERPAGE">
    <w:name w:val="FIRST_CHAPTER_PAGE"/>
    <w:basedOn w:val="Normal"/>
    <w:qFormat/>
    <w:pPr>
      <w:spacing w:before="240" w:after="720" w:line="240" w:lineRule="auto"/>
    </w:pPr>
    <w:rPr>
      <w:rFonts w:ascii="Verdana" w:eastAsia="Times New Roman" w:hAnsi="Verdana" w:cs="Times New Roman"/>
      <w:b/>
      <w:color w:val="016794"/>
      <w:sz w:val="40"/>
      <w:szCs w:val="40"/>
      <w:lang w:eastAsia="en-GB"/>
    </w:rPr>
  </w:style>
  <w:style w:type="paragraph" w:styleId="BalloonText">
    <w:name w:val="Balloon Text"/>
    <w:basedOn w:val="Normal"/>
    <w:link w:val="BalloonTextChar"/>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paragraph" w:customStyle="1" w:styleId="FinancialYear">
    <w:name w:val="Financial_Year"/>
    <w:basedOn w:val="Normal"/>
    <w:qFormat/>
    <w:pPr>
      <w:spacing w:after="0" w:line="240" w:lineRule="auto"/>
      <w:jc w:val="right"/>
    </w:pPr>
    <w:rPr>
      <w:rFonts w:ascii="Verdana" w:eastAsia="Times New Roman" w:hAnsi="Verdana" w:cs="Times New Roman"/>
      <w:color w:val="016794"/>
      <w:lang w:eastAsia="en-GB"/>
    </w:rPr>
  </w:style>
  <w:style w:type="paragraph" w:customStyle="1" w:styleId="TOPHEADERNOTE">
    <w:name w:val="TOPHEADER_NOTE"/>
    <w:basedOn w:val="Normal"/>
    <w:qFormat/>
    <w:pPr>
      <w:spacing w:after="0" w:line="240" w:lineRule="auto"/>
    </w:pPr>
    <w:rPr>
      <w:rFonts w:ascii="Verdana" w:eastAsia="Times New Roman" w:hAnsi="Verdana" w:cs="Times New Roman"/>
      <w:i/>
      <w:color w:val="016794"/>
      <w:sz w:val="18"/>
      <w:szCs w:val="24"/>
      <w:lang w:eastAsia="en-GB"/>
    </w:rPr>
  </w:style>
  <w:style w:type="paragraph" w:customStyle="1" w:styleId="HEADERTABLE">
    <w:name w:val="HEADER_TABLE"/>
    <w:basedOn w:val="Normal"/>
    <w:qFormat/>
    <w:pPr>
      <w:spacing w:after="240" w:line="240" w:lineRule="auto"/>
    </w:pPr>
    <w:rPr>
      <w:rFonts w:ascii="Verdana" w:eastAsia="Times New Roman" w:hAnsi="Verdana" w:cs="Times New Roman"/>
      <w:b/>
      <w:color w:val="016794"/>
      <w:sz w:val="28"/>
      <w:szCs w:val="28"/>
      <w:lang w:eastAsia="en-GB"/>
    </w:rPr>
  </w:style>
  <w:style w:type="paragraph" w:customStyle="1" w:styleId="Textstand-alonenumberingLetters">
    <w:name w:val="Text_stand-alone_(numbering Letters)"/>
    <w:basedOn w:val="Normal"/>
    <w:qFormat/>
    <w:pPr>
      <w:numPr>
        <w:numId w:val="2"/>
      </w:numPr>
      <w:spacing w:after="240" w:line="240" w:lineRule="auto"/>
      <w:ind w:hanging="720"/>
    </w:pPr>
    <w:rPr>
      <w:rFonts w:ascii="Verdana" w:eastAsia="Times New Roman" w:hAnsi="Verdana" w:cs="Times New Roman"/>
      <w:sz w:val="18"/>
      <w:szCs w:val="18"/>
      <w:lang w:eastAsia="en-GB"/>
    </w:rPr>
  </w:style>
  <w:style w:type="paragraph" w:customStyle="1" w:styleId="SignatureRightItalic">
    <w:name w:val="Signature_Right + Italic"/>
    <w:basedOn w:val="Normal"/>
    <w:qFormat/>
    <w:pPr>
      <w:spacing w:before="240" w:after="0" w:line="240" w:lineRule="auto"/>
      <w:ind w:left="4394" w:right="1128"/>
      <w:jc w:val="center"/>
    </w:pPr>
    <w:rPr>
      <w:rFonts w:ascii="Verdana" w:eastAsia="Times New Roman" w:hAnsi="Verdana" w:cs="Times New Roman"/>
      <w:i/>
      <w:sz w:val="18"/>
      <w:szCs w:val="18"/>
      <w:lang w:eastAsia="en-GB"/>
    </w:rPr>
  </w:style>
  <w:style w:type="paragraph" w:customStyle="1" w:styleId="HEADER3Part1">
    <w:name w:val="HEADER 3_Part 1"/>
    <w:basedOn w:val="Normal"/>
    <w:qFormat/>
    <w:pPr>
      <w:numPr>
        <w:ilvl w:val="2"/>
        <w:numId w:val="4"/>
      </w:numPr>
      <w:tabs>
        <w:tab w:val="left" w:pos="907"/>
      </w:tabs>
      <w:spacing w:before="360" w:after="360" w:line="240" w:lineRule="auto"/>
    </w:pPr>
    <w:rPr>
      <w:rFonts w:ascii="Verdana" w:eastAsia="Times New Roman" w:hAnsi="Verdana" w:cs="Times New Roman"/>
      <w:color w:val="016794"/>
      <w:sz w:val="20"/>
      <w:szCs w:val="20"/>
      <w:lang w:eastAsia="en-GB"/>
    </w:rPr>
  </w:style>
  <w:style w:type="paragraph" w:customStyle="1" w:styleId="HEADER4Part1">
    <w:name w:val="HEADER 4_Part 1"/>
    <w:basedOn w:val="HEADER3Part1"/>
    <w:qFormat/>
    <w:pPr>
      <w:numPr>
        <w:ilvl w:val="3"/>
        <w:numId w:val="20"/>
      </w:numPr>
    </w:pPr>
    <w:rPr>
      <w:sz w:val="18"/>
      <w:szCs w:val="18"/>
    </w:rPr>
  </w:style>
  <w:style w:type="paragraph" w:customStyle="1" w:styleId="HEADER2Part1">
    <w:name w:val="HEADER 2 _Part 1"/>
    <w:basedOn w:val="Normal"/>
    <w:qFormat/>
    <w:pPr>
      <w:numPr>
        <w:ilvl w:val="1"/>
        <w:numId w:val="4"/>
      </w:numPr>
      <w:tabs>
        <w:tab w:val="left" w:pos="907"/>
      </w:tabs>
      <w:spacing w:before="360" w:after="360" w:line="240" w:lineRule="auto"/>
    </w:pPr>
    <w:rPr>
      <w:rFonts w:ascii="Verdana" w:eastAsia="Times New Roman" w:hAnsi="Verdana" w:cs="Times New Roman"/>
      <w:b/>
      <w:color w:val="016794"/>
      <w:sz w:val="28"/>
      <w:szCs w:val="24"/>
      <w:lang w:eastAsia="en-GB"/>
    </w:rPr>
  </w:style>
  <w:style w:type="paragraph" w:customStyle="1" w:styleId="Textstand-alonenumberingRCIndentJustified">
    <w:name w:val="Text_stand-alone_numbering RC Indent + Justified"/>
    <w:basedOn w:val="Normal"/>
    <w:qFormat/>
    <w:pPr>
      <w:numPr>
        <w:numId w:val="12"/>
      </w:numPr>
      <w:spacing w:after="0" w:line="240" w:lineRule="auto"/>
      <w:ind w:left="992" w:hanging="635"/>
    </w:pPr>
    <w:rPr>
      <w:rFonts w:ascii="Verdana" w:eastAsia="Times New Roman" w:hAnsi="Verdana" w:cs="Times New Roman"/>
      <w:sz w:val="18"/>
      <w:szCs w:val="18"/>
      <w:lang w:eastAsia="en-GB"/>
    </w:rPr>
  </w:style>
  <w:style w:type="paragraph" w:customStyle="1" w:styleId="HEADER1Part2">
    <w:name w:val="HEADER 1_Part 2"/>
    <w:basedOn w:val="Normal"/>
    <w:qFormat/>
    <w:pPr>
      <w:numPr>
        <w:numId w:val="11"/>
      </w:numPr>
      <w:tabs>
        <w:tab w:val="left" w:pos="907"/>
      </w:tabs>
      <w:spacing w:after="240" w:line="240" w:lineRule="auto"/>
      <w:jc w:val="both"/>
    </w:pPr>
    <w:rPr>
      <w:rFonts w:ascii="Verdana" w:eastAsia="Times New Roman" w:hAnsi="Verdana" w:cs="Times New Roman"/>
      <w:b/>
      <w:color w:val="016794"/>
      <w:sz w:val="32"/>
      <w:szCs w:val="32"/>
      <w:lang w:eastAsia="en-GB"/>
    </w:rPr>
  </w:style>
  <w:style w:type="paragraph" w:customStyle="1" w:styleId="HEADER2Part2">
    <w:name w:val="HEADER 2_Part 2"/>
    <w:basedOn w:val="Normal"/>
    <w:qFormat/>
    <w:pPr>
      <w:numPr>
        <w:ilvl w:val="1"/>
        <w:numId w:val="11"/>
      </w:numPr>
      <w:tabs>
        <w:tab w:val="left" w:pos="907"/>
      </w:tabs>
      <w:spacing w:before="360" w:after="360" w:line="240" w:lineRule="auto"/>
    </w:pPr>
    <w:rPr>
      <w:rFonts w:ascii="Verdana" w:eastAsia="Times New Roman" w:hAnsi="Verdana" w:cs="Times New Roman"/>
      <w:b/>
      <w:color w:val="016794"/>
      <w:sz w:val="28"/>
      <w:szCs w:val="28"/>
      <w:lang w:eastAsia="en-GB"/>
    </w:rPr>
  </w:style>
  <w:style w:type="paragraph" w:customStyle="1" w:styleId="HEADER3Part2">
    <w:name w:val="HEADER 3_Part 2"/>
    <w:basedOn w:val="HEADER3Part1"/>
    <w:qFormat/>
    <w:pPr>
      <w:numPr>
        <w:numId w:val="11"/>
      </w:numPr>
    </w:pPr>
  </w:style>
  <w:style w:type="paragraph" w:customStyle="1" w:styleId="HEADER4Part2">
    <w:name w:val="HEADER 4_Part 2"/>
    <w:basedOn w:val="HEADER4Part1"/>
    <w:qFormat/>
    <w:pPr>
      <w:numPr>
        <w:numId w:val="11"/>
      </w:numPr>
    </w:pPr>
  </w:style>
  <w:style w:type="paragraph" w:customStyle="1" w:styleId="HEADER5">
    <w:name w:val="HEADER 5"/>
    <w:basedOn w:val="Normal"/>
    <w:qFormat/>
    <w:pPr>
      <w:spacing w:after="0" w:line="240" w:lineRule="auto"/>
    </w:pPr>
    <w:rPr>
      <w:rFonts w:ascii="Verdana" w:eastAsia="Times New Roman" w:hAnsi="Verdana" w:cs="Times New Roman"/>
      <w:color w:val="016794"/>
      <w:sz w:val="18"/>
      <w:szCs w:val="18"/>
      <w:lang w:eastAsia="en-GB"/>
    </w:rPr>
  </w:style>
  <w:style w:type="paragraph" w:customStyle="1" w:styleId="TOCTitle">
    <w:name w:val="TOC_Title"/>
    <w:basedOn w:val="Normal"/>
    <w:qFormat/>
    <w:pPr>
      <w:spacing w:before="360" w:after="120" w:line="240" w:lineRule="auto"/>
    </w:pPr>
    <w:rPr>
      <w:rFonts w:ascii="Verdana" w:eastAsia="Times New Roman" w:hAnsi="Verdana" w:cs="Times New Roman"/>
      <w:b/>
      <w:color w:val="016794"/>
      <w:sz w:val="40"/>
      <w:szCs w:val="40"/>
      <w:lang w:eastAsia="en-GB"/>
    </w:rPr>
  </w:style>
  <w:style w:type="paragraph" w:customStyle="1" w:styleId="HEADER1Part3">
    <w:name w:val="HEADER 1_Part 3"/>
    <w:basedOn w:val="Normal"/>
    <w:qFormat/>
    <w:pPr>
      <w:numPr>
        <w:numId w:val="5"/>
      </w:numPr>
      <w:tabs>
        <w:tab w:val="left" w:pos="907"/>
      </w:tabs>
      <w:spacing w:after="240" w:line="240" w:lineRule="auto"/>
    </w:pPr>
    <w:rPr>
      <w:rFonts w:ascii="Verdana" w:eastAsia="Times New Roman" w:hAnsi="Verdana" w:cs="Times New Roman"/>
      <w:b/>
      <w:color w:val="016794"/>
      <w:sz w:val="32"/>
      <w:szCs w:val="32"/>
      <w:lang w:eastAsia="en-GB"/>
    </w:rPr>
  </w:style>
  <w:style w:type="paragraph" w:customStyle="1" w:styleId="HEADER2Part3">
    <w:name w:val="HEADER 2_Part 3"/>
    <w:basedOn w:val="Normal"/>
    <w:qFormat/>
    <w:pPr>
      <w:numPr>
        <w:ilvl w:val="1"/>
        <w:numId w:val="5"/>
      </w:numPr>
      <w:tabs>
        <w:tab w:val="left" w:pos="907"/>
      </w:tabs>
      <w:spacing w:before="360" w:after="360" w:line="240" w:lineRule="auto"/>
    </w:pPr>
    <w:rPr>
      <w:rFonts w:ascii="Verdana" w:eastAsia="Times New Roman" w:hAnsi="Verdana" w:cs="Times New Roman"/>
      <w:b/>
      <w:noProof/>
      <w:color w:val="016794"/>
      <w:sz w:val="28"/>
      <w:szCs w:val="30"/>
    </w:rPr>
  </w:style>
  <w:style w:type="paragraph" w:customStyle="1" w:styleId="HEADER3Part3">
    <w:name w:val="HEADER 3_Part 3"/>
    <w:basedOn w:val="HEADER3Part1"/>
    <w:qFormat/>
    <w:pPr>
      <w:numPr>
        <w:numId w:val="5"/>
      </w:numPr>
    </w:pPr>
  </w:style>
  <w:style w:type="paragraph" w:customStyle="1" w:styleId="HEADER4Part3">
    <w:name w:val="HEADER 4_Part 3"/>
    <w:basedOn w:val="HEADER4Part1"/>
    <w:qFormat/>
    <w:pPr>
      <w:numPr>
        <w:ilvl w:val="0"/>
        <w:numId w:val="14"/>
      </w:numPr>
      <w:spacing w:before="0" w:after="0"/>
      <w:ind w:left="907" w:hanging="907"/>
    </w:pPr>
  </w:style>
  <w:style w:type="paragraph" w:customStyle="1" w:styleId="SignatureRight">
    <w:name w:val="Signature_Right"/>
    <w:basedOn w:val="SignatureRightItalic"/>
    <w:qFormat/>
    <w:rPr>
      <w:i w:val="0"/>
    </w:rPr>
  </w:style>
  <w:style w:type="paragraph" w:customStyle="1" w:styleId="SignatureRightBold">
    <w:name w:val="Signature_Right Bold"/>
    <w:basedOn w:val="SignatureRight"/>
    <w:qFormat/>
    <w:pPr>
      <w:spacing w:before="120" w:after="120"/>
    </w:pPr>
    <w:rPr>
      <w:b/>
    </w:rPr>
  </w:style>
  <w:style w:type="paragraph" w:customStyle="1" w:styleId="Textstand-alone">
    <w:name w:val="Text_stand-alone"/>
    <w:basedOn w:val="Normal"/>
    <w:qFormat/>
    <w:pPr>
      <w:spacing w:before="240" w:after="240" w:line="240" w:lineRule="auto"/>
      <w:jc w:val="both"/>
    </w:pPr>
    <w:rPr>
      <w:rFonts w:ascii="Verdana" w:eastAsia="Times New Roman" w:hAnsi="Verdana" w:cs="Times New Roman"/>
      <w:noProof/>
      <w:sz w:val="18"/>
      <w:szCs w:val="18"/>
    </w:rPr>
  </w:style>
  <w:style w:type="paragraph" w:customStyle="1" w:styleId="SignatureRightItalic0">
    <w:name w:val="Signature_Right Italic"/>
    <w:basedOn w:val="SignatureRightBold"/>
    <w:qFormat/>
    <w:rPr>
      <w:b w:val="0"/>
      <w:i/>
    </w:rPr>
  </w:style>
  <w:style w:type="paragraph" w:customStyle="1" w:styleId="SubTextIndentJustified">
    <w:name w:val="SubText_Indent_Justified"/>
    <w:basedOn w:val="Normal"/>
    <w:qFormat/>
    <w:pPr>
      <w:spacing w:after="240" w:line="240" w:lineRule="auto"/>
      <w:ind w:left="720"/>
    </w:pPr>
    <w:rPr>
      <w:rFonts w:ascii="Verdana" w:eastAsia="Times New Roman" w:hAnsi="Verdana" w:cs="Times New Roman"/>
      <w:sz w:val="18"/>
      <w:szCs w:val="18"/>
      <w:lang w:eastAsia="en-GB"/>
    </w:rPr>
  </w:style>
  <w:style w:type="character" w:styleId="Hyperlink">
    <w:name w:val="Hyperlink"/>
    <w:uiPriority w:val="99"/>
    <w:rPr>
      <w:color w:val="0000FF"/>
      <w:u w:val="single"/>
    </w:rPr>
  </w:style>
  <w:style w:type="paragraph" w:customStyle="1" w:styleId="HEADER1Part1">
    <w:name w:val="HEADER 1_Part 1"/>
    <w:basedOn w:val="HEADER1Part3"/>
    <w:qFormat/>
    <w:pPr>
      <w:numPr>
        <w:numId w:val="4"/>
      </w:numPr>
      <w:jc w:val="both"/>
    </w:pPr>
  </w:style>
  <w:style w:type="paragraph" w:customStyle="1" w:styleId="Textstand-alonebulletpointJustified">
    <w:name w:val="Text_stand-alone_bullet point + Justified"/>
    <w:basedOn w:val="Normal"/>
    <w:qFormat/>
    <w:pPr>
      <w:numPr>
        <w:numId w:val="7"/>
      </w:numPr>
      <w:spacing w:after="240" w:line="240" w:lineRule="auto"/>
      <w:contextualSpacing/>
      <w:jc w:val="both"/>
    </w:pPr>
    <w:rPr>
      <w:rFonts w:ascii="Verdana" w:eastAsia="Times New Roman" w:hAnsi="Verdana" w:cs="Times New Roman"/>
      <w:sz w:val="18"/>
      <w:szCs w:val="24"/>
      <w:lang w:eastAsia="en-GB"/>
    </w:rPr>
  </w:style>
  <w:style w:type="paragraph" w:customStyle="1" w:styleId="TextSubtitlenumberingRCItalic">
    <w:name w:val="Text_Subtitle_(numbering RC Italic)"/>
    <w:basedOn w:val="Normal"/>
    <w:qFormat/>
    <w:pPr>
      <w:numPr>
        <w:numId w:val="1"/>
      </w:numPr>
      <w:spacing w:after="0" w:line="240" w:lineRule="auto"/>
    </w:pPr>
    <w:rPr>
      <w:rFonts w:ascii="Verdana" w:eastAsia="Times New Roman" w:hAnsi="Verdana" w:cs="Times New Roman"/>
      <w:i/>
      <w:sz w:val="18"/>
      <w:szCs w:val="18"/>
      <w:lang w:eastAsia="en-GB"/>
    </w:rPr>
  </w:style>
  <w:style w:type="paragraph" w:customStyle="1" w:styleId="TextstandalonenumberingRCJustified">
    <w:name w:val="Text_stand alone_(numbering RC + Justified)"/>
    <w:qFormat/>
    <w:pPr>
      <w:numPr>
        <w:numId w:val="9"/>
      </w:numPr>
      <w:pBdr>
        <w:top w:val="nil"/>
        <w:left w:val="nil"/>
        <w:bottom w:val="nil"/>
        <w:right w:val="nil"/>
        <w:between w:val="nil"/>
        <w:bar w:val="nil"/>
      </w:pBdr>
      <w:spacing w:before="240" w:after="0" w:line="240" w:lineRule="auto"/>
      <w:ind w:left="567" w:hanging="567"/>
      <w:jc w:val="both"/>
    </w:pPr>
    <w:rPr>
      <w:rFonts w:ascii="Verdana" w:eastAsia="Calibri" w:hAnsi="Verdana" w:cs="Times New Roman"/>
      <w:noProof/>
      <w:sz w:val="18"/>
      <w:szCs w:val="18"/>
      <w:bdr w:val="nil"/>
    </w:rPr>
  </w:style>
  <w:style w:type="paragraph" w:customStyle="1" w:styleId="Textstand-alonenumberingJustified">
    <w:name w:val="Text_stand-alone_(numbering) + Justified"/>
    <w:basedOn w:val="Normal"/>
    <w:qFormat/>
    <w:pPr>
      <w:numPr>
        <w:numId w:val="6"/>
      </w:numPr>
      <w:spacing w:after="240" w:line="240" w:lineRule="auto"/>
      <w:ind w:hanging="720"/>
      <w:jc w:val="both"/>
    </w:pPr>
    <w:rPr>
      <w:rFonts w:ascii="Verdana" w:eastAsia="Times New Roman" w:hAnsi="Verdana" w:cs="Times New Roman"/>
      <w:sz w:val="18"/>
      <w:szCs w:val="18"/>
      <w:lang w:eastAsia="en-GB"/>
    </w:rPr>
  </w:style>
  <w:style w:type="paragraph" w:customStyle="1" w:styleId="Textstand-aloneBulletpoint">
    <w:name w:val="Text_stand-alone Bullet point"/>
    <w:basedOn w:val="Normal"/>
    <w:qFormat/>
    <w:pPr>
      <w:numPr>
        <w:numId w:val="10"/>
      </w:numPr>
      <w:spacing w:after="240" w:line="240" w:lineRule="auto"/>
      <w:ind w:left="357" w:hanging="357"/>
      <w:contextualSpacing/>
    </w:pPr>
    <w:rPr>
      <w:rFonts w:ascii="Verdana" w:eastAsia="Times New Roman" w:hAnsi="Verdana" w:cs="Times New Roman"/>
      <w:sz w:val="18"/>
      <w:szCs w:val="18"/>
      <w:lang w:eastAsia="en-GB"/>
    </w:rPr>
  </w:style>
  <w:style w:type="paragraph" w:customStyle="1" w:styleId="TextSubtitleItalicnumberinglettera">
    <w:name w:val="Text_Subtitle Italic numbering letter (a)"/>
    <w:basedOn w:val="Normal"/>
    <w:qFormat/>
    <w:pPr>
      <w:numPr>
        <w:numId w:val="3"/>
      </w:numPr>
      <w:spacing w:after="0" w:line="240" w:lineRule="auto"/>
      <w:ind w:left="357" w:hanging="357"/>
    </w:pPr>
    <w:rPr>
      <w:rFonts w:ascii="Verdana" w:eastAsia="Times New Roman" w:hAnsi="Verdana" w:cs="Times New Roman"/>
      <w:i/>
      <w:sz w:val="18"/>
      <w:szCs w:val="18"/>
      <w:lang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DGTextstand-alonenumbering">
    <w:name w:val="DG_Text_stand-alone_(numbering)"/>
    <w:qFormat/>
    <w:pPr>
      <w:numPr>
        <w:numId w:val="13"/>
      </w:numPr>
      <w:spacing w:after="240" w:line="240" w:lineRule="auto"/>
      <w:ind w:hanging="720"/>
    </w:pPr>
    <w:rPr>
      <w:rFonts w:ascii="Verdana" w:eastAsia="Times New Roman" w:hAnsi="Verdana" w:cs="Times New Roman"/>
      <w:noProof/>
      <w:sz w:val="18"/>
      <w:szCs w:val="18"/>
    </w:rPr>
  </w:style>
  <w:style w:type="paragraph" w:customStyle="1" w:styleId="HEADERTITLE">
    <w:name w:val="HEADER_TITLE"/>
    <w:basedOn w:val="Textstand-alone"/>
    <w:qFormat/>
    <w:pPr>
      <w:tabs>
        <w:tab w:val="left" w:pos="907"/>
      </w:tabs>
      <w:spacing w:before="0"/>
      <w:jc w:val="left"/>
    </w:pPr>
    <w:rPr>
      <w:b/>
      <w:color w:val="016794"/>
      <w:sz w:val="28"/>
    </w:rPr>
  </w:style>
  <w:style w:type="paragraph" w:customStyle="1" w:styleId="FIRSTCHAPTERPAGE1">
    <w:name w:val="FIRST CHAPTER_PAGE_1"/>
    <w:basedOn w:val="Textstand-alone"/>
    <w:qFormat/>
    <w:pPr>
      <w:tabs>
        <w:tab w:val="left" w:pos="907"/>
      </w:tabs>
      <w:spacing w:after="720"/>
      <w:jc w:val="left"/>
    </w:pPr>
    <w:rPr>
      <w:b/>
      <w:color w:val="016794"/>
      <w:sz w:val="40"/>
    </w:rPr>
  </w:style>
  <w:style w:type="paragraph" w:customStyle="1" w:styleId="FIRSTCHAPTERPAGE2">
    <w:name w:val="FIRST CHAPTER_PAGE_2"/>
    <w:basedOn w:val="Textstand-alone"/>
    <w:qFormat/>
    <w:pPr>
      <w:tabs>
        <w:tab w:val="left" w:pos="907"/>
      </w:tabs>
      <w:spacing w:after="720"/>
    </w:pPr>
    <w:rPr>
      <w:b/>
      <w:color w:val="016794"/>
      <w:sz w:val="40"/>
    </w:rPr>
  </w:style>
  <w:style w:type="paragraph" w:customStyle="1" w:styleId="HEADERTITLE1">
    <w:name w:val="HEADER_TITLE_1"/>
    <w:basedOn w:val="Textstand-alone"/>
    <w:qFormat/>
    <w:pPr>
      <w:tabs>
        <w:tab w:val="left" w:pos="907"/>
      </w:tabs>
      <w:spacing w:before="0"/>
      <w:jc w:val="left"/>
    </w:pPr>
    <w:rPr>
      <w:b/>
      <w:color w:val="016794"/>
      <w:sz w:val="28"/>
    </w:rPr>
  </w:style>
  <w:style w:type="paragraph" w:styleId="TOCHeading">
    <w:name w:val="TOC Heading"/>
    <w:basedOn w:val="Heading1"/>
    <w:next w:val="Normal"/>
    <w:uiPriority w:val="39"/>
    <w:unhideWhenUsed/>
    <w:qFormat/>
    <w:pPr>
      <w:spacing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qFormat/>
    <w:pPr>
      <w:spacing w:after="100" w:line="240" w:lineRule="auto"/>
    </w:pPr>
    <w:rPr>
      <w:rFonts w:ascii="Verdana" w:eastAsia="Times New Roman" w:hAnsi="Verdana" w:cs="Times New Roman"/>
      <w:color w:val="365F91" w:themeColor="accent1" w:themeShade="BF"/>
      <w:szCs w:val="24"/>
      <w:lang w:eastAsia="en-GB"/>
    </w:rPr>
  </w:style>
  <w:style w:type="paragraph" w:styleId="TOC2">
    <w:name w:val="toc 2"/>
    <w:basedOn w:val="Normal"/>
    <w:next w:val="Normal"/>
    <w:autoRedefine/>
    <w:uiPriority w:val="39"/>
    <w:unhideWhenUsed/>
    <w:qFormat/>
    <w:pPr>
      <w:tabs>
        <w:tab w:val="left" w:pos="1100"/>
        <w:tab w:val="right" w:leader="dot" w:pos="9629"/>
      </w:tabs>
      <w:spacing w:after="100" w:line="240" w:lineRule="auto"/>
      <w:ind w:left="1134" w:hanging="894"/>
    </w:pPr>
    <w:rPr>
      <w:rFonts w:ascii="Verdana" w:eastAsia="Times New Roman" w:hAnsi="Verdana" w:cs="Times New Roman"/>
      <w:color w:val="808080" w:themeColor="background1" w:themeShade="80"/>
      <w:szCs w:val="24"/>
      <w:lang w:eastAsia="en-GB"/>
    </w:rPr>
  </w:style>
  <w:style w:type="paragraph" w:customStyle="1" w:styleId="HEADERTITLE2">
    <w:name w:val="HEADER_TITLE_2"/>
    <w:basedOn w:val="HEADERTITLE1"/>
    <w:qFormat/>
  </w:style>
  <w:style w:type="paragraph" w:customStyle="1" w:styleId="HEADER1Part4">
    <w:name w:val="HEADER 1_Part 4"/>
    <w:basedOn w:val="HEADER1Part3"/>
    <w:qFormat/>
    <w:pPr>
      <w:numPr>
        <w:numId w:val="18"/>
      </w:numPr>
      <w:ind w:left="851" w:hanging="851"/>
    </w:pPr>
  </w:style>
  <w:style w:type="paragraph" w:customStyle="1" w:styleId="Header2Part4">
    <w:name w:val="Header 2_Part 4"/>
    <w:basedOn w:val="HEADER2Part3"/>
    <w:qFormat/>
  </w:style>
  <w:style w:type="paragraph" w:customStyle="1" w:styleId="HEADER1PartBUDG">
    <w:name w:val="HEADER 1_Part BUDG"/>
    <w:basedOn w:val="Normal"/>
    <w:qFormat/>
    <w:pPr>
      <w:numPr>
        <w:numId w:val="19"/>
      </w:numPr>
      <w:tabs>
        <w:tab w:val="left" w:pos="907"/>
      </w:tabs>
      <w:spacing w:after="240" w:line="240" w:lineRule="auto"/>
      <w:jc w:val="both"/>
    </w:pPr>
    <w:rPr>
      <w:rFonts w:ascii="Verdana" w:eastAsia="Times New Roman" w:hAnsi="Verdana" w:cs="Times New Roman"/>
      <w:b/>
      <w:color w:val="016794"/>
      <w:sz w:val="32"/>
      <w:szCs w:val="32"/>
      <w:lang w:val="fr-BE" w:eastAsia="en-GB"/>
    </w:rPr>
  </w:style>
  <w:style w:type="paragraph" w:customStyle="1" w:styleId="HEADER2PartBUDG">
    <w:name w:val="HEADER 2_Part BUDG"/>
    <w:basedOn w:val="Normal"/>
    <w:qFormat/>
    <w:pPr>
      <w:numPr>
        <w:ilvl w:val="1"/>
        <w:numId w:val="19"/>
      </w:numPr>
      <w:tabs>
        <w:tab w:val="left" w:pos="709"/>
      </w:tabs>
      <w:spacing w:before="360" w:after="360" w:line="240" w:lineRule="auto"/>
    </w:pPr>
    <w:rPr>
      <w:rFonts w:ascii="Verdana" w:eastAsia="Calibri" w:hAnsi="Verdana" w:cs="Times New Roman"/>
      <w:b/>
      <w:color w:val="016794"/>
      <w:sz w:val="28"/>
      <w:szCs w:val="24"/>
      <w:lang w:val="fr-BE" w:eastAsia="en-GB"/>
    </w:rPr>
  </w:style>
  <w:style w:type="paragraph" w:customStyle="1" w:styleId="HEADER3PartBUGD">
    <w:name w:val="HEADER 3_Part BUGD"/>
    <w:basedOn w:val="Normal"/>
    <w:qFormat/>
    <w:pPr>
      <w:numPr>
        <w:ilvl w:val="2"/>
        <w:numId w:val="19"/>
      </w:numPr>
      <w:tabs>
        <w:tab w:val="left" w:pos="0"/>
      </w:tabs>
      <w:spacing w:before="360" w:after="360" w:line="240" w:lineRule="auto"/>
      <w:ind w:firstLine="387"/>
    </w:pPr>
    <w:rPr>
      <w:rFonts w:ascii="Verdana" w:eastAsia="Times New Roman" w:hAnsi="Verdana" w:cs="Times New Roman"/>
      <w:color w:val="016794"/>
      <w:sz w:val="20"/>
      <w:szCs w:val="20"/>
      <w:lang w:val="fr-BE" w:eastAsia="en-GB"/>
    </w:rPr>
  </w:style>
  <w:style w:type="paragraph" w:customStyle="1" w:styleId="HEADER4PartBUDG">
    <w:name w:val="HEADER 4_Part BUDG"/>
    <w:basedOn w:val="Normal"/>
    <w:qFormat/>
    <w:pPr>
      <w:numPr>
        <w:ilvl w:val="3"/>
        <w:numId w:val="19"/>
      </w:numPr>
      <w:tabs>
        <w:tab w:val="left" w:pos="907"/>
      </w:tabs>
      <w:spacing w:before="360" w:after="360" w:line="240" w:lineRule="auto"/>
      <w:ind w:left="567" w:hanging="567"/>
    </w:pPr>
    <w:rPr>
      <w:rFonts w:ascii="Verdana" w:eastAsia="Times New Roman" w:hAnsi="Verdana" w:cs="Times New Roman"/>
      <w:color w:val="016794"/>
      <w:sz w:val="18"/>
      <w:szCs w:val="18"/>
      <w:lang w:val="fr-BE" w:eastAsia="en-GB"/>
    </w:rPr>
  </w:style>
  <w:style w:type="paragraph" w:customStyle="1" w:styleId="HEADER1NOTES">
    <w:name w:val="HEADER 1_NOTES"/>
    <w:basedOn w:val="HEADER1Part2"/>
    <w:qFormat/>
    <w:pPr>
      <w:numPr>
        <w:numId w:val="20"/>
      </w:numPr>
    </w:pPr>
  </w:style>
  <w:style w:type="paragraph" w:customStyle="1" w:styleId="HEADER2NOTES">
    <w:name w:val="HEADER 2_NOTES"/>
    <w:basedOn w:val="HEADER2Part2"/>
    <w:qFormat/>
    <w:pPr>
      <w:numPr>
        <w:numId w:val="20"/>
      </w:numPr>
    </w:pPr>
  </w:style>
  <w:style w:type="paragraph" w:customStyle="1" w:styleId="HEADER3NOTES">
    <w:name w:val="HEADER 3_NOTES"/>
    <w:basedOn w:val="HEADER3Part2"/>
    <w:qFormat/>
    <w:pPr>
      <w:numPr>
        <w:numId w:val="20"/>
      </w:numPr>
    </w:pPr>
  </w:style>
  <w:style w:type="paragraph" w:customStyle="1" w:styleId="HEADER4NOTES">
    <w:name w:val="HEADER 4_NOTES"/>
    <w:basedOn w:val="HEADER4Part2"/>
    <w:qFormat/>
    <w:pPr>
      <w:numPr>
        <w:ilvl w:val="0"/>
        <w:numId w:val="0"/>
      </w:numPr>
    </w:pPr>
  </w:style>
  <w:style w:type="paragraph" w:customStyle="1" w:styleId="DGTextstand-alone">
    <w:name w:val="DG_Text_stand-alone"/>
    <w:link w:val="DGTextstand-aloneChar"/>
    <w:pPr>
      <w:pBdr>
        <w:top w:val="nil"/>
        <w:left w:val="nil"/>
        <w:bottom w:val="nil"/>
        <w:right w:val="nil"/>
        <w:between w:val="nil"/>
        <w:bar w:val="nil"/>
      </w:pBdr>
      <w:spacing w:before="240" w:after="240" w:line="240" w:lineRule="auto"/>
      <w:jc w:val="both"/>
    </w:pPr>
    <w:rPr>
      <w:rFonts w:ascii="Verdana" w:eastAsia="Calibri" w:hAnsi="Verdana" w:cs="Times New Roman"/>
      <w:noProof/>
      <w:sz w:val="18"/>
      <w:szCs w:val="18"/>
      <w:bdr w:val="nil"/>
    </w:rPr>
  </w:style>
  <w:style w:type="character" w:customStyle="1" w:styleId="DGTextstand-aloneChar">
    <w:name w:val="DG_Text_stand-alone Char"/>
    <w:link w:val="DGTextstand-alone"/>
    <w:rPr>
      <w:rFonts w:ascii="Verdana" w:eastAsia="Calibri" w:hAnsi="Verdana" w:cs="Times New Roman"/>
      <w:noProof/>
      <w:sz w:val="18"/>
      <w:szCs w:val="18"/>
      <w:bdr w:val="nil"/>
    </w:rPr>
  </w:style>
  <w:style w:type="paragraph" w:customStyle="1" w:styleId="Text8pItalicLeft">
    <w:name w:val="Text_8p_Italic_Left"/>
    <w:qFormat/>
    <w:pPr>
      <w:spacing w:after="0" w:line="240" w:lineRule="auto"/>
    </w:pPr>
    <w:rPr>
      <w:rFonts w:ascii="Verdana" w:eastAsia="Times New Roman" w:hAnsi="Verdana" w:cs="Times New Roman"/>
      <w:bCs/>
      <w:i/>
      <w:noProof/>
      <w:sz w:val="16"/>
      <w:szCs w:val="20"/>
    </w:rPr>
  </w:style>
  <w:style w:type="paragraph" w:customStyle="1" w:styleId="Text8pItalicRight025EUR">
    <w:name w:val="Text_8p_Italic_Right_0.25_EUR"/>
    <w:qFormat/>
    <w:pPr>
      <w:spacing w:after="0" w:line="240" w:lineRule="auto"/>
      <w:ind w:right="142"/>
      <w:jc w:val="right"/>
    </w:pPr>
    <w:rPr>
      <w:rFonts w:ascii="Verdana" w:eastAsia="Times New Roman" w:hAnsi="Verdana" w:cs="Times New Roman"/>
      <w:i/>
      <w:noProof/>
      <w:sz w:val="16"/>
      <w:szCs w:val="18"/>
    </w:rPr>
  </w:style>
  <w:style w:type="paragraph" w:customStyle="1" w:styleId="Heading10pNormalLeft">
    <w:name w:val="Heading_10p_Normal_Left"/>
    <w:qFormat/>
    <w:pPr>
      <w:spacing w:after="0" w:line="240" w:lineRule="auto"/>
    </w:pPr>
    <w:rPr>
      <w:rFonts w:ascii="Verdana" w:eastAsia="Times New Roman" w:hAnsi="Verdana" w:cs="Times New Roman"/>
      <w:noProof/>
      <w:color w:val="FFFFFF"/>
      <w:sz w:val="20"/>
      <w:szCs w:val="30"/>
    </w:rPr>
  </w:style>
  <w:style w:type="paragraph" w:customStyle="1" w:styleId="Heading10pNormalRight025">
    <w:name w:val="Heading_10p_Normal_Right_0.25"/>
    <w:qFormat/>
    <w:pPr>
      <w:spacing w:after="0" w:line="240" w:lineRule="auto"/>
      <w:ind w:right="142"/>
      <w:jc w:val="right"/>
    </w:pPr>
    <w:rPr>
      <w:rFonts w:ascii="Verdana" w:eastAsia="Times New Roman" w:hAnsi="Verdana" w:cs="Times New Roman"/>
      <w:noProof/>
      <w:color w:val="FFFFFF"/>
      <w:sz w:val="20"/>
      <w:szCs w:val="30"/>
    </w:rPr>
  </w:style>
  <w:style w:type="paragraph" w:customStyle="1" w:styleId="Text9pBoldLeft">
    <w:name w:val="Text_9p_Bold_Left"/>
    <w:qFormat/>
    <w:pPr>
      <w:spacing w:after="0" w:line="240" w:lineRule="auto"/>
    </w:pPr>
    <w:rPr>
      <w:rFonts w:ascii="Verdana" w:eastAsia="Times New Roman" w:hAnsi="Verdana" w:cs="Times New Roman"/>
      <w:b/>
      <w:noProof/>
      <w:sz w:val="18"/>
      <w:szCs w:val="18"/>
    </w:rPr>
  </w:style>
  <w:style w:type="paragraph" w:customStyle="1" w:styleId="Figures9pItalicRight025">
    <w:name w:val="Figures_9p_Italic_Right_0.25"/>
    <w:qFormat/>
    <w:pPr>
      <w:spacing w:after="0" w:line="240" w:lineRule="auto"/>
      <w:ind w:right="142"/>
      <w:jc w:val="right"/>
    </w:pPr>
    <w:rPr>
      <w:rFonts w:ascii="Verdana" w:eastAsia="Times New Roman" w:hAnsi="Verdana" w:cs="Times New Roman"/>
      <w:i/>
      <w:noProof/>
      <w:sz w:val="18"/>
      <w:szCs w:val="18"/>
    </w:rPr>
  </w:style>
  <w:style w:type="paragraph" w:customStyle="1" w:styleId="Text9pItalicLeft">
    <w:name w:val="Text_9p_Italic_Left"/>
    <w:qFormat/>
    <w:pPr>
      <w:spacing w:after="0" w:line="240" w:lineRule="auto"/>
    </w:pPr>
    <w:rPr>
      <w:rFonts w:ascii="Verdana" w:eastAsia="Times New Roman" w:hAnsi="Verdana" w:cs="Times New Roman"/>
      <w:i/>
      <w:noProof/>
      <w:sz w:val="18"/>
      <w:szCs w:val="18"/>
    </w:rPr>
  </w:style>
  <w:style w:type="paragraph" w:customStyle="1" w:styleId="Text9pItalicCentered">
    <w:name w:val="Text_9p_Italic_Centered"/>
    <w:qFormat/>
    <w:pPr>
      <w:spacing w:after="0" w:line="240" w:lineRule="auto"/>
      <w:jc w:val="center"/>
    </w:pPr>
    <w:rPr>
      <w:rFonts w:ascii="Verdana" w:eastAsia="Times New Roman" w:hAnsi="Verdana" w:cs="Times New Roman"/>
      <w:i/>
      <w:noProof/>
      <w:sz w:val="18"/>
      <w:szCs w:val="18"/>
    </w:rPr>
  </w:style>
  <w:style w:type="paragraph" w:customStyle="1" w:styleId="Figures9pBoldRight025">
    <w:name w:val="Figures_9p_Bold_Right_0.25"/>
    <w:qFormat/>
    <w:pPr>
      <w:spacing w:after="0" w:line="240" w:lineRule="auto"/>
      <w:ind w:right="142"/>
      <w:jc w:val="right"/>
    </w:pPr>
    <w:rPr>
      <w:rFonts w:ascii="Verdana" w:eastAsia="Times New Roman" w:hAnsi="Verdana" w:cs="Times New Roman"/>
      <w:b/>
      <w:noProof/>
      <w:sz w:val="18"/>
      <w:szCs w:val="18"/>
    </w:rPr>
  </w:style>
  <w:style w:type="paragraph" w:customStyle="1" w:styleId="Text9pItalicBoldLeft">
    <w:name w:val="Text_9p_ItalicBold_Left"/>
    <w:qFormat/>
    <w:pPr>
      <w:spacing w:after="0" w:line="240" w:lineRule="auto"/>
    </w:pPr>
    <w:rPr>
      <w:rFonts w:ascii="Verdana" w:eastAsia="Times New Roman" w:hAnsi="Verdana" w:cs="Times New Roman"/>
      <w:b/>
      <w:i/>
      <w:noProof/>
      <w:sz w:val="18"/>
      <w:szCs w:val="18"/>
    </w:rPr>
  </w:style>
  <w:style w:type="paragraph" w:customStyle="1" w:styleId="Heading9pNormalCentered">
    <w:name w:val="Heading_9p_Normal_Centered"/>
    <w:qFormat/>
    <w:pPr>
      <w:spacing w:after="0" w:line="240" w:lineRule="auto"/>
      <w:jc w:val="center"/>
    </w:pPr>
    <w:rPr>
      <w:rFonts w:ascii="Verdana" w:eastAsia="Times New Roman" w:hAnsi="Verdana" w:cs="Calibri"/>
      <w:bCs/>
      <w:color w:val="FFFFFF"/>
      <w:sz w:val="18"/>
      <w:lang w:eastAsia="en-GB"/>
    </w:rPr>
  </w:style>
  <w:style w:type="paragraph" w:customStyle="1" w:styleId="Text9pBoldLeft025">
    <w:name w:val="Text_9p_Bold_Left_0.25"/>
    <w:qFormat/>
    <w:pPr>
      <w:pBdr>
        <w:top w:val="nil"/>
        <w:left w:val="nil"/>
        <w:bottom w:val="nil"/>
        <w:right w:val="nil"/>
        <w:between w:val="nil"/>
        <w:bar w:val="nil"/>
      </w:pBdr>
      <w:spacing w:after="0" w:line="240" w:lineRule="auto"/>
      <w:ind w:left="142"/>
    </w:pPr>
    <w:rPr>
      <w:rFonts w:ascii="Verdana" w:eastAsia="Calibri" w:hAnsi="Verdana" w:cs="Times New Roman"/>
      <w:b/>
      <w:noProof/>
      <w:sz w:val="18"/>
      <w:szCs w:val="18"/>
      <w:bdr w:val="nil"/>
    </w:rPr>
  </w:style>
  <w:style w:type="paragraph" w:customStyle="1" w:styleId="Figures9pItalicCentered">
    <w:name w:val="Figures_9p_Italic_Centered"/>
    <w:qFormat/>
    <w:pPr>
      <w:pBdr>
        <w:top w:val="nil"/>
        <w:left w:val="nil"/>
        <w:bottom w:val="nil"/>
        <w:right w:val="nil"/>
        <w:between w:val="nil"/>
        <w:bar w:val="nil"/>
      </w:pBdr>
      <w:spacing w:after="0" w:line="240" w:lineRule="auto"/>
      <w:jc w:val="center"/>
    </w:pPr>
    <w:rPr>
      <w:rFonts w:ascii="Verdana" w:eastAsia="Calibri" w:hAnsi="Verdana" w:cs="Times New Roman"/>
      <w:i/>
      <w:noProof/>
      <w:sz w:val="18"/>
      <w:szCs w:val="18"/>
      <w:bdr w:val="nil"/>
    </w:rPr>
  </w:style>
  <w:style w:type="paragraph" w:customStyle="1" w:styleId="Heading8pNormalLeft">
    <w:name w:val="Heading_8p_Normal_Left"/>
    <w:qFormat/>
    <w:pPr>
      <w:pBdr>
        <w:top w:val="nil"/>
        <w:left w:val="nil"/>
        <w:bottom w:val="nil"/>
        <w:right w:val="nil"/>
        <w:between w:val="nil"/>
        <w:bar w:val="nil"/>
      </w:pBdr>
      <w:spacing w:after="0" w:line="240" w:lineRule="auto"/>
    </w:pPr>
    <w:rPr>
      <w:rFonts w:ascii="Verdana" w:eastAsia="Times New Roman" w:hAnsi="Verdana" w:cs="Calibri"/>
      <w:bCs/>
      <w:color w:val="FFFFFF"/>
      <w:sz w:val="16"/>
      <w:bdr w:val="nil"/>
      <w:lang w:eastAsia="en-GB"/>
    </w:rPr>
  </w:style>
  <w:style w:type="paragraph" w:customStyle="1" w:styleId="Heading8pNormalCentered">
    <w:name w:val="Heading_8p_Normal_Centered"/>
    <w:qFormat/>
    <w:pPr>
      <w:pBdr>
        <w:top w:val="nil"/>
        <w:left w:val="nil"/>
        <w:bottom w:val="nil"/>
        <w:right w:val="nil"/>
        <w:between w:val="nil"/>
        <w:bar w:val="nil"/>
      </w:pBdr>
      <w:spacing w:after="0" w:line="240" w:lineRule="auto"/>
      <w:jc w:val="center"/>
    </w:pPr>
    <w:rPr>
      <w:rFonts w:ascii="Verdana" w:eastAsia="Calibri" w:hAnsi="Verdana" w:cs="Times New Roman"/>
      <w:noProof/>
      <w:color w:val="FFFFFF"/>
      <w:sz w:val="16"/>
      <w:szCs w:val="30"/>
      <w:bdr w:val="nil"/>
    </w:rPr>
  </w:style>
  <w:style w:type="paragraph" w:customStyle="1" w:styleId="Figures8pItalicRight025">
    <w:name w:val="Figures_8p_Italic_Right_0.25"/>
    <w:qFormat/>
    <w:pPr>
      <w:pBdr>
        <w:top w:val="nil"/>
        <w:left w:val="nil"/>
        <w:bottom w:val="nil"/>
        <w:right w:val="nil"/>
        <w:between w:val="nil"/>
        <w:bar w:val="nil"/>
      </w:pBdr>
      <w:spacing w:after="0" w:line="240" w:lineRule="auto"/>
      <w:ind w:right="142"/>
      <w:jc w:val="right"/>
    </w:pPr>
    <w:rPr>
      <w:rFonts w:ascii="Verdana" w:eastAsia="Calibri" w:hAnsi="Verdana" w:cs="Times New Roman"/>
      <w:i/>
      <w:noProof/>
      <w:sz w:val="16"/>
      <w:szCs w:val="18"/>
      <w:bdr w:val="nil"/>
    </w:rPr>
  </w:style>
  <w:style w:type="paragraph" w:customStyle="1" w:styleId="Text8pBoldLeft">
    <w:name w:val="Text_8p_Bold_Left"/>
    <w:qFormat/>
    <w:pPr>
      <w:pBdr>
        <w:top w:val="nil"/>
        <w:left w:val="nil"/>
        <w:bottom w:val="nil"/>
        <w:right w:val="nil"/>
        <w:between w:val="nil"/>
        <w:bar w:val="nil"/>
      </w:pBdr>
      <w:spacing w:after="0" w:line="240" w:lineRule="auto"/>
    </w:pPr>
    <w:rPr>
      <w:rFonts w:ascii="Verdana" w:eastAsia="Calibri" w:hAnsi="Verdana" w:cs="Times New Roman"/>
      <w:b/>
      <w:bCs/>
      <w:noProof/>
      <w:sz w:val="16"/>
      <w:szCs w:val="20"/>
      <w:bdr w:val="nil"/>
    </w:rPr>
  </w:style>
  <w:style w:type="paragraph" w:customStyle="1" w:styleId="Figures8pBoldRight025">
    <w:name w:val="Figures_8p_Bold_Right_0.25"/>
    <w:qFormat/>
    <w:pPr>
      <w:pBdr>
        <w:top w:val="nil"/>
        <w:left w:val="nil"/>
        <w:bottom w:val="nil"/>
        <w:right w:val="nil"/>
        <w:between w:val="nil"/>
        <w:bar w:val="nil"/>
      </w:pBdr>
      <w:spacing w:after="0" w:line="240" w:lineRule="auto"/>
      <w:ind w:right="142"/>
      <w:jc w:val="right"/>
    </w:pPr>
    <w:rPr>
      <w:rFonts w:ascii="Verdana" w:eastAsia="Calibri" w:hAnsi="Verdana" w:cs="Times New Roman"/>
      <w:b/>
      <w:bCs/>
      <w:noProof/>
      <w:sz w:val="16"/>
      <w:szCs w:val="20"/>
      <w:bdr w:val="nil"/>
    </w:rPr>
  </w:style>
  <w:style w:type="paragraph" w:customStyle="1" w:styleId="Heading10pNormalCentered">
    <w:name w:val="Heading_10p_Normal_Centered"/>
    <w:qFormat/>
    <w:pPr>
      <w:pBdr>
        <w:top w:val="nil"/>
        <w:left w:val="nil"/>
        <w:bottom w:val="nil"/>
        <w:right w:val="nil"/>
        <w:between w:val="nil"/>
        <w:bar w:val="nil"/>
      </w:pBdr>
      <w:spacing w:after="0" w:line="240" w:lineRule="auto"/>
      <w:jc w:val="center"/>
    </w:pPr>
    <w:rPr>
      <w:rFonts w:ascii="Verdana" w:eastAsia="Calibri" w:hAnsi="Verdana" w:cs="Times New Roman"/>
      <w:noProof/>
      <w:color w:val="FFFFFF"/>
      <w:sz w:val="20"/>
      <w:szCs w:val="30"/>
      <w:bdr w:val="nil"/>
    </w:rPr>
  </w:style>
  <w:style w:type="paragraph" w:customStyle="1" w:styleId="Figures9pItalicBoldRight025">
    <w:name w:val="Figures_9p_ItalicBold_Right_0.25"/>
    <w:qFormat/>
    <w:pPr>
      <w:spacing w:after="0" w:line="240" w:lineRule="auto"/>
      <w:ind w:right="142"/>
      <w:jc w:val="right"/>
    </w:pPr>
    <w:rPr>
      <w:rFonts w:ascii="Verdana" w:eastAsia="Times New Roman" w:hAnsi="Verdana" w:cs="Times New Roman"/>
      <w:b/>
      <w:i/>
      <w:noProof/>
      <w:sz w:val="18"/>
      <w:szCs w:val="18"/>
    </w:rPr>
  </w:style>
  <w:style w:type="paragraph" w:customStyle="1" w:styleId="Text9pItalicleftBlue">
    <w:name w:val="Text_9p_Italic_left_Blue"/>
    <w:qFormat/>
    <w:pPr>
      <w:spacing w:after="0" w:line="240" w:lineRule="auto"/>
    </w:pPr>
    <w:rPr>
      <w:rFonts w:ascii="Verdana" w:eastAsia="Times New Roman" w:hAnsi="Verdana" w:cs="Times New Roman"/>
      <w:i/>
      <w:noProof/>
      <w:color w:val="016794"/>
      <w:sz w:val="18"/>
      <w:szCs w:val="18"/>
    </w:rPr>
  </w:style>
  <w:style w:type="paragraph" w:customStyle="1" w:styleId="Figures9pItalicBlueRight">
    <w:name w:val="Figures_9p_Italic_Blue_Right"/>
    <w:basedOn w:val="Figures9pItalicBoldRight025"/>
    <w:qFormat/>
    <w:rPr>
      <w:b w:val="0"/>
      <w:color w:val="016794"/>
    </w:rPr>
  </w:style>
  <w:style w:type="paragraph" w:customStyle="1" w:styleId="Text9pNormalLeft">
    <w:name w:val="Text_9p_Normal_Left"/>
    <w:basedOn w:val="Text9pItalicLeft"/>
    <w:qFormat/>
    <w:rPr>
      <w:i w:val="0"/>
    </w:rPr>
  </w:style>
  <w:style w:type="paragraph" w:customStyle="1" w:styleId="Figures9pNormalRight025">
    <w:name w:val="Figures_9p_Normal_Right_0.25"/>
    <w:basedOn w:val="Figures9pItalicRight025"/>
    <w:qFormat/>
    <w:rPr>
      <w:i w:val="0"/>
    </w:rPr>
  </w:style>
  <w:style w:type="paragraph" w:customStyle="1" w:styleId="Text7pItalicRight025">
    <w:name w:val="Text_7p_Italic_Right_0.25"/>
    <w:basedOn w:val="Text8pItalicRight025EUR"/>
    <w:qFormat/>
    <w:rPr>
      <w:sz w:val="14"/>
    </w:rPr>
  </w:style>
  <w:style w:type="paragraph" w:customStyle="1" w:styleId="Figures8pItalicBlueRight">
    <w:name w:val="Figures_8p_Italic_Blue_Right"/>
    <w:basedOn w:val="Figures9pItalicBlueRight"/>
    <w:qFormat/>
    <w:rPr>
      <w:sz w:val="16"/>
    </w:rPr>
  </w:style>
  <w:style w:type="paragraph" w:customStyle="1" w:styleId="Heading9pNormalLeft">
    <w:name w:val="Heading_9p_Normal_Left"/>
    <w:basedOn w:val="Heading9pNormalCentered"/>
    <w:qFormat/>
    <w:pPr>
      <w:jc w:val="left"/>
    </w:pPr>
  </w:style>
  <w:style w:type="paragraph" w:customStyle="1" w:styleId="Text8pItalicleftBlue">
    <w:name w:val="Text_8p_Italic_left_Blue"/>
    <w:qFormat/>
    <w:pPr>
      <w:pBdr>
        <w:top w:val="nil"/>
        <w:left w:val="nil"/>
        <w:bottom w:val="nil"/>
        <w:right w:val="nil"/>
        <w:between w:val="nil"/>
        <w:bar w:val="nil"/>
      </w:pBdr>
      <w:spacing w:after="0" w:line="240" w:lineRule="auto"/>
    </w:pPr>
    <w:rPr>
      <w:rFonts w:ascii="Verdana" w:eastAsia="Calibri" w:hAnsi="Verdana" w:cs="Times New Roman"/>
      <w:i/>
      <w:noProof/>
      <w:color w:val="016794"/>
      <w:sz w:val="16"/>
      <w:szCs w:val="18"/>
      <w:bdr w:val="nil"/>
    </w:rPr>
  </w:style>
  <w:style w:type="paragraph" w:customStyle="1" w:styleId="Heading9pNormalRight025">
    <w:name w:val="Heading_9p_Normal_Right_0.25"/>
    <w:basedOn w:val="Heading9pNormalCentered"/>
    <w:qFormat/>
    <w:pPr>
      <w:ind w:right="142"/>
      <w:jc w:val="right"/>
    </w:pPr>
  </w:style>
  <w:style w:type="paragraph" w:customStyle="1" w:styleId="Heading-9pNormalCentered">
    <w:name w:val="Heading-9p_Normal_Centered"/>
    <w:basedOn w:val="Heading10pNormalCentered"/>
    <w:qFormat/>
    <w:rPr>
      <w:sz w:val="18"/>
    </w:rPr>
  </w:style>
  <w:style w:type="paragraph" w:customStyle="1" w:styleId="Heading9pNormalRight01">
    <w:name w:val="Heading_9p_Normal_Right_0.1"/>
    <w:basedOn w:val="Heading9pNormalRight025"/>
    <w:qFormat/>
    <w:pPr>
      <w:ind w:right="57"/>
    </w:pPr>
  </w:style>
  <w:style w:type="paragraph" w:styleId="NoSpacing">
    <w:name w:val="No Spacing"/>
    <w:uiPriority w:val="1"/>
    <w:qFormat/>
    <w:pPr>
      <w:spacing w:after="0" w:line="240" w:lineRule="auto"/>
    </w:pPr>
    <w:rPr>
      <w:rFonts w:ascii="Times New Roman" w:eastAsia="Times New Roman" w:hAnsi="Times New Roman" w:cs="Times New Roman"/>
      <w:sz w:val="20"/>
      <w:szCs w:val="20"/>
      <w:lang w:eastAsia="en-GB"/>
    </w:rPr>
  </w:style>
  <w:style w:type="paragraph" w:customStyle="1" w:styleId="Heading8pNormalRight025">
    <w:name w:val="Heading_8p_Normal_Right_0.25"/>
    <w:basedOn w:val="Heading10pNormalRight025"/>
    <w:qFormat/>
    <w:rPr>
      <w:sz w:val="16"/>
    </w:rPr>
  </w:style>
  <w:style w:type="paragraph" w:customStyle="1" w:styleId="Heading7pNormalCentered">
    <w:name w:val="Heading_7p_Normal_Centered"/>
    <w:basedOn w:val="Heading8pNormalCentered"/>
    <w:qFormat/>
    <w:rPr>
      <w:sz w:val="14"/>
    </w:rPr>
  </w:style>
  <w:style w:type="paragraph" w:customStyle="1" w:styleId="Text7pItalicLeft">
    <w:name w:val="Text_7p_Italic_Left"/>
    <w:qFormat/>
    <w:pPr>
      <w:pBdr>
        <w:top w:val="nil"/>
        <w:left w:val="nil"/>
        <w:bottom w:val="nil"/>
        <w:right w:val="nil"/>
        <w:between w:val="nil"/>
        <w:bar w:val="nil"/>
      </w:pBdr>
      <w:spacing w:after="0" w:line="240" w:lineRule="auto"/>
    </w:pPr>
    <w:rPr>
      <w:rFonts w:ascii="Verdana" w:eastAsia="Calibri" w:hAnsi="Verdana" w:cs="Times New Roman"/>
      <w:bCs/>
      <w:i/>
      <w:noProof/>
      <w:sz w:val="14"/>
      <w:szCs w:val="20"/>
      <w:bdr w:val="nil"/>
    </w:rPr>
  </w:style>
  <w:style w:type="paragraph" w:customStyle="1" w:styleId="Figures7pItalicRight025">
    <w:name w:val="Figures_7p_Italic_Right_0.25"/>
    <w:basedOn w:val="Figures8pItalicRight025"/>
    <w:qFormat/>
    <w:rPr>
      <w:sz w:val="14"/>
    </w:rPr>
  </w:style>
  <w:style w:type="paragraph" w:customStyle="1" w:styleId="Text7pBoldLeft">
    <w:name w:val="Text_7p_Bold_Left"/>
    <w:qFormat/>
    <w:pPr>
      <w:pBdr>
        <w:top w:val="nil"/>
        <w:left w:val="nil"/>
        <w:bottom w:val="nil"/>
        <w:right w:val="nil"/>
        <w:between w:val="nil"/>
        <w:bar w:val="nil"/>
      </w:pBdr>
      <w:spacing w:after="0" w:line="240" w:lineRule="auto"/>
    </w:pPr>
    <w:rPr>
      <w:rFonts w:ascii="Verdana" w:eastAsia="Calibri" w:hAnsi="Verdana" w:cs="Times New Roman"/>
      <w:b/>
      <w:noProof/>
      <w:sz w:val="14"/>
      <w:szCs w:val="18"/>
      <w:bdr w:val="nil"/>
    </w:rPr>
  </w:style>
  <w:style w:type="paragraph" w:customStyle="1" w:styleId="Figures7pBoldRight025">
    <w:name w:val="Figures_7p_Bold_Right_0.25"/>
    <w:qFormat/>
    <w:pPr>
      <w:pBdr>
        <w:top w:val="nil"/>
        <w:left w:val="nil"/>
        <w:bottom w:val="nil"/>
        <w:right w:val="nil"/>
        <w:between w:val="nil"/>
        <w:bar w:val="nil"/>
      </w:pBdr>
      <w:spacing w:after="0" w:line="240" w:lineRule="auto"/>
      <w:ind w:right="142"/>
      <w:jc w:val="right"/>
    </w:pPr>
    <w:rPr>
      <w:rFonts w:ascii="Verdana" w:eastAsia="Calibri" w:hAnsi="Verdana" w:cs="Times New Roman"/>
      <w:b/>
      <w:noProof/>
      <w:sz w:val="14"/>
      <w:szCs w:val="18"/>
      <w:bdr w:val="nil"/>
    </w:rPr>
  </w:style>
  <w:style w:type="paragraph" w:customStyle="1" w:styleId="Figures55pBoldRight01">
    <w:name w:val="Figures_5.5p_Bold_Right_0.1"/>
    <w:basedOn w:val="Figures6pBoldRight01"/>
    <w:qFormat/>
    <w:rPr>
      <w:sz w:val="11"/>
      <w:szCs w:val="11"/>
    </w:rPr>
  </w:style>
  <w:style w:type="paragraph" w:customStyle="1" w:styleId="Figures6pBoldRight01">
    <w:name w:val="Figures_6p_Bold_Right_0.1"/>
    <w:basedOn w:val="Figures7pBoldRight025"/>
    <w:qFormat/>
    <w:pPr>
      <w:ind w:right="57"/>
    </w:pPr>
    <w:rPr>
      <w:sz w:val="12"/>
      <w:szCs w:val="12"/>
    </w:rPr>
  </w:style>
  <w:style w:type="paragraph" w:customStyle="1" w:styleId="Text8pNormalLeft">
    <w:name w:val="Text_8p_Normal_Left"/>
    <w:qFormat/>
    <w:pPr>
      <w:pBdr>
        <w:top w:val="nil"/>
        <w:left w:val="nil"/>
        <w:bottom w:val="nil"/>
        <w:right w:val="nil"/>
        <w:between w:val="nil"/>
        <w:bar w:val="nil"/>
      </w:pBdr>
      <w:spacing w:after="0" w:line="240" w:lineRule="auto"/>
      <w:ind w:left="34"/>
    </w:pPr>
    <w:rPr>
      <w:rFonts w:ascii="Verdana" w:eastAsia="Calibri" w:hAnsi="Verdana" w:cs="Times New Roman"/>
      <w:bCs/>
      <w:sz w:val="16"/>
      <w:szCs w:val="20"/>
      <w:bdr w:val="nil"/>
    </w:rPr>
  </w:style>
  <w:style w:type="paragraph" w:customStyle="1" w:styleId="Heading7pBoldCentered">
    <w:name w:val="Heading_7p_Bold_Centered"/>
    <w:basedOn w:val="Heading7pNormalCentered"/>
    <w:qFormat/>
    <w:rPr>
      <w:b/>
    </w:rPr>
  </w:style>
  <w:style w:type="paragraph" w:customStyle="1" w:styleId="Figures7pNormalRight025">
    <w:name w:val="Figures_7p_Normal_Right_0.25"/>
    <w:basedOn w:val="Figures7pItalicRight025"/>
    <w:qFormat/>
    <w:rPr>
      <w:i w:val="0"/>
    </w:rPr>
  </w:style>
  <w:style w:type="paragraph" w:customStyle="1" w:styleId="Text7pNormalLeft">
    <w:name w:val="Text_7p_Normal_Left"/>
    <w:basedOn w:val="Text8pNormalLeft"/>
    <w:qFormat/>
    <w:rPr>
      <w:noProof/>
      <w:sz w:val="14"/>
    </w:rPr>
  </w:style>
  <w:style w:type="paragraph" w:customStyle="1" w:styleId="Figures7pNormalRight01">
    <w:name w:val="Figures_7p_Normal_Right_0.1"/>
    <w:qFormat/>
    <w:pPr>
      <w:pBdr>
        <w:top w:val="nil"/>
        <w:left w:val="nil"/>
        <w:bottom w:val="nil"/>
        <w:right w:val="nil"/>
        <w:between w:val="nil"/>
        <w:bar w:val="nil"/>
      </w:pBdr>
      <w:spacing w:after="0" w:line="240" w:lineRule="auto"/>
      <w:ind w:right="57"/>
      <w:jc w:val="right"/>
    </w:pPr>
    <w:rPr>
      <w:rFonts w:ascii="Verdana" w:eastAsia="Calibri" w:hAnsi="Verdana" w:cs="Times New Roman"/>
      <w:noProof/>
      <w:sz w:val="14"/>
      <w:szCs w:val="18"/>
      <w:bdr w:val="nil"/>
    </w:rPr>
  </w:style>
  <w:style w:type="paragraph" w:customStyle="1" w:styleId="Figures7pBoldRight01">
    <w:name w:val="Figures_7p_Bold_Right_0.1"/>
    <w:qFormat/>
    <w:pPr>
      <w:pBdr>
        <w:top w:val="nil"/>
        <w:left w:val="nil"/>
        <w:bottom w:val="nil"/>
        <w:right w:val="nil"/>
        <w:between w:val="nil"/>
        <w:bar w:val="nil"/>
      </w:pBdr>
      <w:spacing w:after="0" w:line="240" w:lineRule="auto"/>
      <w:ind w:right="57"/>
      <w:jc w:val="right"/>
    </w:pPr>
    <w:rPr>
      <w:rFonts w:ascii="Verdana" w:eastAsia="Calibri" w:hAnsi="Verdana" w:cs="Times New Roman"/>
      <w:b/>
      <w:noProof/>
      <w:sz w:val="14"/>
      <w:szCs w:val="18"/>
      <w:bdr w:val="nil"/>
    </w:rPr>
  </w:style>
  <w:style w:type="paragraph" w:customStyle="1" w:styleId="Heading6pBoldCentered">
    <w:name w:val="Heading_6p_Bold_Centered"/>
    <w:basedOn w:val="Heading6pNormalCentered"/>
    <w:qFormat/>
    <w:rPr>
      <w:b/>
    </w:rPr>
  </w:style>
  <w:style w:type="paragraph" w:customStyle="1" w:styleId="Heading6pNormalCentered">
    <w:name w:val="Heading_6p_Normal_Centered"/>
    <w:qFormat/>
    <w:pPr>
      <w:spacing w:after="0" w:line="240" w:lineRule="auto"/>
      <w:jc w:val="center"/>
    </w:pPr>
    <w:rPr>
      <w:rFonts w:ascii="Verdana" w:eastAsia="Times New Roman" w:hAnsi="Verdana" w:cs="Times New Roman"/>
      <w:noProof/>
      <w:color w:val="FFFFFF"/>
      <w:sz w:val="12"/>
      <w:szCs w:val="18"/>
    </w:rPr>
  </w:style>
  <w:style w:type="paragraph" w:customStyle="1" w:styleId="Text6pNormalLeft">
    <w:name w:val="Text_6p_Normal_Left"/>
    <w:qFormat/>
    <w:pPr>
      <w:spacing w:after="0" w:line="240" w:lineRule="auto"/>
    </w:pPr>
    <w:rPr>
      <w:rFonts w:ascii="Verdana" w:eastAsia="Times New Roman" w:hAnsi="Verdana" w:cs="Times New Roman"/>
      <w:bCs/>
      <w:noProof/>
      <w:sz w:val="12"/>
      <w:szCs w:val="20"/>
    </w:rPr>
  </w:style>
  <w:style w:type="paragraph" w:customStyle="1" w:styleId="Figures6pNormalright01">
    <w:name w:val="Figures_6p_Normal_right_0.1"/>
    <w:qFormat/>
    <w:pPr>
      <w:spacing w:after="0" w:line="240" w:lineRule="auto"/>
      <w:ind w:right="57"/>
      <w:jc w:val="right"/>
    </w:pPr>
    <w:rPr>
      <w:rFonts w:ascii="Verdana" w:eastAsia="Times New Roman" w:hAnsi="Verdana" w:cs="Times New Roman"/>
      <w:noProof/>
      <w:sz w:val="12"/>
      <w:szCs w:val="18"/>
    </w:rPr>
  </w:style>
  <w:style w:type="paragraph" w:customStyle="1" w:styleId="Text6pItalicLeft">
    <w:name w:val="Text_6p_Italic_Left"/>
    <w:qFormat/>
    <w:pPr>
      <w:spacing w:after="0" w:line="240" w:lineRule="auto"/>
    </w:pPr>
    <w:rPr>
      <w:rFonts w:ascii="Verdana" w:eastAsia="Times New Roman" w:hAnsi="Verdana" w:cs="Times New Roman"/>
      <w:bCs/>
      <w:i/>
      <w:noProof/>
      <w:sz w:val="12"/>
      <w:szCs w:val="20"/>
    </w:rPr>
  </w:style>
  <w:style w:type="paragraph" w:customStyle="1" w:styleId="Figures6pItalicRight01">
    <w:name w:val="Figures_6p_Italic_Right_0.1"/>
    <w:basedOn w:val="Figures7pItalicRight025"/>
    <w:qFormat/>
    <w:pPr>
      <w:ind w:right="57"/>
    </w:pPr>
    <w:rPr>
      <w:sz w:val="12"/>
      <w:szCs w:val="12"/>
    </w:rPr>
  </w:style>
  <w:style w:type="paragraph" w:customStyle="1" w:styleId="Text6pBoldLeft">
    <w:name w:val="Text_6p_Bold_Left"/>
    <w:qFormat/>
    <w:pPr>
      <w:spacing w:after="0" w:line="240" w:lineRule="auto"/>
    </w:pPr>
    <w:rPr>
      <w:rFonts w:ascii="Verdana" w:eastAsia="Times New Roman" w:hAnsi="Verdana" w:cs="Times New Roman"/>
      <w:b/>
      <w:noProof/>
      <w:sz w:val="12"/>
      <w:szCs w:val="18"/>
    </w:rPr>
  </w:style>
  <w:style w:type="paragraph" w:customStyle="1" w:styleId="Heading6pBoldNarrowCentred">
    <w:name w:val="Heading_6p_BoldNarrow_Centred"/>
    <w:basedOn w:val="Heading6pBoldCentered"/>
    <w:qFormat/>
    <w:rPr>
      <w:spacing w:val="-10"/>
    </w:rPr>
  </w:style>
  <w:style w:type="paragraph" w:customStyle="1" w:styleId="Text6pItalicRight025">
    <w:name w:val="Text_6p_Italic_Right_0.25"/>
    <w:basedOn w:val="Text7pItalicRight025"/>
    <w:qFormat/>
    <w:rPr>
      <w:sz w:val="1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99" Type="http://schemas.openxmlformats.org/officeDocument/2006/relationships/footer" Target="footer145.xml"/><Relationship Id="rId303" Type="http://schemas.openxmlformats.org/officeDocument/2006/relationships/header" Target="header148.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324" Type="http://schemas.openxmlformats.org/officeDocument/2006/relationships/footer" Target="footer158.xml"/><Relationship Id="rId345" Type="http://schemas.openxmlformats.org/officeDocument/2006/relationships/header" Target="header169.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247" Type="http://schemas.openxmlformats.org/officeDocument/2006/relationships/header" Target="header120.xml"/><Relationship Id="rId107" Type="http://schemas.openxmlformats.org/officeDocument/2006/relationships/footer" Target="footer49.xml"/><Relationship Id="rId268" Type="http://schemas.openxmlformats.org/officeDocument/2006/relationships/header" Target="header131.xml"/><Relationship Id="rId289" Type="http://schemas.openxmlformats.org/officeDocument/2006/relationships/header" Target="header141.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314" Type="http://schemas.openxmlformats.org/officeDocument/2006/relationships/footer" Target="footer153.xml"/><Relationship Id="rId335" Type="http://schemas.openxmlformats.org/officeDocument/2006/relationships/footer" Target="footer163.xml"/><Relationship Id="rId356" Type="http://schemas.openxmlformats.org/officeDocument/2006/relationships/footer" Target="footer174.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37" Type="http://schemas.openxmlformats.org/officeDocument/2006/relationships/header" Target="header115.xml"/><Relationship Id="rId258" Type="http://schemas.openxmlformats.org/officeDocument/2006/relationships/footer" Target="footer125.xml"/><Relationship Id="rId279" Type="http://schemas.openxmlformats.org/officeDocument/2006/relationships/header" Target="header136.xml"/><Relationship Id="rId22" Type="http://schemas.openxmlformats.org/officeDocument/2006/relationships/header" Target="header8.xml"/><Relationship Id="rId43" Type="http://schemas.openxmlformats.org/officeDocument/2006/relationships/header" Target="header18.xml"/><Relationship Id="rId64" Type="http://schemas.openxmlformats.org/officeDocument/2006/relationships/header" Target="header29.xml"/><Relationship Id="rId118" Type="http://schemas.openxmlformats.org/officeDocument/2006/relationships/header" Target="header56.xml"/><Relationship Id="rId139" Type="http://schemas.openxmlformats.org/officeDocument/2006/relationships/header" Target="header66.xml"/><Relationship Id="rId290" Type="http://schemas.openxmlformats.org/officeDocument/2006/relationships/footer" Target="footer141.xml"/><Relationship Id="rId304" Type="http://schemas.openxmlformats.org/officeDocument/2006/relationships/header" Target="header149.xml"/><Relationship Id="rId325" Type="http://schemas.openxmlformats.org/officeDocument/2006/relationships/header" Target="header159.xml"/><Relationship Id="rId346" Type="http://schemas.openxmlformats.org/officeDocument/2006/relationships/header" Target="header170.xml"/><Relationship Id="rId85" Type="http://schemas.openxmlformats.org/officeDocument/2006/relationships/header" Target="header39.xml"/><Relationship Id="rId150" Type="http://schemas.openxmlformats.org/officeDocument/2006/relationships/footer" Target="footer71.xml"/><Relationship Id="rId171" Type="http://schemas.openxmlformats.org/officeDocument/2006/relationships/header" Target="header82.xml"/><Relationship Id="rId192" Type="http://schemas.openxmlformats.org/officeDocument/2006/relationships/footer" Target="footer92.xml"/><Relationship Id="rId206" Type="http://schemas.openxmlformats.org/officeDocument/2006/relationships/footer" Target="footer99.xml"/><Relationship Id="rId227" Type="http://schemas.openxmlformats.org/officeDocument/2006/relationships/footer" Target="footer109.xml"/><Relationship Id="rId248" Type="http://schemas.openxmlformats.org/officeDocument/2006/relationships/footer" Target="footer120.xml"/><Relationship Id="rId269" Type="http://schemas.openxmlformats.org/officeDocument/2006/relationships/footer" Target="footer130.xml"/><Relationship Id="rId12" Type="http://schemas.openxmlformats.org/officeDocument/2006/relationships/footer" Target="footer2.xml"/><Relationship Id="rId33" Type="http://schemas.openxmlformats.org/officeDocument/2006/relationships/header" Target="header13.xml"/><Relationship Id="rId108" Type="http://schemas.openxmlformats.org/officeDocument/2006/relationships/footer" Target="footer50.xml"/><Relationship Id="rId129" Type="http://schemas.openxmlformats.org/officeDocument/2006/relationships/header" Target="header61.xml"/><Relationship Id="rId280" Type="http://schemas.openxmlformats.org/officeDocument/2006/relationships/header" Target="header137.xml"/><Relationship Id="rId315" Type="http://schemas.openxmlformats.org/officeDocument/2006/relationships/header" Target="header154.xml"/><Relationship Id="rId336" Type="http://schemas.openxmlformats.org/officeDocument/2006/relationships/footer" Target="footer164.xml"/><Relationship Id="rId357" Type="http://schemas.openxmlformats.org/officeDocument/2006/relationships/header" Target="header175.xml"/><Relationship Id="rId54" Type="http://schemas.openxmlformats.org/officeDocument/2006/relationships/footer" Target="footer23.xml"/><Relationship Id="rId75" Type="http://schemas.openxmlformats.org/officeDocument/2006/relationships/header" Target="header34.xml"/><Relationship Id="rId96" Type="http://schemas.openxmlformats.org/officeDocument/2006/relationships/footer" Target="footer44.xml"/><Relationship Id="rId140" Type="http://schemas.openxmlformats.org/officeDocument/2006/relationships/footer" Target="footer66.xml"/><Relationship Id="rId161" Type="http://schemas.openxmlformats.org/officeDocument/2006/relationships/footer" Target="footer76.xml"/><Relationship Id="rId182" Type="http://schemas.openxmlformats.org/officeDocument/2006/relationships/footer" Target="footer87.xml"/><Relationship Id="rId217" Type="http://schemas.openxmlformats.org/officeDocument/2006/relationships/header" Target="header105.xml"/><Relationship Id="rId6" Type="http://schemas.openxmlformats.org/officeDocument/2006/relationships/footnotes" Target="footnotes.xml"/><Relationship Id="rId238" Type="http://schemas.openxmlformats.org/officeDocument/2006/relationships/header" Target="header116.xml"/><Relationship Id="rId259" Type="http://schemas.openxmlformats.org/officeDocument/2006/relationships/header" Target="header126.xml"/><Relationship Id="rId23" Type="http://schemas.openxmlformats.org/officeDocument/2006/relationships/footer" Target="footer7.xml"/><Relationship Id="rId119" Type="http://schemas.openxmlformats.org/officeDocument/2006/relationships/footer" Target="footer55.xml"/><Relationship Id="rId270" Type="http://schemas.openxmlformats.org/officeDocument/2006/relationships/footer" Target="footer131.xml"/><Relationship Id="rId291" Type="http://schemas.openxmlformats.org/officeDocument/2006/relationships/header" Target="header142.xml"/><Relationship Id="rId305" Type="http://schemas.openxmlformats.org/officeDocument/2006/relationships/footer" Target="footer148.xml"/><Relationship Id="rId326" Type="http://schemas.openxmlformats.org/officeDocument/2006/relationships/footer" Target="footer159.xml"/><Relationship Id="rId347" Type="http://schemas.openxmlformats.org/officeDocument/2006/relationships/footer" Target="footer169.xml"/><Relationship Id="rId44" Type="http://schemas.openxmlformats.org/officeDocument/2006/relationships/footer" Target="footer18.xml"/><Relationship Id="rId65" Type="http://schemas.openxmlformats.org/officeDocument/2006/relationships/footer" Target="footer28.xml"/><Relationship Id="rId86" Type="http://schemas.openxmlformats.org/officeDocument/2006/relationships/footer" Target="footer39.xml"/><Relationship Id="rId130" Type="http://schemas.openxmlformats.org/officeDocument/2006/relationships/header" Target="header62.xml"/><Relationship Id="rId151" Type="http://schemas.openxmlformats.org/officeDocument/2006/relationships/header" Target="header72.xml"/><Relationship Id="rId172" Type="http://schemas.openxmlformats.org/officeDocument/2006/relationships/header" Target="header83.xml"/><Relationship Id="rId193" Type="http://schemas.openxmlformats.org/officeDocument/2006/relationships/header" Target="header93.xml"/><Relationship Id="rId207" Type="http://schemas.openxmlformats.org/officeDocument/2006/relationships/header" Target="header100.xml"/><Relationship Id="rId228" Type="http://schemas.openxmlformats.org/officeDocument/2006/relationships/footer" Target="footer110.xml"/><Relationship Id="rId249" Type="http://schemas.openxmlformats.org/officeDocument/2006/relationships/header" Target="header121.xml"/><Relationship Id="rId13" Type="http://schemas.openxmlformats.org/officeDocument/2006/relationships/header" Target="header3.xml"/><Relationship Id="rId109" Type="http://schemas.openxmlformats.org/officeDocument/2006/relationships/header" Target="header51.xml"/><Relationship Id="rId260" Type="http://schemas.openxmlformats.org/officeDocument/2006/relationships/footer" Target="footer126.xml"/><Relationship Id="rId281" Type="http://schemas.openxmlformats.org/officeDocument/2006/relationships/footer" Target="footer136.xml"/><Relationship Id="rId316" Type="http://schemas.openxmlformats.org/officeDocument/2006/relationships/header" Target="header155.xml"/><Relationship Id="rId337" Type="http://schemas.openxmlformats.org/officeDocument/2006/relationships/header" Target="header165.xml"/><Relationship Id="rId34" Type="http://schemas.openxmlformats.org/officeDocument/2006/relationships/header" Target="header14.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20" Type="http://schemas.openxmlformats.org/officeDocument/2006/relationships/footer" Target="footer56.xml"/><Relationship Id="rId141" Type="http://schemas.openxmlformats.org/officeDocument/2006/relationships/header" Target="header67.xml"/><Relationship Id="rId358" Type="http://schemas.openxmlformats.org/officeDocument/2006/relationships/header" Target="header176.xml"/><Relationship Id="rId7" Type="http://schemas.openxmlformats.org/officeDocument/2006/relationships/endnotes" Target="endnotes.xml"/><Relationship Id="rId162" Type="http://schemas.openxmlformats.org/officeDocument/2006/relationships/footer" Target="footer77.xml"/><Relationship Id="rId183" Type="http://schemas.openxmlformats.org/officeDocument/2006/relationships/header" Target="header88.xml"/><Relationship Id="rId218" Type="http://schemas.openxmlformats.org/officeDocument/2006/relationships/footer" Target="footer105.xml"/><Relationship Id="rId239" Type="http://schemas.openxmlformats.org/officeDocument/2006/relationships/footer" Target="footer115.xml"/><Relationship Id="rId250" Type="http://schemas.openxmlformats.org/officeDocument/2006/relationships/header" Target="header122.xml"/><Relationship Id="rId271" Type="http://schemas.openxmlformats.org/officeDocument/2006/relationships/header" Target="header132.xml"/><Relationship Id="rId292" Type="http://schemas.openxmlformats.org/officeDocument/2006/relationships/header" Target="header143.xml"/><Relationship Id="rId306" Type="http://schemas.openxmlformats.org/officeDocument/2006/relationships/footer" Target="footer149.xml"/><Relationship Id="rId24" Type="http://schemas.openxmlformats.org/officeDocument/2006/relationships/footer" Target="footer8.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31" Type="http://schemas.openxmlformats.org/officeDocument/2006/relationships/footer" Target="footer61.xml"/><Relationship Id="rId327" Type="http://schemas.openxmlformats.org/officeDocument/2006/relationships/header" Target="header160.xml"/><Relationship Id="rId348" Type="http://schemas.openxmlformats.org/officeDocument/2006/relationships/footer" Target="footer170.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208" Type="http://schemas.openxmlformats.org/officeDocument/2006/relationships/header" Target="header101.xml"/><Relationship Id="rId229" Type="http://schemas.openxmlformats.org/officeDocument/2006/relationships/header" Target="header111.xml"/><Relationship Id="rId240" Type="http://schemas.openxmlformats.org/officeDocument/2006/relationships/footer" Target="footer116.xml"/><Relationship Id="rId261" Type="http://schemas.openxmlformats.org/officeDocument/2006/relationships/header" Target="header127.xml"/><Relationship Id="rId14" Type="http://schemas.openxmlformats.org/officeDocument/2006/relationships/footer" Target="footer3.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282" Type="http://schemas.openxmlformats.org/officeDocument/2006/relationships/footer" Target="footer137.xml"/><Relationship Id="rId317" Type="http://schemas.openxmlformats.org/officeDocument/2006/relationships/footer" Target="footer154.xml"/><Relationship Id="rId338" Type="http://schemas.openxmlformats.org/officeDocument/2006/relationships/footer" Target="footer165.xml"/><Relationship Id="rId359" Type="http://schemas.openxmlformats.org/officeDocument/2006/relationships/footer" Target="footer175.xml"/><Relationship Id="rId8" Type="http://schemas.openxmlformats.org/officeDocument/2006/relationships/image" Target="media/image1.emf"/><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219" Type="http://schemas.openxmlformats.org/officeDocument/2006/relationships/header" Target="header106.xml"/><Relationship Id="rId230" Type="http://schemas.openxmlformats.org/officeDocument/2006/relationships/footer" Target="footer111.xml"/><Relationship Id="rId251" Type="http://schemas.openxmlformats.org/officeDocument/2006/relationships/footer" Target="footer12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272" Type="http://schemas.openxmlformats.org/officeDocument/2006/relationships/footer" Target="footer132.xml"/><Relationship Id="rId293" Type="http://schemas.openxmlformats.org/officeDocument/2006/relationships/footer" Target="footer142.xml"/><Relationship Id="rId307" Type="http://schemas.openxmlformats.org/officeDocument/2006/relationships/header" Target="header150.xml"/><Relationship Id="rId328" Type="http://schemas.openxmlformats.org/officeDocument/2006/relationships/header" Target="header161.xml"/><Relationship Id="rId349" Type="http://schemas.openxmlformats.org/officeDocument/2006/relationships/header" Target="header171.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95" Type="http://schemas.openxmlformats.org/officeDocument/2006/relationships/header" Target="header94.xml"/><Relationship Id="rId209" Type="http://schemas.openxmlformats.org/officeDocument/2006/relationships/footer" Target="footer100.xml"/><Relationship Id="rId360" Type="http://schemas.openxmlformats.org/officeDocument/2006/relationships/footer" Target="footer176.xml"/><Relationship Id="rId220" Type="http://schemas.openxmlformats.org/officeDocument/2006/relationships/header" Target="header107.xml"/><Relationship Id="rId241" Type="http://schemas.openxmlformats.org/officeDocument/2006/relationships/header" Target="header117.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262" Type="http://schemas.openxmlformats.org/officeDocument/2006/relationships/header" Target="header128.xml"/><Relationship Id="rId283" Type="http://schemas.openxmlformats.org/officeDocument/2006/relationships/header" Target="header138.xml"/><Relationship Id="rId313" Type="http://schemas.openxmlformats.org/officeDocument/2006/relationships/header" Target="header153.xml"/><Relationship Id="rId318" Type="http://schemas.openxmlformats.org/officeDocument/2006/relationships/footer" Target="footer155.xml"/><Relationship Id="rId339" Type="http://schemas.openxmlformats.org/officeDocument/2006/relationships/header" Target="header166.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334" Type="http://schemas.openxmlformats.org/officeDocument/2006/relationships/header" Target="header164.xml"/><Relationship Id="rId350" Type="http://schemas.openxmlformats.org/officeDocument/2006/relationships/footer" Target="footer171.xml"/><Relationship Id="rId355" Type="http://schemas.openxmlformats.org/officeDocument/2006/relationships/header" Target="header174.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36" Type="http://schemas.openxmlformats.org/officeDocument/2006/relationships/footer" Target="footer114.xml"/><Relationship Id="rId257" Type="http://schemas.openxmlformats.org/officeDocument/2006/relationships/footer" Target="footer124.xml"/><Relationship Id="rId278" Type="http://schemas.openxmlformats.org/officeDocument/2006/relationships/footer" Target="footer135.xml"/><Relationship Id="rId26" Type="http://schemas.openxmlformats.org/officeDocument/2006/relationships/footer" Target="footer9.xml"/><Relationship Id="rId231" Type="http://schemas.openxmlformats.org/officeDocument/2006/relationships/header" Target="header112.xml"/><Relationship Id="rId252" Type="http://schemas.openxmlformats.org/officeDocument/2006/relationships/footer" Target="footer122.xml"/><Relationship Id="rId273" Type="http://schemas.openxmlformats.org/officeDocument/2006/relationships/header" Target="header133.xml"/><Relationship Id="rId294" Type="http://schemas.openxmlformats.org/officeDocument/2006/relationships/footer" Target="footer143.xml"/><Relationship Id="rId308" Type="http://schemas.openxmlformats.org/officeDocument/2006/relationships/footer" Target="footer150.xml"/><Relationship Id="rId329" Type="http://schemas.openxmlformats.org/officeDocument/2006/relationships/footer" Target="footer160.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340" Type="http://schemas.openxmlformats.org/officeDocument/2006/relationships/header" Target="header167.xml"/><Relationship Id="rId361" Type="http://schemas.openxmlformats.org/officeDocument/2006/relationships/header" Target="header177.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242" Type="http://schemas.openxmlformats.org/officeDocument/2006/relationships/footer" Target="footer117.xml"/><Relationship Id="rId263" Type="http://schemas.openxmlformats.org/officeDocument/2006/relationships/footer" Target="footer127.xml"/><Relationship Id="rId284" Type="http://schemas.openxmlformats.org/officeDocument/2006/relationships/footer" Target="footer138.xml"/><Relationship Id="rId319" Type="http://schemas.openxmlformats.org/officeDocument/2006/relationships/header" Target="header15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330" Type="http://schemas.openxmlformats.org/officeDocument/2006/relationships/footer" Target="footer161.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351" Type="http://schemas.openxmlformats.org/officeDocument/2006/relationships/header" Target="header172.xml"/><Relationship Id="rId211" Type="http://schemas.openxmlformats.org/officeDocument/2006/relationships/header" Target="header102.xml"/><Relationship Id="rId232" Type="http://schemas.openxmlformats.org/officeDocument/2006/relationships/header" Target="header113.xml"/><Relationship Id="rId253" Type="http://schemas.openxmlformats.org/officeDocument/2006/relationships/header" Target="header123.xml"/><Relationship Id="rId274" Type="http://schemas.openxmlformats.org/officeDocument/2006/relationships/header" Target="header134.xml"/><Relationship Id="rId295" Type="http://schemas.openxmlformats.org/officeDocument/2006/relationships/header" Target="header144.xml"/><Relationship Id="rId309" Type="http://schemas.openxmlformats.org/officeDocument/2006/relationships/header" Target="header151.xml"/><Relationship Id="rId27" Type="http://schemas.openxmlformats.org/officeDocument/2006/relationships/header" Target="header10.xml"/><Relationship Id="rId48" Type="http://schemas.openxmlformats.org/officeDocument/2006/relationships/footer" Target="footer20.xml"/><Relationship Id="rId69" Type="http://schemas.openxmlformats.org/officeDocument/2006/relationships/header" Target="header31.xml"/><Relationship Id="rId113" Type="http://schemas.openxmlformats.org/officeDocument/2006/relationships/footer" Target="footer52.xml"/><Relationship Id="rId134" Type="http://schemas.openxmlformats.org/officeDocument/2006/relationships/footer" Target="footer63.xml"/><Relationship Id="rId320" Type="http://schemas.openxmlformats.org/officeDocument/2006/relationships/footer" Target="footer156.xml"/><Relationship Id="rId80" Type="http://schemas.openxmlformats.org/officeDocument/2006/relationships/footer" Target="footer36.xml"/><Relationship Id="rId155" Type="http://schemas.openxmlformats.org/officeDocument/2006/relationships/footer" Target="footer73.xml"/><Relationship Id="rId176" Type="http://schemas.openxmlformats.org/officeDocument/2006/relationships/footer" Target="footer84.xml"/><Relationship Id="rId197" Type="http://schemas.openxmlformats.org/officeDocument/2006/relationships/footer" Target="footer94.xml"/><Relationship Id="rId341" Type="http://schemas.openxmlformats.org/officeDocument/2006/relationships/footer" Target="footer166.xml"/><Relationship Id="rId362" Type="http://schemas.openxmlformats.org/officeDocument/2006/relationships/footer" Target="footer177.xml"/><Relationship Id="rId201" Type="http://schemas.openxmlformats.org/officeDocument/2006/relationships/header" Target="header97.xml"/><Relationship Id="rId222" Type="http://schemas.openxmlformats.org/officeDocument/2006/relationships/footer" Target="footer107.xml"/><Relationship Id="rId243" Type="http://schemas.openxmlformats.org/officeDocument/2006/relationships/header" Target="header118.xml"/><Relationship Id="rId264" Type="http://schemas.openxmlformats.org/officeDocument/2006/relationships/footer" Target="footer128.xml"/><Relationship Id="rId285" Type="http://schemas.openxmlformats.org/officeDocument/2006/relationships/header" Target="header139.xml"/><Relationship Id="rId17" Type="http://schemas.openxmlformats.org/officeDocument/2006/relationships/footer" Target="footer4.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24" Type="http://schemas.openxmlformats.org/officeDocument/2006/relationships/header" Target="header59.xml"/><Relationship Id="rId310" Type="http://schemas.openxmlformats.org/officeDocument/2006/relationships/header" Target="header152.xml"/><Relationship Id="rId70" Type="http://schemas.openxmlformats.org/officeDocument/2006/relationships/header" Target="header32.xml"/><Relationship Id="rId91" Type="http://schemas.openxmlformats.org/officeDocument/2006/relationships/header" Target="header42.xml"/><Relationship Id="rId145" Type="http://schemas.openxmlformats.org/officeDocument/2006/relationships/header" Target="header69.xml"/><Relationship Id="rId166" Type="http://schemas.openxmlformats.org/officeDocument/2006/relationships/header" Target="header80.xml"/><Relationship Id="rId187" Type="http://schemas.openxmlformats.org/officeDocument/2006/relationships/header" Target="header90.xml"/><Relationship Id="rId331" Type="http://schemas.openxmlformats.org/officeDocument/2006/relationships/header" Target="header162.xml"/><Relationship Id="rId352" Type="http://schemas.openxmlformats.org/officeDocument/2006/relationships/header" Target="header173.xml"/><Relationship Id="rId1" Type="http://schemas.openxmlformats.org/officeDocument/2006/relationships/numbering" Target="numbering.xml"/><Relationship Id="rId212" Type="http://schemas.openxmlformats.org/officeDocument/2006/relationships/footer" Target="footer102.xml"/><Relationship Id="rId233" Type="http://schemas.openxmlformats.org/officeDocument/2006/relationships/footer" Target="footer112.xml"/><Relationship Id="rId254" Type="http://schemas.openxmlformats.org/officeDocument/2006/relationships/footer" Target="footer123.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275" Type="http://schemas.openxmlformats.org/officeDocument/2006/relationships/footer" Target="footer133.xml"/><Relationship Id="rId296" Type="http://schemas.openxmlformats.org/officeDocument/2006/relationships/footer" Target="footer144.xml"/><Relationship Id="rId300" Type="http://schemas.openxmlformats.org/officeDocument/2006/relationships/footer" Target="footer146.xml"/><Relationship Id="rId60" Type="http://schemas.openxmlformats.org/officeDocument/2006/relationships/footer" Target="footer26.xml"/><Relationship Id="rId81" Type="http://schemas.openxmlformats.org/officeDocument/2006/relationships/header" Target="header37.xml"/><Relationship Id="rId135" Type="http://schemas.openxmlformats.org/officeDocument/2006/relationships/header" Target="header64.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321" Type="http://schemas.openxmlformats.org/officeDocument/2006/relationships/header" Target="header157.xml"/><Relationship Id="rId342" Type="http://schemas.openxmlformats.org/officeDocument/2006/relationships/footer" Target="footer167.xml"/><Relationship Id="rId363" Type="http://schemas.openxmlformats.org/officeDocument/2006/relationships/fontTable" Target="fontTable.xml"/><Relationship Id="rId202" Type="http://schemas.openxmlformats.org/officeDocument/2006/relationships/header" Target="header98.xml"/><Relationship Id="rId223" Type="http://schemas.openxmlformats.org/officeDocument/2006/relationships/header" Target="header108.xml"/><Relationship Id="rId244" Type="http://schemas.openxmlformats.org/officeDocument/2006/relationships/header" Target="header119.xml"/><Relationship Id="rId18" Type="http://schemas.openxmlformats.org/officeDocument/2006/relationships/footer" Target="footer5.xml"/><Relationship Id="rId39" Type="http://schemas.openxmlformats.org/officeDocument/2006/relationships/header" Target="header16.xml"/><Relationship Id="rId265" Type="http://schemas.openxmlformats.org/officeDocument/2006/relationships/header" Target="header129.xml"/><Relationship Id="rId286" Type="http://schemas.openxmlformats.org/officeDocument/2006/relationships/header" Target="header140.xml"/><Relationship Id="rId50" Type="http://schemas.openxmlformats.org/officeDocument/2006/relationships/footer" Target="footer21.xml"/><Relationship Id="rId104" Type="http://schemas.openxmlformats.org/officeDocument/2006/relationships/footer" Target="footer48.xml"/><Relationship Id="rId125" Type="http://schemas.openxmlformats.org/officeDocument/2006/relationships/footer" Target="footer58.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311" Type="http://schemas.openxmlformats.org/officeDocument/2006/relationships/footer" Target="footer151.xml"/><Relationship Id="rId332" Type="http://schemas.openxmlformats.org/officeDocument/2006/relationships/footer" Target="footer162.xml"/><Relationship Id="rId353" Type="http://schemas.openxmlformats.org/officeDocument/2006/relationships/footer" Target="footer172.xml"/><Relationship Id="rId71" Type="http://schemas.openxmlformats.org/officeDocument/2006/relationships/footer" Target="footer31.xml"/><Relationship Id="rId92" Type="http://schemas.openxmlformats.org/officeDocument/2006/relationships/footer" Target="footer42.xml"/><Relationship Id="rId213" Type="http://schemas.openxmlformats.org/officeDocument/2006/relationships/header" Target="header103.xml"/><Relationship Id="rId234" Type="http://schemas.openxmlformats.org/officeDocument/2006/relationships/footer" Target="footer113.xml"/><Relationship Id="rId2" Type="http://schemas.openxmlformats.org/officeDocument/2006/relationships/styles" Target="styles.xml"/><Relationship Id="rId29" Type="http://schemas.openxmlformats.org/officeDocument/2006/relationships/footer" Target="footer10.xml"/><Relationship Id="rId255" Type="http://schemas.openxmlformats.org/officeDocument/2006/relationships/header" Target="header124.xml"/><Relationship Id="rId276" Type="http://schemas.openxmlformats.org/officeDocument/2006/relationships/footer" Target="footer134.xml"/><Relationship Id="rId297" Type="http://schemas.openxmlformats.org/officeDocument/2006/relationships/header" Target="header145.xml"/><Relationship Id="rId40" Type="http://schemas.openxmlformats.org/officeDocument/2006/relationships/header" Target="header17.xml"/><Relationship Id="rId115" Type="http://schemas.openxmlformats.org/officeDocument/2006/relationships/header" Target="header54.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301" Type="http://schemas.openxmlformats.org/officeDocument/2006/relationships/header" Target="header147.xml"/><Relationship Id="rId322" Type="http://schemas.openxmlformats.org/officeDocument/2006/relationships/header" Target="header158.xml"/><Relationship Id="rId343" Type="http://schemas.openxmlformats.org/officeDocument/2006/relationships/header" Target="header168.xml"/><Relationship Id="rId364" Type="http://schemas.openxmlformats.org/officeDocument/2006/relationships/theme" Target="theme/theme1.xml"/><Relationship Id="rId61" Type="http://schemas.openxmlformats.org/officeDocument/2006/relationships/header" Target="header27.xml"/><Relationship Id="rId82" Type="http://schemas.openxmlformats.org/officeDocument/2006/relationships/header" Target="header38.xml"/><Relationship Id="rId199" Type="http://schemas.openxmlformats.org/officeDocument/2006/relationships/header" Target="header96.xml"/><Relationship Id="rId203" Type="http://schemas.openxmlformats.org/officeDocument/2006/relationships/footer" Target="footer97.xml"/><Relationship Id="rId19" Type="http://schemas.openxmlformats.org/officeDocument/2006/relationships/header" Target="header6.xml"/><Relationship Id="rId224" Type="http://schemas.openxmlformats.org/officeDocument/2006/relationships/footer" Target="footer108.xml"/><Relationship Id="rId245" Type="http://schemas.openxmlformats.org/officeDocument/2006/relationships/footer" Target="footer118.xml"/><Relationship Id="rId266" Type="http://schemas.openxmlformats.org/officeDocument/2006/relationships/footer" Target="footer129.xml"/><Relationship Id="rId287" Type="http://schemas.openxmlformats.org/officeDocument/2006/relationships/footer" Target="footer139.xml"/><Relationship Id="rId30" Type="http://schemas.openxmlformats.org/officeDocument/2006/relationships/footer" Target="footer11.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312" Type="http://schemas.openxmlformats.org/officeDocument/2006/relationships/footer" Target="footer152.xml"/><Relationship Id="rId333" Type="http://schemas.openxmlformats.org/officeDocument/2006/relationships/header" Target="header163.xml"/><Relationship Id="rId354" Type="http://schemas.openxmlformats.org/officeDocument/2006/relationships/footer" Target="footer173.xml"/><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189" Type="http://schemas.openxmlformats.org/officeDocument/2006/relationships/header" Target="header91.xml"/><Relationship Id="rId3" Type="http://schemas.microsoft.com/office/2007/relationships/stylesWithEffects" Target="stylesWithEffects.xml"/><Relationship Id="rId214" Type="http://schemas.openxmlformats.org/officeDocument/2006/relationships/header" Target="header104.xml"/><Relationship Id="rId235" Type="http://schemas.openxmlformats.org/officeDocument/2006/relationships/header" Target="header114.xml"/><Relationship Id="rId256" Type="http://schemas.openxmlformats.org/officeDocument/2006/relationships/header" Target="header125.xml"/><Relationship Id="rId277" Type="http://schemas.openxmlformats.org/officeDocument/2006/relationships/header" Target="header135.xml"/><Relationship Id="rId298" Type="http://schemas.openxmlformats.org/officeDocument/2006/relationships/header" Target="header146.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302" Type="http://schemas.openxmlformats.org/officeDocument/2006/relationships/footer" Target="footer147.xml"/><Relationship Id="rId323" Type="http://schemas.openxmlformats.org/officeDocument/2006/relationships/footer" Target="footer157.xml"/><Relationship Id="rId344" Type="http://schemas.openxmlformats.org/officeDocument/2006/relationships/footer" Target="footer168.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179" Type="http://schemas.openxmlformats.org/officeDocument/2006/relationships/footer" Target="footer85.xml"/><Relationship Id="rId190" Type="http://schemas.openxmlformats.org/officeDocument/2006/relationships/header" Target="header92.xml"/><Relationship Id="rId204" Type="http://schemas.openxmlformats.org/officeDocument/2006/relationships/footer" Target="footer98.xml"/><Relationship Id="rId225" Type="http://schemas.openxmlformats.org/officeDocument/2006/relationships/header" Target="header109.xml"/><Relationship Id="rId246" Type="http://schemas.openxmlformats.org/officeDocument/2006/relationships/footer" Target="footer119.xml"/><Relationship Id="rId267" Type="http://schemas.openxmlformats.org/officeDocument/2006/relationships/header" Target="header130.xml"/><Relationship Id="rId288" Type="http://schemas.openxmlformats.org/officeDocument/2006/relationships/footer" Target="footer1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80</Pages>
  <Words>22652</Words>
  <Characters>107600</Characters>
  <Application>Microsoft Office Word</Application>
  <DocSecurity>0</DocSecurity>
  <Lines>10760</Lines>
  <Paragraphs>8683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WOJCIECHOWSKA Eliza (SG)</cp:lastModifiedBy>
  <cp:revision>13</cp:revision>
  <cp:lastPrinted>2018-06-27T14:03:00Z</cp:lastPrinted>
  <dcterms:created xsi:type="dcterms:W3CDTF">2018-06-25T14:46:00Z</dcterms:created>
  <dcterms:modified xsi:type="dcterms:W3CDTF">2018-06-27T14:06:00Z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Red</vt:lpwstr>
  </property>
</Properties>
</file>