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A044FA33-A910-4234-8DDB-31536421FFF2" style="width:450.75pt;height:333.75pt">
            <v:imagedata r:id="rId12" o:title=""/>
          </v:shape>
        </w:pict>
      </w:r>
    </w:p>
    <w:bookmarkEnd w:id="0"/>
    <w:p>
      <w:pPr>
        <w:spacing w:after="120"/>
        <w:contextualSpacing/>
        <w:rPr>
          <w:noProof/>
        </w:rPr>
        <w:sectPr>
          <w:headerReference w:type="even" r:id="rId13"/>
          <w:headerReference w:type="default" r:id="rId14"/>
          <w:footerReference w:type="even" r:id="rId15"/>
          <w:footerReference w:type="default" r:id="rId16"/>
          <w:headerReference w:type="first" r:id="rId17"/>
          <w:footerReference w:type="first" r:id="rId18"/>
          <w:pgSz w:w="11907" w:h="16839" w:code="9"/>
          <w:pgMar w:top="1134" w:right="1417" w:bottom="1134" w:left="1417" w:header="709" w:footer="709" w:gutter="0"/>
          <w:pgNumType w:start="0"/>
          <w:cols w:space="720"/>
          <w:docGrid w:linePitch="299"/>
        </w:sectPr>
      </w:pPr>
    </w:p>
    <w:p>
      <w:pPr>
        <w:keepNext/>
        <w:pBdr>
          <w:top w:val="nil"/>
          <w:left w:val="nil"/>
          <w:bottom w:val="nil"/>
          <w:right w:val="nil"/>
          <w:between w:val="nil"/>
          <w:bar w:val="nil"/>
        </w:pBdr>
        <w:spacing w:before="240" w:after="120"/>
        <w:contextualSpacing/>
        <w:jc w:val="both"/>
        <w:outlineLvl w:val="0"/>
        <w:rPr>
          <w:rFonts w:ascii="Cambria" w:eastAsia="Cambria" w:hAnsi="Cambria" w:cs="Cambria"/>
          <w:b/>
          <w:bCs/>
          <w:noProof/>
          <w:color w:val="000000"/>
          <w:kern w:val="32"/>
          <w:sz w:val="32"/>
          <w:szCs w:val="32"/>
          <w:u w:color="000000"/>
          <w:bdr w:val="nil"/>
        </w:rPr>
      </w:pPr>
      <w:bookmarkStart w:id="1" w:name="_GoBack"/>
      <w:bookmarkEnd w:id="1"/>
      <w:r>
        <w:rPr>
          <w:rFonts w:ascii="Times New Roman" w:hAnsi="Cambria"/>
          <w:b/>
          <w:noProof/>
          <w:color w:val="000000"/>
          <w:kern w:val="32"/>
          <w:sz w:val="32"/>
          <w:u w:color="000000"/>
          <w:bdr w:val="nil"/>
        </w:rPr>
        <w:lastRenderedPageBreak/>
        <w:t xml:space="preserve">1. </w:t>
      </w:r>
      <w:r>
        <w:rPr>
          <w:rFonts w:ascii="Times New Roman" w:hAnsi="Cambria"/>
          <w:b/>
          <w:noProof/>
          <w:color w:val="000000"/>
          <w:kern w:val="32"/>
          <w:sz w:val="32"/>
          <w:u w:color="000000"/>
          <w:bdr w:val="nil"/>
        </w:rPr>
        <w:t>Въведение</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Европейският съюз е „съюз на ценности“, както е залегнало в член 2 от Договора за Европейския съюз и подчертано от председателя на Европейската комисия Юнкер в неговата реч за състоянието на Съюза на 13 септември 2017 г.</w:t>
      </w:r>
      <w:r>
        <w:rPr>
          <w:rStyle w:val="FootnoteReference"/>
          <w:rFonts w:ascii="Times New Roman" w:hAnsi="Times New Roman"/>
          <w:noProof/>
          <w:sz w:val="24"/>
        </w:rPr>
        <w:footnoteReference w:id="2"/>
      </w:r>
      <w:r>
        <w:rPr>
          <w:rFonts w:ascii="Times New Roman" w:hAnsi="Times New Roman"/>
          <w:noProof/>
          <w:sz w:val="24"/>
        </w:rPr>
        <w:t xml:space="preserve"> Европейският съюз се основава на три стълба: основни права, демокрация и принципи на правовата държава. Хартата на основните права на ЕС („Хартата“) трябва да ръководи всички действия на ЕС. Тя предоставя съвременен набор от основни права, с които институциите и държавите — членки на ЕС, са правно обвързани при прилагането на правото на 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Основните права се прилагат за всички. Спазването им е от ключово значение, за да се гарантира, че ЕС е място, където хората могат да преуспяват, да се възползват от свободите си и да живеят без дискриминация.</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Настоящият доклад показва, че през 2017 г. въведените структури и инструменти за насърчаване на култура на основните права в ЕС и за гарантиране, че Хартата е реалност в живота на хората, са били целесъобразни. Обявяването на Европейския стълб на социалните права през ноември 2017 г.</w:t>
      </w:r>
      <w:r>
        <w:rPr>
          <w:rStyle w:val="FootnoteReference"/>
          <w:rFonts w:ascii="Times New Roman" w:hAnsi="Times New Roman"/>
          <w:noProof/>
          <w:sz w:val="24"/>
        </w:rPr>
        <w:footnoteReference w:id="3"/>
      </w:r>
      <w:r>
        <w:rPr>
          <w:rFonts w:ascii="Times New Roman" w:hAnsi="Times New Roman"/>
          <w:noProof/>
          <w:sz w:val="24"/>
        </w:rPr>
        <w:t xml:space="preserve"> беше още една стъпка към по-голямо равенство и по-малко изключване.</w:t>
      </w:r>
    </w:p>
    <w:p>
      <w:pPr>
        <w:spacing w:before="100" w:beforeAutospacing="1" w:after="100" w:afterAutospacing="1"/>
        <w:jc w:val="both"/>
        <w:rPr>
          <w:rFonts w:ascii="Times New Roman" w:hAnsi="Times New Roman" w:cs="Times New Roman"/>
          <w:noProof/>
          <w:spacing w:val="-6"/>
          <w:sz w:val="24"/>
          <w:szCs w:val="24"/>
        </w:rPr>
      </w:pPr>
      <w:r>
        <w:rPr>
          <w:rFonts w:ascii="Times New Roman" w:hAnsi="Times New Roman"/>
          <w:noProof/>
          <w:spacing w:val="-6"/>
          <w:sz w:val="24"/>
        </w:rPr>
        <w:t>Основните права обаче също бяха подложени на изпитание в ЕС през 2017 г. Беше застрашена независимостта на съдебната система, която е ключов елемент на принципите на правовата държава и предварително условие за ефективното прилагане и упражняване на основните права. Поради това Комисията за първи път предложи на Съвета да приеме решение съгласно член 7, параграф 1 от Договора за Европейския съюз</w:t>
      </w:r>
      <w:r>
        <w:rPr>
          <w:rStyle w:val="FootnoteReference"/>
          <w:rFonts w:ascii="Times New Roman" w:hAnsi="Times New Roman"/>
          <w:noProof/>
          <w:spacing w:val="-6"/>
          <w:sz w:val="24"/>
        </w:rPr>
        <w:footnoteReference w:id="4"/>
      </w:r>
      <w:r>
        <w:rPr>
          <w:rFonts w:ascii="Times New Roman" w:hAnsi="Times New Roman"/>
          <w:noProof/>
          <w:spacing w:val="-6"/>
          <w:sz w:val="24"/>
        </w:rPr>
        <w:t>. Освен това работата на организациите на гражданското общество, осъществяващи дейност в областта на основните права, беше подложена на съмнение и затруднена. Правата на жените също бяха под прицел, както беше обсъдено на годишния колоквиум за основните права през 2017 г.</w:t>
      </w:r>
      <w:r>
        <w:rPr>
          <w:rStyle w:val="FootnoteReference"/>
          <w:rFonts w:ascii="Times New Roman" w:hAnsi="Times New Roman"/>
          <w:noProof/>
          <w:spacing w:val="-6"/>
          <w:sz w:val="24"/>
        </w:rPr>
        <w:footnoteReference w:id="5"/>
      </w:r>
      <w:r>
        <w:rPr>
          <w:noProof/>
          <w:spacing w:val="-6"/>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lastRenderedPageBreak/>
        <w:t>Никога не е било по-важно да се подчертае, че зачитането на Хартата на основните права не е по желание, а е задължение за институциите на ЕС и държавите членки при прилагането на правото на ЕС.</w:t>
      </w:r>
      <w:r>
        <w:rPr>
          <w:noProof/>
        </w:rPr>
        <w:br w:type="page"/>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lastRenderedPageBreak/>
        <w:t xml:space="preserve">2. </w:t>
      </w:r>
      <w:r>
        <w:rPr>
          <w:rFonts w:ascii="Times New Roman" w:hAnsi="Cambria"/>
          <w:b/>
          <w:noProof/>
          <w:color w:val="000000"/>
          <w:kern w:val="32"/>
          <w:sz w:val="32"/>
          <w:u w:color="000000"/>
          <w:bdr w:val="nil"/>
        </w:rPr>
        <w:t>Прилагане</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на</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Хартата</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във</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и</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от</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ЕС</w:t>
      </w: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r>
        <w:rPr>
          <w:rFonts w:ascii="Times New Roman" w:hAnsi="Cambria"/>
          <w:b/>
          <w:i/>
          <w:noProof/>
          <w:color w:val="000000"/>
          <w:sz w:val="28"/>
          <w:u w:color="000000"/>
          <w:bdr w:val="nil"/>
        </w:rPr>
        <w:t xml:space="preserve">2.1 </w:t>
      </w:r>
      <w:r>
        <w:rPr>
          <w:rFonts w:ascii="Times New Roman" w:hAnsi="Cambria"/>
          <w:b/>
          <w:i/>
          <w:noProof/>
          <w:color w:val="000000"/>
          <w:sz w:val="28"/>
          <w:u w:color="000000"/>
          <w:bdr w:val="nil"/>
        </w:rPr>
        <w:t>Насърчаване</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и</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защита</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на</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основните</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права</w:t>
      </w:r>
    </w:p>
    <w:p>
      <w:pPr>
        <w:keepNext/>
        <w:pBdr>
          <w:top w:val="nil"/>
          <w:left w:val="nil"/>
          <w:bottom w:val="nil"/>
          <w:right w:val="nil"/>
          <w:between w:val="nil"/>
          <w:bar w:val="nil"/>
        </w:pBdr>
        <w:spacing w:before="240" w:after="120"/>
        <w:contextualSpacing/>
        <w:jc w:val="both"/>
        <w:outlineLvl w:val="1"/>
        <w:rPr>
          <w:rFonts w:ascii="Times New Roman" w:eastAsia="Cambria" w:hAnsi="Cambria" w:cs="Cambria"/>
          <w:b/>
          <w:bCs/>
          <w:i/>
          <w:iCs/>
          <w:noProof/>
          <w:color w:val="000000"/>
          <w:sz w:val="28"/>
          <w:szCs w:val="28"/>
          <w:u w:color="000000"/>
          <w:bdr w:val="nil"/>
        </w:rPr>
      </w:pPr>
    </w:p>
    <w:p>
      <w:pPr>
        <w:spacing w:after="120"/>
        <w:jc w:val="both"/>
        <w:rPr>
          <w:rFonts w:ascii="Times New Roman" w:eastAsia="Times New Roman" w:hAnsi="Times New Roman" w:cs="Times New Roman"/>
          <w:b/>
          <w:i/>
          <w:noProof/>
          <w:color w:val="FF0000"/>
        </w:rPr>
      </w:pPr>
      <w:r>
        <w:rPr>
          <w:rFonts w:ascii="Times New Roman" w:hAnsi="Times New Roman"/>
          <w:b/>
          <w:i/>
          <w:noProof/>
          <w:sz w:val="24"/>
        </w:rPr>
        <w:t>Насърчаване на социалните права и социалната справедливост в 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b/>
          <w:noProof/>
          <w:sz w:val="24"/>
        </w:rPr>
        <w:t>Европейският стълб на социалните права</w:t>
      </w:r>
      <w:r>
        <w:rPr>
          <w:rStyle w:val="FootnoteReference"/>
          <w:rFonts w:ascii="Times New Roman" w:hAnsi="Times New Roman"/>
          <w:noProof/>
        </w:rPr>
        <w:footnoteReference w:id="6"/>
      </w:r>
      <w:r>
        <w:rPr>
          <w:rFonts w:ascii="Times New Roman" w:hAnsi="Times New Roman"/>
          <w:noProof/>
          <w:sz w:val="24"/>
        </w:rPr>
        <w:t>, който надгражда правата, залегнали в Хартата, беше съвместно подписан и провъзгласен от Европейския парламент, Съвета и Комисията на 17 ноември 2017 г. В рамките на стълба се определят 20 основни принципа и права с цел да се допринесе за справедливо и правилно функциониране на пазарите на труда и социалните системи. С Набора от социални показатели</w:t>
      </w:r>
      <w:r>
        <w:rPr>
          <w:rStyle w:val="FootnoteReference"/>
          <w:rFonts w:ascii="Times New Roman" w:hAnsi="Times New Roman"/>
          <w:noProof/>
        </w:rPr>
        <w:footnoteReference w:id="7"/>
      </w:r>
      <w:r>
        <w:rPr>
          <w:rFonts w:ascii="Times New Roman" w:hAnsi="Times New Roman"/>
          <w:noProof/>
          <w:sz w:val="24"/>
        </w:rPr>
        <w:t xml:space="preserve"> се извършва мониторинг на изпълнението на стълба и се получават данни, които се използват в европейския семестър — годишният цикъл на координация на икономическите политики на 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Именно държавите членки трябва да отбележат резултати по стълба, като работят със социалните партньори и гражданското общество. Институциите на Съюза помагат за определянето на рамката. Например през 2017 г. Комисията представи предложение за </w:t>
      </w:r>
      <w:r>
        <w:rPr>
          <w:rFonts w:ascii="Times New Roman" w:hAnsi="Times New Roman"/>
          <w:b/>
          <w:noProof/>
          <w:sz w:val="24"/>
        </w:rPr>
        <w:t>Директива за прозрачни и предвидими условия на труд в Европейския съюз</w:t>
      </w:r>
      <w:r>
        <w:rPr>
          <w:rStyle w:val="FootnoteReference"/>
          <w:rFonts w:ascii="Times New Roman" w:hAnsi="Times New Roman"/>
          <w:noProof/>
        </w:rPr>
        <w:footnoteReference w:id="8"/>
      </w:r>
      <w:r>
        <w:rPr>
          <w:rFonts w:ascii="Times New Roman" w:hAnsi="Times New Roman"/>
          <w:noProof/>
          <w:sz w:val="24"/>
        </w:rPr>
        <w:t>. Това ще допълни съществуващите задължения и ще създаде нови минимални стандарти, които да дадат на всички работници, включително на тези с несигурни форми на заетост, по-голяма предсказуемост и яснота по отношение на техните условия на труд (член 31 от Хартата).</w:t>
      </w:r>
    </w:p>
    <w:p>
      <w:pPr>
        <w:spacing w:before="100" w:beforeAutospacing="1" w:after="100" w:afterAutospacing="1"/>
        <w:jc w:val="both"/>
        <w:rPr>
          <w:rFonts w:ascii="Verdana" w:eastAsia="Times New Roman" w:hAnsi="Verdana" w:cs="Arial"/>
          <w:noProof/>
          <w:color w:val="333333"/>
          <w:sz w:val="21"/>
          <w:szCs w:val="21"/>
        </w:rPr>
      </w:pPr>
      <w:r>
        <w:rPr>
          <w:rFonts w:ascii="Times New Roman" w:hAnsi="Times New Roman"/>
          <w:noProof/>
          <w:sz w:val="24"/>
        </w:rPr>
        <w:t xml:space="preserve">Освен това на 26 април 2017 г. Комисията прие </w:t>
      </w:r>
      <w:r>
        <w:rPr>
          <w:rFonts w:ascii="Times New Roman" w:hAnsi="Times New Roman"/>
          <w:b/>
          <w:noProof/>
          <w:sz w:val="24"/>
        </w:rPr>
        <w:t>инициатива за подпомагане на равновесието между професионалния и личния живот на родителите и лицата, полагащи грижи</w:t>
      </w:r>
      <w:r>
        <w:rPr>
          <w:rStyle w:val="FootnoteReference"/>
          <w:rFonts w:ascii="Times New Roman" w:hAnsi="Times New Roman"/>
          <w:noProof/>
        </w:rPr>
        <w:footnoteReference w:id="9"/>
      </w:r>
      <w:r>
        <w:rPr>
          <w:rFonts w:ascii="Times New Roman" w:hAnsi="Times New Roman"/>
          <w:noProof/>
          <w:sz w:val="24"/>
        </w:rPr>
        <w:t xml:space="preserve">. Тя включва законодателни </w:t>
      </w:r>
      <w:r>
        <w:rPr>
          <w:rStyle w:val="FootnoteReference"/>
          <w:rFonts w:ascii="Times New Roman" w:hAnsi="Times New Roman"/>
          <w:noProof/>
          <w:sz w:val="24"/>
          <w:vertAlign w:val="baseline"/>
        </w:rPr>
        <w:t>мерки</w:t>
      </w:r>
      <w:r>
        <w:rPr>
          <w:rFonts w:ascii="Times New Roman" w:hAnsi="Times New Roman"/>
          <w:noProof/>
          <w:sz w:val="24"/>
        </w:rPr>
        <w:t xml:space="preserve"> за осигуряване на по-добри </w:t>
      </w:r>
      <w:r>
        <w:rPr>
          <w:rFonts w:ascii="Times New Roman" w:hAnsi="Times New Roman"/>
          <w:noProof/>
          <w:sz w:val="24"/>
        </w:rPr>
        <w:lastRenderedPageBreak/>
        <w:t>възможности за равновесие между професионалния и личния живот на мъжете и жените с отговорности за полагане на грижи и балансирано използване от половете на отпуски и гъвкави схеми на работа. Тя предвижда и мерки на политиката за подпомагане на държавите членки при осигуряването на достъпни и качествени официални услуги за полагане на грижи на приемлива цена и за справяне с възпиращите икономически фактори пред жените (членове 21, 23, 24, 25, 26 и 33 от Хартата).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В същия дух на 11 ноември 2017 г. Комисията прие </w:t>
      </w:r>
      <w:r>
        <w:rPr>
          <w:rFonts w:ascii="Times New Roman" w:hAnsi="Times New Roman"/>
          <w:b/>
          <w:noProof/>
          <w:sz w:val="24"/>
        </w:rPr>
        <w:t>план за действие за преодоляване на разликата в заплащането на жените и мъжете</w:t>
      </w:r>
      <w:r>
        <w:rPr>
          <w:rStyle w:val="FootnoteReference"/>
          <w:rFonts w:ascii="Times New Roman" w:hAnsi="Times New Roman"/>
          <w:noProof/>
          <w:sz w:val="24"/>
        </w:rPr>
        <w:footnoteReference w:id="10"/>
      </w:r>
      <w:r>
        <w:rPr>
          <w:rFonts w:ascii="Times New Roman" w:hAnsi="Times New Roman"/>
          <w:noProof/>
          <w:sz w:val="24"/>
        </w:rPr>
        <w:t>. Той е съсредоточен върху въпроси като: по-добро прилагане на принципа на равно заплащане; борба със сегрегацията; по-добро оценяване на уменията, усилията и отговорностите на жените; разкриване на неравенствата и стереотипите; повишаване на осведомеността относно разликата в заплащането на жените и мъжете и изграждане на по-силни партньорства за справяне с това.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b/>
          <w:noProof/>
          <w:sz w:val="24"/>
        </w:rPr>
        <w:t>Насоките за политиките за заетост на държавите членки</w:t>
      </w:r>
      <w:r>
        <w:rPr>
          <w:rStyle w:val="FootnoteReference"/>
          <w:noProof/>
        </w:rPr>
        <w:footnoteReference w:id="11"/>
      </w:r>
      <w:r>
        <w:rPr>
          <w:rFonts w:ascii="Times New Roman" w:hAnsi="Times New Roman"/>
          <w:noProof/>
          <w:sz w:val="24"/>
        </w:rPr>
        <w:t xml:space="preserve"> също бяха преразгледани, за да се приведат в съответствие със стълба. Насоките за политиките за заетост са общи приоритети и цели за политиките за заетост и социалните политики, предложени от Комисията, договорени от националните правителства и приети от Съвета. Те са в основата на оценките за отделните държави и специфичните за всяка държава препоръки в рамките на европейския семестър. При преразглеждането беше акцентирано върху принципите на стълба, свързани с минималния доход, подходящите обезщетения за безработица и активната подкрепа за заетостта.</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През 2017 г. социалните политики продължиха да бъдат ключова област на акцент за </w:t>
      </w:r>
      <w:r>
        <w:rPr>
          <w:rFonts w:ascii="Times New Roman" w:hAnsi="Times New Roman"/>
          <w:b/>
          <w:noProof/>
          <w:sz w:val="24"/>
        </w:rPr>
        <w:t>европейския семестър</w:t>
      </w:r>
      <w:r>
        <w:rPr>
          <w:rFonts w:ascii="Times New Roman" w:hAnsi="Times New Roman"/>
          <w:noProof/>
          <w:sz w:val="24"/>
        </w:rPr>
        <w:t>. Насърчаването на социалните права е ключова част от структурните реформи, които имат за цел да насърчат социалната справедливост и равенството. През 2017 г. Комисията следеше отблизо усилията на държавите членки за подобряване и увеличаване на участието на жените на пазара на труда,за борба с дискриминацията на групите в неравностойно положение, като ромите, за борба с училищната сегрегация и за насърчаване на реформата за приобщаващо образование. Това наблюдение показа, че някои държави членки все още са изправени пред предизвикателства при включването на ромските деца във висококачествено приобщаващо общо образование и при интегрирането на младите роми на пазара на труда. По-специално, Комисията предложи Съветът да разгледа специфичните за всяка държава препоръки в тази област за България, Унгария, Румъния и Словакия. Комисията също така следеше отблизо работата на Чешката република, свързана с тази област.</w:t>
      </w:r>
    </w:p>
    <w:p>
      <w:pPr>
        <w:spacing w:before="100" w:beforeAutospacing="1" w:after="100" w:afterAutospacing="1"/>
        <w:jc w:val="both"/>
        <w:rPr>
          <w:rFonts w:ascii="Times New Roman" w:eastAsia="Times New Roman" w:hAnsi="Times New Roman" w:cs="Times New Roman"/>
          <w:iCs/>
          <w:noProof/>
          <w:sz w:val="24"/>
          <w:szCs w:val="24"/>
        </w:rPr>
      </w:pPr>
      <w:r>
        <w:rPr>
          <w:rFonts w:ascii="Times New Roman" w:hAnsi="Times New Roman"/>
          <w:noProof/>
          <w:sz w:val="24"/>
        </w:rPr>
        <w:t>Освен това Комисията предложи да се обърне внимание на специфичните за всяка държава препоръки за Ирландия относно подобряването на качеството на детските грижи и социалната инфраструктура, включително социалните жилища, както и за Испания относно подобряването на семейното подпомагане и заведенията за качествени детски грижи.</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През април 2017 г. Комисията прие </w:t>
      </w:r>
      <w:r>
        <w:rPr>
          <w:rFonts w:ascii="Times New Roman" w:hAnsi="Times New Roman"/>
          <w:b/>
          <w:noProof/>
          <w:sz w:val="24"/>
        </w:rPr>
        <w:t>съобщение относно закрилата на децата мигранти</w:t>
      </w:r>
      <w:r>
        <w:rPr>
          <w:rStyle w:val="FootnoteReference"/>
          <w:rFonts w:ascii="Times New Roman" w:hAnsi="Times New Roman"/>
          <w:noProof/>
          <w:sz w:val="24"/>
        </w:rPr>
        <w:footnoteReference w:id="12"/>
      </w:r>
      <w:r>
        <w:rPr>
          <w:rFonts w:ascii="Times New Roman" w:hAnsi="Times New Roman"/>
          <w:noProof/>
          <w:sz w:val="24"/>
        </w:rPr>
        <w:t>, в което се посочват действията на ЕС в тази област и се правят препоръки към държавите членки, за да се гарантира по-добра закрила на децата в процеса на миграция. Като последващо действие във връзка с това Съветът прие заключения на 8 юни 2017 г.</w:t>
      </w:r>
      <w:r>
        <w:rPr>
          <w:rStyle w:val="FootnoteReference"/>
          <w:rFonts w:ascii="Times New Roman" w:hAnsi="Times New Roman"/>
          <w:noProof/>
          <w:sz w:val="24"/>
        </w:rPr>
        <w:footnoteReference w:id="13"/>
      </w:r>
      <w:r>
        <w:rPr>
          <w:rFonts w:ascii="Times New Roman" w:hAnsi="Times New Roman"/>
          <w:noProof/>
          <w:sz w:val="24"/>
        </w:rPr>
        <w:t xml:space="preserve"> В Съобщението се разглеждат по-бързото идентифициране и незабавната закрила на децата, по-бързото издирване на семействата и определяне на статута, прилагането на процесуални гаранции, включително ефективното настойничество за непридружени деца, подходящото приемане и ефективната интеграция на децата. Настойничеството и попечителството са ключова процесуална гаранция за висшия интерес и благосъстоянието на децата. Комисията предприе стъпки за създаване на Европейска мрежа на институциите за настойничество и попечителство, за да се улесни сътрудничеството между съответните национални органи и да се обменят добри практики относно настойничеството и попечителството.</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На 4 декември 2017 г. Комисията прие и </w:t>
      </w:r>
      <w:r>
        <w:rPr>
          <w:rFonts w:ascii="Times New Roman" w:hAnsi="Times New Roman"/>
          <w:b/>
          <w:noProof/>
          <w:sz w:val="24"/>
        </w:rPr>
        <w:t>съобщението „Докладване за последващите действия във връзка със Стратегията на ЕС за премахване на трафика на хора“</w:t>
      </w:r>
      <w:r>
        <w:rPr>
          <w:rFonts w:ascii="Times New Roman" w:hAnsi="Times New Roman"/>
          <w:noProof/>
          <w:sz w:val="24"/>
          <w:vertAlign w:val="superscript"/>
        </w:rPr>
        <w:footnoteReference w:id="14"/>
      </w:r>
      <w:r>
        <w:rPr>
          <w:rFonts w:ascii="Times New Roman" w:hAnsi="Times New Roman"/>
          <w:noProof/>
          <w:sz w:val="24"/>
        </w:rPr>
        <w:t>, като осигури подход, който се основава на основните права, съобразен е с пола и отчита потребностите на децата.</w:t>
      </w:r>
    </w:p>
    <w:p>
      <w:pPr>
        <w:spacing w:after="120"/>
        <w:jc w:val="both"/>
        <w:rPr>
          <w:rFonts w:ascii="Times New Roman" w:eastAsia="Times New Roman" w:hAnsi="Times New Roman" w:cs="Times New Roman"/>
          <w:b/>
          <w:i/>
          <w:noProof/>
          <w:sz w:val="24"/>
          <w:szCs w:val="24"/>
        </w:rPr>
      </w:pPr>
      <w:r>
        <w:rPr>
          <w:rFonts w:ascii="Times New Roman" w:hAnsi="Times New Roman"/>
          <w:b/>
          <w:i/>
          <w:noProof/>
          <w:sz w:val="24"/>
        </w:rPr>
        <w:t>Насърчаване на демокрацията и основните права чрез оживен обществен дебат и активно гражданско общество</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През 2017 г. Комисията стартира </w:t>
      </w:r>
      <w:r>
        <w:rPr>
          <w:rFonts w:ascii="Times New Roman" w:hAnsi="Times New Roman"/>
          <w:b/>
          <w:noProof/>
          <w:sz w:val="24"/>
        </w:rPr>
        <w:t>инициатива за фалшивите новини и разпространението на дезинформация онлайн</w:t>
      </w:r>
      <w:r>
        <w:rPr>
          <w:rFonts w:ascii="Times New Roman" w:hAnsi="Times New Roman"/>
          <w:noProof/>
          <w:sz w:val="24"/>
        </w:rPr>
        <w:t>, както беше съобщено от председателя Юнкер</w:t>
      </w:r>
      <w:r>
        <w:rPr>
          <w:rStyle w:val="FootnoteReference"/>
          <w:noProof/>
        </w:rPr>
        <w:footnoteReference w:id="15"/>
      </w:r>
      <w:r>
        <w:rPr>
          <w:rFonts w:ascii="Times New Roman" w:hAnsi="Times New Roman"/>
          <w:noProof/>
          <w:sz w:val="24"/>
        </w:rPr>
        <w:t>. Тази инициатива, която е последващо действие във връзка с резолюцията на Европейския парламент от 15 юни 2017 г.</w:t>
      </w:r>
      <w:r>
        <w:rPr>
          <w:rStyle w:val="FootnoteReference"/>
          <w:noProof/>
        </w:rPr>
        <w:footnoteReference w:id="16"/>
      </w:r>
      <w:r>
        <w:rPr>
          <w:rFonts w:ascii="Times New Roman" w:hAnsi="Times New Roman"/>
          <w:noProof/>
          <w:sz w:val="24"/>
        </w:rPr>
        <w:t>, има за цел определянето на подходящи начини за ограничаване на въздействието на разпространението на фалшиво съдържание и насърчаването на оживен обществен дебат. Комисията създаде експертна група на високо равнище и започна широкомащабни консултации</w:t>
      </w:r>
      <w:r>
        <w:rPr>
          <w:rStyle w:val="FootnoteReference"/>
          <w:noProof/>
        </w:rPr>
        <w:footnoteReference w:id="17"/>
      </w:r>
      <w:r>
        <w:rPr>
          <w:rFonts w:ascii="Times New Roman" w:hAnsi="Times New Roman"/>
          <w:noProof/>
          <w:sz w:val="24"/>
        </w:rPr>
        <w:t>. През октомври 2017 г. Съветът разгледа тези въпроси в своя 3</w:t>
      </w:r>
      <w:r>
        <w:rPr>
          <w:rFonts w:ascii="Times New Roman" w:hAnsi="Times New Roman"/>
          <w:noProof/>
          <w:sz w:val="24"/>
          <w:vertAlign w:val="superscript"/>
        </w:rPr>
        <w:t>-ти</w:t>
      </w:r>
      <w:r>
        <w:rPr>
          <w:rFonts w:ascii="Times New Roman" w:hAnsi="Times New Roman"/>
          <w:noProof/>
          <w:sz w:val="24"/>
        </w:rPr>
        <w:t xml:space="preserve"> годишен диалог относно принципите на правовата държава, който беше съсредоточен върху медийния плурализъм и принципите на правовата държава в цифровата ера</w:t>
      </w:r>
      <w:r>
        <w:rPr>
          <w:rStyle w:val="FootnoteReference"/>
          <w:rFonts w:ascii="Times New Roman" w:hAnsi="Times New Roman"/>
          <w:noProof/>
          <w:sz w:val="24"/>
        </w:rPr>
        <w:footnoteReference w:id="18"/>
      </w:r>
      <w:r>
        <w:rPr>
          <w:rFonts w:ascii="Times New Roman" w:hAnsi="Times New Roman"/>
          <w:noProof/>
          <w:sz w:val="24"/>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Работата на </w:t>
      </w:r>
      <w:r>
        <w:rPr>
          <w:rFonts w:ascii="Times New Roman" w:hAnsi="Times New Roman"/>
          <w:b/>
          <w:noProof/>
          <w:sz w:val="24"/>
        </w:rPr>
        <w:t>защитниците на правата на човека</w:t>
      </w:r>
      <w:r>
        <w:rPr>
          <w:rFonts w:ascii="Times New Roman" w:hAnsi="Times New Roman"/>
          <w:noProof/>
          <w:sz w:val="24"/>
        </w:rPr>
        <w:t>, включително на организациите на гражданското общество, които осъществяват дейност в областта на основните права и демокрацията, беше особено затруднена през 2017 г.</w:t>
      </w:r>
      <w:r>
        <w:rPr>
          <w:rStyle w:val="FootnoteReference"/>
          <w:rFonts w:ascii="Times New Roman" w:hAnsi="Times New Roman"/>
          <w:noProof/>
          <w:sz w:val="24"/>
        </w:rPr>
        <w:footnoteReference w:id="19"/>
      </w:r>
      <w:r>
        <w:rPr>
          <w:rFonts w:ascii="Times New Roman" w:hAnsi="Times New Roman"/>
          <w:noProof/>
          <w:sz w:val="24"/>
        </w:rPr>
        <w:t xml:space="preserve"> Тяхната роля е ключова за превръщането на основните права и ценности в реалност за всички и те следва да могат да работят в безопасна и подкрепяща среда. За да подкрепи допълнително защитниците на правата, през декември 2017 г., като част от бюджета на ЕС за 2018 г., Европейският парламент прие подготвително действие относно фонд на ЕС за финансово подпомагане за съдебни дела, свързани с нарушения на демокрацията, принципите на правовата държава и основните права.</w:t>
      </w:r>
    </w:p>
    <w:p>
      <w:pPr>
        <w:rPr>
          <w:rFonts w:ascii="Times New Roman" w:hAnsi="Times New Roman" w:cs="Times New Roman"/>
          <w:noProof/>
          <w:sz w:val="24"/>
          <w:szCs w:val="24"/>
        </w:rPr>
      </w:pPr>
      <w:r>
        <w:rPr>
          <w:noProof/>
        </w:rPr>
        <w:br w:type="page"/>
      </w:r>
    </w:p>
    <w:p>
      <w:pPr>
        <w:pStyle w:val="ListParagraph"/>
        <w:spacing w:after="120"/>
        <w:ind w:left="0"/>
        <w:jc w:val="both"/>
        <w:rPr>
          <w:rFonts w:ascii="Times New Roman" w:eastAsia="Times New Roman" w:hAnsi="Times New Roman" w:cs="Times New Roman"/>
          <w:b/>
          <w:i/>
          <w:noProof/>
        </w:rPr>
      </w:pPr>
      <w:r>
        <w:rPr>
          <w:rFonts w:ascii="Times New Roman" w:hAnsi="Times New Roman"/>
          <w:b/>
          <w:i/>
          <w:noProof/>
        </w:rPr>
        <w:t>Насърчаване на свободен от расизъм, дискриминация и насилие 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Второто проучване на ЕС на положението на малцинствата и дискриминацията (EU-MIDIS II), публикувано от Агенцията на ЕС за основните права през декември 2017 г., показва продължаваща нетърпимост, насилие и омраза в целия ЕС</w:t>
      </w:r>
      <w:r>
        <w:rPr>
          <w:rStyle w:val="FootnoteReference"/>
          <w:noProof/>
        </w:rPr>
        <w:footnoteReference w:id="20"/>
      </w:r>
      <w:r>
        <w:rPr>
          <w:rFonts w:ascii="Times New Roman" w:hAnsi="Times New Roman"/>
          <w:noProof/>
          <w:sz w:val="24"/>
        </w:rPr>
        <w:t>. Тези опасения бяха в центъра на работата на групата на високо равнище за борба с расизма, ксенофобията и другите форми на нетолерантност през 2017 г.</w:t>
      </w:r>
      <w:r>
        <w:rPr>
          <w:rStyle w:val="FootnoteReference"/>
          <w:rFonts w:ascii="Times New Roman" w:hAnsi="Times New Roman"/>
          <w:noProof/>
          <w:sz w:val="24"/>
        </w:rPr>
        <w:footnoteReference w:id="21"/>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Сътрудничеството с ИТ дружества, национални органи и организации на гражданското общество беше засилено с цел бързото идентифициране и изтриване на незаконни изказвания онлайн, пораждащи омраза. </w:t>
      </w:r>
      <w:r>
        <w:rPr>
          <w:rFonts w:ascii="Times New Roman" w:hAnsi="Times New Roman"/>
          <w:b/>
          <w:noProof/>
          <w:sz w:val="24"/>
        </w:rPr>
        <w:t>Мониторингът на прилагането на Кодекса на поведение във връзка с незаконните изказвания онлайн, пораждащи омраза</w:t>
      </w:r>
      <w:r>
        <w:rPr>
          <w:rFonts w:ascii="Times New Roman" w:hAnsi="Times New Roman"/>
          <w:noProof/>
          <w:sz w:val="24"/>
        </w:rPr>
        <w:t>, показа че ИТ дружествата са постигнали забележителен напредък в тази област</w:t>
      </w:r>
      <w:r>
        <w:rPr>
          <w:rStyle w:val="FootnoteReference"/>
          <w:rFonts w:ascii="Times New Roman" w:hAnsi="Times New Roman"/>
          <w:noProof/>
          <w:sz w:val="24"/>
        </w:rPr>
        <w:footnoteReference w:id="22"/>
      </w:r>
      <w:r>
        <w:rPr>
          <w:rFonts w:ascii="Times New Roman" w:hAnsi="Times New Roman"/>
          <w:noProof/>
          <w:sz w:val="24"/>
        </w:rPr>
        <w:t xml:space="preserve">. На 28 септември 2017 г. Комисията прие </w:t>
      </w:r>
      <w:r>
        <w:rPr>
          <w:rFonts w:ascii="Times New Roman" w:hAnsi="Times New Roman"/>
          <w:b/>
          <w:noProof/>
          <w:sz w:val="24"/>
        </w:rPr>
        <w:t>съобщението „Борба с незаконното онлайн съдържание“</w:t>
      </w:r>
      <w:r>
        <w:rPr>
          <w:rStyle w:val="FootnoteReference"/>
          <w:rFonts w:ascii="Times New Roman" w:hAnsi="Times New Roman"/>
          <w:noProof/>
          <w:sz w:val="24"/>
        </w:rPr>
        <w:footnoteReference w:id="23"/>
      </w:r>
      <w:r>
        <w:rPr>
          <w:rFonts w:ascii="Times New Roman" w:hAnsi="Times New Roman"/>
          <w:noProof/>
          <w:sz w:val="24"/>
        </w:rPr>
        <w:t>, за да въведе повече добри практики, с които се предотвратява, открива, премахва и забранява достъпът до незаконно съдържание. Същевременно тя въведе предпазни мерки за избягване на прекомерното премахване, за гарантиране на прозрачността и за защита на свободата на изразяване</w:t>
      </w:r>
      <w:r>
        <w:rPr>
          <w:rStyle w:val="FootnoteReference"/>
          <w:rFonts w:ascii="Times New Roman" w:hAnsi="Times New Roman"/>
          <w:noProof/>
          <w:sz w:val="24"/>
        </w:rPr>
        <w:footnoteReference w:id="24"/>
      </w:r>
      <w:r>
        <w:rPr>
          <w:rFonts w:ascii="Times New Roman" w:hAnsi="Times New Roman"/>
          <w:noProof/>
          <w:sz w:val="24"/>
        </w:rPr>
        <w:t>.</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Групата на високо равнище също така състави </w:t>
      </w:r>
      <w:r>
        <w:rPr>
          <w:rFonts w:ascii="Times New Roman" w:hAnsi="Times New Roman"/>
          <w:b/>
          <w:noProof/>
          <w:sz w:val="24"/>
        </w:rPr>
        <w:t>ръководни принципи относно престъпленията от омраза</w:t>
      </w:r>
      <w:r>
        <w:rPr>
          <w:rFonts w:ascii="Times New Roman" w:hAnsi="Times New Roman"/>
          <w:noProof/>
          <w:sz w:val="24"/>
        </w:rPr>
        <w:t xml:space="preserve"> за правоприлагащите и наказателноправните органи</w:t>
      </w:r>
      <w:r>
        <w:rPr>
          <w:rStyle w:val="FootnoteReference"/>
          <w:rFonts w:ascii="Times New Roman" w:hAnsi="Times New Roman"/>
          <w:noProof/>
          <w:sz w:val="24"/>
        </w:rPr>
        <w:footnoteReference w:id="25"/>
      </w:r>
      <w:r>
        <w:rPr>
          <w:rFonts w:ascii="Times New Roman" w:hAnsi="Times New Roman"/>
          <w:noProof/>
          <w:sz w:val="24"/>
        </w:rPr>
        <w:t xml:space="preserve"> и относно достъпа до правосъдие, защита и подкрепа за жертвите на престъпления, свързани с омраза</w:t>
      </w:r>
      <w:r>
        <w:rPr>
          <w:rStyle w:val="FootnoteReference"/>
          <w:rFonts w:ascii="Times New Roman" w:hAnsi="Times New Roman"/>
          <w:noProof/>
          <w:sz w:val="24"/>
        </w:rPr>
        <w:footnoteReference w:id="26"/>
      </w:r>
      <w:r>
        <w:rPr>
          <w:rFonts w:ascii="Times New Roman" w:hAnsi="Times New Roman"/>
          <w:noProof/>
          <w:sz w:val="24"/>
        </w:rPr>
        <w:t xml:space="preserve">. Тя допълнително разработи </w:t>
      </w:r>
      <w:r>
        <w:rPr>
          <w:rFonts w:ascii="Times New Roman" w:hAnsi="Times New Roman"/>
          <w:b/>
          <w:noProof/>
          <w:sz w:val="24"/>
        </w:rPr>
        <w:t>насоки за подобряване на регистрирането на престъпленията от омраза</w:t>
      </w:r>
      <w:r>
        <w:rPr>
          <w:rFonts w:ascii="Times New Roman" w:hAnsi="Times New Roman"/>
          <w:noProof/>
          <w:sz w:val="24"/>
        </w:rPr>
        <w:t xml:space="preserve"> от правоприлагащите органи</w:t>
      </w:r>
      <w:r>
        <w:rPr>
          <w:rStyle w:val="FootnoteReference"/>
          <w:rFonts w:ascii="Times New Roman" w:hAnsi="Times New Roman"/>
          <w:noProof/>
          <w:sz w:val="24"/>
        </w:rPr>
        <w:footnoteReference w:id="27"/>
      </w:r>
      <w:r>
        <w:rPr>
          <w:rFonts w:ascii="Times New Roman" w:hAnsi="Times New Roman"/>
          <w:noProof/>
          <w:sz w:val="24"/>
        </w:rPr>
        <w:t>, които понастоящем се изпитват в няколко държави членки.</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През май 2017 г. мюсюлмански и еврейски организации се събраха по повод на съвместен ден за борба с </w:t>
      </w:r>
      <w:r>
        <w:rPr>
          <w:rFonts w:ascii="Times New Roman" w:hAnsi="Times New Roman"/>
          <w:b/>
          <w:noProof/>
          <w:sz w:val="24"/>
        </w:rPr>
        <w:t xml:space="preserve">антисемитизма </w:t>
      </w:r>
      <w:r>
        <w:rPr>
          <w:rFonts w:ascii="Times New Roman" w:hAnsi="Times New Roman"/>
          <w:noProof/>
          <w:sz w:val="24"/>
        </w:rPr>
        <w:t>и</w:t>
      </w:r>
      <w:r>
        <w:rPr>
          <w:rFonts w:ascii="Times New Roman" w:hAnsi="Times New Roman"/>
          <w:b/>
          <w:noProof/>
          <w:sz w:val="24"/>
        </w:rPr>
        <w:t xml:space="preserve"> омразата и дискриминацията към мюсюлманите</w:t>
      </w:r>
      <w:r>
        <w:rPr>
          <w:rFonts w:ascii="Times New Roman" w:hAnsi="Times New Roman"/>
          <w:noProof/>
          <w:sz w:val="24"/>
        </w:rPr>
        <w:t xml:space="preserve"> и разгледаха конкретни предизвикателства, като например потребностите на еврейските общности по отношение на сигурността и стереотипите за мюсюлманите в медиите</w:t>
      </w:r>
      <w:r>
        <w:rPr>
          <w:rStyle w:val="FootnoteReference"/>
          <w:noProof/>
        </w:rPr>
        <w:footnoteReference w:id="28"/>
      </w:r>
      <w:r>
        <w:rPr>
          <w:rFonts w:ascii="Times New Roman" w:hAnsi="Times New Roman"/>
          <w:noProof/>
          <w:sz w:val="24"/>
        </w:rPr>
        <w:t>. Констатациите за мюсюлманите, публикувани от Агенцията на ЕС за основните права на 21 септември</w:t>
      </w:r>
      <w:r>
        <w:rPr>
          <w:rStyle w:val="FootnoteReference"/>
          <w:rFonts w:ascii="Times New Roman" w:hAnsi="Times New Roman"/>
          <w:noProof/>
          <w:sz w:val="24"/>
        </w:rPr>
        <w:footnoteReference w:id="29"/>
      </w:r>
      <w:r>
        <w:rPr>
          <w:rFonts w:ascii="Times New Roman" w:hAnsi="Times New Roman"/>
          <w:noProof/>
          <w:sz w:val="24"/>
        </w:rPr>
        <w:t>, и нейният преглед на антисемитизма от 2017 г. показват, че има тревожни и належащи опасения, във връзка с които трябва да се предприемат действия</w:t>
      </w:r>
      <w:r>
        <w:rPr>
          <w:rStyle w:val="FootnoteReference"/>
          <w:noProof/>
        </w:rPr>
        <w:footnoteReference w:id="30"/>
      </w:r>
      <w:r>
        <w:rPr>
          <w:rFonts w:ascii="Times New Roman" w:hAnsi="Times New Roman"/>
          <w:noProof/>
          <w:sz w:val="24"/>
        </w:rPr>
        <w:t>.</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На 30 август 2017 г.</w:t>
      </w:r>
      <w:r>
        <w:rPr>
          <w:rStyle w:val="FootnoteReference"/>
          <w:noProof/>
        </w:rPr>
        <w:footnoteReference w:id="31"/>
      </w:r>
      <w:r>
        <w:rPr>
          <w:rFonts w:ascii="Times New Roman" w:hAnsi="Times New Roman"/>
          <w:noProof/>
          <w:sz w:val="24"/>
        </w:rPr>
        <w:t xml:space="preserve"> Комисията публикува междинен преглед на </w:t>
      </w:r>
      <w:r>
        <w:rPr>
          <w:rFonts w:ascii="Times New Roman" w:hAnsi="Times New Roman"/>
          <w:b/>
          <w:noProof/>
          <w:sz w:val="24"/>
        </w:rPr>
        <w:t>рамката на ЕС за национални стратегии за интегриране на ромите до 2020 г.</w:t>
      </w:r>
      <w:r>
        <w:rPr>
          <w:rFonts w:ascii="Times New Roman" w:hAnsi="Times New Roman"/>
          <w:noProof/>
          <w:sz w:val="24"/>
        </w:rPr>
        <w:t xml:space="preserve"> Прегледът показва как европейските правни инструменти, инструменти на политиката и инструменти за финансиране</w:t>
      </w:r>
      <w:r>
        <w:rPr>
          <w:rStyle w:val="FootnoteReference"/>
          <w:noProof/>
        </w:rPr>
        <w:footnoteReference w:id="32"/>
      </w:r>
      <w:r>
        <w:rPr>
          <w:rFonts w:ascii="Times New Roman" w:hAnsi="Times New Roman"/>
          <w:noProof/>
          <w:sz w:val="24"/>
        </w:rPr>
        <w:t xml:space="preserve"> са мобилизирани за борба с дискриминацията и насърчаване на приобщаването на ромите. Има признаци на напредък в областта на образованието, въпреки че все още съществува сегрегация, която в някои случаи дори се е увеличила. Процентът на незаетите с работа, учене или обучение ромски младежи също е нараснал. През 2017 г. Комисията започна задълбочена оценка и обществена консултация относно тази рамка, чиито резултати ще бъдат взети под внимание при обсъждането на вариантите на политика след 2020 г.</w:t>
      </w:r>
    </w:p>
    <w:p>
      <w:pPr>
        <w:spacing w:before="100" w:beforeAutospacing="1" w:after="100" w:afterAutospacing="1"/>
        <w:jc w:val="both"/>
        <w:rPr>
          <w:rFonts w:ascii="Times New Roman" w:eastAsia="Calibri" w:hAnsi="Times New Roman" w:cs="Times New Roman"/>
          <w:noProof/>
          <w:sz w:val="24"/>
          <w:szCs w:val="24"/>
        </w:rPr>
      </w:pPr>
      <w:r>
        <w:rPr>
          <w:rFonts w:ascii="Times New Roman" w:hAnsi="Times New Roman"/>
          <w:noProof/>
          <w:sz w:val="24"/>
        </w:rPr>
        <w:t xml:space="preserve">През 2017 г. Комисията продължи да изпълнява списъка с действия за насърчаване на </w:t>
      </w:r>
      <w:r>
        <w:rPr>
          <w:rFonts w:ascii="Times New Roman" w:hAnsi="Times New Roman"/>
          <w:b/>
          <w:noProof/>
          <w:sz w:val="24"/>
        </w:rPr>
        <w:t>равенството на лесбийките, гейовете, бисексуалните, транссексуалните и интерсексуалните лица (ЛГБТИ)</w:t>
      </w:r>
      <w:r>
        <w:rPr>
          <w:rStyle w:val="FootnoteReference"/>
          <w:noProof/>
        </w:rPr>
        <w:footnoteReference w:id="33"/>
      </w:r>
      <w:r>
        <w:rPr>
          <w:rFonts w:ascii="Times New Roman" w:hAnsi="Times New Roman"/>
          <w:noProof/>
          <w:sz w:val="24"/>
        </w:rPr>
        <w:t>.</w:t>
      </w:r>
      <w:r>
        <w:rPr>
          <w:rFonts w:ascii="Times New Roman" w:hAnsi="Times New Roman"/>
          <w:i/>
          <w:noProof/>
          <w:sz w:val="24"/>
        </w:rPr>
        <w:t xml:space="preserve"> </w:t>
      </w:r>
      <w:r>
        <w:rPr>
          <w:rFonts w:ascii="Times New Roman" w:hAnsi="Times New Roman"/>
          <w:noProof/>
          <w:sz w:val="24"/>
        </w:rPr>
        <w:t>Посредством програмата „Права, равенство и гражданство“ тя подпомогна проекти, които повишават осведомеността и борбата с дискриминацията и нетолерантността срещу ЛГБТИ лица.</w:t>
      </w:r>
    </w:p>
    <w:p>
      <w:pPr>
        <w:keepLines/>
        <w:spacing w:after="120"/>
        <w:jc w:val="both"/>
        <w:rPr>
          <w:rFonts w:ascii="Times New Roman" w:hAnsi="Times New Roman" w:cs="Times New Roman"/>
          <w:noProof/>
          <w:sz w:val="24"/>
          <w:szCs w:val="24"/>
        </w:rPr>
      </w:pPr>
      <w:r>
        <w:rPr>
          <w:rFonts w:ascii="Times New Roman" w:hAnsi="Times New Roman"/>
          <w:b/>
          <w:i/>
          <w:noProof/>
          <w:sz w:val="24"/>
        </w:rPr>
        <w:t>Насърчаване на достъпа до правосъдие и ефективни правни средства за защита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Насърчаването на достъпа до правосъдие и ефективни правни средства за защита съгласно член 47 от Хартата е предварително условие за ефективното упражняване на всички права съгласно правото на ЕС, включително съгласно Хартата. Комисията подпомага държавите членки да изпълнят задължението си да осигуряват ефективна правна защита в областите, обхванати от правото на ЕС</w:t>
      </w:r>
      <w:r>
        <w:rPr>
          <w:rStyle w:val="FootnoteReference"/>
          <w:noProof/>
        </w:rPr>
        <w:footnoteReference w:id="34"/>
      </w:r>
      <w:r>
        <w:rPr>
          <w:rFonts w:ascii="Times New Roman" w:hAnsi="Times New Roman"/>
          <w:noProof/>
          <w:sz w:val="24"/>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След приемането на съобщението „</w:t>
      </w:r>
      <w:r>
        <w:rPr>
          <w:rFonts w:ascii="Times New Roman" w:hAnsi="Times New Roman"/>
          <w:b/>
          <w:noProof/>
          <w:sz w:val="24"/>
        </w:rPr>
        <w:t>Право на ЕС: по-добри резултати чрез по-добро прилагане</w:t>
      </w:r>
      <w:r>
        <w:rPr>
          <w:rFonts w:ascii="Times New Roman" w:hAnsi="Times New Roman"/>
          <w:noProof/>
          <w:sz w:val="24"/>
        </w:rPr>
        <w:t>“</w:t>
      </w:r>
      <w:r>
        <w:rPr>
          <w:rStyle w:val="FootnoteReference"/>
          <w:noProof/>
        </w:rPr>
        <w:footnoteReference w:id="35"/>
      </w:r>
      <w:r>
        <w:rPr>
          <w:rFonts w:ascii="Times New Roman" w:hAnsi="Times New Roman"/>
          <w:noProof/>
          <w:sz w:val="24"/>
        </w:rPr>
        <w:t xml:space="preserve"> през 2017 г., Комисията подпомогна държавите членки в усилията им да засилят прилагането на правото на ЕС в полза на физическите лица и предприятията. Тя организира диалози на високо равнище и обмен на най-добри практики с националните органи и съдилищата. Тя също така работи с Европейската мрежа на омбудсманите и помогна на държавите членки да повишат осведомеността относно правата на гражданите съгласно правото на ЕС и относно инструментите за разрешаване на проблеми, налични на национално равнище и на равнището на 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Повишаването на </w:t>
      </w:r>
      <w:r>
        <w:rPr>
          <w:rFonts w:ascii="Times New Roman" w:hAnsi="Times New Roman"/>
          <w:b/>
          <w:noProof/>
          <w:sz w:val="24"/>
        </w:rPr>
        <w:t>качеството, независимостта и ефикасността на националните правосъдни системи</w:t>
      </w:r>
      <w:r>
        <w:rPr>
          <w:rFonts w:ascii="Times New Roman" w:hAnsi="Times New Roman"/>
          <w:noProof/>
          <w:sz w:val="24"/>
        </w:rPr>
        <w:t>беше запазено като ключов приоритет в контекста на европейския семестър, в който Комисията отправи специфични за всяка държава препоръки за пет държави членки, за да им помогне да подобрят правосъдните си системи</w:t>
      </w:r>
      <w:r>
        <w:rPr>
          <w:rStyle w:val="FootnoteReference"/>
          <w:noProof/>
        </w:rPr>
        <w:footnoteReference w:id="36"/>
      </w:r>
      <w:r>
        <w:rPr>
          <w:rFonts w:ascii="Times New Roman" w:hAnsi="Times New Roman"/>
          <w:noProof/>
          <w:sz w:val="24"/>
        </w:rPr>
        <w:t>.</w:t>
      </w:r>
      <w:r>
        <w:rPr>
          <w:rFonts w:ascii="Times New Roman" w:hAnsi="Times New Roman"/>
          <w:noProof/>
          <w:sz w:val="24"/>
          <w:vertAlign w:val="superscript"/>
        </w:rPr>
        <w:t xml:space="preserve"> </w:t>
      </w:r>
      <w:r>
        <w:rPr>
          <w:rFonts w:ascii="Times New Roman" w:hAnsi="Times New Roman"/>
          <w:noProof/>
          <w:sz w:val="24"/>
        </w:rPr>
        <w:t>Комисията също така работи по случаи, при които националното право не предоставя ефективни правни средства за защита при нарушение на правото на ЕС или възпрепятства националните съдебни системи да гарантират, че правото на ЕС се прилага ефективно в съответствие с принципите на правовата държава и член 47 от Хартата.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По въпросите на околната среда  Комисията прие на 28 април 2017 г. </w:t>
      </w:r>
      <w:r>
        <w:rPr>
          <w:rFonts w:ascii="Times New Roman" w:hAnsi="Times New Roman"/>
          <w:b/>
          <w:noProof/>
          <w:sz w:val="24"/>
        </w:rPr>
        <w:t>Известие относно достъпа до правосъдие</w:t>
      </w:r>
      <w:r>
        <w:rPr>
          <w:rStyle w:val="FootnoteReference"/>
          <w:noProof/>
        </w:rPr>
        <w:footnoteReference w:id="37"/>
      </w:r>
      <w:r>
        <w:rPr>
          <w:rFonts w:ascii="Times New Roman" w:hAnsi="Times New Roman"/>
          <w:noProof/>
          <w:sz w:val="24"/>
        </w:rPr>
        <w:t>, в което се изяснява как отделните физически лица и сдружения могат да оспорват пред националните съдилища решения, действия или бездействия на органи на публичната власт, свързани с правото на ЕС в областта на околната среда. Известието помага на гражданите да решат дали да заведат дело пред националните съдилища или не. В него се предоставят съвети на националните съдилища относно делата на Съда на Европейския съюз (Съда на ЕС), които те следва да вземат предвид, когато работят по въпроси, свързани с достъпа до правосъдие.</w:t>
      </w:r>
    </w:p>
    <w:p>
      <w:pPr>
        <w:pStyle w:val="Heading2"/>
        <w:rPr>
          <w:rFonts w:ascii="Times New Roman" w:eastAsia="Cambria" w:hAnsi="Cambria" w:cs="Cambria"/>
          <w:b w:val="0"/>
          <w:bCs w:val="0"/>
          <w:i/>
          <w:iCs/>
          <w:noProof/>
          <w:color w:val="000000"/>
          <w:sz w:val="28"/>
          <w:szCs w:val="28"/>
          <w:u w:color="000000"/>
          <w:bdr w:val="nil"/>
        </w:rPr>
      </w:pPr>
      <w:r>
        <w:rPr>
          <w:rFonts w:ascii="Times New Roman" w:hAnsi="Cambria"/>
          <w:i/>
          <w:noProof/>
          <w:color w:val="000000"/>
          <w:sz w:val="28"/>
          <w:u w:color="000000"/>
          <w:bdr w:val="nil"/>
        </w:rPr>
        <w:t xml:space="preserve">2.2. </w:t>
      </w:r>
      <w:r>
        <w:rPr>
          <w:rFonts w:ascii="Times New Roman" w:hAnsi="Cambria"/>
          <w:i/>
          <w:noProof/>
          <w:color w:val="000000"/>
          <w:sz w:val="28"/>
          <w:u w:color="000000"/>
          <w:bdr w:val="nil"/>
        </w:rPr>
        <w:t>Гарантиране</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зачитането</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основните</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права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Институциите, органите, службите и агенциите на ЕС трябва да спазват Хартата при всички свои действия. За всеки случай на неспазване може да бъде заведено дело пред Съда на ЕС. Комисията се ангажира да гарантира пълното зачитане на основните права във всичките си законодателни предложения и предложения относно политиката.</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rPr>
        <w:t xml:space="preserve">На 12 декември 2017 г. Комисията прие предложения за </w:t>
      </w:r>
      <w:r>
        <w:rPr>
          <w:rFonts w:ascii="Times New Roman" w:hAnsi="Times New Roman"/>
          <w:b/>
          <w:noProof/>
          <w:sz w:val="24"/>
          <w:u w:color="000000"/>
          <w:bdr w:val="nil"/>
        </w:rPr>
        <w:t>рамка за оперативна съвместимост между информационните системи на ЕС</w:t>
      </w:r>
      <w:r>
        <w:rPr>
          <w:rStyle w:val="FootnoteReference"/>
          <w:noProof/>
        </w:rPr>
        <w:footnoteReference w:id="38"/>
      </w:r>
      <w:r>
        <w:rPr>
          <w:rFonts w:ascii="Times New Roman" w:hAnsi="Times New Roman"/>
          <w:noProof/>
          <w:sz w:val="24"/>
        </w:rPr>
        <w:t xml:space="preserve"> за запълване на пропуските в информацията и за по-добра защита на гражданите на ЕС. Целта е да се подобрят ефикасността и ефективността на инструментите за обмен на информация в целия ЕС, като се предостави възможност те да функционират заедно по-добре. Упълномощените ползватели (като полицейски служители, служители в областта на миграцията и служители от граничната охрана) ще имат по-бърз, безпрепятствен и по-системен достъп до информацията, от която се нуждаят, за да вършат работата си, при пълно спазване на основните права. Общата оценка на Комисията на инструментите ще включва проучване на тяхното въздействие върху основните права.</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 xml:space="preserve">През март 2017 г. в </w:t>
      </w:r>
      <w:r>
        <w:rPr>
          <w:rFonts w:ascii="Times New Roman" w:hAnsi="Times New Roman"/>
          <w:b/>
          <w:noProof/>
          <w:sz w:val="24"/>
          <w:u w:color="000000"/>
          <w:bdr w:val="nil"/>
        </w:rPr>
        <w:t>доклада на Комисията за оценка</w:t>
      </w:r>
      <w:r>
        <w:rPr>
          <w:rStyle w:val="FootnoteReference"/>
          <w:rFonts w:ascii="Times New Roman" w:hAnsi="Times New Roman"/>
          <w:b/>
          <w:noProof/>
          <w:sz w:val="24"/>
          <w:u w:color="000000"/>
          <w:bdr w:val="nil"/>
        </w:rPr>
        <w:footnoteReference w:id="39"/>
      </w:r>
      <w:r>
        <w:rPr>
          <w:rFonts w:ascii="Times New Roman" w:hAnsi="Times New Roman"/>
          <w:b/>
          <w:noProof/>
          <w:sz w:val="24"/>
          <w:u w:color="000000"/>
          <w:bdr w:val="nil"/>
        </w:rPr>
        <w:t xml:space="preserve"> на прилагането на правилата на ЕС за борба с контрабандата на мигранти</w:t>
      </w:r>
      <w:r>
        <w:rPr>
          <w:rStyle w:val="FootnoteReference"/>
          <w:rFonts w:ascii="Times New Roman" w:hAnsi="Times New Roman"/>
          <w:noProof/>
          <w:sz w:val="24"/>
          <w:u w:color="000000"/>
          <w:bdr w:val="nil"/>
        </w:rPr>
        <w:footnoteReference w:id="40"/>
      </w:r>
      <w:r>
        <w:rPr>
          <w:rFonts w:ascii="Times New Roman" w:hAnsi="Times New Roman"/>
          <w:noProof/>
          <w:sz w:val="24"/>
          <w:u w:color="000000"/>
          <w:bdr w:val="nil"/>
        </w:rPr>
        <w:t xml:space="preserve"> беше изразена загриженост относно инкриминирането на действията, извършвани от организации на гражданското общество или от лица, предоставящи хуманитарна помощ на незаконни мигранти. В този доклад се отразяват становищата на редица заинтересовани страни и се признава, че незадължителният характер на правилата на ЕС, позволяващ на държавите членки да не инкриминират улесняването на незаконното влизане, когато то се извършва по хуманитарни причини, може да доведе до липса на яснота и правна сигурност. Понастоящем Комисията работи съвместно със съответните заинтересовани страни относно прилагането на този конкретен аспект на правната рамка.</w:t>
      </w:r>
    </w:p>
    <w:p>
      <w:pPr>
        <w:spacing w:before="100" w:beforeAutospacing="1" w:after="100" w:afterAutospacing="1"/>
        <w:jc w:val="both"/>
        <w:rPr>
          <w:noProof/>
          <w:sz w:val="24"/>
          <w:szCs w:val="24"/>
        </w:rPr>
      </w:pPr>
      <w:r>
        <w:rPr>
          <w:rFonts w:ascii="Times New Roman" w:hAnsi="Times New Roman"/>
          <w:noProof/>
          <w:sz w:val="24"/>
        </w:rPr>
        <w:t xml:space="preserve">След приемането на </w:t>
      </w:r>
      <w:r>
        <w:rPr>
          <w:rFonts w:ascii="Times New Roman" w:hAnsi="Times New Roman"/>
          <w:b/>
          <w:noProof/>
          <w:sz w:val="24"/>
        </w:rPr>
        <w:t>Директивата относно борбата с тероризма</w:t>
      </w:r>
      <w:r>
        <w:rPr>
          <w:rStyle w:val="FootnoteReference"/>
          <w:rFonts w:ascii="Times New Roman" w:hAnsi="Times New Roman"/>
          <w:noProof/>
          <w:sz w:val="24"/>
        </w:rPr>
        <w:footnoteReference w:id="41"/>
      </w:r>
      <w:r>
        <w:rPr>
          <w:rFonts w:ascii="Times New Roman" w:hAnsi="Times New Roman"/>
          <w:noProof/>
          <w:sz w:val="24"/>
        </w:rPr>
        <w:t xml:space="preserve"> през март 2017 г. Комисията проведе дискусии с гражданското общество, за да разбере по-добре опасенията относно въздействието на мерките за борба с тероризма върху основните права. Понастоящем тя помага на държавите членки да транспонират и изпълняват правилно новата директива, включително по отношение на основните права. Този обмен ще предостави данни, които да се използват в оценката на Комисията на директивата, включително относно нейното въздействие върху основните права и свободи (по-специално недискриминацията, принципите на правовата държава и равнището на предоставяната защита и помощ на жертвите на тероризъм)</w:t>
      </w:r>
      <w:r>
        <w:rPr>
          <w:rStyle w:val="FootnoteReference"/>
          <w:rFonts w:ascii="Times New Roman" w:hAnsi="Times New Roman"/>
          <w:noProof/>
          <w:sz w:val="24"/>
          <w:u w:color="000000"/>
          <w:bdr w:val="nil"/>
        </w:rPr>
        <w:footnoteReference w:id="42"/>
      </w:r>
      <w:r>
        <w:rPr>
          <w:rFonts w:ascii="Times New Roman" w:hAnsi="Times New Roman"/>
          <w:noProof/>
          <w:sz w:val="24"/>
        </w:rPr>
        <w:t>.</w:t>
      </w:r>
    </w:p>
    <w:p>
      <w:pPr>
        <w:keepNext/>
        <w:pBdr>
          <w:top w:val="nil"/>
          <w:left w:val="nil"/>
          <w:bottom w:val="nil"/>
          <w:right w:val="nil"/>
          <w:between w:val="nil"/>
          <w:bar w:val="nil"/>
        </w:pBdr>
        <w:spacing w:before="120" w:after="120" w:line="360" w:lineRule="auto"/>
        <w:contextualSpacing/>
        <w:jc w:val="both"/>
        <w:outlineLvl w:val="1"/>
        <w:rPr>
          <w:rFonts w:ascii="Times New Roman" w:eastAsia="Cambria" w:hAnsi="Cambria" w:cs="Cambria"/>
          <w:b/>
          <w:bCs/>
          <w:i/>
          <w:iCs/>
          <w:noProof/>
          <w:color w:val="000000"/>
          <w:sz w:val="28"/>
          <w:szCs w:val="28"/>
          <w:u w:color="000000"/>
          <w:bdr w:val="nil"/>
        </w:rPr>
      </w:pPr>
      <w:r>
        <w:rPr>
          <w:rFonts w:ascii="Times New Roman" w:hAnsi="Cambria"/>
          <w:b/>
          <w:i/>
          <w:noProof/>
          <w:color w:val="000000"/>
          <w:sz w:val="28"/>
          <w:u w:color="000000"/>
          <w:bdr w:val="nil"/>
        </w:rPr>
        <w:t xml:space="preserve">2.3. </w:t>
      </w:r>
      <w:r>
        <w:rPr>
          <w:rFonts w:ascii="Times New Roman" w:hAnsi="Cambria"/>
          <w:b/>
          <w:i/>
          <w:noProof/>
          <w:color w:val="000000"/>
          <w:sz w:val="28"/>
          <w:u w:color="000000"/>
          <w:bdr w:val="nil"/>
        </w:rPr>
        <w:t>Повишаване</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на</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осведомеността</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за</w:t>
      </w:r>
      <w:r>
        <w:rPr>
          <w:rFonts w:ascii="Times New Roman" w:hAnsi="Cambria"/>
          <w:b/>
          <w:i/>
          <w:noProof/>
          <w:color w:val="000000"/>
          <w:sz w:val="28"/>
          <w:u w:color="000000"/>
          <w:bdr w:val="nil"/>
        </w:rPr>
        <w:t xml:space="preserve"> </w:t>
      </w:r>
      <w:r>
        <w:rPr>
          <w:rFonts w:ascii="Times New Roman" w:hAnsi="Cambria"/>
          <w:b/>
          <w:i/>
          <w:noProof/>
          <w:color w:val="000000"/>
          <w:sz w:val="28"/>
          <w:u w:color="000000"/>
          <w:bdr w:val="nil"/>
        </w:rPr>
        <w:t>Хартата</w:t>
      </w:r>
    </w:p>
    <w:p>
      <w:pPr>
        <w:spacing w:before="100" w:beforeAutospacing="1" w:after="100" w:afterAutospacing="1"/>
        <w:jc w:val="both"/>
        <w:rPr>
          <w:rFonts w:ascii="Times New Roman" w:eastAsia="Calibri" w:hAnsi="Calibri" w:cs="Calibri"/>
          <w:noProof/>
          <w:color w:val="000000"/>
          <w:sz w:val="24"/>
          <w:szCs w:val="24"/>
          <w:u w:color="000000"/>
          <w:bdr w:val="nil"/>
        </w:rPr>
      </w:pPr>
      <w:r>
        <w:rPr>
          <w:rFonts w:ascii="Times New Roman" w:hAnsi="Times New Roman"/>
          <w:noProof/>
          <w:color w:val="000000"/>
          <w:sz w:val="24"/>
          <w:u w:color="000000"/>
          <w:bdr w:val="nil"/>
        </w:rPr>
        <w:t>За да упражняват напълно своите основни права, хората трябва да са осведомени за тях и за това към кого да се обърнат в случай на нарушения. Като последващо действие във връзка с доклада на Комисията относно прилагането на Хартата през 2016 г. Съветът прие заключения на 12 октомври 2017 г.</w:t>
      </w:r>
      <w:r>
        <w:rPr>
          <w:rStyle w:val="FootnoteReference"/>
          <w:noProof/>
        </w:rPr>
        <w:footnoteReference w:id="43"/>
      </w:r>
      <w:r>
        <w:rPr>
          <w:rFonts w:ascii="Times New Roman" w:hAnsi="Times New Roman"/>
          <w:noProof/>
          <w:color w:val="000000"/>
          <w:sz w:val="24"/>
          <w:u w:color="000000"/>
          <w:bdr w:val="nil"/>
        </w:rPr>
        <w:t>, в които подчерта необходимостта от повишаване на осведомеността относно</w:t>
      </w:r>
      <w:r>
        <w:rPr>
          <w:rFonts w:ascii="Times New Roman" w:hAnsi="Calibri"/>
          <w:noProof/>
          <w:color w:val="000000"/>
          <w:sz w:val="24"/>
          <w:u w:color="000000"/>
          <w:bdr w:val="nil"/>
        </w:rPr>
        <w:t xml:space="preserve"> </w:t>
      </w:r>
      <w:r>
        <w:rPr>
          <w:rFonts w:ascii="Times New Roman" w:hAnsi="Times New Roman"/>
          <w:noProof/>
          <w:color w:val="000000"/>
          <w:sz w:val="24"/>
          <w:u w:color="000000"/>
          <w:bdr w:val="nil"/>
        </w:rPr>
        <w:t>Хартата и относно цифрови инструменти като електронното правосъдие.</w:t>
      </w:r>
      <w:r>
        <w:rPr>
          <w:rFonts w:ascii="Times New Roman" w:hAnsi="Calibri"/>
          <w:noProof/>
          <w:color w:val="000000"/>
          <w:sz w:val="24"/>
          <w:u w:color="000000"/>
          <w:bdr w:val="nil"/>
        </w:rPr>
        <w:t xml:space="preserve"> </w:t>
      </w:r>
      <w:r>
        <w:rPr>
          <w:rFonts w:ascii="Times New Roman" w:hAnsi="Times New Roman"/>
          <w:noProof/>
          <w:sz w:val="24"/>
          <w:bdr w:val="none" w:sz="0" w:space="0" w:color="auto" w:frame="1"/>
        </w:rPr>
        <w:t>Комисията</w:t>
      </w:r>
      <w:r>
        <w:rPr>
          <w:rFonts w:ascii="Times New Roman" w:hAnsi="Times New Roman"/>
          <w:noProof/>
          <w:sz w:val="24"/>
          <w:u w:color="000000"/>
          <w:bdr w:val="nil"/>
        </w:rPr>
        <w:t xml:space="preserve"> подобри </w:t>
      </w:r>
      <w:r>
        <w:rPr>
          <w:rFonts w:ascii="Times New Roman" w:hAnsi="Times New Roman"/>
          <w:b/>
          <w:noProof/>
          <w:sz w:val="24"/>
          <w:bdr w:val="none" w:sz="0" w:space="0" w:color="auto" w:frame="1"/>
        </w:rPr>
        <w:t xml:space="preserve">портала за електронно правосъдие </w:t>
      </w:r>
      <w:r>
        <w:rPr>
          <w:rFonts w:ascii="Times New Roman" w:hAnsi="Times New Roman"/>
          <w:noProof/>
          <w:sz w:val="24"/>
          <w:bdr w:val="none" w:sz="0" w:space="0" w:color="auto" w:frame="1"/>
        </w:rPr>
        <w:t>през 2017 г.</w:t>
      </w:r>
      <w:r>
        <w:rPr>
          <w:rStyle w:val="FootnoteReference"/>
          <w:rFonts w:ascii="Times New Roman" w:hAnsi="Times New Roman"/>
          <w:noProof/>
          <w:sz w:val="24"/>
          <w:bdr w:val="none" w:sz="0" w:space="0" w:color="auto" w:frame="1"/>
        </w:rPr>
        <w:footnoteReference w:id="44"/>
      </w:r>
      <w:r>
        <w:rPr>
          <w:rFonts w:ascii="Times New Roman" w:hAnsi="Times New Roman"/>
          <w:noProof/>
          <w:sz w:val="24"/>
          <w:bdr w:val="none" w:sz="0" w:space="0" w:color="auto" w:frame="1"/>
        </w:rPr>
        <w:t xml:space="preserve"> Той ще включва раздел за основните права с лесни за ползване контролни списъци и насоки относно Хартата и нейния обхват на приложение.</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color w:val="000000"/>
          <w:sz w:val="24"/>
          <w:u w:color="000000"/>
          <w:bdr w:val="nil"/>
        </w:rPr>
        <w:t>Комисията също така продължи да подкрепя</w:t>
      </w:r>
      <w:r>
        <w:rPr>
          <w:rFonts w:ascii="Times New Roman" w:hAnsi="Times New Roman"/>
          <w:b/>
          <w:noProof/>
          <w:sz w:val="24"/>
          <w:u w:color="000000"/>
          <w:bdr w:val="nil"/>
        </w:rPr>
        <w:t xml:space="preserve"> обучението на юристи</w:t>
      </w:r>
      <w:r>
        <w:rPr>
          <w:rFonts w:ascii="Times New Roman" w:hAnsi="Times New Roman"/>
          <w:noProof/>
          <w:sz w:val="24"/>
          <w:u w:color="000000"/>
          <w:bdr w:val="nil"/>
        </w:rPr>
        <w:t xml:space="preserve"> относно прилагането на Хартата в рамките на програма „Правосъдие“</w:t>
      </w:r>
      <w:r>
        <w:rPr>
          <w:rStyle w:val="FootnoteReference"/>
          <w:rFonts w:ascii="Times New Roman" w:hAnsi="Times New Roman"/>
          <w:noProof/>
          <w:color w:val="000000"/>
          <w:sz w:val="24"/>
          <w:u w:color="000000"/>
          <w:bdr w:val="nil"/>
        </w:rPr>
        <w:footnoteReference w:id="45"/>
      </w:r>
      <w:r>
        <w:rPr>
          <w:rFonts w:ascii="Times New Roman" w:hAnsi="Times New Roman"/>
          <w:noProof/>
          <w:sz w:val="24"/>
          <w:u w:color="000000"/>
          <w:bdr w:val="nil"/>
        </w:rPr>
        <w:t>.</w:t>
      </w:r>
    </w:p>
    <w:p>
      <w:pPr>
        <w:pStyle w:val="Heading2"/>
        <w:rPr>
          <w:rFonts w:ascii="Times New Roman" w:eastAsia="Cambria" w:hAnsi="Cambria" w:cs="Cambria"/>
          <w:b w:val="0"/>
          <w:bCs w:val="0"/>
          <w:i/>
          <w:iCs/>
          <w:noProof/>
          <w:color w:val="000000"/>
          <w:sz w:val="28"/>
          <w:szCs w:val="28"/>
          <w:u w:color="000000"/>
          <w:bdr w:val="nil"/>
        </w:rPr>
      </w:pPr>
      <w:r>
        <w:rPr>
          <w:rFonts w:ascii="Times New Roman" w:hAnsi="Cambria"/>
          <w:i/>
          <w:noProof/>
          <w:color w:val="000000"/>
          <w:sz w:val="28"/>
          <w:u w:color="000000"/>
          <w:bdr w:val="nil"/>
        </w:rPr>
        <w:t xml:space="preserve">2.4 </w:t>
      </w:r>
      <w:r>
        <w:rPr>
          <w:rFonts w:ascii="Times New Roman" w:hAnsi="Cambria"/>
          <w:i/>
          <w:noProof/>
          <w:color w:val="000000"/>
          <w:sz w:val="28"/>
          <w:u w:color="000000"/>
          <w:bdr w:val="nil"/>
        </w:rPr>
        <w:t>Надзор</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над</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институциите</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ЕС</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от</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страна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Съда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на</w:t>
      </w:r>
      <w:r>
        <w:rPr>
          <w:rFonts w:ascii="Times New Roman" w:hAnsi="Cambria"/>
          <w:i/>
          <w:noProof/>
          <w:color w:val="000000"/>
          <w:sz w:val="28"/>
          <w:u w:color="000000"/>
          <w:bdr w:val="nil"/>
        </w:rPr>
        <w:t xml:space="preserve"> </w:t>
      </w:r>
      <w:r>
        <w:rPr>
          <w:rFonts w:ascii="Times New Roman" w:hAnsi="Cambria"/>
          <w:i/>
          <w:noProof/>
          <w:color w:val="000000"/>
          <w:sz w:val="28"/>
          <w:u w:color="000000"/>
          <w:bdr w:val="nil"/>
        </w:rPr>
        <w:t>ЕС</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В своето </w:t>
      </w:r>
      <w:r>
        <w:rPr>
          <w:rFonts w:ascii="Times New Roman" w:hAnsi="Times New Roman"/>
          <w:b/>
          <w:i/>
          <w:noProof/>
          <w:sz w:val="24"/>
        </w:rPr>
        <w:t>Становище 1/15</w:t>
      </w:r>
      <w:r>
        <w:rPr>
          <w:rFonts w:ascii="Times New Roman" w:hAnsi="Times New Roman"/>
          <w:noProof/>
          <w:sz w:val="24"/>
        </w:rPr>
        <w:t xml:space="preserve"> относно </w:t>
      </w:r>
      <w:r>
        <w:rPr>
          <w:rFonts w:ascii="Times New Roman" w:hAnsi="Times New Roman"/>
          <w:b/>
          <w:noProof/>
          <w:sz w:val="24"/>
        </w:rPr>
        <w:t>Проектоспоразумението между Канада и Европейския съюз за предаване на резервационни данни на пътниците във въздушния транспорт от ЕС към Канада</w:t>
      </w:r>
      <w:r>
        <w:rPr>
          <w:rFonts w:ascii="Times New Roman" w:hAnsi="Times New Roman"/>
          <w:noProof/>
          <w:sz w:val="24"/>
        </w:rPr>
        <w:t>, прието на 26 юли 2017 г., Съдът на ЕС установи, че няколко разпоредби от предложеното споразумение са несъвместими с правото на зачитане на личния живот (член 7) и защитата на личните данни (член 8). Съдът изрази опасения по отношение на пропорционалността, яснотата и точността на правилата, изложени в споразумението, и липсата на обосновка за предаването, обработването и задържането на чувствителни данни. В момента Комисията внимателно оценява най-подходящия начин за преодоляване на изразените от Съда опасения, за да се гарантира сигурността на гражданите на ЕС при пълно зачитане на основните права, и по-специално на правото на защита на данните</w:t>
      </w:r>
      <w:r>
        <w:rPr>
          <w:rStyle w:val="FootnoteReference"/>
          <w:noProof/>
        </w:rPr>
        <w:footnoteReference w:id="46"/>
      </w:r>
      <w:r>
        <w:rPr>
          <w:rFonts w:ascii="Times New Roman" w:hAnsi="Times New Roman"/>
          <w:noProof/>
          <w:sz w:val="24"/>
        </w:rPr>
        <w:t>.</w:t>
      </w:r>
    </w:p>
    <w:p>
      <w:pPr>
        <w:spacing w:before="100" w:beforeAutospacing="1" w:after="100" w:afterAutospacing="1"/>
        <w:contextualSpacing/>
        <w:jc w:val="both"/>
        <w:rPr>
          <w:rFonts w:ascii="Times New Roman" w:hAnsi="Times New Roman" w:cs="Times New Roman"/>
          <w:noProof/>
          <w:sz w:val="24"/>
          <w:szCs w:val="24"/>
        </w:rPr>
      </w:pPr>
      <w:r>
        <w:rPr>
          <w:rFonts w:ascii="Times New Roman" w:hAnsi="Times New Roman"/>
          <w:noProof/>
          <w:sz w:val="24"/>
        </w:rPr>
        <w:t xml:space="preserve">По делото </w:t>
      </w:r>
      <w:r>
        <w:rPr>
          <w:rFonts w:ascii="Times New Roman" w:hAnsi="Times New Roman"/>
          <w:b/>
          <w:i/>
          <w:noProof/>
          <w:sz w:val="24"/>
        </w:rPr>
        <w:t>Aisha Muammer Mohamed El-Qaddafi/Съветът</w:t>
      </w:r>
      <w:r>
        <w:rPr>
          <w:rStyle w:val="FootnoteReference"/>
          <w:rFonts w:ascii="Times New Roman" w:hAnsi="Times New Roman"/>
          <w:noProof/>
          <w:sz w:val="24"/>
        </w:rPr>
        <w:footnoteReference w:id="47"/>
      </w:r>
      <w:r>
        <w:rPr>
          <w:rFonts w:ascii="Times New Roman" w:hAnsi="Times New Roman"/>
          <w:noProof/>
          <w:sz w:val="24"/>
        </w:rPr>
        <w:t xml:space="preserve"> Общият съд отмени Решението</w:t>
      </w:r>
      <w:r>
        <w:rPr>
          <w:rStyle w:val="FootnoteReference"/>
          <w:rFonts w:ascii="Times New Roman" w:hAnsi="Times New Roman"/>
          <w:noProof/>
          <w:sz w:val="24"/>
        </w:rPr>
        <w:footnoteReference w:id="48"/>
      </w:r>
      <w:r>
        <w:rPr>
          <w:rFonts w:ascii="Times New Roman" w:hAnsi="Times New Roman"/>
          <w:noProof/>
          <w:sz w:val="24"/>
        </w:rPr>
        <w:t xml:space="preserve"> и Регламента на Съвета</w:t>
      </w:r>
      <w:r>
        <w:rPr>
          <w:rStyle w:val="FootnoteReference"/>
          <w:rFonts w:ascii="Times New Roman" w:hAnsi="Times New Roman"/>
          <w:noProof/>
          <w:sz w:val="24"/>
        </w:rPr>
        <w:footnoteReference w:id="49"/>
      </w:r>
      <w:r>
        <w:rPr>
          <w:rFonts w:ascii="Times New Roman" w:hAnsi="Times New Roman"/>
          <w:noProof/>
          <w:sz w:val="24"/>
        </w:rPr>
        <w:t>, доколкото запази името на г-жа Muammer Mohamed El-Qaddafi в списъка на лицата, спрямо които се прилагат ограничителни мерки с оглед на положението в Либия</w:t>
      </w:r>
      <w:r>
        <w:rPr>
          <w:rStyle w:val="FootnoteReference"/>
          <w:rFonts w:ascii="Times New Roman" w:hAnsi="Times New Roman"/>
          <w:noProof/>
          <w:sz w:val="24"/>
        </w:rPr>
        <w:footnoteReference w:id="50"/>
      </w:r>
      <w:r>
        <w:rPr>
          <w:rFonts w:ascii="Times New Roman" w:hAnsi="Times New Roman"/>
          <w:noProof/>
          <w:sz w:val="24"/>
        </w:rPr>
        <w:t>. Мерките бяха свързани със забрана за влизане и транзитно преминаване на либийска територия и предвиждаха, че средствата и финансовите активи, притежавани или контролирани от посочените в списъка лица, трябва да бъдат замразени. Общият съд постанови, че от изложението на мотивите за мерките не е възможно да се заключи защо първоначалните основания за запазване на името на жалбоподателя в списъка остават приложими въпреки развитието на положението в Либия. Поради това той установи, че Съветът е нарушил задължението си да посочи действителните и конкретни причини за запазването на такива ограничителни мерки, което е следствие от зачитането на правото на защита на жалбоподателя и произтича също така от член 41, член 47 и член 48, параграф 2 от Хартата.</w:t>
      </w:r>
    </w:p>
    <w:p>
      <w:pPr>
        <w:spacing w:after="120"/>
        <w:contextualSpacing/>
        <w:jc w:val="both"/>
        <w:rPr>
          <w:rFonts w:ascii="Times New Roman" w:hAnsi="Times New Roman" w:cs="Times New Roman"/>
          <w:noProof/>
        </w:rPr>
      </w:pP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t xml:space="preserve">3. </w:t>
      </w:r>
      <w:r>
        <w:rPr>
          <w:rFonts w:ascii="Times New Roman" w:hAnsi="Cambria"/>
          <w:b/>
          <w:noProof/>
          <w:color w:val="000000"/>
          <w:kern w:val="32"/>
          <w:sz w:val="32"/>
          <w:u w:color="000000"/>
          <w:bdr w:val="nil"/>
        </w:rPr>
        <w:t>Прилагане</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на</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Хартата</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във</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и</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от</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държавите</w:t>
      </w:r>
      <w:r>
        <w:rPr>
          <w:rFonts w:ascii="Times New Roman" w:hAnsi="Cambria"/>
          <w:b/>
          <w:noProof/>
          <w:color w:val="000000"/>
          <w:kern w:val="32"/>
          <w:sz w:val="32"/>
          <w:u w:color="000000"/>
          <w:bdr w:val="nil"/>
        </w:rPr>
        <w:t xml:space="preserve"> </w:t>
      </w:r>
      <w:r>
        <w:rPr>
          <w:rFonts w:ascii="Times New Roman" w:hAnsi="Cambria"/>
          <w:b/>
          <w:noProof/>
          <w:color w:val="000000"/>
          <w:kern w:val="32"/>
          <w:sz w:val="32"/>
          <w:u w:color="000000"/>
          <w:bdr w:val="nil"/>
        </w:rPr>
        <w:t>членки</w:t>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Cs/>
          <w:noProof/>
          <w:color w:val="000000"/>
          <w:kern w:val="32"/>
          <w:sz w:val="32"/>
          <w:szCs w:val="32"/>
          <w:u w:color="000000"/>
          <w:bdr w:val="nil"/>
        </w:rPr>
      </w:pPr>
    </w:p>
    <w:p>
      <w:pPr>
        <w:keepNext/>
        <w:keepLines/>
        <w:spacing w:before="200" w:after="120"/>
        <w:contextualSpacing/>
        <w:outlineLvl w:val="1"/>
        <w:rPr>
          <w:rFonts w:ascii="Times New Roman" w:eastAsia="Cambria" w:hAnsi="Times New Roman" w:cs="Times New Roman"/>
          <w:b/>
          <w:i/>
          <w:noProof/>
          <w:sz w:val="28"/>
          <w:u w:color="000000"/>
          <w:bdr w:val="nil"/>
        </w:rPr>
      </w:pPr>
      <w:r>
        <w:rPr>
          <w:rFonts w:ascii="Times New Roman" w:hAnsi="Times New Roman"/>
          <w:b/>
          <w:i/>
          <w:noProof/>
          <w:sz w:val="28"/>
          <w:u w:color="000000"/>
          <w:bdr w:val="nil"/>
        </w:rPr>
        <w:t>3.1 Развития в областта на основните права и принципите на правовата държава</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През 2017 г. Комисията публикува мотивирано становище относно прилагането от страна на Унгария на правото на ЕС в областта на убежището и миграцията, тълкувано в контекста на няколко разпоредби на Хартата, включително правото на убежище, правото на свобода и сигурност и правото на ефективни правни средства за защита</w:t>
      </w:r>
      <w:r>
        <w:rPr>
          <w:rStyle w:val="FootnoteReference"/>
          <w:noProof/>
        </w:rPr>
        <w:footnoteReference w:id="51"/>
      </w:r>
      <w:r>
        <w:rPr>
          <w:rFonts w:ascii="Times New Roman" w:hAnsi="Times New Roman"/>
          <w:noProof/>
          <w:sz w:val="24"/>
          <w:u w:color="000000"/>
          <w:bdr w:val="nil"/>
        </w:rPr>
        <w:t>.</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sz w:val="24"/>
          <w:u w:color="000000"/>
          <w:bdr w:val="nil"/>
        </w:rPr>
        <w:t>Тя също така се позова на три дела на Съда на ЕС, в които бяха повдигнати въпроси относно зачитането на основните права съгласно Хартата. Първото дело се отнасяше до съвместимостта на задълженията за докладване и прозрачност за организациите на гражданското общество с чуждестранно финансиране с правото на свобода на сдружаване, правото на зачитане на личния живот и правото на защита на личните данни, във връзка със задълженията съгласно Договора относно свободното движение на капитали</w:t>
      </w:r>
      <w:r>
        <w:rPr>
          <w:rStyle w:val="FootnoteReference"/>
          <w:rFonts w:ascii="Times New Roman" w:hAnsi="Times New Roman"/>
          <w:noProof/>
          <w:sz w:val="24"/>
          <w:u w:color="000000"/>
          <w:bdr w:val="nil"/>
        </w:rPr>
        <w:footnoteReference w:id="52"/>
      </w:r>
      <w:r>
        <w:rPr>
          <w:rFonts w:ascii="Times New Roman" w:hAnsi="Times New Roman"/>
          <w:noProof/>
          <w:sz w:val="24"/>
          <w:u w:color="000000"/>
          <w:bdr w:val="nil"/>
        </w:rPr>
        <w:t>.</w:t>
      </w:r>
      <w:r>
        <w:rPr>
          <w:rFonts w:ascii="Times New Roman" w:hAnsi="Times New Roman"/>
          <w:noProof/>
          <w:sz w:val="24"/>
          <w:u w:color="000000"/>
          <w:bdr w:val="nil"/>
          <w:vertAlign w:val="superscript"/>
        </w:rPr>
        <w:t xml:space="preserve"> </w:t>
      </w:r>
      <w:r>
        <w:rPr>
          <w:rFonts w:ascii="Times New Roman" w:hAnsi="Times New Roman"/>
          <w:noProof/>
          <w:sz w:val="24"/>
          <w:u w:color="000000"/>
          <w:bdr w:val="nil"/>
        </w:rPr>
        <w:t>Второто дело засягаше правото на академична свобода, правото на образование и свободата на стопанската инициатива във връзка с правилата, засягащи свободата на висшите учебни заведения да предоставят услуги и да бъдат установени навсякъде в ЕС, както и във връзка с правните задължения на ЕС съгласно международното търговско право</w:t>
      </w:r>
      <w:r>
        <w:rPr>
          <w:rStyle w:val="FootnoteReference"/>
          <w:noProof/>
        </w:rPr>
        <w:footnoteReference w:id="53"/>
      </w:r>
      <w:r>
        <w:rPr>
          <w:rFonts w:ascii="Times New Roman" w:hAnsi="Times New Roman"/>
          <w:noProof/>
          <w:sz w:val="24"/>
          <w:u w:color="000000"/>
          <w:bdr w:val="nil"/>
        </w:rPr>
        <w:t>.</w:t>
      </w:r>
      <w:r>
        <w:rPr>
          <w:rFonts w:ascii="Times New Roman" w:hAnsi="Times New Roman"/>
          <w:noProof/>
          <w:sz w:val="24"/>
          <w:u w:color="000000"/>
          <w:bdr w:val="nil"/>
          <w:vertAlign w:val="superscript"/>
        </w:rPr>
        <w:t xml:space="preserve"> </w:t>
      </w:r>
      <w:r>
        <w:rPr>
          <w:rFonts w:ascii="Times New Roman" w:hAnsi="Times New Roman"/>
          <w:noProof/>
          <w:sz w:val="24"/>
          <w:u w:color="000000"/>
          <w:bdr w:val="nil"/>
        </w:rPr>
        <w:t>Третото дело се отнасяше до съвместимостта на националните правила, уреждащи удължаването на мандатите на съдиите от обикновените съдилища с принципа на независимост на съдебната власт, и по-специално със задължението на държавите членки да предоставят правни средства за защита, достатъчни за осигуряването на ефективна правна защита в областите, обхванати от правото на ЕС, както е предвидено в член 19, параграф 1 от Договора за Европейския съюз, във връзка с правото на ефективни правни средства за защита и на справедлив съдебен процес, залегнало в член 47 от Хартата.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u w:color="000000"/>
          <w:bdr w:val="nil"/>
        </w:rPr>
        <w:t>Хартата се прилага по отношение на държавите членки единствено когато те прилагат правото на ЕС. Поради това производствата за установяване на нарушение, които се основават на Хартата, могат да бъдат задействани само когато е установена достатъчна връзка с правото на ЕС. Въпреки това държавите членки са длъжни да зачитат ценностите, на които се основава ЕС, дори при действия, несвързани с прилагането на правото на ЕС. По-специално, зачитането на принципите на правовата държава е предварително условие за защитата на основните права. Що се отнася до положението в Полша, през 2016 г. и 2017 г. Комисията публикува в своята уредба за укрепване на принципите на правовата държава</w:t>
      </w:r>
      <w:r>
        <w:rPr>
          <w:rStyle w:val="FootnoteReference"/>
          <w:rFonts w:ascii="Times New Roman" w:hAnsi="Times New Roman"/>
          <w:noProof/>
          <w:sz w:val="24"/>
          <w:u w:color="000000"/>
          <w:bdr w:val="nil"/>
        </w:rPr>
        <w:footnoteReference w:id="54"/>
      </w:r>
      <w:r>
        <w:rPr>
          <w:rFonts w:ascii="Times New Roman" w:hAnsi="Times New Roman"/>
          <w:noProof/>
          <w:sz w:val="24"/>
          <w:u w:color="000000"/>
          <w:bdr w:val="nil"/>
        </w:rPr>
        <w:t xml:space="preserve"> четири препоръки относно няколко закона, ограничаващи независимостта на съдебната система и разделението на властите в Полша и засягащи цялата структура на полската съдебна система, и по-специално Конституционния трибунал, Върховния съд, обикновените съдилища и Националния съвет на съдебната власт. През декември 2017 г. Комисията заключи, че съществува явен риск от сериозно нарушение на принципите на правовата държава в Полша, и предложи на Съвета да приеме решение съгласно член 7, параграф 1 от Договора за Европейския съюз</w:t>
      </w:r>
      <w:r>
        <w:rPr>
          <w:rFonts w:ascii="Times New Roman" w:hAnsi="Times New Roman"/>
          <w:noProof/>
          <w:sz w:val="24"/>
          <w:u w:color="000000"/>
          <w:bdr w:val="nil"/>
          <w:vertAlign w:val="superscript"/>
        </w:rPr>
        <w:footnoteReference w:id="55"/>
      </w:r>
      <w:r>
        <w:rPr>
          <w:rFonts w:ascii="Times New Roman" w:hAnsi="Times New Roman"/>
          <w:noProof/>
          <w:sz w:val="24"/>
          <w:u w:color="000000"/>
          <w:bdr w:val="nil"/>
        </w:rPr>
        <w:t>.</w:t>
      </w:r>
      <w:r>
        <w:rPr>
          <w:rFonts w:ascii="Times New Roman" w:hAnsi="Times New Roman"/>
          <w:noProof/>
          <w:sz w:val="24"/>
        </w:rPr>
        <w:t xml:space="preserve"> Едновременно с това Комисията прие четвърта препоръка в рамките на своята уредба за укрепване на принципите на правовата държава, като прикани полските органи да отстранят установените проблеми в срок от три месеца. Комисията също така реши да предяви иск пред Съда на ЕС срещу Полша за нарушения на правото на ЕС във връзка със закона за организацията на обикновените съдилища. </w:t>
      </w:r>
    </w:p>
    <w:p>
      <w:pPr>
        <w:pStyle w:val="Heading2"/>
        <w:rPr>
          <w:rFonts w:ascii="Times New Roman" w:eastAsia="Cambria" w:hAnsi="Times New Roman" w:cs="Times New Roman"/>
          <w:b w:val="0"/>
          <w:bCs w:val="0"/>
          <w:i/>
          <w:iCs/>
          <w:noProof/>
          <w:color w:val="000000"/>
          <w:sz w:val="28"/>
          <w:szCs w:val="28"/>
          <w:u w:color="000000"/>
          <w:bdr w:val="nil"/>
        </w:rPr>
      </w:pPr>
      <w:r>
        <w:rPr>
          <w:rFonts w:ascii="Times New Roman" w:hAnsi="Times New Roman"/>
          <w:i/>
          <w:noProof/>
          <w:color w:val="000000"/>
          <w:sz w:val="28"/>
          <w:u w:color="000000"/>
          <w:bdr w:val="nil"/>
        </w:rPr>
        <w:t>3.2 Насоки на Съда на ЕС за държавите членки</w:t>
      </w:r>
    </w:p>
    <w:p>
      <w:pPr>
        <w:spacing w:before="100" w:beforeAutospacing="1" w:after="100" w:afterAutospacing="1"/>
        <w:jc w:val="both"/>
        <w:rPr>
          <w:rFonts w:ascii="Times New Roman" w:eastAsia="Calibri" w:hAnsi="Times New Roman" w:cs="Times New Roman"/>
          <w:noProof/>
          <w:sz w:val="24"/>
          <w:szCs w:val="24"/>
          <w:u w:color="000000"/>
          <w:bdr w:val="nil"/>
        </w:rPr>
      </w:pPr>
      <w:r>
        <w:rPr>
          <w:rFonts w:ascii="Times New Roman" w:hAnsi="Times New Roman"/>
          <w:noProof/>
          <w:color w:val="000000"/>
          <w:sz w:val="24"/>
          <w:u w:color="000000"/>
          <w:bdr w:val="nil"/>
        </w:rPr>
        <w:t xml:space="preserve">В решенията по делата </w:t>
      </w:r>
      <w:r>
        <w:rPr>
          <w:rFonts w:ascii="Times New Roman" w:hAnsi="Times New Roman"/>
          <w:b/>
          <w:i/>
          <w:noProof/>
          <w:color w:val="000000"/>
          <w:sz w:val="24"/>
          <w:u w:color="000000"/>
          <w:bdr w:val="nil"/>
        </w:rPr>
        <w:t>Achbita</w:t>
      </w:r>
      <w:r>
        <w:rPr>
          <w:rStyle w:val="FootnoteReference"/>
          <w:rFonts w:ascii="Times New Roman" w:hAnsi="Times New Roman"/>
          <w:b/>
          <w:i/>
          <w:noProof/>
          <w:color w:val="000000"/>
          <w:sz w:val="24"/>
          <w:u w:color="000000"/>
          <w:bdr w:val="nil"/>
        </w:rPr>
        <w:footnoteReference w:id="56"/>
      </w:r>
      <w:r>
        <w:rPr>
          <w:rFonts w:ascii="Times New Roman" w:hAnsi="Times New Roman"/>
          <w:noProof/>
          <w:color w:val="000000"/>
          <w:sz w:val="24"/>
          <w:u w:color="000000"/>
          <w:bdr w:val="nil"/>
        </w:rPr>
        <w:t xml:space="preserve"> и </w:t>
      </w:r>
      <w:r>
        <w:rPr>
          <w:rFonts w:ascii="Times New Roman" w:hAnsi="Times New Roman"/>
          <w:b/>
          <w:i/>
          <w:noProof/>
          <w:color w:val="000000"/>
          <w:sz w:val="24"/>
          <w:u w:color="000000"/>
          <w:bdr w:val="nil"/>
        </w:rPr>
        <w:t>Bougnaoui</w:t>
      </w:r>
      <w:r>
        <w:rPr>
          <w:rStyle w:val="FootnoteReference"/>
          <w:rFonts w:ascii="Times New Roman" w:hAnsi="Times New Roman"/>
          <w:b/>
          <w:noProof/>
          <w:sz w:val="24"/>
        </w:rPr>
        <w:footnoteReference w:id="57"/>
      </w:r>
      <w:r>
        <w:rPr>
          <w:rFonts w:ascii="Times New Roman" w:hAnsi="Times New Roman"/>
          <w:noProof/>
          <w:color w:val="000000"/>
          <w:sz w:val="24"/>
          <w:u w:color="000000"/>
          <w:bdr w:val="nil"/>
        </w:rPr>
        <w:t xml:space="preserve"> Съдът на ЕС изясни тълкуването на разпоредбите на Директивата за равно третиране в областта на заетостта (2000/78/ЕО) с оглед на баланса, който трябва да се намери между свободата на религията или убежденията (член 10), свободата на стопанската инициатива (член 16) и принципа на недискриминация (член 21). И двете дела се отнасяха до </w:t>
      </w:r>
      <w:r>
        <w:rPr>
          <w:rFonts w:ascii="Times New Roman" w:hAnsi="Times New Roman"/>
          <w:b/>
          <w:noProof/>
          <w:color w:val="000000"/>
          <w:sz w:val="24"/>
          <w:u w:color="000000"/>
          <w:bdr w:val="nil"/>
        </w:rPr>
        <w:t>забраната да се носи ислямска забрадка на работно място в частно дружество</w:t>
      </w:r>
      <w:r>
        <w:rPr>
          <w:rFonts w:ascii="Times New Roman" w:hAnsi="Times New Roman"/>
          <w:noProof/>
          <w:color w:val="000000"/>
          <w:sz w:val="24"/>
          <w:u w:color="000000"/>
          <w:bdr w:val="nil"/>
        </w:rPr>
        <w:t xml:space="preserve">. По делото </w:t>
      </w:r>
      <w:r>
        <w:rPr>
          <w:rFonts w:ascii="Times New Roman" w:hAnsi="Times New Roman"/>
          <w:i/>
          <w:noProof/>
          <w:color w:val="000000"/>
          <w:sz w:val="24"/>
          <w:u w:color="000000"/>
          <w:bdr w:val="nil"/>
        </w:rPr>
        <w:t>Achbita</w:t>
      </w:r>
      <w:r>
        <w:rPr>
          <w:rFonts w:ascii="Times New Roman" w:hAnsi="Times New Roman"/>
          <w:noProof/>
          <w:color w:val="000000"/>
          <w:sz w:val="24"/>
          <w:u w:color="000000"/>
          <w:bdr w:val="nil"/>
        </w:rPr>
        <w:t xml:space="preserve"> Съдът постанови, че вътрешната политика, свързана с видимото носене на политически, философски или религиозни символи, следва да се оценява, като се има предвид свободата на работодателя на стопанска инициатива. Следователно политиката на политическа, философска и религиозна неутралност може да представлява законна цел, която оправдава различното третиране, ако средствата за постигане на целта са подходящи и необходими, в съответствие със съответната съдебна практика на Европейския съд по правата на човека</w:t>
      </w:r>
      <w:r>
        <w:rPr>
          <w:rStyle w:val="FootnoteReference"/>
          <w:rFonts w:ascii="Times New Roman" w:hAnsi="Times New Roman"/>
          <w:noProof/>
          <w:color w:val="000000"/>
          <w:sz w:val="24"/>
          <w:u w:color="000000"/>
          <w:bdr w:val="nil"/>
        </w:rPr>
        <w:footnoteReference w:id="58"/>
      </w:r>
      <w:r>
        <w:rPr>
          <w:rFonts w:ascii="Times New Roman" w:hAnsi="Times New Roman"/>
          <w:noProof/>
          <w:color w:val="000000"/>
          <w:sz w:val="24"/>
          <w:u w:color="000000"/>
          <w:bdr w:val="nil"/>
        </w:rPr>
        <w:t xml:space="preserve">. </w:t>
      </w:r>
      <w:r>
        <w:rPr>
          <w:rFonts w:ascii="Times New Roman" w:hAnsi="Times New Roman"/>
          <w:noProof/>
          <w:sz w:val="24"/>
          <w:u w:color="000000"/>
          <w:bdr w:val="nil"/>
        </w:rPr>
        <w:t xml:space="preserve">В решението по делото </w:t>
      </w:r>
      <w:r>
        <w:rPr>
          <w:rFonts w:ascii="Times New Roman" w:hAnsi="Times New Roman"/>
          <w:i/>
          <w:noProof/>
          <w:color w:val="000000"/>
          <w:sz w:val="24"/>
          <w:u w:color="000000"/>
          <w:bdr w:val="nil"/>
        </w:rPr>
        <w:t>Bougnaoui</w:t>
      </w:r>
      <w:r>
        <w:rPr>
          <w:rFonts w:ascii="Times New Roman" w:hAnsi="Times New Roman"/>
          <w:noProof/>
          <w:sz w:val="24"/>
          <w:u w:color="000000"/>
          <w:bdr w:val="nil"/>
        </w:rPr>
        <w:t xml:space="preserve"> Съдът допълнително уточни, че при липсата на такава политика волята на работодателя да вземе предвид желанията на клиент предлаганите от работодателя услуги да не бъдат предоставяни от служителка, която носи ислямска забрадка, не може да се счита, че представлява основно и определящо професията изискване</w:t>
      </w:r>
      <w:r>
        <w:rPr>
          <w:rFonts w:ascii="Times New Roman" w:hAnsi="Times New Roman"/>
          <w:noProof/>
          <w:color w:val="000000"/>
          <w:sz w:val="24"/>
          <w:u w:color="000000"/>
          <w:bdr w:val="nil"/>
        </w:rPr>
        <w:t>, което може да изключи дискриминация по смисъла на Директивата за равно третиране в областта на заетостта.</w:t>
      </w: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В решенията по делата </w:t>
      </w:r>
      <w:r>
        <w:rPr>
          <w:rFonts w:ascii="Times New Roman" w:hAnsi="Times New Roman"/>
          <w:b/>
          <w:i/>
          <w:noProof/>
          <w:color w:val="000000"/>
          <w:sz w:val="24"/>
          <w:u w:color="000000"/>
          <w:bdr w:val="nil"/>
        </w:rPr>
        <w:t>M.A.S. и. M.B</w:t>
      </w:r>
      <w:r>
        <w:rPr>
          <w:rStyle w:val="FootnoteReference"/>
          <w:rFonts w:ascii="Times New Roman" w:hAnsi="Times New Roman"/>
          <w:noProof/>
          <w:color w:val="000000"/>
          <w:sz w:val="24"/>
          <w:u w:color="000000"/>
          <w:bdr w:val="nil"/>
        </w:rPr>
        <w:footnoteReference w:id="59"/>
      </w:r>
      <w:r>
        <w:rPr>
          <w:rFonts w:ascii="Times New Roman" w:hAnsi="Times New Roman"/>
          <w:noProof/>
          <w:color w:val="000000"/>
          <w:sz w:val="24"/>
          <w:u w:color="000000"/>
          <w:bdr w:val="nil"/>
        </w:rPr>
        <w:t xml:space="preserve"> Съдът предостави допълнително пояснение относно задължението за националните съдилища да не прилагат националните правила за давностните срокове, ако те водят до ситуация, при която лица, обвинени в тежки измами с данък върху добавената стойност (ДДС), могат да избегнат присъда</w:t>
      </w:r>
      <w:r>
        <w:rPr>
          <w:rStyle w:val="FootnoteReference"/>
          <w:rFonts w:ascii="Times New Roman" w:hAnsi="Times New Roman"/>
          <w:noProof/>
          <w:color w:val="000000"/>
          <w:sz w:val="24"/>
          <w:u w:color="000000"/>
          <w:bdr w:val="nil"/>
        </w:rPr>
        <w:footnoteReference w:id="60"/>
      </w:r>
      <w:r>
        <w:rPr>
          <w:rFonts w:ascii="Times New Roman" w:hAnsi="Times New Roman"/>
          <w:noProof/>
          <w:color w:val="000000"/>
          <w:sz w:val="24"/>
          <w:u w:color="000000"/>
          <w:bdr w:val="nil"/>
        </w:rPr>
        <w:t>. Съдът постанови, че задължението за борба с измамите и всякакви други незаконни дейности, засягащи финансовите интереси на ЕС, никога не може да противоречи на принципа на Хартата на законоустановеност на престъпленията и наказанията, който изисква наказателните разпоредби да бъдат точно определени и да не могат да имат обратно действие.</w:t>
      </w: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p>
    <w:p>
      <w:pPr>
        <w:pBdr>
          <w:top w:val="nil"/>
          <w:left w:val="nil"/>
          <w:bottom w:val="nil"/>
          <w:right w:val="nil"/>
          <w:between w:val="nil"/>
          <w:bar w:val="nil"/>
        </w:pBdr>
        <w:spacing w:after="120"/>
        <w:contextualSpacing/>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В решението по делото </w:t>
      </w:r>
      <w:r>
        <w:rPr>
          <w:rFonts w:ascii="Times New Roman" w:hAnsi="Times New Roman"/>
          <w:b/>
          <w:i/>
          <w:noProof/>
          <w:color w:val="000000"/>
          <w:sz w:val="24"/>
          <w:u w:color="000000"/>
          <w:bdr w:val="nil"/>
        </w:rPr>
        <w:t>Soufiane El Hassani/Minister Spraw Zagranicznych</w:t>
      </w:r>
      <w:r>
        <w:rPr>
          <w:rFonts w:ascii="Times New Roman" w:hAnsi="Times New Roman"/>
          <w:noProof/>
          <w:color w:val="000000"/>
          <w:sz w:val="24"/>
          <w:u w:color="000000"/>
          <w:bdr w:val="nil"/>
          <w:vertAlign w:val="superscript"/>
        </w:rPr>
        <w:footnoteReference w:id="61"/>
      </w:r>
      <w:r>
        <w:rPr>
          <w:rFonts w:ascii="Times New Roman" w:hAnsi="Times New Roman"/>
          <w:noProof/>
          <w:color w:val="000000"/>
          <w:sz w:val="24"/>
          <w:u w:color="000000"/>
          <w:bdr w:val="nil"/>
        </w:rPr>
        <w:t xml:space="preserve"> Съдът постанови, че член 47 от Хартата (право на ефективни правни средства за защита) задължава държавите членки на някакъв етап от производството да осигурят възможност за отнасяне до съд на делото, свързано с окончателно решение за отказ за издаване на виза.</w:t>
      </w:r>
    </w:p>
    <w:p>
      <w:pPr>
        <w:pStyle w:val="Heading2"/>
        <w:rPr>
          <w:rFonts w:ascii="Times New Roman" w:eastAsia="Cambria" w:hAnsi="Times New Roman" w:cs="Times New Roman"/>
          <w:b w:val="0"/>
          <w:bCs w:val="0"/>
          <w:i/>
          <w:iCs/>
          <w:noProof/>
          <w:color w:val="000000"/>
          <w:sz w:val="28"/>
          <w:szCs w:val="28"/>
          <w:u w:color="000000"/>
          <w:bdr w:val="nil"/>
        </w:rPr>
      </w:pPr>
      <w:r>
        <w:rPr>
          <w:rFonts w:ascii="Times New Roman" w:hAnsi="Times New Roman"/>
          <w:i/>
          <w:noProof/>
          <w:color w:val="000000"/>
          <w:sz w:val="28"/>
          <w:u w:color="000000"/>
          <w:bdr w:val="nil"/>
        </w:rPr>
        <w:t>3.3. Национална съдебна практика, в която се цитира Хартата</w:t>
      </w:r>
    </w:p>
    <w:p>
      <w:pPr>
        <w:pBdr>
          <w:top w:val="nil"/>
          <w:left w:val="nil"/>
          <w:bottom w:val="nil"/>
          <w:right w:val="nil"/>
          <w:between w:val="nil"/>
          <w:bar w:val="nil"/>
        </w:pBdr>
        <w:spacing w:before="100" w:beforeAutospacing="1" w:after="100" w:afterAutospacing="1"/>
        <w:jc w:val="both"/>
        <w:rPr>
          <w:rFonts w:ascii="Times New Roman" w:hAnsi="Times New Roman"/>
          <w:noProof/>
          <w:color w:val="000000"/>
          <w:sz w:val="24"/>
          <w:u w:color="000000"/>
          <w:bdr w:val="nil"/>
        </w:rPr>
      </w:pPr>
      <w:r>
        <w:rPr>
          <w:rFonts w:ascii="Times New Roman" w:hAnsi="Times New Roman"/>
          <w:noProof/>
          <w:color w:val="000000"/>
          <w:sz w:val="24"/>
          <w:u w:color="000000"/>
          <w:bdr w:val="nil"/>
        </w:rPr>
        <w:t>Националните съдии играят ключова роля за отстояването на основните права и принципите на правовата държава. Агенцията на ЕС за основните права установи, че през 2017 г. националните съдилища са продължили да се обръщат към Хартата за насоки и вдъхновение. дори в значителен брой случаи, които попадат извън обхвата на правото на ЕС</w:t>
      </w:r>
      <w:r>
        <w:rPr>
          <w:rFonts w:ascii="Times New Roman" w:hAnsi="Times New Roman"/>
          <w:noProof/>
          <w:color w:val="000000"/>
          <w:sz w:val="24"/>
          <w:u w:color="000000"/>
          <w:bdr w:val="nil"/>
          <w:vertAlign w:val="superscript"/>
        </w:rPr>
        <w:footnoteReference w:id="62"/>
      </w:r>
      <w:r>
        <w:rPr>
          <w:rFonts w:ascii="Times New Roman" w:hAnsi="Times New Roman"/>
          <w:noProof/>
          <w:color w:val="000000"/>
          <w:sz w:val="24"/>
          <w:u w:color="000000"/>
          <w:bdr w:val="nil"/>
        </w:rPr>
        <w:t>.</w:t>
      </w:r>
    </w:p>
    <w:p>
      <w:pPr>
        <w:pBdr>
          <w:top w:val="nil"/>
          <w:left w:val="nil"/>
          <w:bottom w:val="nil"/>
          <w:right w:val="nil"/>
          <w:between w:val="nil"/>
          <w:bar w:val="nil"/>
        </w:pBdr>
        <w:spacing w:before="100" w:beforeAutospacing="1" w:after="100" w:afterAutospacing="1"/>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 xml:space="preserve">Хартата например послужи като параметър за оценяване на законодателството на държавите членки, чрез което се прилага правото на ЕС, в две дела, свързани със защитата на данните. Финландският административен съд оцени съвместимостта на </w:t>
      </w:r>
      <w:r>
        <w:rPr>
          <w:rFonts w:ascii="Times New Roman" w:hAnsi="Times New Roman"/>
          <w:i/>
          <w:noProof/>
          <w:color w:val="000000"/>
          <w:sz w:val="24"/>
          <w:u w:color="000000"/>
          <w:bdr w:val="nil"/>
        </w:rPr>
        <w:t xml:space="preserve">Закона за личните данни </w:t>
      </w:r>
      <w:r>
        <w:rPr>
          <w:rFonts w:ascii="Times New Roman" w:hAnsi="Times New Roman"/>
          <w:noProof/>
          <w:color w:val="000000"/>
          <w:sz w:val="24"/>
          <w:u w:color="000000"/>
          <w:bdr w:val="nil"/>
        </w:rPr>
        <w:t>от 1999 г. с Хартата по дело относно съхранението на данни за дактилоскопични отпечатъци в паспортния регистър. Той установи, че ограниченията на правото на зачитане на личния живот и на защитата на личните данни са точни и определени достатъчно подробно и следователно не противоречат на Хартата</w:t>
      </w:r>
      <w:r>
        <w:rPr>
          <w:rStyle w:val="FootnoteReference"/>
          <w:noProof/>
        </w:rPr>
        <w:footnoteReference w:id="63"/>
      </w:r>
      <w:r>
        <w:rPr>
          <w:rFonts w:ascii="Times New Roman" w:hAnsi="Times New Roman"/>
          <w:noProof/>
          <w:color w:val="000000"/>
          <w:sz w:val="24"/>
          <w:u w:color="000000"/>
          <w:bdr w:val="nil"/>
        </w:rPr>
        <w:t xml:space="preserve">. Върховният административен съд в Германия оцени съвместимостта с Хартата на германския </w:t>
      </w:r>
      <w:r>
        <w:rPr>
          <w:rFonts w:ascii="Times New Roman" w:hAnsi="Times New Roman"/>
          <w:i/>
          <w:noProof/>
          <w:color w:val="000000"/>
          <w:sz w:val="24"/>
          <w:u w:color="000000"/>
          <w:bdr w:val="nil"/>
        </w:rPr>
        <w:t>Закон за далекосъобщенията</w:t>
      </w:r>
      <w:r>
        <w:rPr>
          <w:rFonts w:ascii="Times New Roman" w:hAnsi="Times New Roman"/>
          <w:noProof/>
          <w:color w:val="000000"/>
          <w:sz w:val="24"/>
          <w:u w:color="000000"/>
          <w:bdr w:val="nil"/>
        </w:rPr>
        <w:t>, с който се прилага Директива 2002/58/ЕО за правото на неприкосновеност на личния живот и електронни комуникации. Съдът установи, че ограничаването на свободата на стопанската инициатива (член 16) е било неоснователно и следователно несъвместимо с Хартата</w:t>
      </w:r>
      <w:r>
        <w:rPr>
          <w:rStyle w:val="FootnoteReference"/>
          <w:noProof/>
        </w:rPr>
        <w:footnoteReference w:id="64"/>
      </w:r>
      <w:r>
        <w:rPr>
          <w:rFonts w:ascii="Times New Roman" w:hAnsi="Times New Roman"/>
          <w:noProof/>
          <w:color w:val="000000"/>
          <w:sz w:val="24"/>
          <w:u w:color="000000"/>
          <w:bdr w:val="nil"/>
        </w:rPr>
        <w:t>.</w:t>
      </w:r>
    </w:p>
    <w:p>
      <w:pPr>
        <w:pBdr>
          <w:top w:val="nil"/>
          <w:left w:val="nil"/>
          <w:bottom w:val="nil"/>
          <w:right w:val="nil"/>
          <w:between w:val="nil"/>
          <w:bar w:val="nil"/>
        </w:pBdr>
        <w:spacing w:before="100" w:beforeAutospacing="1" w:after="100" w:afterAutospacing="1"/>
        <w:jc w:val="both"/>
        <w:rPr>
          <w:rFonts w:ascii="Times New Roman" w:eastAsia="Calibri" w:hAnsi="Times New Roman" w:cs="Times New Roman"/>
          <w:noProof/>
          <w:color w:val="000000"/>
          <w:sz w:val="24"/>
          <w:szCs w:val="24"/>
          <w:u w:color="000000"/>
          <w:bdr w:val="nil"/>
        </w:rPr>
      </w:pPr>
      <w:r>
        <w:rPr>
          <w:rFonts w:ascii="Times New Roman" w:hAnsi="Times New Roman"/>
          <w:noProof/>
          <w:color w:val="000000"/>
          <w:sz w:val="24"/>
          <w:u w:color="000000"/>
          <w:bdr w:val="nil"/>
        </w:rPr>
        <w:t>Извън обхвата на прилагането на правото на ЕС съдилищата са използвали Хартата за засилване на защитата, предоставена от националните конституции. По-специално, в дело относно нарушаване на правото на достойнство (член 1) на дванадесетгодишно момче поради физическа проверка, извършена от охранител, Конституционният съд на Хърватия поясни, че с присъединяването си към Европейския съюз Република Хърватия е приела съдържанието на Хартата, включително дял I относно достойнството. Следователно човешкото достойнство е станало част от списъка с правата на човека в хърватската конституция</w:t>
      </w:r>
      <w:r>
        <w:rPr>
          <w:rStyle w:val="FootnoteReference"/>
          <w:noProof/>
        </w:rPr>
        <w:footnoteReference w:id="65"/>
      </w:r>
      <w:r>
        <w:rPr>
          <w:rFonts w:ascii="Times New Roman" w:hAnsi="Times New Roman"/>
          <w:noProof/>
          <w:color w:val="000000"/>
          <w:sz w:val="24"/>
          <w:u w:color="000000"/>
          <w:bdr w:val="nil"/>
        </w:rPr>
        <w:t xml:space="preserve">. В България Конституционният съд се позова на Хартата в контекста на конституционния преглед на разпоредба от </w:t>
      </w:r>
      <w:r>
        <w:rPr>
          <w:rFonts w:ascii="Times New Roman" w:hAnsi="Times New Roman"/>
          <w:i/>
          <w:noProof/>
          <w:color w:val="000000"/>
          <w:sz w:val="24"/>
          <w:u w:color="000000"/>
          <w:bdr w:val="nil"/>
        </w:rPr>
        <w:t>Закона за съдебната власт</w:t>
      </w:r>
      <w:r>
        <w:rPr>
          <w:rFonts w:ascii="Times New Roman" w:hAnsi="Times New Roman"/>
          <w:noProof/>
          <w:color w:val="000000"/>
          <w:sz w:val="24"/>
          <w:u w:color="000000"/>
          <w:bdr w:val="nil"/>
        </w:rPr>
        <w:t>, която забранява на съдиите и прокурорите да подадат оставка, когато все още предстои дисциплинарно производство. Съдът стигна до заключението, че разпоредбата е нарушила българската конституция, и също така се позова на член 15 от Хартата относно правото на труд, съгласно който „всеки има право да работи и да упражнява свободно избрана или приета професия“</w:t>
      </w:r>
      <w:r>
        <w:rPr>
          <w:rStyle w:val="FootnoteReference"/>
          <w:noProof/>
        </w:rPr>
        <w:footnoteReference w:id="66"/>
      </w:r>
      <w:r>
        <w:rPr>
          <w:rFonts w:ascii="Times New Roman" w:hAnsi="Times New Roman"/>
          <w:noProof/>
          <w:color w:val="000000"/>
          <w:sz w:val="24"/>
          <w:u w:color="000000"/>
          <w:bdr w:val="nil"/>
        </w:rPr>
        <w:t>.</w:t>
      </w:r>
    </w:p>
    <w:p>
      <w:pPr>
        <w:pStyle w:val="Heading1"/>
        <w:spacing w:before="240"/>
        <w:rPr>
          <w:noProof/>
        </w:rPr>
      </w:pPr>
      <w:r>
        <w:rPr>
          <w:noProof/>
        </w:rPr>
        <w:t>4. Раздел „На фокус“: Годишен колоквиум от 2017 г. за основните права „Правата на жените под прицел“</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Годишният колоквиум е единствено по рода си пространство за диалог между създателите на политики и гражданското общество с цел засилване на сътрудничеството и ангажираността за защитата и насърчаването на основните права в ЕС. На третия годишен колоквиум, проведен на 20—21 ноември 2017 г., беше разгледана темата за правата на жените в бурни времена</w:t>
      </w:r>
      <w:r>
        <w:rPr>
          <w:rStyle w:val="FootnoteReference"/>
          <w:noProof/>
        </w:rPr>
        <w:footnoteReference w:id="67"/>
      </w:r>
      <w:r>
        <w:rPr>
          <w:rFonts w:ascii="Times New Roman" w:hAnsi="Times New Roman"/>
          <w:noProof/>
          <w:sz w:val="24"/>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Участниците обсъдиха риска от приемане на женомразството за нещо нормално в обществото и въздействието му върху основните права на жените във всички сфери на живота. Те подчертаха, че въпреки че заплахите за правата на жените и равенството между половете напоследък са били много явни в обществения дискурс, такива са били и отговорите (напр. маршовете на жени и онлайн движението #metoo). Също така бяха подчертани ролята на местните участници в защитата на правата на жените и ролята на мъжете в движението за правата на жените.</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Втората тема на дискусията бяха основните пречки пред равенството между половете при икономическите възможности и политическото участие. Участниците подчертаха факта, че от ранна възраст трябва да се разрушават стереотипите, свързани с пола, с цел ефективно преодоляване на слабото представяне на жените на работното място, вземането на решения и политиката. От националните и европейските политически партии беше поискано да се ангажират с последователното включване на жените в партийните списъци, например чрез по-голяма прозрачност при подбора на кандидати и женски партийни организационни събрания. Участниците също така призоваха за по-голяма прозрачност на заплащането и за премахване на хоризонталната и вертикалната сегрегация на пазара на труда.</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Участниците разгледаха и „културата на насилие“ в обществото и връзките между насилието срещу жени и други форми на насилие, включително в контекста на популистки и екстремистки движения. Те подчертаха необходимостта страхът и срамът да се пренасочат от жертвите на насилие, основано на пола, към извършителите и да се предизвика културна промяна, така че насилието и тормозът да се считат за неприемливи.</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Присъединяването на ЕС към Конвенцията на Съвета на Европа за превенция и борба с насилието над жените и домашното насилие (Истанбулската конвенция)</w:t>
      </w:r>
      <w:r>
        <w:rPr>
          <w:rStyle w:val="FootnoteReference"/>
          <w:noProof/>
        </w:rPr>
        <w:footnoteReference w:id="68"/>
      </w:r>
      <w:r>
        <w:rPr>
          <w:rFonts w:ascii="Times New Roman" w:hAnsi="Times New Roman"/>
          <w:noProof/>
          <w:sz w:val="24"/>
        </w:rPr>
        <w:t xml:space="preserve"> беше счетено за силно послание. В момента се работи за на бързото ратифициране от страна на ЕС. В края на 2017 г. всички държави — членки на ЕС, са подписали Истанбулската конвенция и 17 държави членки</w:t>
      </w:r>
      <w:r>
        <w:rPr>
          <w:rStyle w:val="FootnoteReference"/>
          <w:noProof/>
        </w:rPr>
        <w:footnoteReference w:id="69"/>
      </w:r>
      <w:r>
        <w:rPr>
          <w:rFonts w:ascii="Times New Roman" w:hAnsi="Times New Roman"/>
          <w:noProof/>
          <w:sz w:val="24"/>
        </w:rPr>
        <w:t xml:space="preserve"> са я ратифицирали.</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По време на сесиите участниците подчертаха, че различните основания за дискриминация (като пол, раса, имиграционен статут и увреждане) имат пресечни точки, което следва да бъде взето предвид от създателите на политики. При обсъждането бяха взети предвид резултатите от </w:t>
      </w:r>
      <w:hyperlink r:id="rId19">
        <w:r>
          <w:rPr>
            <w:rStyle w:val="Hyperlink"/>
            <w:rFonts w:ascii="Times New Roman" w:hAnsi="Times New Roman"/>
            <w:noProof/>
            <w:sz w:val="24"/>
            <w:u w:val="none"/>
          </w:rPr>
          <w:t>специално проучване Евробарометър относно равенството между половете</w:t>
        </w:r>
      </w:hyperlink>
      <w:r>
        <w:rPr>
          <w:rStyle w:val="FootnoteReference"/>
          <w:noProof/>
        </w:rPr>
        <w:footnoteReference w:id="70"/>
      </w:r>
      <w:r>
        <w:rPr>
          <w:rFonts w:ascii="Times New Roman" w:hAnsi="Times New Roman"/>
          <w:noProof/>
          <w:sz w:val="24"/>
        </w:rPr>
        <w:t>.</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Заключенията от колоквиума бяха публикувани на 8 март 2018 г.</w:t>
      </w:r>
      <w:r>
        <w:rPr>
          <w:rStyle w:val="FootnoteReference"/>
          <w:rFonts w:ascii="Times New Roman" w:hAnsi="Times New Roman"/>
          <w:noProof/>
          <w:sz w:val="24"/>
        </w:rPr>
        <w:footnoteReference w:id="71"/>
      </w:r>
      <w:r>
        <w:rPr>
          <w:rFonts w:ascii="Times New Roman" w:hAnsi="Times New Roman"/>
          <w:noProof/>
          <w:sz w:val="24"/>
        </w:rPr>
        <w:t xml:space="preserve"> Комисията се ангажира с редица действия, вариращи от включването на правата на жените и равенството между половете в дневния ред на най-високо политическо равнище, например по време на всяко заседание на проектния екип на Комисията по устойчиво развитие, до финансирането на проекти по места по програмата „Права, равенство и гражданство“.</w:t>
      </w:r>
    </w:p>
    <w:p>
      <w:pPr>
        <w:keepNext/>
        <w:pBdr>
          <w:top w:val="nil"/>
          <w:left w:val="nil"/>
          <w:bottom w:val="nil"/>
          <w:right w:val="nil"/>
          <w:between w:val="nil"/>
          <w:bar w:val="nil"/>
        </w:pBdr>
        <w:spacing w:before="240" w:after="120"/>
        <w:contextualSpacing/>
        <w:jc w:val="both"/>
        <w:outlineLvl w:val="0"/>
        <w:rPr>
          <w:rFonts w:ascii="Times New Roman" w:eastAsia="Cambria" w:hAnsi="Cambria" w:cs="Cambria"/>
          <w:b/>
          <w:bCs/>
          <w:noProof/>
          <w:color w:val="000000"/>
          <w:kern w:val="32"/>
          <w:sz w:val="32"/>
          <w:szCs w:val="32"/>
          <w:u w:color="000000"/>
          <w:bdr w:val="nil"/>
        </w:rPr>
      </w:pPr>
      <w:r>
        <w:rPr>
          <w:rFonts w:ascii="Times New Roman" w:hAnsi="Cambria"/>
          <w:b/>
          <w:noProof/>
          <w:color w:val="000000"/>
          <w:kern w:val="32"/>
          <w:sz w:val="32"/>
          <w:u w:color="000000"/>
          <w:bdr w:val="nil"/>
        </w:rPr>
        <w:t xml:space="preserve">5. </w:t>
      </w:r>
      <w:r>
        <w:rPr>
          <w:rFonts w:ascii="Times New Roman" w:hAnsi="Cambria"/>
          <w:b/>
          <w:noProof/>
          <w:color w:val="000000"/>
          <w:kern w:val="32"/>
          <w:sz w:val="32"/>
          <w:u w:color="000000"/>
          <w:bdr w:val="nil"/>
        </w:rPr>
        <w:t>Заключение</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Тази година, през която се отбелязва 70-ата годишнина от приемането на Всеобщата декларация на ООН за правата на човека, Комисията ще продължи да полага усилия за защита и насърчаване на основните права. Тя е решена, включително в контекста на бъдещата финансова рамка за Съюза, да продължи да подкрепя общите ценности.</w:t>
      </w:r>
    </w:p>
    <w:p>
      <w:pPr>
        <w:spacing w:before="100" w:beforeAutospacing="1" w:after="100" w:afterAutospacing="1"/>
        <w:jc w:val="both"/>
        <w:rPr>
          <w:rFonts w:ascii="Times New Roman" w:hAnsi="Times New Roman" w:cs="Times New Roman"/>
          <w:noProof/>
          <w:sz w:val="24"/>
          <w:szCs w:val="24"/>
        </w:rPr>
      </w:pPr>
      <w:r>
        <w:rPr>
          <w:rFonts w:ascii="Times New Roman" w:hAnsi="Times New Roman"/>
          <w:noProof/>
          <w:sz w:val="24"/>
        </w:rPr>
        <w:t xml:space="preserve">На своя колоквиум по въпросите на основните права през 2018 г. тя ще постави акцента върху демокрацията, което е възможност отново да се потвърди една от основните ценности на ЕС в хода на подготовката за европейските избори. Широкото участие и представителство, надеждната и прозрачна информация, включително в цифровия свят, и свободното и активно гражданско общество са основните компоненти за приобщаващи и здрави демократични общества. Тези въпроси ще бъдат в центъра на дискусиите по време на колоквиума. </w:t>
      </w:r>
    </w:p>
    <w:p>
      <w:pPr>
        <w:spacing w:before="100" w:beforeAutospacing="1" w:after="100" w:afterAutospacing="1"/>
        <w:jc w:val="both"/>
        <w:rPr>
          <w:rFonts w:ascii="Times New Roman" w:hAnsi="Times New Roman" w:cs="Times New Roman"/>
          <w:noProof/>
          <w:sz w:val="24"/>
          <w:szCs w:val="24"/>
        </w:rPr>
      </w:pPr>
    </w:p>
    <w:sectPr>
      <w:headerReference w:type="even" r:id="rId20"/>
      <w:headerReference w:type="default" r:id="rId21"/>
      <w:footerReference w:type="even" r:id="rId22"/>
      <w:footerReference w:type="default" r:id="rId23"/>
      <w:headerReference w:type="first" r:id="rId24"/>
      <w:footerReference w:type="first" r:id="rId25"/>
      <w:pgSz w:w="11907" w:h="16839" w:code="9"/>
      <w:pgMar w:top="1418" w:right="1418" w:bottom="1418" w:left="1418"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p/>
  </w:endnote>
  <w:endnote w:type="continuationSeparator" w:id="0">
    <w:p>
      <w:pPr>
        <w:spacing w:after="0" w:line="240" w:lineRule="auto"/>
      </w:pPr>
      <w:r>
        <w:continuationSeparator/>
      </w:r>
    </w:p>
    <w:p/>
  </w:endnote>
  <w:endnote w:type="continuationNotice" w:id="1">
    <w:p>
      <w:pPr>
        <w:spacing w:after="0" w:line="240" w:lineRule="auto"/>
      </w:pP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EC Square Sans Pro Medium">
    <w:charset w:val="00"/>
    <w:family w:val="swiss"/>
    <w:pitch w:val="variable"/>
    <w:sig w:usb0="A00002BF" w:usb1="5000E0FB"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BG</w:t>
    </w:r>
    <w:r>
      <w:rPr>
        <w:rFonts w:ascii="Arial" w:hAnsi="Arial" w:cs="Arial"/>
        <w:b/>
        <w:sz w:val="48"/>
      </w:rPr>
      <w:tab/>
    </w:r>
    <w:r>
      <w:rPr>
        <w:rFonts w:ascii="Arial" w:hAnsi="Arial" w:cs="Arial"/>
        <w:b/>
        <w:sz w:val="48"/>
      </w:rPr>
      <w:tab/>
    </w:r>
    <w:r>
      <w:tab/>
    </w:r>
    <w:r>
      <w:rPr>
        <w:rFonts w:ascii="Arial" w:hAnsi="Arial" w:cs="Arial"/>
        <w:b/>
        <w:sz w:val="48"/>
      </w:rPr>
      <w:t>BG</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403690"/>
      <w:docPartObj>
        <w:docPartGallery w:val="Page Numbers (Bottom of Page)"/>
        <w:docPartUnique/>
      </w:docPartObj>
    </w:sdtPr>
    <w:sdtContent>
      <w:p>
        <w:pPr>
          <w:pStyle w:val="Footer"/>
          <w:jc w:val="right"/>
        </w:pPr>
        <w:r>
          <w:fldChar w:fldCharType="begin"/>
        </w:r>
        <w:r>
          <w:instrText xml:space="preserve"> PAGE   \* MERGEFORMAT </w:instrText>
        </w:r>
        <w:r>
          <w:fldChar w:fldCharType="separate"/>
        </w:r>
        <w:r>
          <w:rPr>
            <w:noProof/>
          </w:rPr>
          <w:t>1</w:t>
        </w:r>
        <w:r>
          <w:fldChar w:fldCharType="end"/>
        </w:r>
      </w:p>
    </w:sdtContent>
  </w:sdt>
  <w:p>
    <w:pPr>
      <w:pStyle w:val="Footer"/>
    </w:pP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p/>
  </w:footnote>
  <w:footnote w:type="continuationSeparator" w:id="0">
    <w:p>
      <w:pPr>
        <w:spacing w:after="0" w:line="240" w:lineRule="auto"/>
      </w:pPr>
      <w:r>
        <w:continuationSeparator/>
      </w:r>
    </w:p>
    <w:p/>
  </w:footnote>
  <w:footnote w:type="continuationNotice" w:id="1">
    <w:p>
      <w:pPr>
        <w:spacing w:after="0" w:line="240" w:lineRule="auto"/>
      </w:pPr>
    </w:p>
    <w:p/>
  </w:footnote>
  <w:footnote w:id="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
        <w:r>
          <w:rPr>
            <w:rStyle w:val="Hyperlink"/>
            <w:rFonts w:ascii="Times New Roman" w:hAnsi="Times New Roman"/>
          </w:rPr>
          <w:t>http://europa.eu/rapid/press-release_SPEECH-17-3165_bg.htm</w:t>
        </w:r>
      </w:hyperlink>
      <w:r>
        <w:rPr>
          <w:rStyle w:val="Hyperlink"/>
          <w:rFonts w:ascii="Times New Roman" w:hAnsi="Times New Roman"/>
        </w:rPr>
        <w:t>.</w:t>
      </w:r>
    </w:p>
  </w:footnote>
  <w:footnote w:id="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 w:history="1">
        <w:r>
          <w:rPr>
            <w:rStyle w:val="Hyperlink"/>
            <w:rFonts w:ascii="Times New Roman" w:hAnsi="Times New Roman"/>
          </w:rPr>
          <w:t>https://ec.europa.eu/commission/priorities/deeper-and-fairer-economic-and-monetary-union/european-pillar-social-rights_bg</w:t>
        </w:r>
      </w:hyperlink>
      <w:r>
        <w:rPr>
          <w:rFonts w:ascii="Times New Roman" w:hAnsi="Times New Roman"/>
        </w:rPr>
        <w:t>.</w:t>
      </w:r>
    </w:p>
  </w:footnote>
  <w:footnote w:id="4">
    <w:p>
      <w:pPr>
        <w:pStyle w:val="FootnoteText"/>
        <w:jc w:val="both"/>
      </w:pPr>
      <w:r>
        <w:rPr>
          <w:rStyle w:val="FootnoteReference"/>
          <w:rFonts w:ascii="Times New Roman" w:hAnsi="Times New Roman"/>
        </w:rPr>
        <w:footnoteRef/>
      </w:r>
      <w:r>
        <w:rPr>
          <w:rFonts w:ascii="Times New Roman" w:hAnsi="Times New Roman"/>
        </w:rPr>
        <w:t xml:space="preserve">COM(2017)835 final на разположение на адрес: </w:t>
      </w:r>
      <w:hyperlink r:id="rId3">
        <w:r>
          <w:rPr>
            <w:rStyle w:val="Hyperlink"/>
            <w:rFonts w:ascii="Times New Roman" w:hAnsi="Times New Roman"/>
          </w:rPr>
          <w:t>http://europa.eu/rapid/press-release_IP-17-5367_en.htm</w:t>
        </w:r>
      </w:hyperlink>
      <w:r>
        <w:rPr>
          <w:rStyle w:val="Hyperlink"/>
          <w:rFonts w:ascii="Times New Roman" w:hAnsi="Times New Roman"/>
        </w:rPr>
        <w:t>.</w:t>
      </w:r>
    </w:p>
  </w:footnote>
  <w:footnote w:id="5">
    <w:p>
      <w:pPr>
        <w:pStyle w:val="FootnoteText"/>
      </w:pPr>
      <w:r>
        <w:rPr>
          <w:rStyle w:val="FootnoteReference"/>
        </w:rPr>
        <w:footnoteRef/>
      </w:r>
      <w:r>
        <w:rPr>
          <w:rFonts w:ascii="Times New Roman" w:hAnsi="Times New Roman"/>
        </w:rPr>
        <w:t>Вж. раздела „На фокус“ в настоящия доклад.</w:t>
      </w:r>
    </w:p>
  </w:footnote>
  <w:footnote w:id="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4">
        <w:r>
          <w:rPr>
            <w:rStyle w:val="Hyperlink"/>
            <w:rFonts w:ascii="Times New Roman" w:hAnsi="Times New Roman"/>
          </w:rPr>
          <w:t>https://ec.europa.eu/commission/priorities/deeper-and-fairer-economic-and-monetary-union/</w:t>
        </w:r>
        <w:r>
          <w:rPr>
            <w:rStyle w:val="Hyperlink"/>
            <w:rFonts w:ascii="Times New Roman" w:hAnsi="Times New Roman" w:cs="Times New Roman"/>
          </w:rPr>
          <w:br/>
        </w:r>
        <w:r>
          <w:rPr>
            <w:rStyle w:val="Hyperlink"/>
            <w:rFonts w:ascii="Times New Roman" w:hAnsi="Times New Roman"/>
          </w:rPr>
          <w:t>european-pillar-social-rights_bg</w:t>
        </w:r>
      </w:hyperlink>
      <w:r>
        <w:rPr>
          <w:rStyle w:val="Hyperlink"/>
          <w:rFonts w:ascii="Times New Roman" w:hAnsi="Times New Roman"/>
        </w:rPr>
        <w:t xml:space="preserve">. </w:t>
      </w:r>
      <w:r>
        <w:rPr>
          <w:rStyle w:val="Hyperlink"/>
          <w:rFonts w:ascii="Times New Roman" w:hAnsi="Times New Roman"/>
          <w:u w:val="none"/>
        </w:rPr>
        <w:t>Източниците на данни са на разположение на адрес:</w:t>
      </w:r>
      <w:r>
        <w:rPr>
          <w:rStyle w:val="Hyperlink"/>
          <w:rFonts w:ascii="Times New Roman" w:hAnsi="Times New Roman"/>
        </w:rPr>
        <w:t xml:space="preserve"> </w:t>
      </w:r>
      <w:hyperlink r:id="rId5" w:history="1">
        <w:r>
          <w:rPr>
            <w:rStyle w:val="Hyperlink"/>
            <w:rFonts w:ascii="Times New Roman" w:hAnsi="Times New Roman"/>
          </w:rPr>
          <w:t>http://ec.europa.eu/eurostat/web/european-pillar-of-social-rights</w:t>
        </w:r>
      </w:hyperlink>
      <w:r>
        <w:rPr>
          <w:rStyle w:val="Hyperlink"/>
          <w:rFonts w:ascii="Times New Roman" w:hAnsi="Times New Roman"/>
        </w:rPr>
        <w:t>.</w:t>
      </w:r>
    </w:p>
  </w:footnote>
  <w:footnote w:id="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6">
        <w:r>
          <w:rPr>
            <w:rStyle w:val="Hyperlink"/>
            <w:rFonts w:ascii="Times New Roman" w:hAnsi="Times New Roman"/>
          </w:rPr>
          <w:t>https://composite-indicators.jrc.ec.europa.eu/social-scoreboard/</w:t>
        </w:r>
      </w:hyperlink>
      <w:r>
        <w:rPr>
          <w:rStyle w:val="Hyperlink"/>
          <w:rFonts w:ascii="Times New Roman" w:hAnsi="Times New Roman"/>
        </w:rPr>
        <w:t>.</w:t>
      </w:r>
    </w:p>
  </w:footnote>
  <w:footnote w:id="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Предложение за Директива на Европейския парламент и на Съвета за прозрачни и предвидими условия на труд в Европейския съюз, COM(2017)0797 final.</w:t>
      </w:r>
    </w:p>
  </w:footnote>
  <w:footnote w:id="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Съобщение на Комисията до Европейския парламент, Съвета, Европейския икономически и социален комитет и Комитета на регионите — Инициатива за подпомагане на равновесието между професионалния и личния живот на родителите и лицата, полагащи грижи, COM(2017)252 final.</w:t>
      </w:r>
    </w:p>
  </w:footnote>
  <w:footnote w:id="10">
    <w:p>
      <w:pPr>
        <w:pStyle w:val="FootnoteText"/>
      </w:pPr>
      <w:r>
        <w:rPr>
          <w:rStyle w:val="FootnoteReference"/>
        </w:rPr>
        <w:footnoteRef/>
      </w:r>
      <w:r>
        <w:rPr>
          <w:rFonts w:ascii="Times New Roman" w:hAnsi="Times New Roman"/>
        </w:rPr>
        <w:t xml:space="preserve">На разположение на адрес: </w:t>
      </w:r>
      <w:r>
        <w:rPr>
          <w:rFonts w:ascii="Times New Roman" w:hAnsi="Times New Roman"/>
          <w:u w:val="single"/>
        </w:rPr>
        <w:t>http://ec.europa.eu/newsroom/just/item-detail.cfm?item_id=607452</w:t>
      </w:r>
      <w:r>
        <w:rPr>
          <w:rFonts w:ascii="Times New Roman" w:hAnsi="Times New Roman"/>
        </w:rPr>
        <w:t>.</w:t>
      </w:r>
    </w:p>
  </w:footnote>
  <w:footnote w:id="1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Предложение за Решение на Съвета относно насоки за политиките за заетост на държавите членки, COM(2017)677 final.</w:t>
      </w:r>
    </w:p>
  </w:footnote>
  <w:footnote w:id="1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COM(2017)211 final.</w:t>
      </w:r>
    </w:p>
  </w:footnote>
  <w:footnote w:id="13">
    <w:p>
      <w:pPr>
        <w:pStyle w:val="FootnoteText"/>
        <w:jc w:val="both"/>
      </w:pPr>
      <w:r>
        <w:rPr>
          <w:rStyle w:val="FootnoteReference"/>
          <w:rFonts w:ascii="Times New Roman" w:hAnsi="Times New Roman"/>
        </w:rPr>
        <w:footnoteRef/>
      </w:r>
      <w:r>
        <w:rPr>
          <w:rFonts w:ascii="Times New Roman" w:hAnsi="Times New Roman"/>
        </w:rPr>
        <w:t xml:space="preserve">На разположение на адрес: </w:t>
      </w:r>
      <w:hyperlink r:id="rId7">
        <w:r>
          <w:rPr>
            <w:rStyle w:val="Hyperlink"/>
            <w:rFonts w:ascii="Times New Roman" w:hAnsi="Times New Roman"/>
          </w:rPr>
          <w:t>http://data.consilium.europa.eu/doc/document/ST-10085-2017-INIT/bg/pdf</w:t>
        </w:r>
      </w:hyperlink>
      <w:r>
        <w:rPr>
          <w:rFonts w:ascii="Times New Roman" w:hAnsi="Times New Roman"/>
        </w:rPr>
        <w:t>.</w:t>
      </w:r>
    </w:p>
  </w:footnote>
  <w:footnote w:id="14">
    <w:p>
      <w:pPr>
        <w:pStyle w:val="FootnoteText"/>
        <w:jc w:val="both"/>
      </w:pPr>
      <w:r>
        <w:rPr>
          <w:rStyle w:val="FootnoteReference"/>
        </w:rPr>
        <w:footnoteRef/>
      </w:r>
      <w:r>
        <w:rPr>
          <w:rFonts w:ascii="Times New Roman" w:hAnsi="Times New Roman"/>
        </w:rPr>
        <w:t xml:space="preserve">COM(2017)728, на разположение на адрес: </w:t>
      </w:r>
      <w:hyperlink r:id="rId8">
        <w:r>
          <w:rPr>
            <w:rStyle w:val="Hyperlink"/>
            <w:rFonts w:ascii="Times New Roman" w:hAnsi="Times New Roman"/>
          </w:rPr>
          <w:t>https://ec.europa.eu/home-affairs/news/trafficking-human-beings-commission-adopts-new-communication-and-commits-new-set-priorities_en</w:t>
        </w:r>
      </w:hyperlink>
      <w:r>
        <w:rPr>
          <w:rStyle w:val="Hyperlink"/>
        </w:rPr>
        <w:t>.</w:t>
      </w:r>
    </w:p>
  </w:footnote>
  <w:footnote w:id="1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Вж. речта за състоянието на Съюза от 2017 г., която е на разположение на адрес: </w:t>
      </w:r>
      <w:hyperlink r:id="rId9">
        <w:r>
          <w:rPr>
            <w:rStyle w:val="Hyperlink"/>
            <w:rFonts w:ascii="Times New Roman" w:hAnsi="Times New Roman"/>
          </w:rPr>
          <w:t>http://europa.eu/rapid/press-release_SPEECH-17-3165_bg.htm</w:t>
        </w:r>
      </w:hyperlink>
      <w:r>
        <w:rPr>
          <w:rStyle w:val="Hyperlink"/>
          <w:rFonts w:ascii="Times New Roman" w:hAnsi="Times New Roman"/>
        </w:rPr>
        <w:t>.</w:t>
      </w:r>
    </w:p>
  </w:footnote>
  <w:footnote w:id="1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0">
        <w:r>
          <w:rPr>
            <w:rStyle w:val="Hyperlink"/>
            <w:rFonts w:ascii="Times New Roman" w:hAnsi="Times New Roman"/>
          </w:rPr>
          <w:t>http://www.europarl.europa.eu/sides/getDoc.do?pubRef=-//EP//TEXT+TA+P8-TA-2017-0272+0+DOC+XML+V0//BG</w:t>
        </w:r>
      </w:hyperlink>
      <w:r>
        <w:rPr>
          <w:rStyle w:val="Hyperlink"/>
          <w:rFonts w:ascii="Times New Roman" w:hAnsi="Times New Roman"/>
        </w:rPr>
        <w:t>.</w:t>
      </w:r>
    </w:p>
  </w:footnote>
  <w:footnote w:id="17">
    <w:p>
      <w:pPr>
        <w:pStyle w:val="FootnoteText"/>
        <w:jc w:val="both"/>
        <w:rPr>
          <w:rStyle w:val="Hyperlink"/>
          <w:rFonts w:ascii="Times New Roman" w:hAnsi="Times New Roman"/>
        </w:rPr>
      </w:pPr>
      <w:r>
        <w:rPr>
          <w:rStyle w:val="FootnoteReference"/>
          <w:rFonts w:ascii="Times New Roman" w:hAnsi="Times New Roman"/>
        </w:rPr>
        <w:footnoteRef/>
      </w:r>
      <w:r>
        <w:rPr>
          <w:rFonts w:ascii="Times New Roman" w:hAnsi="Times New Roman"/>
        </w:rPr>
        <w:t xml:space="preserve">На </w:t>
      </w:r>
      <w:r>
        <w:rPr>
          <w:rStyle w:val="Hyperlink"/>
          <w:rFonts w:ascii="Times New Roman" w:hAnsi="Times New Roman"/>
          <w:u w:val="none"/>
        </w:rPr>
        <w:t>25 април 2018 г. Комисията публикува своето съобщение „Европейски подход за борба с дезинформацията, разпространявана онлайн“ (препратка все още не е налична).</w:t>
      </w:r>
    </w:p>
  </w:footnote>
  <w:footnote w:id="18">
    <w:p>
      <w:pPr>
        <w:pStyle w:val="FootnoteText"/>
        <w:jc w:val="both"/>
        <w:rPr>
          <w:rStyle w:val="Hyperlink"/>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1" w:history="1">
        <w:r>
          <w:rPr>
            <w:rStyle w:val="Hyperlink"/>
            <w:rFonts w:ascii="Times New Roman" w:hAnsi="Times New Roman"/>
          </w:rPr>
          <w:t>http://data.consilium.europa.eu/doc/document/ST-12671-2017-INIT/bg/pdf</w:t>
        </w:r>
      </w:hyperlink>
      <w:r>
        <w:rPr>
          <w:rStyle w:val="Hyperlink"/>
          <w:rFonts w:ascii="Times New Roman" w:hAnsi="Times New Roman"/>
        </w:rPr>
        <w:t>.</w:t>
      </w:r>
    </w:p>
  </w:footnote>
  <w:footnote w:id="19">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Вж. доклада на Агенцията на ЕС за основните права на разположение на: </w:t>
      </w:r>
      <w:hyperlink r:id="rId12" w:history="1">
        <w:r>
          <w:rPr>
            <w:rStyle w:val="Hyperlink"/>
            <w:rFonts w:ascii="Times New Roman" w:hAnsi="Times New Roman"/>
          </w:rPr>
          <w:t>http://fra.europa.eu/en/publication/2018/challenges-facing-civil-society-orgs-human-rights-eu</w:t>
        </w:r>
      </w:hyperlink>
      <w:r>
        <w:rPr>
          <w:rFonts w:ascii="Times New Roman" w:hAnsi="Times New Roman"/>
        </w:rPr>
        <w:t xml:space="preserve">; Вж. становището на Европейския икономически и социален комитет на разположение на: </w:t>
      </w:r>
      <w:hyperlink r:id="rId13" w:history="1">
        <w:r>
          <w:rPr>
            <w:rStyle w:val="Hyperlink"/>
            <w:rFonts w:ascii="Times New Roman" w:hAnsi="Times New Roman"/>
          </w:rPr>
          <w:t>http://www.european-net.org/2017/11/eesc-adopts-opinion-financing-civil-society-organisations/</w:t>
        </w:r>
      </w:hyperlink>
      <w:r>
        <w:rPr>
          <w:rFonts w:ascii="Times New Roman" w:hAnsi="Times New Roman"/>
        </w:rPr>
        <w:t xml:space="preserve">; Вж. доклада на Съвета на Европа на разположение на: </w:t>
      </w:r>
      <w:hyperlink r:id="rId14" w:history="1">
        <w:r>
          <w:rPr>
            <w:rStyle w:val="Hyperlink"/>
            <w:rFonts w:ascii="Times New Roman" w:hAnsi="Times New Roman"/>
          </w:rPr>
          <w:t>https://rm.coe.int/...on...impact-of-current-national-legislation-policies.../168073e81e</w:t>
        </w:r>
      </w:hyperlink>
      <w:r>
        <w:rPr>
          <w:rFonts w:ascii="Times New Roman" w:hAnsi="Times New Roman"/>
        </w:rPr>
        <w:t>.</w:t>
      </w:r>
    </w:p>
  </w:footnote>
  <w:footnote w:id="2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5">
        <w:r>
          <w:rPr>
            <w:rStyle w:val="Hyperlink"/>
            <w:rFonts w:ascii="Times New Roman" w:hAnsi="Times New Roman"/>
          </w:rPr>
          <w:t>http://fra.europa.eu/en/publication/2017/eumidis-ii-main-results</w:t>
        </w:r>
      </w:hyperlink>
      <w:r>
        <w:rPr>
          <w:rFonts w:ascii="Times New Roman" w:hAnsi="Times New Roman"/>
        </w:rPr>
        <w:t>.</w:t>
      </w:r>
    </w:p>
  </w:footnote>
  <w:footnote w:id="2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6">
        <w:r>
          <w:rPr>
            <w:rStyle w:val="Hyperlink"/>
            <w:rFonts w:ascii="Times New Roman" w:hAnsi="Times New Roman"/>
          </w:rPr>
          <w:t>http://ec.europa.eu/newsroom/just/item-detail.cfm?&amp;item_id=51025</w:t>
        </w:r>
      </w:hyperlink>
      <w:r>
        <w:rPr>
          <w:rStyle w:val="Hyperlink"/>
          <w:rFonts w:ascii="Times New Roman" w:hAnsi="Times New Roman"/>
        </w:rPr>
        <w:t>.</w:t>
      </w:r>
    </w:p>
  </w:footnote>
  <w:footnote w:id="22">
    <w:p>
      <w:pPr>
        <w:pStyle w:val="FootnoteText"/>
        <w:jc w:val="both"/>
        <w:rPr>
          <w:rStyle w:val="Hyperlink"/>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17">
        <w:r>
          <w:rPr>
            <w:rStyle w:val="Hyperlink"/>
            <w:rFonts w:ascii="Times New Roman" w:hAnsi="Times New Roman"/>
          </w:rPr>
          <w:t>http://ec.europa.eu/newsroom/just/document.cfm?doc_id=49286</w:t>
        </w:r>
      </w:hyperlink>
      <w:r>
        <w:rPr>
          <w:rFonts w:ascii="Times New Roman" w:hAnsi="Times New Roman"/>
        </w:rPr>
        <w:t xml:space="preserve">; </w:t>
      </w:r>
      <w:hyperlink r:id="rId18" w:history="1">
        <w:r>
          <w:rPr>
            <w:rStyle w:val="Hyperlink"/>
            <w:rFonts w:ascii="Times New Roman" w:hAnsi="Times New Roman"/>
          </w:rPr>
          <w:t>just/item-detail.cfm?item_id=71674</w:t>
        </w:r>
      </w:hyperlink>
    </w:p>
    <w:p>
      <w:pPr>
        <w:pStyle w:val="FootnoteText"/>
        <w:jc w:val="both"/>
        <w:rPr>
          <w:rFonts w:ascii="Times New Roman" w:hAnsi="Times New Roman" w:cs="Times New Roman"/>
        </w:rPr>
      </w:pPr>
      <w:hyperlink r:id="rId19" w:history="1">
        <w:r>
          <w:rPr>
            <w:rStyle w:val="Hyperlink"/>
            <w:rFonts w:ascii="Times New Roman" w:hAnsi="Times New Roman"/>
          </w:rPr>
          <w:t>just/item-detail.cfm?item_id=71674</w:t>
        </w:r>
      </w:hyperlink>
      <w:r>
        <w:rPr>
          <w:rFonts w:ascii="Times New Roman" w:hAnsi="Times New Roman"/>
        </w:rPr>
        <w:t>. Напредъкът беше потвърден при третия мониторинг, публикуван на 19 януари</w:t>
      </w:r>
      <w:r>
        <w:t xml:space="preserve"> </w:t>
      </w:r>
      <w:hyperlink r:id="rId20">
        <w:r>
          <w:rPr>
            <w:rStyle w:val="Hyperlink"/>
            <w:rFonts w:ascii="Times New Roman" w:hAnsi="Times New Roman"/>
          </w:rPr>
          <w:t>http://ec.europa.eu/newsroom/just/item-detail.cfm?item_id=612086</w:t>
        </w:r>
      </w:hyperlink>
    </w:p>
  </w:footnote>
  <w:footnote w:id="23">
    <w:p>
      <w:pPr>
        <w:pStyle w:val="FootnoteText"/>
        <w:jc w:val="both"/>
        <w:rPr>
          <w:rFonts w:ascii="Times New Roman" w:hAnsi="Times New Roman" w:cs="Times New Roman"/>
          <w:b/>
        </w:rPr>
      </w:pPr>
      <w:r>
        <w:rPr>
          <w:rStyle w:val="FootnoteReference"/>
          <w:rFonts w:ascii="Times New Roman" w:hAnsi="Times New Roman"/>
        </w:rPr>
        <w:footnoteRef/>
      </w:r>
      <w:r>
        <w:rPr>
          <w:rFonts w:ascii="Times New Roman" w:hAnsi="Times New Roman"/>
        </w:rPr>
        <w:t>Съобщение на Комисията до Европейския парламент, Съвета, Европейския икономически и социален комитет и Комитета на регионите — Борба с незаконното онлайн съдържание, повишаване на отговорността на онлайн платформите, COM(2017) 555 final.</w:t>
      </w:r>
    </w:p>
  </w:footnote>
  <w:footnote w:id="2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На 1 март 2018 г. Съобщението беше последвано от Препоръка относно мерки за ефективна борба с незаконното съдържание онлайн C(2018)1177 final.</w:t>
      </w:r>
    </w:p>
  </w:footnote>
  <w:footnote w:id="2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1">
        <w:r>
          <w:rPr>
            <w:rStyle w:val="Hyperlink"/>
            <w:rFonts w:ascii="Times New Roman" w:hAnsi="Times New Roman"/>
          </w:rPr>
          <w:t>http://ec.europa.eu/newsroom/document.cfm?doc_id=43050</w:t>
        </w:r>
      </w:hyperlink>
      <w:r>
        <w:rPr>
          <w:rStyle w:val="Hyperlink"/>
          <w:rFonts w:ascii="Times New Roman" w:hAnsi="Times New Roman"/>
        </w:rPr>
        <w:t>.</w:t>
      </w:r>
    </w:p>
  </w:footnote>
  <w:footnote w:id="2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2">
        <w:r>
          <w:rPr>
            <w:rStyle w:val="Hyperlink"/>
            <w:rFonts w:ascii="Times New Roman" w:hAnsi="Times New Roman"/>
          </w:rPr>
          <w:t>http://http//ec.europa.eu/newsroom/just/document.cfm?doc_id=48874</w:t>
        </w:r>
      </w:hyperlink>
      <w:r>
        <w:rPr>
          <w:rStyle w:val="Hyperlink"/>
          <w:rFonts w:ascii="Times New Roman" w:hAnsi="Times New Roman"/>
        </w:rPr>
        <w:t>.</w:t>
      </w:r>
    </w:p>
  </w:footnote>
  <w:footnote w:id="2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3">
        <w:r>
          <w:rPr>
            <w:rStyle w:val="Hyperlink"/>
            <w:rFonts w:ascii="Times New Roman" w:hAnsi="Times New Roman"/>
          </w:rPr>
          <w:t>http://fra.europa.eu/en/news/2017/improving-recording-hate-crime-law-enforcement-authorities</w:t>
        </w:r>
      </w:hyperlink>
      <w:r>
        <w:rPr>
          <w:rStyle w:val="Hyperlink"/>
          <w:rFonts w:ascii="Times New Roman" w:hAnsi="Times New Roman"/>
        </w:rPr>
        <w:t>.</w:t>
      </w:r>
    </w:p>
  </w:footnote>
  <w:footnote w:id="2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4">
        <w:r>
          <w:rPr>
            <w:rStyle w:val="Hyperlink"/>
            <w:rFonts w:ascii="Times New Roman" w:hAnsi="Times New Roman"/>
          </w:rPr>
          <w:t>http://ec.europa.eu/newsroom/just/item-detail.cfm?item_id=50144</w:t>
        </w:r>
      </w:hyperlink>
      <w:r>
        <w:rPr>
          <w:rFonts w:ascii="Times New Roman" w:hAnsi="Times New Roman"/>
        </w:rPr>
        <w:t>.</w:t>
      </w:r>
    </w:p>
  </w:footnote>
  <w:footnote w:id="29">
    <w:p>
      <w:pPr>
        <w:pStyle w:val="FootnoteText"/>
      </w:pPr>
      <w:r>
        <w:rPr>
          <w:rStyle w:val="FootnoteReference"/>
        </w:rPr>
        <w:footnoteRef/>
      </w:r>
      <w:r>
        <w:rPr>
          <w:rFonts w:ascii="Times New Roman" w:hAnsi="Times New Roman"/>
        </w:rPr>
        <w:t xml:space="preserve">На разположение на адрес: </w:t>
      </w:r>
      <w:hyperlink r:id="rId25">
        <w:r>
          <w:rPr>
            <w:rStyle w:val="Hyperlink"/>
            <w:rFonts w:ascii="Times New Roman" w:hAnsi="Times New Roman"/>
          </w:rPr>
          <w:t>http://fra.europa.eu/en/publication/2017/eumidis-ii-muslims-selected-findings</w:t>
        </w:r>
      </w:hyperlink>
      <w:r>
        <w:rPr>
          <w:rStyle w:val="Hyperlink"/>
          <w:rFonts w:ascii="Times New Roman" w:hAnsi="Times New Roman"/>
        </w:rPr>
        <w:t>.</w:t>
      </w:r>
    </w:p>
  </w:footnote>
  <w:footnote w:id="3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6">
        <w:r>
          <w:rPr>
            <w:rStyle w:val="Hyperlink"/>
            <w:rFonts w:ascii="Times New Roman" w:hAnsi="Times New Roman"/>
          </w:rPr>
          <w:t>http://fra.europa.eu/en/publication/2017/antisemitism-overview-2006-2016</w:t>
        </w:r>
      </w:hyperlink>
      <w:r>
        <w:rPr>
          <w:rFonts w:ascii="Times New Roman" w:hAnsi="Times New Roman"/>
        </w:rPr>
        <w:t>. Агенцията ще публикува през 2018 г. второто си проучване относно случаите на дискриминация и престъпления от омраза срещу евреите.</w:t>
      </w:r>
    </w:p>
  </w:footnote>
  <w:footnote w:id="3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Информацията от пилотния проект за ромите от 2011 г. и от проучването EU-MIDIS II, проведено от Агенцията на ЕС за основните права, беше използвана при тази оценка.</w:t>
      </w:r>
    </w:p>
  </w:footnote>
  <w:footnote w:id="3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Директивата за расовото равенство, европейският семестър, европейските структурни и инвестиционни фондове.</w:t>
      </w:r>
    </w:p>
  </w:footnote>
  <w:footnote w:id="33">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7">
        <w:r>
          <w:rPr>
            <w:rStyle w:val="Hyperlink"/>
            <w:rFonts w:ascii="Times New Roman" w:hAnsi="Times New Roman"/>
          </w:rPr>
          <w:t>http://ec.europa.eu/newsroom/just/item-detail.cfm?item_id=615032</w:t>
        </w:r>
      </w:hyperlink>
      <w:r>
        <w:rPr>
          <w:rFonts w:ascii="Times New Roman" w:hAnsi="Times New Roman"/>
        </w:rPr>
        <w:t>.</w:t>
      </w:r>
    </w:p>
  </w:footnote>
  <w:footnote w:id="3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Член 19, параграф 1 от Договора за Европейския съюз.</w:t>
      </w:r>
    </w:p>
  </w:footnote>
  <w:footnote w:id="35">
    <w:p>
      <w:pPr>
        <w:pStyle w:val="FootnoteText"/>
        <w:jc w:val="both"/>
      </w:pPr>
      <w:r>
        <w:rPr>
          <w:rStyle w:val="FootnoteReference"/>
          <w:rFonts w:ascii="Times New Roman" w:hAnsi="Times New Roman"/>
        </w:rPr>
        <w:footnoteRef/>
      </w:r>
      <w:r>
        <w:rPr>
          <w:rFonts w:ascii="Times New Roman" w:hAnsi="Times New Roman"/>
        </w:rPr>
        <w:t>Съобщение на Комисията — Право на ЕС: по-добри резултати чрез по-добро прилагане (2017/C 18/02).</w:t>
      </w:r>
    </w:p>
  </w:footnote>
  <w:footnote w:id="3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Хърватия, Италия, Кипър, Словакия и Португалия. Вж. </w:t>
      </w:r>
      <w:hyperlink r:id="rId28">
        <w:r>
          <w:rPr>
            <w:rStyle w:val="Hyperlink"/>
            <w:rFonts w:ascii="Times New Roman" w:hAnsi="Times New Roman"/>
          </w:rPr>
          <w:t>https://ec.europa.eu/info/publications/2017-european-semester-country-specific-recommendations-commission-recommendations_en</w:t>
        </w:r>
      </w:hyperlink>
      <w:r>
        <w:rPr>
          <w:rStyle w:val="Hyperlink"/>
          <w:rFonts w:ascii="Times New Roman" w:hAnsi="Times New Roman"/>
        </w:rPr>
        <w:t>.</w:t>
      </w:r>
    </w:p>
  </w:footnote>
  <w:footnote w:id="3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29">
        <w:r>
          <w:rPr>
            <w:rStyle w:val="Hyperlink"/>
            <w:rFonts w:ascii="Times New Roman" w:hAnsi="Times New Roman"/>
          </w:rPr>
          <w:t>http://ec.europa.eu/environment/aarhus/pdf/notice_accesstojustice.pdf</w:t>
        </w:r>
      </w:hyperlink>
      <w:r>
        <w:rPr>
          <w:rStyle w:val="Hyperlink"/>
          <w:rFonts w:ascii="Times New Roman" w:hAnsi="Times New Roman"/>
        </w:rPr>
        <w:t>.</w:t>
      </w:r>
    </w:p>
  </w:footnote>
  <w:footnote w:id="38">
    <w:p>
      <w:pPr>
        <w:spacing w:after="0"/>
        <w:jc w:val="both"/>
        <w:rPr>
          <w:rFonts w:ascii="Times New Roman" w:hAnsi="Times New Roman" w:cs="Times New Roman"/>
          <w:color w:val="0000FF"/>
          <w:sz w:val="20"/>
          <w:szCs w:val="20"/>
          <w:u w:val="single"/>
        </w:rPr>
      </w:pPr>
      <w:r>
        <w:rPr>
          <w:rStyle w:val="FootnoteReference"/>
          <w:rFonts w:ascii="Times New Roman" w:hAnsi="Times New Roman"/>
          <w:sz w:val="20"/>
        </w:rPr>
        <w:footnoteRef/>
      </w:r>
      <w:r>
        <w:rPr>
          <w:rFonts w:ascii="Times New Roman" w:hAnsi="Times New Roman"/>
          <w:sz w:val="20"/>
        </w:rPr>
        <w:t xml:space="preserve">Предложение за Регламент на Европейския парламент и на Съвета за създаване на рамка за оперативна съвместимост между информационните системи на ЕС (граници и визи) и за изменение на Решение 2004/512/ЕО на Съвета, Регламент (ЕО) № 767/2008, Решение 2008/633/ПВР на Съвета, Регламент (ЕС) 2016/399 и Регламент (ЕС) 2017/2226, COM(2017)793 final, на разположение на адрес: </w:t>
      </w:r>
      <w:hyperlink r:id="rId30">
        <w:r>
          <w:rPr>
            <w:rStyle w:val="Hyperlink"/>
            <w:rFonts w:ascii="Times New Roman" w:hAnsi="Times New Roman"/>
            <w:sz w:val="20"/>
          </w:rPr>
          <w:t>https://ec.europa.eu/home-affairs/sites/homeaffairs/files/what-we-do/policies/european-agenda-security/20171212_proposal_regulation_on</w:t>
        </w:r>
        <w:r>
          <w:rPr>
            <w:rStyle w:val="Hyperlink"/>
            <w:rFonts w:ascii="Times New Roman" w:hAnsi="Times New Roman" w:cs="Times New Roman"/>
            <w:sz w:val="20"/>
            <w:szCs w:val="20"/>
          </w:rPr>
          <w:br/>
        </w:r>
        <w:r>
          <w:rPr>
            <w:rStyle w:val="Hyperlink"/>
            <w:rFonts w:ascii="Times New Roman" w:hAnsi="Times New Roman"/>
            <w:sz w:val="20"/>
          </w:rPr>
          <w:t>_Establishing_framework_for_interoperability_between_eu_information_systems_borders_and_visa_en.pdf</w:t>
        </w:r>
      </w:hyperlink>
      <w:r>
        <w:rPr>
          <w:rStyle w:val="Hyperlink"/>
          <w:rFonts w:ascii="Times New Roman" w:hAnsi="Times New Roman"/>
          <w:sz w:val="20"/>
        </w:rPr>
        <w:t xml:space="preserve"> </w:t>
      </w:r>
      <w:r>
        <w:rPr>
          <w:rFonts w:ascii="Times New Roman" w:hAnsi="Times New Roman"/>
          <w:sz w:val="20"/>
        </w:rPr>
        <w:t>и Предложение за Регламент на Европейския парламент и на Съвета за създаване на рамка за оперативна съвместимост между информационните системи на ЕС (полицейско и съдебно сътрудничество, убежище и миграция), COM(2017) 794 final, на разположение на адрес:</w:t>
      </w:r>
      <w:r>
        <w:rPr>
          <w:rStyle w:val="Hyperlink"/>
          <w:rFonts w:ascii="Times New Roman" w:hAnsi="Times New Roman"/>
          <w:sz w:val="20"/>
        </w:rPr>
        <w:t xml:space="preserve"> </w:t>
      </w:r>
      <w:hyperlink r:id="rId31">
        <w:r>
          <w:rPr>
            <w:rStyle w:val="Hyperlink"/>
            <w:rFonts w:ascii="Times New Roman" w:hAnsi="Times New Roman"/>
            <w:sz w:val="20"/>
          </w:rPr>
          <w:t>https://ec.europa.eu/transparency/regdoc/rep/1/2017/EN/COM-2017-794-F1-EN-MAIN-PART-1.PDF</w:t>
        </w:r>
      </w:hyperlink>
      <w:r>
        <w:rPr>
          <w:rStyle w:val="Hyperlink"/>
          <w:rFonts w:ascii="Times New Roman" w:hAnsi="Times New Roman"/>
          <w:sz w:val="20"/>
        </w:rPr>
        <w:t>.</w:t>
      </w:r>
    </w:p>
  </w:footnote>
  <w:footnote w:id="39">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2">
        <w:r>
          <w:rPr>
            <w:rStyle w:val="Hyperlink"/>
            <w:rFonts w:ascii="Times New Roman" w:hAnsi="Times New Roman"/>
          </w:rPr>
          <w:t>https://ec.europa.eu/transparency/regdoc/rep/10102/2017/EN/SWD-2017-120-F1-EN-MAIN-PART-1.PDF</w:t>
        </w:r>
      </w:hyperlink>
      <w:r>
        <w:rPr>
          <w:rFonts w:ascii="Times New Roman" w:hAnsi="Times New Roman"/>
        </w:rPr>
        <w:t>.</w:t>
      </w:r>
    </w:p>
  </w:footnote>
  <w:footnote w:id="4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Директива 2002/90/ЕО на Съвета от 28 ноември 2002 г. за определяне на подпомагане на незаконното влизане, преминаването и пребиваването („Директивата“), ОВ L 328, 5.12.2002 г., стр. 17; и Рамково решение 2002/946/ПВР на Съвета за укрепване на наказателноправната рамка за предотвратяване на подпомагането на незаконното влизане, транзит и престой</w:t>
      </w:r>
      <w:r>
        <w:rPr>
          <w:rFonts w:ascii="Times New Roman" w:hAnsi="Times New Roman"/>
          <w:vertAlign w:val="superscript"/>
        </w:rPr>
        <w:t>4</w:t>
      </w:r>
      <w:r>
        <w:rPr>
          <w:rFonts w:ascii="Times New Roman" w:hAnsi="Times New Roman"/>
        </w:rPr>
        <w:t xml:space="preserve"> („Рамковото решение“), ОВ L 328, 5.12.2002 г., стр. 1.</w:t>
      </w:r>
    </w:p>
  </w:footnote>
  <w:footnote w:id="4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Директива (ЕС) 2017/541 на Европейския парламент и на Съвета от 15 март 2017 г. относно борбата с тероризма и за замяна на Рамково решение 2002/475/ПВР на Съвета, и за изменение на Решение 2005/671/ПВР на Съвета.</w:t>
      </w:r>
    </w:p>
  </w:footnote>
  <w:footnote w:id="4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u w:color="000000"/>
          <w:bdr w:val="nil"/>
        </w:rPr>
        <w:t>Доклад, който трябва да бъде представен на Парламента и Съвета до 2021 г.</w:t>
      </w:r>
    </w:p>
  </w:footnote>
  <w:footnote w:id="43">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На разположение на адрес: </w:t>
      </w:r>
      <w:hyperlink r:id="rId33">
        <w:r>
          <w:rPr>
            <w:rStyle w:val="Hyperlink"/>
            <w:rFonts w:ascii="Times New Roman" w:hAnsi="Times New Roman"/>
          </w:rPr>
          <w:t>http://data.consilium.europa.eu/doc/document/ST-12913-2017-INIT/bg/pdf</w:t>
        </w:r>
      </w:hyperlink>
      <w:r>
        <w:rPr>
          <w:rFonts w:ascii="Times New Roman" w:hAnsi="Times New Roman"/>
        </w:rPr>
        <w:t>.</w:t>
      </w:r>
    </w:p>
  </w:footnote>
  <w:footnote w:id="4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4">
        <w:r>
          <w:rPr>
            <w:rStyle w:val="Hyperlink"/>
            <w:rFonts w:ascii="Times New Roman" w:hAnsi="Times New Roman"/>
          </w:rPr>
          <w:t>https://beta.e-justice.europa.eu/?action=home&amp;plang=en</w:t>
        </w:r>
      </w:hyperlink>
      <w:r>
        <w:rPr>
          <w:rFonts w:ascii="Times New Roman" w:hAnsi="Times New Roman"/>
        </w:rPr>
        <w:t>.</w:t>
      </w:r>
    </w:p>
  </w:footnote>
  <w:footnote w:id="45">
    <w:p>
      <w:pPr>
        <w:pStyle w:val="FootnoteText"/>
        <w:jc w:val="both"/>
        <w:rPr>
          <w:rFonts w:ascii="Times New Roman" w:hAnsi="Times New Roman" w:cs="Times New Roman"/>
        </w:rPr>
      </w:pPr>
      <w:r>
        <w:rPr>
          <w:rFonts w:ascii="Times New Roman" w:hAnsi="Times New Roman"/>
          <w:vertAlign w:val="superscript"/>
        </w:rPr>
        <w:footnoteRef/>
      </w:r>
      <w:r>
        <w:rPr>
          <w:rFonts w:ascii="Times New Roman" w:hAnsi="Times New Roman"/>
        </w:rPr>
        <w:t xml:space="preserve">Годишната работна програма за 2017 г. е на разположение на адрес: </w:t>
      </w:r>
      <w:hyperlink r:id="rId35">
        <w:r>
          <w:rPr>
            <w:rStyle w:val="Hyperlink"/>
            <w:rFonts w:ascii="Times New Roman" w:hAnsi="Times New Roman"/>
          </w:rPr>
          <w:t>http://ec.europa.eu/justice/grants1/programmes-2014-2020/files/</w:t>
        </w:r>
        <w:r>
          <w:rPr>
            <w:rStyle w:val="Hyperlink"/>
            <w:rFonts w:ascii="Times New Roman" w:hAnsi="Times New Roman" w:cs="Times New Roman"/>
          </w:rPr>
          <w:br/>
        </w:r>
        <w:r>
          <w:rPr>
            <w:rStyle w:val="Hyperlink"/>
            <w:rFonts w:ascii="Times New Roman" w:hAnsi="Times New Roman"/>
          </w:rPr>
          <w:t>awp_2017/2017_justice_work_programme_annex_en.pdf</w:t>
        </w:r>
      </w:hyperlink>
      <w:r>
        <w:rPr>
          <w:rStyle w:val="Hyperlink"/>
          <w:rFonts w:ascii="Times New Roman" w:hAnsi="Times New Roman"/>
        </w:rPr>
        <w:t>.</w:t>
      </w:r>
    </w:p>
  </w:footnote>
  <w:footnote w:id="46">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6">
        <w:r>
          <w:rPr>
            <w:rStyle w:val="Hyperlink"/>
            <w:rFonts w:ascii="Times New Roman" w:hAnsi="Times New Roman"/>
          </w:rPr>
          <w:t>http://europa.eu/rapid/press-release_STATEMENT-17-2105_en.htm</w:t>
        </w:r>
      </w:hyperlink>
      <w:r>
        <w:rPr>
          <w:rFonts w:ascii="Times New Roman" w:hAnsi="Times New Roman"/>
        </w:rPr>
        <w:t>.</w:t>
      </w:r>
    </w:p>
  </w:footnote>
  <w:footnote w:id="4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T-681/14.</w:t>
      </w:r>
    </w:p>
  </w:footnote>
  <w:footnote w:id="48">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Решение 2014/380/ОВППС на Съвета от 23 юни 2014 г. за изменение на Решение 2011/137/ОВППС.</w:t>
      </w:r>
    </w:p>
  </w:footnote>
  <w:footnote w:id="4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Регламент за изпълнение (ЕС) № 689/2014 на Съвета от 23 юни 2014 г. за изпълнение на член 16, параграф 2 от Регламент (ЕС) № 204/2011.</w:t>
      </w:r>
    </w:p>
  </w:footnote>
  <w:footnote w:id="5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Приложения I и III към Решение 2011/137/ОВППС на Съвета от 28 февруари 2011 г., приложение II към Регламент (ЕС) № 204/2011 на Съвета от 2 март 2011 г.</w:t>
      </w:r>
    </w:p>
  </w:footnote>
  <w:footnote w:id="51">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7">
        <w:r>
          <w:rPr>
            <w:rStyle w:val="Hyperlink"/>
            <w:rFonts w:ascii="Times New Roman" w:hAnsi="Times New Roman"/>
          </w:rPr>
          <w:t>http://europa.eu/rapid/press-release_IP-17-5023_en.htm</w:t>
        </w:r>
      </w:hyperlink>
      <w:r>
        <w:rPr>
          <w:rStyle w:val="Hyperlink"/>
          <w:rFonts w:ascii="Times New Roman" w:hAnsi="Times New Roman"/>
        </w:rPr>
        <w:t>.</w:t>
      </w:r>
    </w:p>
  </w:footnote>
  <w:footnote w:id="5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8">
        <w:r>
          <w:rPr>
            <w:rStyle w:val="Hyperlink"/>
            <w:rFonts w:ascii="Times New Roman" w:hAnsi="Times New Roman"/>
          </w:rPr>
          <w:t>http://europa.eu/rapid/press-release_IP-17-5003_en.htm</w:t>
        </w:r>
      </w:hyperlink>
      <w:r>
        <w:rPr>
          <w:rFonts w:ascii="Times New Roman" w:hAnsi="Times New Roman"/>
        </w:rPr>
        <w:t>.</w:t>
      </w:r>
    </w:p>
  </w:footnote>
  <w:footnote w:id="5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39">
        <w:r>
          <w:rPr>
            <w:rStyle w:val="Hyperlink"/>
            <w:rFonts w:ascii="Times New Roman" w:hAnsi="Times New Roman"/>
          </w:rPr>
          <w:t>http://europa.eu/rapid/press-release_IP-17-5004_en.htm</w:t>
        </w:r>
      </w:hyperlink>
      <w:r>
        <w:rPr>
          <w:rFonts w:ascii="Times New Roman" w:hAnsi="Times New Roman"/>
        </w:rPr>
        <w:t>.</w:t>
      </w:r>
    </w:p>
  </w:footnote>
  <w:footnote w:id="54">
    <w:p>
      <w:pPr>
        <w:pStyle w:val="FootnoteText"/>
        <w:jc w:val="both"/>
      </w:pPr>
      <w:r>
        <w:rPr>
          <w:rStyle w:val="FootnoteReference"/>
          <w:rFonts w:ascii="Times New Roman" w:hAnsi="Times New Roman"/>
        </w:rPr>
        <w:footnoteRef/>
      </w:r>
      <w:r>
        <w:rPr>
          <w:rFonts w:ascii="Times New Roman" w:hAnsi="Times New Roman"/>
          <w:u w:color="000000"/>
          <w:bdr w:val="nil"/>
        </w:rPr>
        <w:t>През 2014 г. Комисията въведе рамка, целяща преодоляване на ситуации на възникващи системни заплахи за правовата държава, които не могат да бъдат ефективно премахнати с помощта на защитни мерки на национално равнище или съществуващи инструменти (по-специално чрез производства за установяване за нарушение) на равнището на ЕС.</w:t>
      </w:r>
      <w:r>
        <w:rPr>
          <w:rFonts w:ascii="Times New Roman" w:hAnsi="Times New Roman"/>
        </w:rPr>
        <w:t xml:space="preserve"> Съобщение, озаглавено „Нова уредба на ЕС за укрепване на принципите на правовата държава“, COM(2014)158 final.</w:t>
      </w:r>
    </w:p>
  </w:footnote>
  <w:footnote w:id="55">
    <w:p>
      <w:pPr>
        <w:pStyle w:val="FootnoteText"/>
      </w:pPr>
      <w:r>
        <w:rPr>
          <w:rStyle w:val="FootnoteReference"/>
        </w:rPr>
        <w:footnoteRef/>
      </w:r>
      <w:r>
        <w:rPr>
          <w:rFonts w:ascii="Times New Roman" w:hAnsi="Times New Roman"/>
        </w:rPr>
        <w:t xml:space="preserve">На разположение на адрес: </w:t>
      </w:r>
      <w:hyperlink r:id="rId40" w:history="1">
        <w:r>
          <w:rPr>
            <w:rStyle w:val="Hyperlink"/>
            <w:rFonts w:ascii="Times New Roman" w:hAnsi="Times New Roman"/>
          </w:rPr>
          <w:t>http://europa.eu/rapid/press-release_IP-17-5367_en.htm</w:t>
        </w:r>
      </w:hyperlink>
      <w:r>
        <w:rPr>
          <w:rFonts w:ascii="Times New Roman" w:hAnsi="Times New Roman"/>
          <w:u w:val="single"/>
        </w:rPr>
        <w:t>.</w:t>
      </w:r>
    </w:p>
  </w:footnote>
  <w:footnote w:id="5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C-157/15.</w:t>
      </w:r>
    </w:p>
  </w:footnote>
  <w:footnote w:id="57">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C-188/15.</w:t>
      </w:r>
    </w:p>
  </w:footnote>
  <w:footnote w:id="58">
    <w:p>
      <w:pPr>
        <w:pStyle w:val="FootnoteText"/>
        <w:rPr>
          <w:rFonts w:ascii="Times New Roman" w:hAnsi="Times New Roman" w:cs="Times New Roman"/>
        </w:rPr>
      </w:pPr>
      <w:r>
        <w:rPr>
          <w:rStyle w:val="FootnoteReference"/>
        </w:rPr>
        <w:footnoteRef/>
      </w:r>
      <w:r>
        <w:rPr>
          <w:rFonts w:ascii="Times New Roman" w:hAnsi="Times New Roman"/>
        </w:rPr>
        <w:t>Съдът на Европейския съюз се позовава по-специално на Решението на Европейския съд по правата на човека от 15 януари 2013 г. по дела 48420/10, 36516/10, 51671/10 и др., Eweida и др./Обединеното кралство.</w:t>
      </w:r>
    </w:p>
  </w:footnote>
  <w:footnote w:id="59">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C-42/17.</w:t>
      </w:r>
    </w:p>
  </w:footnote>
  <w:footnote w:id="6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Вж. решение от 8 септември 2015 г., </w:t>
      </w:r>
      <w:r>
        <w:rPr>
          <w:rFonts w:ascii="Times New Roman" w:hAnsi="Times New Roman"/>
          <w:i/>
        </w:rPr>
        <w:t>Taricco</w:t>
      </w:r>
      <w:r>
        <w:rPr>
          <w:rFonts w:ascii="Times New Roman" w:hAnsi="Times New Roman"/>
        </w:rPr>
        <w:t>, C</w:t>
      </w:r>
      <w:r>
        <w:noBreakHyphen/>
      </w:r>
      <w:r>
        <w:rPr>
          <w:rFonts w:ascii="Times New Roman" w:hAnsi="Times New Roman"/>
        </w:rPr>
        <w:t>105/14.</w:t>
      </w:r>
    </w:p>
  </w:footnote>
  <w:footnote w:id="61">
    <w:p>
      <w:pPr>
        <w:pStyle w:val="FootnoteText"/>
      </w:pPr>
      <w:r>
        <w:rPr>
          <w:rStyle w:val="FootnoteReference"/>
        </w:rPr>
        <w:footnoteRef/>
      </w:r>
      <w:r>
        <w:t>C-403/16.</w:t>
      </w:r>
    </w:p>
  </w:footnote>
  <w:footnote w:id="62">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Годишен доклад на Агенцията на ЕС за основните права за 2017 г., който ще бъде публикуван през май 2018 г.</w:t>
      </w:r>
    </w:p>
  </w:footnote>
  <w:footnote w:id="63">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Финландия, Върховен административен съд, решение от 15 август 2017 г. по дело 3872/2017.</w:t>
      </w:r>
    </w:p>
  </w:footnote>
  <w:footnote w:id="64">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Германия, Върховен административен съд — Северен Рейн-Вестфалия, решение от 22 юни 2017 г. по дело 13 B 238/17.</w:t>
      </w:r>
    </w:p>
  </w:footnote>
  <w:footnote w:id="65">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Хърватия, Конституционен съд, дело U-III-1095/2014, 21 септември 2017 г.</w:t>
      </w:r>
    </w:p>
  </w:footnote>
  <w:footnote w:id="66">
    <w:p>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България, Конституционен съд, дело 6/2016, 31 януари 2017 г.</w:t>
      </w:r>
    </w:p>
  </w:footnote>
  <w:footnote w:id="67">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41">
        <w:r>
          <w:rPr>
            <w:rStyle w:val="Hyperlink"/>
            <w:rFonts w:ascii="Times New Roman" w:hAnsi="Times New Roman"/>
          </w:rPr>
          <w:t>http://ec.europa.eu/newsroom/just/item-detail.cfm?item_id=115277</w:t>
        </w:r>
      </w:hyperlink>
      <w:r>
        <w:rPr>
          <w:rFonts w:ascii="Times New Roman" w:hAnsi="Times New Roman"/>
        </w:rPr>
        <w:t>.</w:t>
      </w:r>
    </w:p>
  </w:footnote>
  <w:footnote w:id="68">
    <w:p>
      <w:pPr>
        <w:pStyle w:val="FootnoteText"/>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42">
        <w:r>
          <w:rPr>
            <w:rStyle w:val="Hyperlink"/>
            <w:rFonts w:ascii="Times New Roman" w:hAnsi="Times New Roman"/>
          </w:rPr>
          <w:t>https://www.coe.int/fr/web/conventions/full-list/-/conventions/rms/090000168008482e</w:t>
        </w:r>
      </w:hyperlink>
      <w:r>
        <w:rPr>
          <w:rFonts w:ascii="Times New Roman" w:hAnsi="Times New Roman"/>
        </w:rPr>
        <w:t>.</w:t>
      </w:r>
    </w:p>
  </w:footnote>
  <w:footnote w:id="69">
    <w:p>
      <w:pPr>
        <w:pStyle w:val="FootnoteText"/>
        <w:jc w:val="both"/>
        <w:rPr>
          <w:rFonts w:ascii="Times New Roman" w:hAnsi="Times New Roman" w:cs="Times New Roman"/>
          <w:lang w:val="es-ES"/>
        </w:rPr>
      </w:pPr>
      <w:r>
        <w:rPr>
          <w:rStyle w:val="FootnoteReference"/>
          <w:rFonts w:ascii="Times New Roman" w:hAnsi="Times New Roman"/>
        </w:rPr>
        <w:footnoteRef/>
      </w:r>
      <w:r>
        <w:rPr>
          <w:rFonts w:ascii="Times New Roman" w:hAnsi="Times New Roman"/>
        </w:rPr>
        <w:t>BE, DK, DE, EE, ES, FR, IT, CY, MT, NL, AT, PL, PT, RO, SI, FI, SE.</w:t>
      </w:r>
    </w:p>
  </w:footnote>
  <w:footnote w:id="70">
    <w:p>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На разположение на адрес: </w:t>
      </w:r>
      <w:hyperlink r:id="rId43">
        <w:r>
          <w:rPr>
            <w:rStyle w:val="Hyperlink"/>
            <w:rFonts w:ascii="Times New Roman" w:hAnsi="Times New Roman"/>
          </w:rPr>
          <w:t>http://ec.europa.eu/commfrontoffice/publicopinion/index.cfm/Survey/getSurveyDetail/instru</w:t>
        </w:r>
        <w:r>
          <w:rPr>
            <w:rStyle w:val="Hyperlink"/>
            <w:rFonts w:ascii="Times New Roman" w:hAnsi="Times New Roman" w:cs="Times New Roman"/>
          </w:rPr>
          <w:br/>
        </w:r>
        <w:r>
          <w:rPr>
            <w:rStyle w:val="Hyperlink"/>
            <w:rFonts w:ascii="Times New Roman" w:hAnsi="Times New Roman"/>
          </w:rPr>
          <w:t>ments/SPECIAL/surveyKy/2154</w:t>
        </w:r>
      </w:hyperlink>
      <w:r>
        <w:rPr>
          <w:rFonts w:ascii="Times New Roman" w:hAnsi="Times New Roman"/>
        </w:rPr>
        <w:t>.</w:t>
      </w:r>
    </w:p>
  </w:footnote>
  <w:footnote w:id="71">
    <w:p>
      <w:pPr>
        <w:pStyle w:val="FootnoteText"/>
        <w:jc w:val="both"/>
      </w:pPr>
      <w:r>
        <w:rPr>
          <w:rStyle w:val="FootnoteReference"/>
          <w:rFonts w:ascii="Times New Roman" w:hAnsi="Times New Roman"/>
        </w:rPr>
        <w:footnoteRef/>
      </w:r>
      <w:r>
        <w:rPr>
          <w:rFonts w:ascii="Times New Roman" w:hAnsi="Times New Roman"/>
        </w:rPr>
        <w:t>На разположение на адрес:</w:t>
      </w:r>
      <w:r>
        <w:rPr>
          <w:rFonts w:ascii="Calibri" w:hAnsi="Calibri"/>
          <w:color w:val="1F497D"/>
        </w:rPr>
        <w:t xml:space="preserve"> </w:t>
      </w:r>
      <w:hyperlink r:id="rId44">
        <w:r>
          <w:rPr>
            <w:rStyle w:val="Hyperlink"/>
            <w:rFonts w:ascii="Times New Roman" w:hAnsi="Times New Roman"/>
          </w:rPr>
          <w:t>http://ec.europa.eu/newsroom/just/document.cfm?doc_id=50219</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3152"/>
    <w:multiLevelType w:val="multilevel"/>
    <w:tmpl w:val="AD38F352"/>
    <w:lvl w:ilvl="0">
      <w:start w:val="2"/>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nsid w:val="08D9214F"/>
    <w:multiLevelType w:val="hybridMultilevel"/>
    <w:tmpl w:val="104C70BC"/>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25B6C01"/>
    <w:multiLevelType w:val="hybridMultilevel"/>
    <w:tmpl w:val="E82C6E30"/>
    <w:lvl w:ilvl="0" w:tplc="DB7CD0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B111F59"/>
    <w:multiLevelType w:val="hybridMultilevel"/>
    <w:tmpl w:val="341ED8BE"/>
    <w:lvl w:ilvl="0" w:tplc="93EC72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1E4636"/>
    <w:multiLevelType w:val="multilevel"/>
    <w:tmpl w:val="FA007E8C"/>
    <w:lvl w:ilvl="0">
      <w:start w:val="1"/>
      <w:numFmt w:val="decimal"/>
      <w:lvlText w:val="%1."/>
      <w:lvlJc w:val="left"/>
      <w:pPr>
        <w:ind w:left="720" w:hanging="360"/>
      </w:pPr>
      <w:rPr>
        <w:rFonts w:hint="default"/>
        <w:b/>
        <w:color w:val="FF0000"/>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29600E71"/>
    <w:multiLevelType w:val="hybridMultilevel"/>
    <w:tmpl w:val="64C67F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2F4101F5"/>
    <w:multiLevelType w:val="hybridMultilevel"/>
    <w:tmpl w:val="7A58E5E4"/>
    <w:lvl w:ilvl="0" w:tplc="3DF2C38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2B16847"/>
    <w:multiLevelType w:val="hybridMultilevel"/>
    <w:tmpl w:val="6A50DC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0BD445F"/>
    <w:multiLevelType w:val="hybridMultilevel"/>
    <w:tmpl w:val="F75AC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5871FC9"/>
    <w:multiLevelType w:val="hybridMultilevel"/>
    <w:tmpl w:val="B1DE2502"/>
    <w:lvl w:ilvl="0" w:tplc="FDC63A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CCF6588"/>
    <w:multiLevelType w:val="hybridMultilevel"/>
    <w:tmpl w:val="D6A2C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D1551C0"/>
    <w:multiLevelType w:val="hybridMultilevel"/>
    <w:tmpl w:val="08F87D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6A108E8"/>
    <w:multiLevelType w:val="hybridMultilevel"/>
    <w:tmpl w:val="D2742DA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83161AE"/>
    <w:multiLevelType w:val="multilevel"/>
    <w:tmpl w:val="2012B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6CD63D3"/>
    <w:multiLevelType w:val="hybridMultilevel"/>
    <w:tmpl w:val="DD4E78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nsid w:val="79172F61"/>
    <w:multiLevelType w:val="hybridMultilevel"/>
    <w:tmpl w:val="B8CE6E1E"/>
    <w:lvl w:ilvl="0" w:tplc="3DF2C38E">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nsid w:val="7B0E0B70"/>
    <w:multiLevelType w:val="multilevel"/>
    <w:tmpl w:val="FA5AD7A4"/>
    <w:lvl w:ilvl="0">
      <w:start w:val="2"/>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nsid w:val="7F856209"/>
    <w:multiLevelType w:val="hybridMultilevel"/>
    <w:tmpl w:val="57C0E9F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3"/>
  </w:num>
  <w:num w:numId="4">
    <w:abstractNumId w:val="6"/>
  </w:num>
  <w:num w:numId="5">
    <w:abstractNumId w:val="2"/>
  </w:num>
  <w:num w:numId="6">
    <w:abstractNumId w:val="15"/>
  </w:num>
  <w:num w:numId="7">
    <w:abstractNumId w:val="7"/>
  </w:num>
  <w:num w:numId="8">
    <w:abstractNumId w:val="9"/>
  </w:num>
  <w:num w:numId="9">
    <w:abstractNumId w:val="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6"/>
  </w:num>
  <w:num w:numId="13">
    <w:abstractNumId w:val="0"/>
  </w:num>
  <w:num w:numId="14">
    <w:abstractNumId w:val="8"/>
  </w:num>
  <w:num w:numId="15">
    <w:abstractNumId w:val="11"/>
  </w:num>
  <w:num w:numId="16">
    <w:abstractNumId w:val="5"/>
  </w:num>
  <w:num w:numId="17">
    <w:abstractNumId w:val="10"/>
  </w:num>
  <w:num w:numId="18">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OCKWELL Nathalie (JUST)">
    <w15:presenceInfo w15:providerId="None" w15:userId="STOCKWELL Nathalie (JU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A044FA33-A910-4234-8DDB-31536421FFF2"/>
    <w:docVar w:name="LW_COVERPAGE_TYPE" w:val="1"/>
    <w:docVar w:name="LW_CROSSREFERENCE" w:val="{SWD(2018) 304 final}"/>
    <w:docVar w:name="LW_DocType" w:val="NORMAL"/>
    <w:docVar w:name="LW_EMISSION" w:val="4.6.2018"/>
    <w:docVar w:name="LW_EMISSION_ISODATE" w:val="2018-06-04"/>
    <w:docVar w:name="LW_EMISSION_LOCATION" w:val="BRX"/>
    <w:docVar w:name="LW_EMISSION_PREFIX" w:val="Брюксел, "/>
    <w:docVar w:name="LW_EMISSION_SUFFIX" w:val="\u1075?."/>
    <w:docVar w:name="LW_ID_DOCTYPE_NONLW" w:val="CP-008"/>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18) 39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OUS.TITRE.OBJ.CP" w:val="&lt;UNUSED&gt;"/>
    <w:docVar w:name="LW_SUPERTITRE" w:val="&lt;UNUSED&gt;"/>
    <w:docVar w:name="LW_TITRE.OBJ.CP" w:val="\u1043?\u1086?\u1076?\u1080?\u1096?\u1077?\u1085? \u1076?\u1086?\u1082?\u1083?\u1072?\u1076? \u1079?\u1072? 2017 \u1075?. \u1079?\u1072? \u1087?\u1088?\u1080?\u1083?\u1072?\u1075?\u1072?\u1085?\u1077?\u1090?\u1086? \u1085?\u1072? \u1061?\u1072?\u1088?\u1090?\u1072?\u1090?\u1072? \u1085?\u1072? \u1086?\u1089?\u1085?\u1086?\u1074?\u1085?\u1080?\u1090?\u1077? \u1087?\u1088?\u1072?\u1074?\u1072? \u1085?\u1072? \u1045?\u1057?"/>
    <w:docVar w:name="LW_TYPE.DOC.CP" w:val="\u1044?\u1054?\u1050?\u1051?\u1040?\u1044? \u1053?\u1040? \u1050?\u1054?\u1052?\u1048?\u1057?\u1048?\u1071?\u1058?\u1040? \u1044?\u1054? \u1045?\u1042?\u1056?\u1054?\u1055?\u1045?\u1049?\u1057?\u1050?\u1048?\u1071? \u1055?\u1040?\u1056?\u1051?\u1040?\u1052?\u1045?\u1053?\u1058?, \u1057?\u1066?\u1042?\u1045?\u1058?\u1040?, \u1045?\u1042?\u1056?\u1054?\u1055?\u1045?\u1049?\u1057?\u1050?\u1048?\u1071? \u1048?\u1050?\u1054?\u1053?\u1054?\u1052?\u1048?\u1063?\u1045?\u1057?\u1050?\u1048? \u1048? \u1057?\u1054?\u1062?\u1048?\u1040?\u1051?\u1045?\u1053? \u1050?\u1054?\u1052?\u1048?\u1058?\u1045?\u1058? \u1048? \u1050?\u1054?\u1052?\u1048?\u1058?\u1045?\u1058?\u1040? \u1053?\u1040? \u1056?\u1045?\u1043?\u1048?\u1054?\u1053?\u1048?\u1058?\u1045?"/>
    <w:docVar w:name="Stamp" w:val="\\dossiers.dgt.cec.eu.int\dossiers\JUST\JUST-2018-00780\JUST-2018-00780-00-00-EN-REV-00.201803191342352958492.DOCX"/>
  </w:docVar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Cambria" w:hAnsi="Times New Roman" w:cs="Times New Roman"/>
      <w:b/>
      <w:bCs/>
      <w:color w:val="000000"/>
      <w:kern w:val="32"/>
      <w:sz w:val="32"/>
      <w:szCs w:val="32"/>
      <w:u w:color="000000"/>
      <w:bdr w:val="ni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ft,fußn,Plonk"/>
    <w:basedOn w:val="Normal"/>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note TESI,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after="160" w:line="240" w:lineRule="exact"/>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Pr>
      <w:rFonts w:ascii="Times New Roman" w:eastAsia="Cambria" w:hAnsi="Times New Roman" w:cs="Times New Roman"/>
      <w:b/>
      <w:bCs/>
      <w:color w:val="000000"/>
      <w:kern w:val="32"/>
      <w:sz w:val="32"/>
      <w:szCs w:val="32"/>
      <w:u w:color="000000"/>
      <w:bdr w:val="nil"/>
      <w:lang w:eastAsia="bg-BG"/>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arCharCharCharChar">
    <w:name w:val="Char Char Char Char Char"/>
    <w:aliases w:val="number Char Char"/>
    <w:basedOn w:val="Normal"/>
    <w:pPr>
      <w:spacing w:after="160" w:line="240" w:lineRule="exact"/>
      <w:jc w:val="both"/>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bg-BG" w:bidi="bg-BG"/>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imes New Roman" w:eastAsia="Cambria" w:hAnsi="Times New Roman" w:cs="Times New Roman"/>
      <w:b/>
      <w:bCs/>
      <w:color w:val="000000"/>
      <w:kern w:val="32"/>
      <w:sz w:val="32"/>
      <w:szCs w:val="32"/>
      <w:u w:color="000000"/>
      <w:bdr w:val="nil"/>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styleId="FootnoteText">
    <w:name w:val="footnote text"/>
    <w:aliases w:val="Footnote Text Char Char,Footnote Text Char1 Char Char,Footnote Text Char Char Char Char,Footnote Text Char1 Char Char Char Char,Footnote Char Char Char Char Char,Footnote Text Char Char Char Char Char Char,FA Fu,Fußnotentextf,ft,fußn,Plonk"/>
    <w:basedOn w:val="Normal"/>
    <w:uiPriority w:val="99"/>
    <w:unhideWhenUsed/>
    <w:qFormat/>
    <w:pPr>
      <w:spacing w:after="0" w:line="240" w:lineRule="auto"/>
    </w:pPr>
    <w:rPr>
      <w:sz w:val="20"/>
      <w:szCs w:val="20"/>
    </w:rPr>
  </w:style>
  <w:style w:type="character" w:customStyle="1" w:styleId="FootnoteTextChar">
    <w:name w:val="Footnote Text Char"/>
    <w:aliases w:val="Footnote Text Char Char Char,Footnote Text Char1 Char Char Char,Footnote Text Char Char Char Char Char,Footnote Text Char1 Char Char Char Char Char,Footnote Char Char Char Char Char Char,FA Fu Char,Fußnotentextf Char,ft Char,fußn Char"/>
    <w:basedOn w:val="DefaultParagraphFont"/>
    <w:uiPriority w:val="99"/>
    <w:rPr>
      <w:sz w:val="20"/>
      <w:szCs w:val="20"/>
    </w:rPr>
  </w:style>
  <w:style w:type="character" w:styleId="Hyperlink">
    <w:name w:val="Hyperlink"/>
    <w:rPr>
      <w:u w:val="single"/>
    </w:rPr>
  </w:style>
  <w:style w:type="character" w:styleId="FootnoteReference">
    <w:name w:val="footnote reference"/>
    <w:aliases w:val="Odwołanie przypisu,Footnote symbol,BVI fnr,Footnote,Footnotes refss,SUPERS,Footnote Reference Superscript,Ref,de nota al pie,-E Fußnotenzeichen,Footnote reference number,Times 10 Point,Exposant 3 Point,E,E FNZ,Footnote#,note TESI,FR,F"/>
    <w:basedOn w:val="DefaultParagraphFont"/>
    <w:link w:val="ftrefCharCharCharCharCharCharCharCharChar"/>
    <w:uiPriority w:val="99"/>
    <w:unhideWhenUsed/>
    <w:qFormat/>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pPr>
      <w:spacing w:after="160" w:line="240" w:lineRule="exact"/>
    </w:pPr>
    <w:rPr>
      <w:vertAlign w:val="superscript"/>
    </w:rPr>
  </w:style>
  <w:style w:type="character" w:styleId="Strong">
    <w:name w:val="Strong"/>
    <w:uiPriority w:val="22"/>
    <w:qFormat/>
    <w:rPr>
      <w:b/>
      <w:bCs/>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style>
  <w:style w:type="character" w:customStyle="1" w:styleId="A3">
    <w:name w:val="A3"/>
    <w:uiPriority w:val="99"/>
    <w:rPr>
      <w:rFonts w:ascii="EC Square Sans Pro Medium" w:hAnsi="EC Square Sans Pro Medium" w:cs="EC Square Sans Pro Medium"/>
      <w:color w:val="000000"/>
      <w:sz w:val="40"/>
      <w:szCs w:val="40"/>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HeaderCoverPage">
    <w:name w:val="Header Cover Page"/>
    <w:basedOn w:val="Normal"/>
    <w:link w:val="HeaderCoverPageChar"/>
    <w:pPr>
      <w:keepNext/>
      <w:pBdr>
        <w:top w:val="nil"/>
        <w:left w:val="nil"/>
        <w:bottom w:val="nil"/>
        <w:right w:val="nil"/>
        <w:between w:val="nil"/>
        <w:bar w:val="nil"/>
      </w:pBdr>
      <w:tabs>
        <w:tab w:val="center" w:pos="4535"/>
        <w:tab w:val="right" w:pos="9071"/>
      </w:tabs>
      <w:spacing w:after="120" w:line="240" w:lineRule="auto"/>
      <w:jc w:val="both"/>
      <w:outlineLvl w:val="0"/>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styleId="NormalWeb">
    <w:name w:val="Normal (Web)"/>
    <w:basedOn w:val="Normal"/>
    <w:uiPriority w:val="99"/>
    <w:unhideWhenUsed/>
    <w:rPr>
      <w:rFonts w:ascii="Times New Roman" w:hAnsi="Times New Roman" w:cs="Times New Roman"/>
      <w:sz w:val="24"/>
      <w:szCs w:val="24"/>
    </w:rPr>
  </w:style>
  <w:style w:type="paragraph" w:customStyle="1" w:styleId="FootnoteReferneceChar">
    <w:name w:val="Footnote Refernece Char"/>
    <w:aliases w:val="BVI fnr Char Char Char Char Char Char Char Char Char,BVI fnr Car Car Char Char Char Char Char Char Char Char Char,BVI fnr Car Char Char Char Char Char Char Char Char Char Char,Footnote Refernece Char Char Char Char"/>
    <w:basedOn w:val="Normal"/>
    <w:uiPriority w:val="99"/>
    <w:pPr>
      <w:spacing w:before="240" w:after="160" w:line="240" w:lineRule="exact"/>
    </w:pPr>
    <w:rPr>
      <w:vertAlign w:val="superscript"/>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Pr>
      <w:rFonts w:ascii="Times New Roman" w:eastAsia="Cambria" w:hAnsi="Times New Roman" w:cs="Times New Roman"/>
      <w:b/>
      <w:bCs/>
      <w:color w:val="000000"/>
      <w:kern w:val="32"/>
      <w:sz w:val="32"/>
      <w:szCs w:val="32"/>
      <w:u w:color="000000"/>
      <w:bdr w:val="nil"/>
      <w:lang w:eastAsia="bg-BG"/>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CharCharCharCharChar">
    <w:name w:val="Char Char Char Char Char"/>
    <w:aliases w:val="number Char Char"/>
    <w:basedOn w:val="Normal"/>
    <w:pPr>
      <w:spacing w:after="160" w:line="240" w:lineRule="exact"/>
      <w:jc w:val="both"/>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040340">
      <w:bodyDiv w:val="1"/>
      <w:marLeft w:val="0"/>
      <w:marRight w:val="0"/>
      <w:marTop w:val="0"/>
      <w:marBottom w:val="0"/>
      <w:divBdr>
        <w:top w:val="none" w:sz="0" w:space="0" w:color="auto"/>
        <w:left w:val="none" w:sz="0" w:space="0" w:color="auto"/>
        <w:bottom w:val="none" w:sz="0" w:space="0" w:color="auto"/>
        <w:right w:val="none" w:sz="0" w:space="0" w:color="auto"/>
      </w:divBdr>
    </w:div>
    <w:div w:id="172452985">
      <w:bodyDiv w:val="1"/>
      <w:marLeft w:val="0"/>
      <w:marRight w:val="0"/>
      <w:marTop w:val="0"/>
      <w:marBottom w:val="0"/>
      <w:divBdr>
        <w:top w:val="none" w:sz="0" w:space="0" w:color="auto"/>
        <w:left w:val="none" w:sz="0" w:space="0" w:color="auto"/>
        <w:bottom w:val="none" w:sz="0" w:space="0" w:color="auto"/>
        <w:right w:val="none" w:sz="0" w:space="0" w:color="auto"/>
      </w:divBdr>
    </w:div>
    <w:div w:id="230194729">
      <w:bodyDiv w:val="1"/>
      <w:marLeft w:val="0"/>
      <w:marRight w:val="0"/>
      <w:marTop w:val="0"/>
      <w:marBottom w:val="0"/>
      <w:divBdr>
        <w:top w:val="none" w:sz="0" w:space="0" w:color="auto"/>
        <w:left w:val="none" w:sz="0" w:space="0" w:color="auto"/>
        <w:bottom w:val="none" w:sz="0" w:space="0" w:color="auto"/>
        <w:right w:val="none" w:sz="0" w:space="0" w:color="auto"/>
      </w:divBdr>
    </w:div>
    <w:div w:id="263417133">
      <w:bodyDiv w:val="1"/>
      <w:marLeft w:val="0"/>
      <w:marRight w:val="0"/>
      <w:marTop w:val="0"/>
      <w:marBottom w:val="0"/>
      <w:divBdr>
        <w:top w:val="none" w:sz="0" w:space="0" w:color="auto"/>
        <w:left w:val="none" w:sz="0" w:space="0" w:color="auto"/>
        <w:bottom w:val="none" w:sz="0" w:space="0" w:color="auto"/>
        <w:right w:val="none" w:sz="0" w:space="0" w:color="auto"/>
      </w:divBdr>
    </w:div>
    <w:div w:id="480118169">
      <w:bodyDiv w:val="1"/>
      <w:marLeft w:val="0"/>
      <w:marRight w:val="0"/>
      <w:marTop w:val="0"/>
      <w:marBottom w:val="0"/>
      <w:divBdr>
        <w:top w:val="none" w:sz="0" w:space="0" w:color="auto"/>
        <w:left w:val="none" w:sz="0" w:space="0" w:color="auto"/>
        <w:bottom w:val="none" w:sz="0" w:space="0" w:color="auto"/>
        <w:right w:val="none" w:sz="0" w:space="0" w:color="auto"/>
      </w:divBdr>
    </w:div>
    <w:div w:id="480849424">
      <w:bodyDiv w:val="1"/>
      <w:marLeft w:val="0"/>
      <w:marRight w:val="0"/>
      <w:marTop w:val="0"/>
      <w:marBottom w:val="0"/>
      <w:divBdr>
        <w:top w:val="none" w:sz="0" w:space="0" w:color="auto"/>
        <w:left w:val="none" w:sz="0" w:space="0" w:color="auto"/>
        <w:bottom w:val="none" w:sz="0" w:space="0" w:color="auto"/>
        <w:right w:val="none" w:sz="0" w:space="0" w:color="auto"/>
      </w:divBdr>
    </w:div>
    <w:div w:id="487673464">
      <w:bodyDiv w:val="1"/>
      <w:marLeft w:val="0"/>
      <w:marRight w:val="0"/>
      <w:marTop w:val="0"/>
      <w:marBottom w:val="0"/>
      <w:divBdr>
        <w:top w:val="none" w:sz="0" w:space="0" w:color="auto"/>
        <w:left w:val="none" w:sz="0" w:space="0" w:color="auto"/>
        <w:bottom w:val="none" w:sz="0" w:space="0" w:color="auto"/>
        <w:right w:val="none" w:sz="0" w:space="0" w:color="auto"/>
      </w:divBdr>
    </w:div>
    <w:div w:id="650602872">
      <w:bodyDiv w:val="1"/>
      <w:marLeft w:val="0"/>
      <w:marRight w:val="0"/>
      <w:marTop w:val="0"/>
      <w:marBottom w:val="0"/>
      <w:divBdr>
        <w:top w:val="none" w:sz="0" w:space="0" w:color="auto"/>
        <w:left w:val="none" w:sz="0" w:space="0" w:color="auto"/>
        <w:bottom w:val="none" w:sz="0" w:space="0" w:color="auto"/>
        <w:right w:val="none" w:sz="0" w:space="0" w:color="auto"/>
      </w:divBdr>
    </w:div>
    <w:div w:id="684865318">
      <w:bodyDiv w:val="1"/>
      <w:marLeft w:val="0"/>
      <w:marRight w:val="0"/>
      <w:marTop w:val="0"/>
      <w:marBottom w:val="0"/>
      <w:divBdr>
        <w:top w:val="none" w:sz="0" w:space="0" w:color="auto"/>
        <w:left w:val="none" w:sz="0" w:space="0" w:color="auto"/>
        <w:bottom w:val="none" w:sz="0" w:space="0" w:color="auto"/>
        <w:right w:val="none" w:sz="0" w:space="0" w:color="auto"/>
      </w:divBdr>
    </w:div>
    <w:div w:id="741028133">
      <w:bodyDiv w:val="1"/>
      <w:marLeft w:val="0"/>
      <w:marRight w:val="0"/>
      <w:marTop w:val="0"/>
      <w:marBottom w:val="0"/>
      <w:divBdr>
        <w:top w:val="none" w:sz="0" w:space="0" w:color="auto"/>
        <w:left w:val="none" w:sz="0" w:space="0" w:color="auto"/>
        <w:bottom w:val="none" w:sz="0" w:space="0" w:color="auto"/>
        <w:right w:val="none" w:sz="0" w:space="0" w:color="auto"/>
      </w:divBdr>
    </w:div>
    <w:div w:id="760489807">
      <w:bodyDiv w:val="1"/>
      <w:marLeft w:val="0"/>
      <w:marRight w:val="0"/>
      <w:marTop w:val="0"/>
      <w:marBottom w:val="0"/>
      <w:divBdr>
        <w:top w:val="none" w:sz="0" w:space="0" w:color="auto"/>
        <w:left w:val="none" w:sz="0" w:space="0" w:color="auto"/>
        <w:bottom w:val="none" w:sz="0" w:space="0" w:color="auto"/>
        <w:right w:val="none" w:sz="0" w:space="0" w:color="auto"/>
      </w:divBdr>
    </w:div>
    <w:div w:id="1017388139">
      <w:bodyDiv w:val="1"/>
      <w:marLeft w:val="0"/>
      <w:marRight w:val="0"/>
      <w:marTop w:val="0"/>
      <w:marBottom w:val="0"/>
      <w:divBdr>
        <w:top w:val="none" w:sz="0" w:space="0" w:color="auto"/>
        <w:left w:val="none" w:sz="0" w:space="0" w:color="auto"/>
        <w:bottom w:val="none" w:sz="0" w:space="0" w:color="auto"/>
        <w:right w:val="none" w:sz="0" w:space="0" w:color="auto"/>
      </w:divBdr>
    </w:div>
    <w:div w:id="1034118680">
      <w:bodyDiv w:val="1"/>
      <w:marLeft w:val="0"/>
      <w:marRight w:val="0"/>
      <w:marTop w:val="0"/>
      <w:marBottom w:val="0"/>
      <w:divBdr>
        <w:top w:val="none" w:sz="0" w:space="0" w:color="auto"/>
        <w:left w:val="none" w:sz="0" w:space="0" w:color="auto"/>
        <w:bottom w:val="none" w:sz="0" w:space="0" w:color="auto"/>
        <w:right w:val="none" w:sz="0" w:space="0" w:color="auto"/>
      </w:divBdr>
    </w:div>
    <w:div w:id="1075011330">
      <w:bodyDiv w:val="1"/>
      <w:marLeft w:val="0"/>
      <w:marRight w:val="0"/>
      <w:marTop w:val="0"/>
      <w:marBottom w:val="0"/>
      <w:divBdr>
        <w:top w:val="none" w:sz="0" w:space="0" w:color="auto"/>
        <w:left w:val="none" w:sz="0" w:space="0" w:color="auto"/>
        <w:bottom w:val="none" w:sz="0" w:space="0" w:color="auto"/>
        <w:right w:val="none" w:sz="0" w:space="0" w:color="auto"/>
      </w:divBdr>
    </w:div>
    <w:div w:id="1144663745">
      <w:bodyDiv w:val="1"/>
      <w:marLeft w:val="0"/>
      <w:marRight w:val="0"/>
      <w:marTop w:val="0"/>
      <w:marBottom w:val="0"/>
      <w:divBdr>
        <w:top w:val="none" w:sz="0" w:space="0" w:color="auto"/>
        <w:left w:val="none" w:sz="0" w:space="0" w:color="auto"/>
        <w:bottom w:val="none" w:sz="0" w:space="0" w:color="auto"/>
        <w:right w:val="none" w:sz="0" w:space="0" w:color="auto"/>
      </w:divBdr>
      <w:divsChild>
        <w:div w:id="600071530">
          <w:marLeft w:val="0"/>
          <w:marRight w:val="0"/>
          <w:marTop w:val="0"/>
          <w:marBottom w:val="0"/>
          <w:divBdr>
            <w:top w:val="none" w:sz="0" w:space="0" w:color="auto"/>
            <w:left w:val="none" w:sz="0" w:space="0" w:color="auto"/>
            <w:bottom w:val="none" w:sz="0" w:space="0" w:color="auto"/>
            <w:right w:val="none" w:sz="0" w:space="0" w:color="auto"/>
          </w:divBdr>
          <w:divsChild>
            <w:div w:id="385489242">
              <w:marLeft w:val="0"/>
              <w:marRight w:val="0"/>
              <w:marTop w:val="0"/>
              <w:marBottom w:val="150"/>
              <w:divBdr>
                <w:top w:val="none" w:sz="0" w:space="0" w:color="auto"/>
                <w:left w:val="none" w:sz="0" w:space="0" w:color="auto"/>
                <w:bottom w:val="none" w:sz="0" w:space="0" w:color="auto"/>
                <w:right w:val="none" w:sz="0" w:space="0" w:color="auto"/>
              </w:divBdr>
              <w:divsChild>
                <w:div w:id="2057701841">
                  <w:marLeft w:val="0"/>
                  <w:marRight w:val="0"/>
                  <w:marTop w:val="0"/>
                  <w:marBottom w:val="0"/>
                  <w:divBdr>
                    <w:top w:val="none" w:sz="0" w:space="0" w:color="auto"/>
                    <w:left w:val="none" w:sz="0" w:space="0" w:color="auto"/>
                    <w:bottom w:val="none" w:sz="0" w:space="0" w:color="auto"/>
                    <w:right w:val="none" w:sz="0" w:space="0" w:color="auto"/>
                  </w:divBdr>
                  <w:divsChild>
                    <w:div w:id="551113887">
                      <w:marLeft w:val="0"/>
                      <w:marRight w:val="0"/>
                      <w:marTop w:val="0"/>
                      <w:marBottom w:val="0"/>
                      <w:divBdr>
                        <w:top w:val="none" w:sz="0" w:space="0" w:color="auto"/>
                        <w:left w:val="none" w:sz="0" w:space="0" w:color="auto"/>
                        <w:bottom w:val="none" w:sz="0" w:space="0" w:color="auto"/>
                        <w:right w:val="none" w:sz="0" w:space="0" w:color="auto"/>
                      </w:divBdr>
                      <w:divsChild>
                        <w:div w:id="788818342">
                          <w:marLeft w:val="0"/>
                          <w:marRight w:val="0"/>
                          <w:marTop w:val="0"/>
                          <w:marBottom w:val="0"/>
                          <w:divBdr>
                            <w:top w:val="none" w:sz="0" w:space="0" w:color="auto"/>
                            <w:left w:val="none" w:sz="0" w:space="0" w:color="auto"/>
                            <w:bottom w:val="none" w:sz="0" w:space="0" w:color="auto"/>
                            <w:right w:val="none" w:sz="0" w:space="0" w:color="auto"/>
                          </w:divBdr>
                          <w:divsChild>
                            <w:div w:id="1701465705">
                              <w:marLeft w:val="0"/>
                              <w:marRight w:val="0"/>
                              <w:marTop w:val="0"/>
                              <w:marBottom w:val="0"/>
                              <w:divBdr>
                                <w:top w:val="none" w:sz="0" w:space="0" w:color="auto"/>
                                <w:left w:val="none" w:sz="0" w:space="0" w:color="auto"/>
                                <w:bottom w:val="none" w:sz="0" w:space="0" w:color="auto"/>
                                <w:right w:val="none" w:sz="0" w:space="0" w:color="auto"/>
                              </w:divBdr>
                              <w:divsChild>
                                <w:div w:id="2010524637">
                                  <w:marLeft w:val="0"/>
                                  <w:marRight w:val="-3600"/>
                                  <w:marTop w:val="150"/>
                                  <w:marBottom w:val="0"/>
                                  <w:divBdr>
                                    <w:top w:val="none" w:sz="0" w:space="0" w:color="auto"/>
                                    <w:left w:val="none" w:sz="0" w:space="0" w:color="auto"/>
                                    <w:bottom w:val="none" w:sz="0" w:space="0" w:color="auto"/>
                                    <w:right w:val="none" w:sz="0" w:space="0" w:color="auto"/>
                                  </w:divBdr>
                                  <w:divsChild>
                                    <w:div w:id="1543470949">
                                      <w:marLeft w:val="0"/>
                                      <w:marRight w:val="3600"/>
                                      <w:marTop w:val="0"/>
                                      <w:marBottom w:val="0"/>
                                      <w:divBdr>
                                        <w:top w:val="none" w:sz="0" w:space="0" w:color="auto"/>
                                        <w:left w:val="none" w:sz="0" w:space="0" w:color="auto"/>
                                        <w:bottom w:val="none" w:sz="0" w:space="0" w:color="auto"/>
                                        <w:right w:val="none" w:sz="0" w:space="0" w:color="auto"/>
                                      </w:divBdr>
                                      <w:divsChild>
                                        <w:div w:id="558708225">
                                          <w:marLeft w:val="0"/>
                                          <w:marRight w:val="0"/>
                                          <w:marTop w:val="0"/>
                                          <w:marBottom w:val="0"/>
                                          <w:divBdr>
                                            <w:top w:val="none" w:sz="0" w:space="0" w:color="auto"/>
                                            <w:left w:val="none" w:sz="0" w:space="0" w:color="auto"/>
                                            <w:bottom w:val="none" w:sz="0" w:space="0" w:color="auto"/>
                                            <w:right w:val="none" w:sz="0" w:space="0" w:color="auto"/>
                                          </w:divBdr>
                                          <w:divsChild>
                                            <w:div w:id="203955153">
                                              <w:marLeft w:val="0"/>
                                              <w:marRight w:val="0"/>
                                              <w:marTop w:val="0"/>
                                              <w:marBottom w:val="0"/>
                                              <w:divBdr>
                                                <w:top w:val="none" w:sz="0" w:space="0" w:color="auto"/>
                                                <w:left w:val="none" w:sz="0" w:space="0" w:color="auto"/>
                                                <w:bottom w:val="none" w:sz="0" w:space="0" w:color="auto"/>
                                                <w:right w:val="none" w:sz="0" w:space="0" w:color="auto"/>
                                              </w:divBdr>
                                              <w:divsChild>
                                                <w:div w:id="852107076">
                                                  <w:marLeft w:val="0"/>
                                                  <w:marRight w:val="0"/>
                                                  <w:marTop w:val="0"/>
                                                  <w:marBottom w:val="0"/>
                                                  <w:divBdr>
                                                    <w:top w:val="none" w:sz="0" w:space="0" w:color="auto"/>
                                                    <w:left w:val="none" w:sz="0" w:space="0" w:color="auto"/>
                                                    <w:bottom w:val="none" w:sz="0" w:space="0" w:color="auto"/>
                                                    <w:right w:val="none" w:sz="0" w:space="0" w:color="auto"/>
                                                  </w:divBdr>
                                                  <w:divsChild>
                                                    <w:div w:id="869411594">
                                                      <w:marLeft w:val="0"/>
                                                      <w:marRight w:val="0"/>
                                                      <w:marTop w:val="0"/>
                                                      <w:marBottom w:val="0"/>
                                                      <w:divBdr>
                                                        <w:top w:val="none" w:sz="0" w:space="0" w:color="auto"/>
                                                        <w:left w:val="none" w:sz="0" w:space="0" w:color="auto"/>
                                                        <w:bottom w:val="none" w:sz="0" w:space="0" w:color="auto"/>
                                                        <w:right w:val="none" w:sz="0" w:space="0" w:color="auto"/>
                                                      </w:divBdr>
                                                      <w:divsChild>
                                                        <w:div w:id="15145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7552016">
      <w:bodyDiv w:val="1"/>
      <w:marLeft w:val="0"/>
      <w:marRight w:val="0"/>
      <w:marTop w:val="0"/>
      <w:marBottom w:val="0"/>
      <w:divBdr>
        <w:top w:val="none" w:sz="0" w:space="0" w:color="auto"/>
        <w:left w:val="none" w:sz="0" w:space="0" w:color="auto"/>
        <w:bottom w:val="none" w:sz="0" w:space="0" w:color="auto"/>
        <w:right w:val="none" w:sz="0" w:space="0" w:color="auto"/>
      </w:divBdr>
    </w:div>
    <w:div w:id="1206331934">
      <w:bodyDiv w:val="1"/>
      <w:marLeft w:val="0"/>
      <w:marRight w:val="0"/>
      <w:marTop w:val="0"/>
      <w:marBottom w:val="0"/>
      <w:divBdr>
        <w:top w:val="none" w:sz="0" w:space="0" w:color="auto"/>
        <w:left w:val="none" w:sz="0" w:space="0" w:color="auto"/>
        <w:bottom w:val="none" w:sz="0" w:space="0" w:color="auto"/>
        <w:right w:val="none" w:sz="0" w:space="0" w:color="auto"/>
      </w:divBdr>
    </w:div>
    <w:div w:id="1226069496">
      <w:bodyDiv w:val="1"/>
      <w:marLeft w:val="0"/>
      <w:marRight w:val="0"/>
      <w:marTop w:val="0"/>
      <w:marBottom w:val="0"/>
      <w:divBdr>
        <w:top w:val="none" w:sz="0" w:space="0" w:color="auto"/>
        <w:left w:val="none" w:sz="0" w:space="0" w:color="auto"/>
        <w:bottom w:val="none" w:sz="0" w:space="0" w:color="auto"/>
        <w:right w:val="none" w:sz="0" w:space="0" w:color="auto"/>
      </w:divBdr>
    </w:div>
    <w:div w:id="1269509066">
      <w:bodyDiv w:val="1"/>
      <w:marLeft w:val="0"/>
      <w:marRight w:val="0"/>
      <w:marTop w:val="0"/>
      <w:marBottom w:val="0"/>
      <w:divBdr>
        <w:top w:val="none" w:sz="0" w:space="0" w:color="auto"/>
        <w:left w:val="none" w:sz="0" w:space="0" w:color="auto"/>
        <w:bottom w:val="none" w:sz="0" w:space="0" w:color="auto"/>
        <w:right w:val="none" w:sz="0" w:space="0" w:color="auto"/>
      </w:divBdr>
    </w:div>
    <w:div w:id="1397894946">
      <w:bodyDiv w:val="1"/>
      <w:marLeft w:val="0"/>
      <w:marRight w:val="0"/>
      <w:marTop w:val="0"/>
      <w:marBottom w:val="0"/>
      <w:divBdr>
        <w:top w:val="none" w:sz="0" w:space="0" w:color="auto"/>
        <w:left w:val="none" w:sz="0" w:space="0" w:color="auto"/>
        <w:bottom w:val="none" w:sz="0" w:space="0" w:color="auto"/>
        <w:right w:val="none" w:sz="0" w:space="0" w:color="auto"/>
      </w:divBdr>
    </w:div>
    <w:div w:id="1415974860">
      <w:bodyDiv w:val="1"/>
      <w:marLeft w:val="0"/>
      <w:marRight w:val="0"/>
      <w:marTop w:val="0"/>
      <w:marBottom w:val="0"/>
      <w:divBdr>
        <w:top w:val="none" w:sz="0" w:space="0" w:color="auto"/>
        <w:left w:val="none" w:sz="0" w:space="0" w:color="auto"/>
        <w:bottom w:val="none" w:sz="0" w:space="0" w:color="auto"/>
        <w:right w:val="none" w:sz="0" w:space="0" w:color="auto"/>
      </w:divBdr>
      <w:divsChild>
        <w:div w:id="275063876">
          <w:marLeft w:val="0"/>
          <w:marRight w:val="0"/>
          <w:marTop w:val="0"/>
          <w:marBottom w:val="0"/>
          <w:divBdr>
            <w:top w:val="none" w:sz="0" w:space="0" w:color="auto"/>
            <w:left w:val="none" w:sz="0" w:space="0" w:color="auto"/>
            <w:bottom w:val="none" w:sz="0" w:space="0" w:color="auto"/>
            <w:right w:val="none" w:sz="0" w:space="0" w:color="auto"/>
          </w:divBdr>
          <w:divsChild>
            <w:div w:id="979336511">
              <w:marLeft w:val="0"/>
              <w:marRight w:val="0"/>
              <w:marTop w:val="0"/>
              <w:marBottom w:val="150"/>
              <w:divBdr>
                <w:top w:val="none" w:sz="0" w:space="0" w:color="auto"/>
                <w:left w:val="none" w:sz="0" w:space="0" w:color="auto"/>
                <w:bottom w:val="none" w:sz="0" w:space="0" w:color="auto"/>
                <w:right w:val="none" w:sz="0" w:space="0" w:color="auto"/>
              </w:divBdr>
              <w:divsChild>
                <w:div w:id="980158843">
                  <w:marLeft w:val="0"/>
                  <w:marRight w:val="0"/>
                  <w:marTop w:val="0"/>
                  <w:marBottom w:val="0"/>
                  <w:divBdr>
                    <w:top w:val="none" w:sz="0" w:space="0" w:color="auto"/>
                    <w:left w:val="none" w:sz="0" w:space="0" w:color="auto"/>
                    <w:bottom w:val="none" w:sz="0" w:space="0" w:color="auto"/>
                    <w:right w:val="none" w:sz="0" w:space="0" w:color="auto"/>
                  </w:divBdr>
                  <w:divsChild>
                    <w:div w:id="754133477">
                      <w:marLeft w:val="0"/>
                      <w:marRight w:val="0"/>
                      <w:marTop w:val="0"/>
                      <w:marBottom w:val="0"/>
                      <w:divBdr>
                        <w:top w:val="none" w:sz="0" w:space="0" w:color="auto"/>
                        <w:left w:val="none" w:sz="0" w:space="0" w:color="auto"/>
                        <w:bottom w:val="none" w:sz="0" w:space="0" w:color="auto"/>
                        <w:right w:val="none" w:sz="0" w:space="0" w:color="auto"/>
                      </w:divBdr>
                      <w:divsChild>
                        <w:div w:id="1499887078">
                          <w:marLeft w:val="0"/>
                          <w:marRight w:val="0"/>
                          <w:marTop w:val="0"/>
                          <w:marBottom w:val="0"/>
                          <w:divBdr>
                            <w:top w:val="none" w:sz="0" w:space="0" w:color="auto"/>
                            <w:left w:val="none" w:sz="0" w:space="0" w:color="auto"/>
                            <w:bottom w:val="none" w:sz="0" w:space="0" w:color="auto"/>
                            <w:right w:val="none" w:sz="0" w:space="0" w:color="auto"/>
                          </w:divBdr>
                          <w:divsChild>
                            <w:div w:id="610629833">
                              <w:marLeft w:val="0"/>
                              <w:marRight w:val="0"/>
                              <w:marTop w:val="0"/>
                              <w:marBottom w:val="0"/>
                              <w:divBdr>
                                <w:top w:val="none" w:sz="0" w:space="0" w:color="auto"/>
                                <w:left w:val="none" w:sz="0" w:space="0" w:color="auto"/>
                                <w:bottom w:val="none" w:sz="0" w:space="0" w:color="auto"/>
                                <w:right w:val="none" w:sz="0" w:space="0" w:color="auto"/>
                              </w:divBdr>
                              <w:divsChild>
                                <w:div w:id="697045558">
                                  <w:marLeft w:val="0"/>
                                  <w:marRight w:val="-3600"/>
                                  <w:marTop w:val="150"/>
                                  <w:marBottom w:val="0"/>
                                  <w:divBdr>
                                    <w:top w:val="none" w:sz="0" w:space="0" w:color="auto"/>
                                    <w:left w:val="none" w:sz="0" w:space="0" w:color="auto"/>
                                    <w:bottom w:val="none" w:sz="0" w:space="0" w:color="auto"/>
                                    <w:right w:val="none" w:sz="0" w:space="0" w:color="auto"/>
                                  </w:divBdr>
                                  <w:divsChild>
                                    <w:div w:id="1781802438">
                                      <w:marLeft w:val="0"/>
                                      <w:marRight w:val="3600"/>
                                      <w:marTop w:val="0"/>
                                      <w:marBottom w:val="0"/>
                                      <w:divBdr>
                                        <w:top w:val="none" w:sz="0" w:space="0" w:color="auto"/>
                                        <w:left w:val="none" w:sz="0" w:space="0" w:color="auto"/>
                                        <w:bottom w:val="none" w:sz="0" w:space="0" w:color="auto"/>
                                        <w:right w:val="none" w:sz="0" w:space="0" w:color="auto"/>
                                      </w:divBdr>
                                      <w:divsChild>
                                        <w:div w:id="1930963797">
                                          <w:marLeft w:val="0"/>
                                          <w:marRight w:val="0"/>
                                          <w:marTop w:val="0"/>
                                          <w:marBottom w:val="0"/>
                                          <w:divBdr>
                                            <w:top w:val="none" w:sz="0" w:space="0" w:color="auto"/>
                                            <w:left w:val="none" w:sz="0" w:space="0" w:color="auto"/>
                                            <w:bottom w:val="none" w:sz="0" w:space="0" w:color="auto"/>
                                            <w:right w:val="none" w:sz="0" w:space="0" w:color="auto"/>
                                          </w:divBdr>
                                          <w:divsChild>
                                            <w:div w:id="621958386">
                                              <w:marLeft w:val="0"/>
                                              <w:marRight w:val="0"/>
                                              <w:marTop w:val="0"/>
                                              <w:marBottom w:val="0"/>
                                              <w:divBdr>
                                                <w:top w:val="none" w:sz="0" w:space="0" w:color="auto"/>
                                                <w:left w:val="none" w:sz="0" w:space="0" w:color="auto"/>
                                                <w:bottom w:val="none" w:sz="0" w:space="0" w:color="auto"/>
                                                <w:right w:val="none" w:sz="0" w:space="0" w:color="auto"/>
                                              </w:divBdr>
                                              <w:divsChild>
                                                <w:div w:id="157236199">
                                                  <w:marLeft w:val="0"/>
                                                  <w:marRight w:val="0"/>
                                                  <w:marTop w:val="0"/>
                                                  <w:marBottom w:val="0"/>
                                                  <w:divBdr>
                                                    <w:top w:val="none" w:sz="0" w:space="0" w:color="auto"/>
                                                    <w:left w:val="none" w:sz="0" w:space="0" w:color="auto"/>
                                                    <w:bottom w:val="none" w:sz="0" w:space="0" w:color="auto"/>
                                                    <w:right w:val="none" w:sz="0" w:space="0" w:color="auto"/>
                                                  </w:divBdr>
                                                  <w:divsChild>
                                                    <w:div w:id="1723404583">
                                                      <w:marLeft w:val="0"/>
                                                      <w:marRight w:val="0"/>
                                                      <w:marTop w:val="0"/>
                                                      <w:marBottom w:val="0"/>
                                                      <w:divBdr>
                                                        <w:top w:val="none" w:sz="0" w:space="0" w:color="auto"/>
                                                        <w:left w:val="none" w:sz="0" w:space="0" w:color="auto"/>
                                                        <w:bottom w:val="none" w:sz="0" w:space="0" w:color="auto"/>
                                                        <w:right w:val="none" w:sz="0" w:space="0" w:color="auto"/>
                                                      </w:divBdr>
                                                      <w:divsChild>
                                                        <w:div w:id="39277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43303021">
      <w:bodyDiv w:val="1"/>
      <w:marLeft w:val="0"/>
      <w:marRight w:val="0"/>
      <w:marTop w:val="0"/>
      <w:marBottom w:val="0"/>
      <w:divBdr>
        <w:top w:val="none" w:sz="0" w:space="0" w:color="auto"/>
        <w:left w:val="none" w:sz="0" w:space="0" w:color="auto"/>
        <w:bottom w:val="none" w:sz="0" w:space="0" w:color="auto"/>
        <w:right w:val="none" w:sz="0" w:space="0" w:color="auto"/>
      </w:divBdr>
    </w:div>
    <w:div w:id="1461150928">
      <w:bodyDiv w:val="1"/>
      <w:marLeft w:val="0"/>
      <w:marRight w:val="0"/>
      <w:marTop w:val="0"/>
      <w:marBottom w:val="0"/>
      <w:divBdr>
        <w:top w:val="none" w:sz="0" w:space="0" w:color="auto"/>
        <w:left w:val="none" w:sz="0" w:space="0" w:color="auto"/>
        <w:bottom w:val="none" w:sz="0" w:space="0" w:color="auto"/>
        <w:right w:val="none" w:sz="0" w:space="0" w:color="auto"/>
      </w:divBdr>
    </w:div>
    <w:div w:id="1479683051">
      <w:bodyDiv w:val="1"/>
      <w:marLeft w:val="0"/>
      <w:marRight w:val="0"/>
      <w:marTop w:val="0"/>
      <w:marBottom w:val="0"/>
      <w:divBdr>
        <w:top w:val="none" w:sz="0" w:space="0" w:color="auto"/>
        <w:left w:val="none" w:sz="0" w:space="0" w:color="auto"/>
        <w:bottom w:val="none" w:sz="0" w:space="0" w:color="auto"/>
        <w:right w:val="none" w:sz="0" w:space="0" w:color="auto"/>
      </w:divBdr>
    </w:div>
    <w:div w:id="1486122097">
      <w:bodyDiv w:val="1"/>
      <w:marLeft w:val="0"/>
      <w:marRight w:val="0"/>
      <w:marTop w:val="0"/>
      <w:marBottom w:val="0"/>
      <w:divBdr>
        <w:top w:val="none" w:sz="0" w:space="0" w:color="auto"/>
        <w:left w:val="none" w:sz="0" w:space="0" w:color="auto"/>
        <w:bottom w:val="none" w:sz="0" w:space="0" w:color="auto"/>
        <w:right w:val="none" w:sz="0" w:space="0" w:color="auto"/>
      </w:divBdr>
    </w:div>
    <w:div w:id="1577013081">
      <w:bodyDiv w:val="1"/>
      <w:marLeft w:val="0"/>
      <w:marRight w:val="0"/>
      <w:marTop w:val="0"/>
      <w:marBottom w:val="0"/>
      <w:divBdr>
        <w:top w:val="none" w:sz="0" w:space="0" w:color="auto"/>
        <w:left w:val="none" w:sz="0" w:space="0" w:color="auto"/>
        <w:bottom w:val="none" w:sz="0" w:space="0" w:color="auto"/>
        <w:right w:val="none" w:sz="0" w:space="0" w:color="auto"/>
      </w:divBdr>
    </w:div>
    <w:div w:id="1592661388">
      <w:bodyDiv w:val="1"/>
      <w:marLeft w:val="0"/>
      <w:marRight w:val="0"/>
      <w:marTop w:val="0"/>
      <w:marBottom w:val="0"/>
      <w:divBdr>
        <w:top w:val="none" w:sz="0" w:space="0" w:color="auto"/>
        <w:left w:val="none" w:sz="0" w:space="0" w:color="auto"/>
        <w:bottom w:val="none" w:sz="0" w:space="0" w:color="auto"/>
        <w:right w:val="none" w:sz="0" w:space="0" w:color="auto"/>
      </w:divBdr>
    </w:div>
    <w:div w:id="1617130900">
      <w:bodyDiv w:val="1"/>
      <w:marLeft w:val="0"/>
      <w:marRight w:val="0"/>
      <w:marTop w:val="0"/>
      <w:marBottom w:val="0"/>
      <w:divBdr>
        <w:top w:val="none" w:sz="0" w:space="0" w:color="auto"/>
        <w:left w:val="none" w:sz="0" w:space="0" w:color="auto"/>
        <w:bottom w:val="none" w:sz="0" w:space="0" w:color="auto"/>
        <w:right w:val="none" w:sz="0" w:space="0" w:color="auto"/>
      </w:divBdr>
      <w:divsChild>
        <w:div w:id="1267418713">
          <w:marLeft w:val="0"/>
          <w:marRight w:val="0"/>
          <w:marTop w:val="0"/>
          <w:marBottom w:val="0"/>
          <w:divBdr>
            <w:top w:val="single" w:sz="6" w:space="0" w:color="FFFFFF"/>
            <w:left w:val="single" w:sz="6" w:space="0" w:color="FFFFFF"/>
            <w:bottom w:val="single" w:sz="6" w:space="0" w:color="FFFFFF"/>
            <w:right w:val="single" w:sz="6" w:space="0" w:color="FFFFFF"/>
          </w:divBdr>
          <w:divsChild>
            <w:div w:id="215706290">
              <w:marLeft w:val="0"/>
              <w:marRight w:val="0"/>
              <w:marTop w:val="0"/>
              <w:marBottom w:val="0"/>
              <w:divBdr>
                <w:top w:val="none" w:sz="0" w:space="0" w:color="auto"/>
                <w:left w:val="none" w:sz="0" w:space="0" w:color="auto"/>
                <w:bottom w:val="none" w:sz="0" w:space="0" w:color="auto"/>
                <w:right w:val="none" w:sz="0" w:space="0" w:color="auto"/>
              </w:divBdr>
              <w:divsChild>
                <w:div w:id="1488785770">
                  <w:marLeft w:val="0"/>
                  <w:marRight w:val="0"/>
                  <w:marTop w:val="0"/>
                  <w:marBottom w:val="0"/>
                  <w:divBdr>
                    <w:top w:val="none" w:sz="0" w:space="0" w:color="auto"/>
                    <w:left w:val="none" w:sz="0" w:space="0" w:color="auto"/>
                    <w:bottom w:val="none" w:sz="0" w:space="0" w:color="auto"/>
                    <w:right w:val="none" w:sz="0" w:space="0" w:color="auto"/>
                  </w:divBdr>
                  <w:divsChild>
                    <w:div w:id="1577013876">
                      <w:marLeft w:val="0"/>
                      <w:marRight w:val="0"/>
                      <w:marTop w:val="0"/>
                      <w:marBottom w:val="0"/>
                      <w:divBdr>
                        <w:top w:val="none" w:sz="0" w:space="0" w:color="auto"/>
                        <w:left w:val="none" w:sz="0" w:space="0" w:color="auto"/>
                        <w:bottom w:val="none" w:sz="0" w:space="0" w:color="auto"/>
                        <w:right w:val="none" w:sz="0" w:space="0" w:color="auto"/>
                      </w:divBdr>
                      <w:divsChild>
                        <w:div w:id="198746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5181035">
      <w:bodyDiv w:val="1"/>
      <w:marLeft w:val="0"/>
      <w:marRight w:val="0"/>
      <w:marTop w:val="0"/>
      <w:marBottom w:val="0"/>
      <w:divBdr>
        <w:top w:val="none" w:sz="0" w:space="0" w:color="auto"/>
        <w:left w:val="none" w:sz="0" w:space="0" w:color="auto"/>
        <w:bottom w:val="none" w:sz="0" w:space="0" w:color="auto"/>
        <w:right w:val="none" w:sz="0" w:space="0" w:color="auto"/>
      </w:divBdr>
    </w:div>
    <w:div w:id="1679457953">
      <w:bodyDiv w:val="1"/>
      <w:marLeft w:val="0"/>
      <w:marRight w:val="0"/>
      <w:marTop w:val="0"/>
      <w:marBottom w:val="0"/>
      <w:divBdr>
        <w:top w:val="none" w:sz="0" w:space="0" w:color="auto"/>
        <w:left w:val="none" w:sz="0" w:space="0" w:color="auto"/>
        <w:bottom w:val="none" w:sz="0" w:space="0" w:color="auto"/>
        <w:right w:val="none" w:sz="0" w:space="0" w:color="auto"/>
      </w:divBdr>
      <w:divsChild>
        <w:div w:id="105737136">
          <w:marLeft w:val="0"/>
          <w:marRight w:val="0"/>
          <w:marTop w:val="0"/>
          <w:marBottom w:val="0"/>
          <w:divBdr>
            <w:top w:val="none" w:sz="0" w:space="0" w:color="auto"/>
            <w:left w:val="none" w:sz="0" w:space="0" w:color="auto"/>
            <w:bottom w:val="none" w:sz="0" w:space="0" w:color="auto"/>
            <w:right w:val="none" w:sz="0" w:space="0" w:color="auto"/>
          </w:divBdr>
          <w:divsChild>
            <w:div w:id="2146653734">
              <w:marLeft w:val="0"/>
              <w:marRight w:val="0"/>
              <w:marTop w:val="0"/>
              <w:marBottom w:val="0"/>
              <w:divBdr>
                <w:top w:val="none" w:sz="0" w:space="0" w:color="auto"/>
                <w:left w:val="none" w:sz="0" w:space="0" w:color="auto"/>
                <w:bottom w:val="none" w:sz="0" w:space="0" w:color="auto"/>
                <w:right w:val="none" w:sz="0" w:space="0" w:color="auto"/>
              </w:divBdr>
              <w:divsChild>
                <w:div w:id="124198360">
                  <w:marLeft w:val="0"/>
                  <w:marRight w:val="0"/>
                  <w:marTop w:val="0"/>
                  <w:marBottom w:val="0"/>
                  <w:divBdr>
                    <w:top w:val="none" w:sz="0" w:space="0" w:color="auto"/>
                    <w:left w:val="none" w:sz="0" w:space="0" w:color="auto"/>
                    <w:bottom w:val="none" w:sz="0" w:space="0" w:color="auto"/>
                    <w:right w:val="none" w:sz="0" w:space="0" w:color="auto"/>
                  </w:divBdr>
                  <w:divsChild>
                    <w:div w:id="193808963">
                      <w:marLeft w:val="1"/>
                      <w:marRight w:val="1"/>
                      <w:marTop w:val="0"/>
                      <w:marBottom w:val="0"/>
                      <w:divBdr>
                        <w:top w:val="none" w:sz="0" w:space="0" w:color="auto"/>
                        <w:left w:val="none" w:sz="0" w:space="0" w:color="auto"/>
                        <w:bottom w:val="none" w:sz="0" w:space="0" w:color="auto"/>
                        <w:right w:val="none" w:sz="0" w:space="0" w:color="auto"/>
                      </w:divBdr>
                      <w:divsChild>
                        <w:div w:id="459686373">
                          <w:marLeft w:val="0"/>
                          <w:marRight w:val="0"/>
                          <w:marTop w:val="0"/>
                          <w:marBottom w:val="0"/>
                          <w:divBdr>
                            <w:top w:val="none" w:sz="0" w:space="0" w:color="auto"/>
                            <w:left w:val="none" w:sz="0" w:space="0" w:color="auto"/>
                            <w:bottom w:val="none" w:sz="0" w:space="0" w:color="auto"/>
                            <w:right w:val="none" w:sz="0" w:space="0" w:color="auto"/>
                          </w:divBdr>
                          <w:divsChild>
                            <w:div w:id="1408963025">
                              <w:marLeft w:val="0"/>
                              <w:marRight w:val="0"/>
                              <w:marTop w:val="0"/>
                              <w:marBottom w:val="360"/>
                              <w:divBdr>
                                <w:top w:val="none" w:sz="0" w:space="0" w:color="auto"/>
                                <w:left w:val="none" w:sz="0" w:space="0" w:color="auto"/>
                                <w:bottom w:val="none" w:sz="0" w:space="0" w:color="auto"/>
                                <w:right w:val="none" w:sz="0" w:space="0" w:color="auto"/>
                              </w:divBdr>
                              <w:divsChild>
                                <w:div w:id="801926507">
                                  <w:marLeft w:val="0"/>
                                  <w:marRight w:val="0"/>
                                  <w:marTop w:val="0"/>
                                  <w:marBottom w:val="0"/>
                                  <w:divBdr>
                                    <w:top w:val="none" w:sz="0" w:space="0" w:color="auto"/>
                                    <w:left w:val="none" w:sz="0" w:space="0" w:color="auto"/>
                                    <w:bottom w:val="none" w:sz="0" w:space="0" w:color="auto"/>
                                    <w:right w:val="none" w:sz="0" w:space="0" w:color="auto"/>
                                  </w:divBdr>
                                  <w:divsChild>
                                    <w:div w:id="159081313">
                                      <w:marLeft w:val="0"/>
                                      <w:marRight w:val="0"/>
                                      <w:marTop w:val="0"/>
                                      <w:marBottom w:val="0"/>
                                      <w:divBdr>
                                        <w:top w:val="none" w:sz="0" w:space="0" w:color="auto"/>
                                        <w:left w:val="none" w:sz="0" w:space="0" w:color="auto"/>
                                        <w:bottom w:val="none" w:sz="0" w:space="0" w:color="auto"/>
                                        <w:right w:val="none" w:sz="0" w:space="0" w:color="auto"/>
                                      </w:divBdr>
                                      <w:divsChild>
                                        <w:div w:id="1877619596">
                                          <w:marLeft w:val="0"/>
                                          <w:marRight w:val="0"/>
                                          <w:marTop w:val="0"/>
                                          <w:marBottom w:val="0"/>
                                          <w:divBdr>
                                            <w:top w:val="none" w:sz="0" w:space="0" w:color="auto"/>
                                            <w:left w:val="none" w:sz="0" w:space="0" w:color="auto"/>
                                            <w:bottom w:val="none" w:sz="0" w:space="0" w:color="auto"/>
                                            <w:right w:val="none" w:sz="0" w:space="0" w:color="auto"/>
                                          </w:divBdr>
                                          <w:divsChild>
                                            <w:div w:id="360669527">
                                              <w:marLeft w:val="0"/>
                                              <w:marRight w:val="0"/>
                                              <w:marTop w:val="0"/>
                                              <w:marBottom w:val="0"/>
                                              <w:divBdr>
                                                <w:top w:val="none" w:sz="0" w:space="0" w:color="auto"/>
                                                <w:left w:val="none" w:sz="0" w:space="0" w:color="auto"/>
                                                <w:bottom w:val="none" w:sz="0" w:space="0" w:color="auto"/>
                                                <w:right w:val="none" w:sz="0" w:space="0" w:color="auto"/>
                                              </w:divBdr>
                                              <w:divsChild>
                                                <w:div w:id="132030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969193">
      <w:bodyDiv w:val="1"/>
      <w:marLeft w:val="0"/>
      <w:marRight w:val="0"/>
      <w:marTop w:val="0"/>
      <w:marBottom w:val="0"/>
      <w:divBdr>
        <w:top w:val="none" w:sz="0" w:space="0" w:color="auto"/>
        <w:left w:val="none" w:sz="0" w:space="0" w:color="auto"/>
        <w:bottom w:val="none" w:sz="0" w:space="0" w:color="auto"/>
        <w:right w:val="none" w:sz="0" w:space="0" w:color="auto"/>
      </w:divBdr>
      <w:divsChild>
        <w:div w:id="435827278">
          <w:marLeft w:val="0"/>
          <w:marRight w:val="0"/>
          <w:marTop w:val="0"/>
          <w:marBottom w:val="0"/>
          <w:divBdr>
            <w:top w:val="none" w:sz="0" w:space="0" w:color="auto"/>
            <w:left w:val="none" w:sz="0" w:space="0" w:color="auto"/>
            <w:bottom w:val="none" w:sz="0" w:space="0" w:color="auto"/>
            <w:right w:val="none" w:sz="0" w:space="0" w:color="auto"/>
          </w:divBdr>
        </w:div>
        <w:div w:id="1157652447">
          <w:marLeft w:val="0"/>
          <w:marRight w:val="0"/>
          <w:marTop w:val="0"/>
          <w:marBottom w:val="0"/>
          <w:divBdr>
            <w:top w:val="none" w:sz="0" w:space="0" w:color="auto"/>
            <w:left w:val="none" w:sz="0" w:space="0" w:color="auto"/>
            <w:bottom w:val="none" w:sz="0" w:space="0" w:color="auto"/>
            <w:right w:val="none" w:sz="0" w:space="0" w:color="auto"/>
          </w:divBdr>
        </w:div>
      </w:divsChild>
    </w:div>
    <w:div w:id="1918662670">
      <w:bodyDiv w:val="1"/>
      <w:marLeft w:val="0"/>
      <w:marRight w:val="0"/>
      <w:marTop w:val="0"/>
      <w:marBottom w:val="0"/>
      <w:divBdr>
        <w:top w:val="none" w:sz="0" w:space="0" w:color="auto"/>
        <w:left w:val="none" w:sz="0" w:space="0" w:color="auto"/>
        <w:bottom w:val="none" w:sz="0" w:space="0" w:color="auto"/>
        <w:right w:val="none" w:sz="0" w:space="0" w:color="auto"/>
      </w:divBdr>
    </w:div>
    <w:div w:id="1962179001">
      <w:bodyDiv w:val="1"/>
      <w:marLeft w:val="0"/>
      <w:marRight w:val="0"/>
      <w:marTop w:val="0"/>
      <w:marBottom w:val="0"/>
      <w:divBdr>
        <w:top w:val="none" w:sz="0" w:space="0" w:color="auto"/>
        <w:left w:val="none" w:sz="0" w:space="0" w:color="auto"/>
        <w:bottom w:val="none" w:sz="0" w:space="0" w:color="auto"/>
        <w:right w:val="none" w:sz="0" w:space="0" w:color="auto"/>
      </w:divBdr>
    </w:div>
    <w:div w:id="2028360732">
      <w:bodyDiv w:val="1"/>
      <w:marLeft w:val="0"/>
      <w:marRight w:val="0"/>
      <w:marTop w:val="0"/>
      <w:marBottom w:val="0"/>
      <w:divBdr>
        <w:top w:val="none" w:sz="0" w:space="0" w:color="auto"/>
        <w:left w:val="none" w:sz="0" w:space="0" w:color="auto"/>
        <w:bottom w:val="none" w:sz="0" w:space="0" w:color="auto"/>
        <w:right w:val="none" w:sz="0" w:space="0" w:color="auto"/>
      </w:divBdr>
    </w:div>
    <w:div w:id="2044280339">
      <w:bodyDiv w:val="1"/>
      <w:marLeft w:val="0"/>
      <w:marRight w:val="0"/>
      <w:marTop w:val="0"/>
      <w:marBottom w:val="0"/>
      <w:divBdr>
        <w:top w:val="none" w:sz="0" w:space="0" w:color="auto"/>
        <w:left w:val="none" w:sz="0" w:space="0" w:color="auto"/>
        <w:bottom w:val="none" w:sz="0" w:space="0" w:color="auto"/>
        <w:right w:val="none" w:sz="0" w:space="0" w:color="auto"/>
      </w:divBdr>
    </w:div>
    <w:div w:id="2052725106">
      <w:bodyDiv w:val="1"/>
      <w:marLeft w:val="0"/>
      <w:marRight w:val="0"/>
      <w:marTop w:val="0"/>
      <w:marBottom w:val="0"/>
      <w:divBdr>
        <w:top w:val="none" w:sz="0" w:space="0" w:color="auto"/>
        <w:left w:val="none" w:sz="0" w:space="0" w:color="auto"/>
        <w:bottom w:val="none" w:sz="0" w:space="0" w:color="auto"/>
        <w:right w:val="none" w:sz="0" w:space="0" w:color="auto"/>
      </w:divBdr>
    </w:div>
    <w:div w:id="2083411172">
      <w:bodyDiv w:val="1"/>
      <w:marLeft w:val="0"/>
      <w:marRight w:val="0"/>
      <w:marTop w:val="0"/>
      <w:marBottom w:val="0"/>
      <w:divBdr>
        <w:top w:val="none" w:sz="0" w:space="0" w:color="auto"/>
        <w:left w:val="none" w:sz="0" w:space="0" w:color="auto"/>
        <w:bottom w:val="none" w:sz="0" w:space="0" w:color="auto"/>
        <w:right w:val="none" w:sz="0" w:space="0" w:color="auto"/>
      </w:divBdr>
    </w:div>
    <w:div w:id="21269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ec.europa.eu/commfrontoffice/publicopinion/index.cfm/Survey/getSurveyDetail/instruments/SPECIAL/surveyKy/215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4.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home-affairs/news/trafficking-human-beings-commission-adopts-new-communication-and-commits-new-set-priorities_en" TargetMode="External"/><Relationship Id="rId13" Type="http://schemas.openxmlformats.org/officeDocument/2006/relationships/hyperlink" Target="http://www.european-net.org/2017/11/eesc-adopts-opinion-financing-civil-society-organisations/" TargetMode="External"/><Relationship Id="rId18" Type="http://schemas.openxmlformats.org/officeDocument/2006/relationships/hyperlink" Target="http://ec.europa.eu/newsroom/just/item-detail.cfm?item_id=71674" TargetMode="External"/><Relationship Id="rId26" Type="http://schemas.openxmlformats.org/officeDocument/2006/relationships/hyperlink" Target="http://fra.europa.eu/en/publication/2017/antisemitism-overview-2006-2016" TargetMode="External"/><Relationship Id="rId39" Type="http://schemas.openxmlformats.org/officeDocument/2006/relationships/hyperlink" Target="http://europa.eu/rapid/press-release_IP-17-5004_en.htm" TargetMode="External"/><Relationship Id="rId3" Type="http://schemas.openxmlformats.org/officeDocument/2006/relationships/hyperlink" Target="http://europa.eu/rapid/press-release_IP-17-5367_en.htm" TargetMode="External"/><Relationship Id="rId21" Type="http://schemas.openxmlformats.org/officeDocument/2006/relationships/hyperlink" Target="http://ec.europa.eu/newsroom/document.cfm?doc_id=43050" TargetMode="External"/><Relationship Id="rId34" Type="http://schemas.openxmlformats.org/officeDocument/2006/relationships/hyperlink" Target="https://beta.e-justice.europa.eu/?action=home&amp;plang=en" TargetMode="External"/><Relationship Id="rId42" Type="http://schemas.openxmlformats.org/officeDocument/2006/relationships/hyperlink" Target="https://www.coe.int/fr/web/conventions/full-list/-/conventions/rms/090000168008482e" TargetMode="External"/><Relationship Id="rId7" Type="http://schemas.openxmlformats.org/officeDocument/2006/relationships/hyperlink" Target="http://data.consilium.europa.eu/doc/document/ST-10085-2017-INIT/bg/pdf" TargetMode="External"/><Relationship Id="rId12" Type="http://schemas.openxmlformats.org/officeDocument/2006/relationships/hyperlink" Target="http://fra.europa.eu/en/publication/2018/challenges-facing-civil-society-orgs-human-rights-eu" TargetMode="External"/><Relationship Id="rId17" Type="http://schemas.openxmlformats.org/officeDocument/2006/relationships/hyperlink" Target="http://ec.europa.eu/newsroom/just/document.cfm?doc_id=49286" TargetMode="External"/><Relationship Id="rId25" Type="http://schemas.openxmlformats.org/officeDocument/2006/relationships/hyperlink" Target="http://fra.europa.eu/en/publication/2017/eumidis-ii-muslims-selected-findings" TargetMode="External"/><Relationship Id="rId33" Type="http://schemas.openxmlformats.org/officeDocument/2006/relationships/hyperlink" Target="http://data.consilium.europa.eu/doc/document/ST-12913-2017-INIT/bg/pdf" TargetMode="External"/><Relationship Id="rId38" Type="http://schemas.openxmlformats.org/officeDocument/2006/relationships/hyperlink" Target="http://europa.eu/rapid/press-release_IP-17-5003_en.htm" TargetMode="External"/><Relationship Id="rId2" Type="http://schemas.openxmlformats.org/officeDocument/2006/relationships/hyperlink" Target="https://ec.europa.eu/commission/priorities/deeper-and-fairer-economic-and-monetary-union/european-pillar-social-rights_bg" TargetMode="External"/><Relationship Id="rId16" Type="http://schemas.openxmlformats.org/officeDocument/2006/relationships/hyperlink" Target="http://ec.europa.eu/newsroom/just/item-detail.cfm?&amp;item_id=51025" TargetMode="External"/><Relationship Id="rId20" Type="http://schemas.openxmlformats.org/officeDocument/2006/relationships/hyperlink" Target="http://ec.europa.eu/newsroom/just/item-detail.cfm?item_id=612086" TargetMode="External"/><Relationship Id="rId29" Type="http://schemas.openxmlformats.org/officeDocument/2006/relationships/hyperlink" Target="http://ec.europa.eu/environment/aarhus/pdf/notice_accesstojustice.pdf" TargetMode="External"/><Relationship Id="rId41" Type="http://schemas.openxmlformats.org/officeDocument/2006/relationships/hyperlink" Target="http://ec.europa.eu/newsroom/just/item-detail.cfm?item_id=115277" TargetMode="External"/><Relationship Id="rId1" Type="http://schemas.openxmlformats.org/officeDocument/2006/relationships/hyperlink" Target="http://europa.eu/rapid/press-release_SPEECH-17-3165_bg.htm" TargetMode="External"/><Relationship Id="rId6" Type="http://schemas.openxmlformats.org/officeDocument/2006/relationships/hyperlink" Target="https://composite-indicators.jrc.ec.europa.eu/social-scoreboard/" TargetMode="External"/><Relationship Id="rId11" Type="http://schemas.openxmlformats.org/officeDocument/2006/relationships/hyperlink" Target="http://data.consilium.europa.eu/doc/document/ST-12671-2017-INIT/bg/pdf" TargetMode="External"/><Relationship Id="rId24" Type="http://schemas.openxmlformats.org/officeDocument/2006/relationships/hyperlink" Target="http://ec.europa.eu/newsroom/just/item-detail.cfm?item_id=50144" TargetMode="External"/><Relationship Id="rId32" Type="http://schemas.openxmlformats.org/officeDocument/2006/relationships/hyperlink" Target="https://ec.europa.eu/transparency/regdoc/rep/10102/2017/EN/SWD-2017-120-F1-EN-MAIN-PART-1.PDF" TargetMode="External"/><Relationship Id="rId37" Type="http://schemas.openxmlformats.org/officeDocument/2006/relationships/hyperlink" Target="http://europa.eu/rapid/press-release_IP-17-5023_en.htm" TargetMode="External"/><Relationship Id="rId40" Type="http://schemas.openxmlformats.org/officeDocument/2006/relationships/hyperlink" Target="http://europa.eu/rapid/press-release_IP-17-5367_en.htm" TargetMode="External"/><Relationship Id="rId5" Type="http://schemas.openxmlformats.org/officeDocument/2006/relationships/hyperlink" Target="http://ec.europa.eu/eurostat/web/european-pillar-of-social-rights" TargetMode="External"/><Relationship Id="rId15" Type="http://schemas.openxmlformats.org/officeDocument/2006/relationships/hyperlink" Target="http://fra.europa.eu/en/publication/2017/eumidis-ii-main-results" TargetMode="External"/><Relationship Id="rId23" Type="http://schemas.openxmlformats.org/officeDocument/2006/relationships/hyperlink" Target="http://fra.europa.eu/en/news/2017/improving-recording-hate-crime-law-enforcement-authorities" TargetMode="External"/><Relationship Id="rId28" Type="http://schemas.openxmlformats.org/officeDocument/2006/relationships/hyperlink" Target="https://ec.europa.eu/info/publications/2017-european-semester-country-specific-recommendations-commission-recommendations_en" TargetMode="External"/><Relationship Id="rId36" Type="http://schemas.openxmlformats.org/officeDocument/2006/relationships/hyperlink" Target="http://europa.eu/rapid/press-release_STATEMENT-17-2105_en.htm" TargetMode="External"/><Relationship Id="rId10" Type="http://schemas.openxmlformats.org/officeDocument/2006/relationships/hyperlink" Target="http://www.europarl.europa.eu/sides/getDoc.do?pubRef=-//EP//TEXT+TA+P8-TA-2017-0272+0+DOC+XML+V0//BG" TargetMode="External"/><Relationship Id="rId19" Type="http://schemas.openxmlformats.org/officeDocument/2006/relationships/hyperlink" Target="http://ec.europa.eu/newsroom/just/item-detail.cfm?item_id=71674" TargetMode="External"/><Relationship Id="rId31" Type="http://schemas.openxmlformats.org/officeDocument/2006/relationships/hyperlink" Target="https://ec.europa.eu/transparency/regdoc/rep/1/2017/EN/COM-2017-794-F1-EN-MAIN-PART-1.PDF" TargetMode="External"/><Relationship Id="rId44" Type="http://schemas.openxmlformats.org/officeDocument/2006/relationships/hyperlink" Target="http://ec.europa.eu/newsroom/just/document.cfm?doc_id=50219" TargetMode="External"/><Relationship Id="rId4" Type="http://schemas.openxmlformats.org/officeDocument/2006/relationships/hyperlink" Target="https://ec.europa.eu/commission/priorities/deeper-and-fairer-economic-and-monetary-union/european-pillar-social-rights_bg" TargetMode="External"/><Relationship Id="rId9" Type="http://schemas.openxmlformats.org/officeDocument/2006/relationships/hyperlink" Target="http://europa.eu/rapid/press-release_SPEECH-17-3165_bg.htm" TargetMode="External"/><Relationship Id="rId14" Type="http://schemas.openxmlformats.org/officeDocument/2006/relationships/hyperlink" Target="https://rm.coe.int/...on...impact-of-current-national-legislation-policies.../168073e81e" TargetMode="External"/><Relationship Id="rId22" Type="http://schemas.openxmlformats.org/officeDocument/2006/relationships/hyperlink" Target="http://http/ec.europa.eu/newsroom/just/document.cfm?doc_id=48874" TargetMode="External"/><Relationship Id="rId27" Type="http://schemas.openxmlformats.org/officeDocument/2006/relationships/hyperlink" Target="http://ec.europa.eu/newsroom/just/item-detail.cfm?item_id=615032" TargetMode="External"/><Relationship Id="rId30" Type="http://schemas.openxmlformats.org/officeDocument/2006/relationships/hyperlink" Target="https://ec.europa.eu/home-affairs/sites/homeaffairs/files/what-we-do/policies/european-agenda-security/20171212_proposal_regulation_on_establishing_framework_for_interoperability_between_eu_information_systems_borders_and_visa_en.pdf" TargetMode="External"/><Relationship Id="rId35" Type="http://schemas.openxmlformats.org/officeDocument/2006/relationships/hyperlink" Target="http://ec.europa.eu/justice/grants1/programmes-2014-2020/files/awp_2017/2017_justice_work_programme_annex_en.pdf" TargetMode="External"/><Relationship Id="rId43" Type="http://schemas.openxmlformats.org/officeDocument/2006/relationships/hyperlink" Target="http://ec.europa.eu/commfrontoffice/publicopinion/index.cfm/Survey/getSurveyDetail/instruments/SPECIAL/surveyKy/2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1710C2FBBA984485AEE7F3D05C661F" ma:contentTypeVersion="0" ma:contentTypeDescription="Create a new document." ma:contentTypeScope="" ma:versionID="5802b62f06968ab31e27c015647981c9">
  <xsd:schema xmlns:xsd="http://www.w3.org/2001/XMLSchema" xmlns:xs="http://www.w3.org/2001/XMLSchema" xmlns:p="http://schemas.microsoft.com/office/2006/metadata/properties" targetNamespace="http://schemas.microsoft.com/office/2006/metadata/properties" ma:root="true" ma:fieldsID="9d034ddc561d830f2239de6e6cc311c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BCDE7-66FA-496A-8A19-F8AC904F5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4576B0-8BE8-495E-8C50-73D40AAF4D4C}">
  <ds:schemaRefs>
    <ds:schemaRef ds:uri="http://schemas.microsoft.com/office/2006/documentManagement/types"/>
    <ds:schemaRef ds:uri="http://purl.org/dc/elements/1.1/"/>
    <ds:schemaRef ds:uri="http://schemas.microsoft.com/office/2006/metadata/properties"/>
    <ds:schemaRef ds:uri="http://purl.org/dc/dcmitype/"/>
    <ds:schemaRef ds:uri="http://www.w3.org/XML/1998/namespace"/>
    <ds:schemaRef ds:uri="http://purl.org/dc/terms/"/>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7BCD38C-D76A-443F-9E41-C76A65DEB2DE}">
  <ds:schemaRefs>
    <ds:schemaRef ds:uri="http://schemas.microsoft.com/sharepoint/v3/contenttype/forms"/>
  </ds:schemaRefs>
</ds:datastoreItem>
</file>

<file path=customXml/itemProps4.xml><?xml version="1.0" encoding="utf-8"?>
<ds:datastoreItem xmlns:ds="http://schemas.openxmlformats.org/officeDocument/2006/customXml" ds:itemID="{00B82D97-55CF-4845-B788-B3F1B523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4864</Words>
  <Characters>27921</Characters>
  <Application>Microsoft Office Word</Application>
  <DocSecurity>0</DocSecurity>
  <Lines>457</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32</cp:revision>
  <cp:lastPrinted>2018-04-17T06:48:00Z</cp:lastPrinted>
  <dcterms:created xsi:type="dcterms:W3CDTF">2018-05-04T13:18:00Z</dcterms:created>
  <dcterms:modified xsi:type="dcterms:W3CDTF">2018-06-28T12:23:00Z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Level of sensitivity">
    <vt:lpwstr>Standard treatment</vt:lpwstr>
  </property>
  <property fmtid="{D5CDD505-2E9C-101B-9397-08002B2CF9AE}" pid="6" name="ContentTypeId">
    <vt:lpwstr>0x010100DA1710C2FBBA984485AEE7F3D05C661F</vt:lpwstr>
  </property>
  <property fmtid="{D5CDD505-2E9C-101B-9397-08002B2CF9AE}" pid="7" name="IsMyDocuments">
    <vt:bool>true</vt:bool>
  </property>
</Properties>
</file>