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61D85C3-448E-4FA1-A288-FD80E90A5E79" style="width:450.45pt;height:383.6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Fonts w:eastAsia="Times New Roman"/>
          <w:noProof/>
          <w:szCs w:val="20"/>
        </w:rPr>
      </w:pPr>
      <w:bookmarkStart w:id="0" w:name="_GoBack"/>
      <w:bookmarkEnd w:id="0"/>
      <w:r>
        <w:rPr>
          <w:noProof/>
        </w:rPr>
        <w:lastRenderedPageBreak/>
        <w:t>ANNEXE 1 Tableau de correspondance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630"/>
      </w:tblGrid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284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Décision n° 1152/2003/CE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76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La présente décision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premier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premier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2, premier alinéa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2, second alinéa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2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3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3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4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4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5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5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6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6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7, paragraphe 1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7, paragraphe 1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7, paragraphe 2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7, paragraphe 2</w:t>
            </w:r>
          </w:p>
        </w:tc>
      </w:tr>
      <w:tr>
        <w:trPr>
          <w:trHeight w:val="344"/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 7, paragraphe 3 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 8, paragraphe 1 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 xml:space="preserve">Article 8, paragraphe 1 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 8, paragraphe 2 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 xml:space="preserve">Article 8, paragraphe 3 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 xml:space="preserve">Article 8, paragraphe 2 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9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9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10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10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11, paragraphe 1, premier alinéa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 11, paragraphe 1, second alinéa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11, paragraphe 1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11, paragraphe 2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11, paragraphe 2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 xml:space="preserve">Article 12 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12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13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Article 13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Article 14</w:t>
            </w:r>
          </w:p>
        </w:tc>
      </w:tr>
      <w:tr>
        <w:trPr>
          <w:jc w:val="center"/>
        </w:trPr>
        <w:tc>
          <w:tcPr>
            <w:tcW w:w="4659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709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_</w:t>
            </w:r>
          </w:p>
        </w:tc>
        <w:tc>
          <w:tcPr>
            <w:tcW w:w="4630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before="0" w:after="240"/>
              <w:ind w:left="165"/>
              <w:jc w:val="left"/>
              <w:rPr>
                <w:noProof/>
              </w:rPr>
            </w:pPr>
            <w:r>
              <w:rPr>
                <w:noProof/>
              </w:rPr>
              <w:t>Annexe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6D850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D1E5E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B44A4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666C8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5D0C9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C62EA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15CA6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A2EA2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18-06-28 14:20:4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B61D85C3-448E-4FA1-A288-FD80E90A5E79"/>
    <w:docVar w:name="LW_COVERPAGE_TYPE" w:val="1"/>
    <w:docVar w:name="LW_CROSSREFERENCE" w:val="&lt;UNUSED&gt;"/>
    <w:docVar w:name="LW_DocType" w:val="ANNEX"/>
    <w:docVar w:name="LW_EMISSION" w:val="25.5.2018"/>
    <w:docVar w:name="LW_EMISSION_ISODATE" w:val="2018-05-25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ve à l'informatisation des mouvements et des contrôles des produits soumis à accise (refonte)"/>
    <w:docVar w:name="LW_OBJETACTEPRINCIPAL.CP" w:val="relative à l'informatisation des mouvements et des contrôles des produits soumis à accise (refonte)"/>
    <w:docVar w:name="LW_PART_NBR" w:val="1"/>
    <w:docVar w:name="LW_PART_NBR_TOTAL" w:val="1"/>
    <w:docVar w:name="LW_REF.INST.NEW" w:val="COM"/>
    <w:docVar w:name="LW_REF.INST.NEW_ADOPTED" w:val="final"/>
    <w:docVar w:name="LW_REF.INST.NEW_TEXT" w:val="(2018) 34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décision du Parlement européen et du Conseill"/>
    <w:docVar w:name="LW_TYPEACTEPRINCIPAL.CP" w:val="Proposition de décision du Parlement européen et du Conseil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135</Words>
  <Characters>665</Characters>
  <Application>Microsoft Office Word</Application>
  <DocSecurity>0</DocSecurity>
  <Lines>55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KAMOLA Aldona (TAXUD)</dc:creator>
  <cp:lastModifiedBy>DIGIT/A3</cp:lastModifiedBy>
  <cp:revision>9</cp:revision>
  <dcterms:created xsi:type="dcterms:W3CDTF">2018-06-07T10:18:00Z</dcterms:created>
  <dcterms:modified xsi:type="dcterms:W3CDTF">2018-06-28T12:20:00Z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