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77" w:rsidRDefault="00176197" w:rsidP="0017619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72C2A43-589A-445C-8882-FF231083A907" style="width:450.4pt;height:489.75pt">
            <v:imagedata r:id="rId9" o:title=""/>
          </v:shape>
        </w:pict>
      </w:r>
    </w:p>
    <w:p w:rsidR="00185C77" w:rsidRDefault="00185C77">
      <w:pPr>
        <w:rPr>
          <w:noProof/>
        </w:rPr>
        <w:sectPr w:rsidR="00185C77" w:rsidSect="0017619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0" w:name="_GoBack"/>
      <w:bookmarkEnd w:id="0"/>
    </w:p>
    <w:p w:rsidR="00185C77" w:rsidRDefault="00176197">
      <w:pPr>
        <w:pStyle w:val="Exposdesmotifstitre"/>
        <w:rPr>
          <w:noProof/>
        </w:rPr>
      </w:pPr>
      <w:r>
        <w:rPr>
          <w:noProof/>
        </w:rPr>
        <w:lastRenderedPageBreak/>
        <w:t>ОБЯСНИТЕЛЕН МЕМОРАНДУМ</w:t>
      </w:r>
    </w:p>
    <w:p w:rsidR="00185C77" w:rsidRDefault="00176197">
      <w:pPr>
        <w:pStyle w:val="ManualHeading1"/>
        <w:rPr>
          <w:noProof/>
        </w:rPr>
      </w:pPr>
      <w:r>
        <w:rPr>
          <w:noProof/>
        </w:rPr>
        <w:t>1.</w:t>
      </w:r>
      <w:r>
        <w:rPr>
          <w:noProof/>
        </w:rPr>
        <w:tab/>
        <w:t>КОНТЕКСТ НА ПРЕДЛОЖЕНИЕТО</w:t>
      </w:r>
    </w:p>
    <w:p w:rsidR="00185C77" w:rsidRDefault="00176197">
      <w:pPr>
        <w:pStyle w:val="ManualHeading2"/>
        <w:rPr>
          <w:rFonts w:eastAsia="Arial Unicode MS"/>
          <w:noProof/>
        </w:rPr>
      </w:pPr>
      <w:r>
        <w:rPr>
          <w:noProof/>
          <w:color w:val="000000"/>
          <w:u w:color="000000"/>
          <w:bdr w:val="nil"/>
        </w:rPr>
        <w:t>•</w:t>
      </w:r>
      <w:r>
        <w:rPr>
          <w:noProof/>
        </w:rPr>
        <w:tab/>
        <w:t>Основания и цели на предложението</w:t>
      </w:r>
    </w:p>
    <w:p w:rsidR="00185C77" w:rsidRDefault="00176197">
      <w:pPr>
        <w:pBdr>
          <w:top w:val="nil"/>
          <w:left w:val="nil"/>
          <w:bottom w:val="nil"/>
          <w:right w:val="nil"/>
          <w:between w:val="nil"/>
          <w:bar w:val="nil"/>
        </w:pBdr>
        <w:spacing w:before="0" w:after="240"/>
        <w:rPr>
          <w:rFonts w:eastAsia="Arial Unicode MS"/>
          <w:noProof/>
        </w:rPr>
      </w:pPr>
      <w:r>
        <w:rPr>
          <w:noProof/>
        </w:rPr>
        <w:t>Съгласно Парижкото споразумение Европейският съюз (ЕС) е поел ангажимент за предотвратяване на изменението на климата чрез ограничаване на глобалното затопляне до много под 2 °C. Намаляването на емисиите на парникови газове е основна предпоставка за изпълн</w:t>
      </w:r>
      <w:r>
        <w:rPr>
          <w:noProof/>
        </w:rPr>
        <w:t xml:space="preserve">ението на този ангажимент. </w:t>
      </w:r>
    </w:p>
    <w:p w:rsidR="00185C77" w:rsidRDefault="00176197">
      <w:pPr>
        <w:pBdr>
          <w:top w:val="nil"/>
          <w:left w:val="nil"/>
          <w:bottom w:val="nil"/>
          <w:right w:val="nil"/>
          <w:between w:val="nil"/>
          <w:bar w:val="nil"/>
        </w:pBdr>
        <w:spacing w:before="0" w:after="240"/>
        <w:rPr>
          <w:rFonts w:eastAsia="Arial Unicode MS"/>
          <w:noProof/>
        </w:rPr>
      </w:pPr>
      <w:r>
        <w:rPr>
          <w:noProof/>
        </w:rPr>
        <w:t>Една от целите, заложени в уредбата на ЕС в областта на климата и енергетиката до 2030 г., е вътрешните емисии на парникови газове в ЕС да намалеят най-малко с 40 % в сравнение с 1990 г. Всички отрасли трябва да сторят необходимото за постигането на тази а</w:t>
      </w:r>
      <w:r>
        <w:rPr>
          <w:noProof/>
        </w:rPr>
        <w:t xml:space="preserve">мбициозна цел и за да бъдат предотвратени разходите и суровите последици от изменението на климата. </w:t>
      </w:r>
    </w:p>
    <w:p w:rsidR="00185C77" w:rsidRDefault="00176197">
      <w:pPr>
        <w:pBdr>
          <w:top w:val="nil"/>
          <w:left w:val="nil"/>
          <w:bottom w:val="nil"/>
          <w:right w:val="nil"/>
          <w:between w:val="nil"/>
          <w:bar w:val="nil"/>
        </w:pBdr>
        <w:spacing w:before="0" w:after="240"/>
        <w:rPr>
          <w:rFonts w:eastAsia="Arial Unicode MS"/>
          <w:noProof/>
        </w:rPr>
      </w:pPr>
      <w:r>
        <w:rPr>
          <w:noProof/>
        </w:rPr>
        <w:t>Автомобилният транспорт има решаващо значение за намаляването на емисиите на парникови газове и за декарбонизация на икономиката на ЕС. Лекотоварните прево</w:t>
      </w:r>
      <w:r>
        <w:rPr>
          <w:noProof/>
        </w:rPr>
        <w:t>зни средства — леките пътнически автомобили и леките търговски превозни средства (лекотоварните автомобили) — вече дават своя дял за намаляване на емисиите и през 2017 г. бе предложено законодателство</w:t>
      </w:r>
      <w:r>
        <w:rPr>
          <w:rStyle w:val="FootnoteReference"/>
          <w:noProof/>
        </w:rPr>
        <w:footnoteReference w:id="1"/>
      </w:r>
      <w:r>
        <w:rPr>
          <w:noProof/>
        </w:rPr>
        <w:t>, така че това да продължи и след 2020 г.</w:t>
      </w:r>
    </w:p>
    <w:p w:rsidR="00185C77" w:rsidRDefault="00176197">
      <w:pPr>
        <w:pBdr>
          <w:top w:val="nil"/>
          <w:left w:val="nil"/>
          <w:bottom w:val="nil"/>
          <w:right w:val="nil"/>
          <w:between w:val="nil"/>
          <w:bar w:val="nil"/>
        </w:pBdr>
        <w:spacing w:before="0" w:after="240"/>
        <w:rPr>
          <w:rFonts w:eastAsia="Arial Unicode MS"/>
          <w:noProof/>
        </w:rPr>
      </w:pPr>
      <w:r>
        <w:rPr>
          <w:noProof/>
        </w:rPr>
        <w:t>Автомобилният</w:t>
      </w:r>
      <w:r>
        <w:rPr>
          <w:noProof/>
        </w:rPr>
        <w:t xml:space="preserve"> транспорт на товари е от съществено значение за развитието на търговията на европейския континент.</w:t>
      </w:r>
      <w:r>
        <w:rPr>
          <w:rFonts w:ascii="Roboto-Light" w:hAnsi="Roboto-Light"/>
          <w:noProof/>
          <w:color w:val="262626"/>
        </w:rPr>
        <w:t xml:space="preserve"> </w:t>
      </w:r>
      <w:r>
        <w:rPr>
          <w:noProof/>
        </w:rPr>
        <w:t>Около 70 % от товарите, превозвани по суша, се превозват с товарни автомобили, които осигуряват и основни обществени услуги. Автомобилният транспорт на това</w:t>
      </w:r>
      <w:r>
        <w:rPr>
          <w:noProof/>
        </w:rPr>
        <w:t>ри и пътническият транспорт се предоставят най-вече от малки и средни предприятия (МСП) — в този сектор в ЕС работят над 600 000 предприятия, които осигуряват заетост на близо три милиона души. Други 3,5 милиона души са заети в производството на товарни ав</w:t>
      </w:r>
      <w:r>
        <w:rPr>
          <w:noProof/>
        </w:rPr>
        <w:t>томобили, ремонт, продажби, лизингова и застрахователна дейност.</w:t>
      </w:r>
    </w:p>
    <w:p w:rsidR="00185C77" w:rsidRDefault="00176197">
      <w:pPr>
        <w:pBdr>
          <w:top w:val="nil"/>
          <w:left w:val="nil"/>
          <w:bottom w:val="nil"/>
          <w:right w:val="nil"/>
          <w:between w:val="nil"/>
          <w:bar w:val="nil"/>
        </w:pBdr>
        <w:spacing w:before="0" w:after="240"/>
        <w:rPr>
          <w:rFonts w:eastAsia="Arial Unicode MS"/>
          <w:noProof/>
        </w:rPr>
      </w:pPr>
      <w:r>
        <w:rPr>
          <w:noProof/>
        </w:rPr>
        <w:t>Въпреки че тежкотоварните превозни средства — товарни автомобили, градски и междуградски автобуси, отделят близо 6 % от общите емисии на CO</w:t>
      </w:r>
      <w:r>
        <w:rPr>
          <w:noProof/>
          <w:vertAlign w:val="subscript"/>
        </w:rPr>
        <w:t>2</w:t>
      </w:r>
      <w:r>
        <w:rPr>
          <w:noProof/>
        </w:rPr>
        <w:t xml:space="preserve"> в ЕС и 25 % от емисиите на CO</w:t>
      </w:r>
      <w:r>
        <w:rPr>
          <w:noProof/>
          <w:vertAlign w:val="subscript"/>
        </w:rPr>
        <w:t>2</w:t>
      </w:r>
      <w:r>
        <w:rPr>
          <w:noProof/>
        </w:rPr>
        <w:t xml:space="preserve"> в ЕС в сектора на а</w:t>
      </w:r>
      <w:r>
        <w:rPr>
          <w:noProof/>
        </w:rPr>
        <w:t>втомобилния транспорт, понастоящем те не са регламентирани на равнището на ЕС. Това поставя три основни проблема.</w:t>
      </w:r>
    </w:p>
    <w:p w:rsidR="00185C77" w:rsidRDefault="00176197">
      <w:pPr>
        <w:spacing w:before="0" w:after="240"/>
        <w:rPr>
          <w:rFonts w:eastAsia="Arial Unicode MS"/>
          <w:noProof/>
        </w:rPr>
      </w:pPr>
      <w:r>
        <w:rPr>
          <w:noProof/>
          <w:u w:val="single"/>
        </w:rPr>
        <w:t>На първо място</w:t>
      </w:r>
      <w:r>
        <w:rPr>
          <w:noProof/>
        </w:rPr>
        <w:t>, ако не бъдат предприети по-нататъшни действия, поради разрастващите се дейности в сектора на транспорта се очаква за периода 2</w:t>
      </w:r>
      <w:r>
        <w:rPr>
          <w:noProof/>
        </w:rPr>
        <w:t>010 — 2030 г. емисиите на CO</w:t>
      </w:r>
      <w:r>
        <w:rPr>
          <w:noProof/>
          <w:vertAlign w:val="subscript"/>
        </w:rPr>
        <w:t>2</w:t>
      </w:r>
      <w:r>
        <w:rPr>
          <w:noProof/>
        </w:rPr>
        <w:t xml:space="preserve"> от тежкотоварните превозни средства да се увеличат с 9 %. Както се посочва в оценката на въздействието</w:t>
      </w:r>
      <w:r>
        <w:rPr>
          <w:rStyle w:val="FootnoteReference"/>
          <w:noProof/>
        </w:rPr>
        <w:footnoteReference w:id="2"/>
      </w:r>
      <w:r>
        <w:rPr>
          <w:noProof/>
        </w:rPr>
        <w:t>, придружаваща предложението за стандарти за емисиите на CO</w:t>
      </w:r>
      <w:r>
        <w:rPr>
          <w:noProof/>
          <w:vertAlign w:val="subscript"/>
        </w:rPr>
        <w:t>2</w:t>
      </w:r>
      <w:r>
        <w:rPr>
          <w:noProof/>
        </w:rPr>
        <w:t xml:space="preserve"> от лекотоварните превозни средства след 2020 г., необходимо е </w:t>
      </w:r>
      <w:r>
        <w:rPr>
          <w:noProof/>
        </w:rPr>
        <w:t>в сектора на автомобилния транспорт да се предприемат допълнителни мерки за постигане на националните цели до 2030 г., заложени в Регламента за разпределяне на усилията.</w:t>
      </w:r>
    </w:p>
    <w:p w:rsidR="00185C77" w:rsidRDefault="00176197">
      <w:pPr>
        <w:spacing w:before="0" w:after="240"/>
        <w:rPr>
          <w:rFonts w:eastAsia="Arial Unicode MS"/>
          <w:noProof/>
        </w:rPr>
      </w:pPr>
      <w:r>
        <w:rPr>
          <w:noProof/>
          <w:u w:val="single"/>
        </w:rPr>
        <w:t>На второ място</w:t>
      </w:r>
      <w:r>
        <w:rPr>
          <w:noProof/>
        </w:rPr>
        <w:t>, понастоящем стопанските субекти в транспортния отрасъл и техните клиен</w:t>
      </w:r>
      <w:r>
        <w:rPr>
          <w:noProof/>
        </w:rPr>
        <w:t xml:space="preserve">ти пропускат възможности за икономии на гориво и намаляване на разходите за гориво. Въпреки че има лесно достъпни разходоефективни технологии за намаляване </w:t>
      </w:r>
      <w:r>
        <w:rPr>
          <w:noProof/>
        </w:rPr>
        <w:lastRenderedPageBreak/>
        <w:t>на емисиите, те не са широко разпространени на пазара за тежкотоварни превозни средства. Това е в ущ</w:t>
      </w:r>
      <w:r>
        <w:rPr>
          <w:noProof/>
        </w:rPr>
        <w:t xml:space="preserve">ърб на стопанските субекти в транспортния отрасъл — главно МСП и микропредприятия, чиито разходи за гориво може да превишават 25 % от общите им оперативни разходи. </w:t>
      </w:r>
    </w:p>
    <w:p w:rsidR="00185C77" w:rsidRDefault="00176197">
      <w:pPr>
        <w:tabs>
          <w:tab w:val="left" w:pos="720"/>
        </w:tabs>
        <w:rPr>
          <w:rFonts w:eastAsia="Arial Unicode MS"/>
          <w:noProof/>
        </w:rPr>
      </w:pPr>
      <w:r>
        <w:rPr>
          <w:noProof/>
          <w:u w:val="single"/>
        </w:rPr>
        <w:t>На трето място</w:t>
      </w:r>
      <w:r>
        <w:rPr>
          <w:noProof/>
        </w:rPr>
        <w:t>, производителите на тежкотоварни превозни средства в ЕС са изправени пред вс</w:t>
      </w:r>
      <w:r>
        <w:rPr>
          <w:noProof/>
        </w:rPr>
        <w:t>е по-голяма конкуренция в световен мащаб, тъй като САЩ, Канада, Япония и Китай вече прилагат регулаторни мерки за намаляване на емисиите на CO</w:t>
      </w:r>
      <w:r>
        <w:rPr>
          <w:noProof/>
          <w:vertAlign w:val="subscript"/>
        </w:rPr>
        <w:t>2</w:t>
      </w:r>
      <w:r>
        <w:rPr>
          <w:noProof/>
        </w:rPr>
        <w:t xml:space="preserve"> от тежкотоварните превозни средства. Автомобилната промишленост в ЕС не бива да изостава от технологичните подоб</w:t>
      </w:r>
      <w:r>
        <w:rPr>
          <w:noProof/>
        </w:rPr>
        <w:t>рения на тези пазари, ако иска да запази водещите си позиции в технологиите за горивна ефективност на превозните средства.</w:t>
      </w:r>
    </w:p>
    <w:p w:rsidR="00185C77" w:rsidRDefault="00176197">
      <w:pPr>
        <w:pStyle w:val="Text2"/>
        <w:ind w:left="0"/>
        <w:rPr>
          <w:noProof/>
        </w:rPr>
      </w:pPr>
      <w:r>
        <w:rPr>
          <w:noProof/>
        </w:rPr>
        <w:t>Различни актове в законодателството на ЕС относно декарбонизацията на автомобилния транспорт в една или друга степен засягат тези про</w:t>
      </w:r>
      <w:r>
        <w:rPr>
          <w:noProof/>
        </w:rPr>
        <w:t xml:space="preserve">блеми. Те са свързани с предлагането, търсенето, икономическите аспекти и насърчителни мерки. Те обаче не са достатъчни за преодоляване на основните пазарни пречки, които възпрепятстват навлизането на технологии за горивна ефективност. </w:t>
      </w:r>
    </w:p>
    <w:p w:rsidR="00185C77" w:rsidRDefault="00176197">
      <w:pPr>
        <w:spacing w:after="240"/>
        <w:rPr>
          <w:rFonts w:eastAsia="Arial Unicode MS"/>
          <w:noProof/>
        </w:rPr>
      </w:pPr>
      <w:r>
        <w:rPr>
          <w:noProof/>
        </w:rPr>
        <w:t xml:space="preserve">С предложението за </w:t>
      </w:r>
      <w:r>
        <w:rPr>
          <w:noProof/>
        </w:rPr>
        <w:t>стандарти за емисиите на CO</w:t>
      </w:r>
      <w:r>
        <w:rPr>
          <w:noProof/>
          <w:vertAlign w:val="subscript"/>
        </w:rPr>
        <w:t>2</w:t>
      </w:r>
      <w:r>
        <w:rPr>
          <w:noProof/>
        </w:rPr>
        <w:t xml:space="preserve"> от нови тежкотоварни превозни средства се предвиждат допълнителни мерки на равнището на ЕС, свързани с предлагането и насочени към преодоляване на посочените пазарни пречки, като се поставят следните основни цели:</w:t>
      </w:r>
    </w:p>
    <w:p w:rsidR="00185C77" w:rsidRDefault="00176197">
      <w:pPr>
        <w:pStyle w:val="Tiret0"/>
        <w:numPr>
          <w:ilvl w:val="0"/>
          <w:numId w:val="13"/>
        </w:numPr>
        <w:rPr>
          <w:noProof/>
        </w:rPr>
      </w:pPr>
      <w:r>
        <w:rPr>
          <w:noProof/>
        </w:rPr>
        <w:t>намаляване на</w:t>
      </w:r>
      <w:r>
        <w:rPr>
          <w:noProof/>
        </w:rPr>
        <w:t xml:space="preserve"> емисиите на CO</w:t>
      </w:r>
      <w:r>
        <w:rPr>
          <w:noProof/>
          <w:vertAlign w:val="subscript"/>
        </w:rPr>
        <w:t>2</w:t>
      </w:r>
      <w:r>
        <w:rPr>
          <w:noProof/>
        </w:rPr>
        <w:t xml:space="preserve"> от автомобилния транспорт в съответствие с изискванията на политиката на ЕС в областта на климата и Парижкото споразумение, като същевременно се намали замърсяването на въздуха, особено в градовете; </w:t>
      </w:r>
    </w:p>
    <w:p w:rsidR="00185C77" w:rsidRDefault="00176197">
      <w:pPr>
        <w:pStyle w:val="Tiret0"/>
        <w:rPr>
          <w:noProof/>
        </w:rPr>
      </w:pPr>
      <w:r>
        <w:rPr>
          <w:noProof/>
        </w:rPr>
        <w:t>съдействие за намаляване на оперативнит</w:t>
      </w:r>
      <w:r>
        <w:rPr>
          <w:noProof/>
        </w:rPr>
        <w:t xml:space="preserve">е разходи на стопанските субекти в транспортния отрасъл, повечето от които са МСП, и в по-широк план — на транспортните разходи на потребителите чрез прехвърляне на реализираните икономии на гориво надолу по веригата. </w:t>
      </w:r>
    </w:p>
    <w:p w:rsidR="00185C77" w:rsidRDefault="00176197">
      <w:pPr>
        <w:pStyle w:val="Tiret0"/>
        <w:rPr>
          <w:noProof/>
        </w:rPr>
      </w:pPr>
      <w:r>
        <w:rPr>
          <w:noProof/>
        </w:rPr>
        <w:t>запазване на водещите позиции на прои</w:t>
      </w:r>
      <w:r>
        <w:rPr>
          <w:noProof/>
        </w:rPr>
        <w:t>зводителите на тежкотоварни превозни средства в ЕС и на доставчиците на компоненти за тях в областта на технологиите и иновациите.</w:t>
      </w:r>
    </w:p>
    <w:p w:rsidR="00185C77" w:rsidRDefault="00176197">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тази област на политиката</w:t>
      </w:r>
    </w:p>
    <w:p w:rsidR="00185C77" w:rsidRDefault="00176197">
      <w:pPr>
        <w:pStyle w:val="Text1"/>
        <w:ind w:left="0"/>
        <w:rPr>
          <w:noProof/>
        </w:rPr>
      </w:pPr>
      <w:r>
        <w:rPr>
          <w:noProof/>
        </w:rPr>
        <w:t>Настоящото предложение е част от третия пакет за мо</w:t>
      </w:r>
      <w:r>
        <w:rPr>
          <w:noProof/>
        </w:rPr>
        <w:t>билност. С него се изпълнява поетият ангажимент в Европейската стратегия от 2016 г. за мобилност с ниски емисии, в която са заложени цели за намаляване на емисиите на парникови газове в автомобилния транспорт най-малко с 60 % до 2050 г. в сравнение с 1990 </w:t>
      </w:r>
      <w:r>
        <w:rPr>
          <w:noProof/>
        </w:rPr>
        <w:t>г. и определяне на стандарти за емисиите на CO</w:t>
      </w:r>
      <w:r>
        <w:rPr>
          <w:noProof/>
          <w:vertAlign w:val="subscript"/>
        </w:rPr>
        <w:t>2</w:t>
      </w:r>
      <w:r>
        <w:rPr>
          <w:noProof/>
        </w:rPr>
        <w:t xml:space="preserve"> от тежкотоварните превозни средства.</w:t>
      </w:r>
    </w:p>
    <w:p w:rsidR="00185C77" w:rsidRDefault="00176197">
      <w:pPr>
        <w:pStyle w:val="Text1"/>
        <w:ind w:left="0"/>
        <w:rPr>
          <w:noProof/>
        </w:rPr>
      </w:pPr>
      <w:r>
        <w:rPr>
          <w:noProof/>
        </w:rPr>
        <w:t>То доразвива и допълва други съществуващи мерки на политиката за мобилност на ЕС, които засягат регулаторната среда и насърчават мобилността с ниски емисии в сектора на те</w:t>
      </w:r>
      <w:r>
        <w:rPr>
          <w:noProof/>
        </w:rPr>
        <w:t>жкотоварните автомобили, като Регламента за сертифициране</w:t>
      </w:r>
      <w:r>
        <w:rPr>
          <w:rStyle w:val="FootnoteReference"/>
          <w:noProof/>
        </w:rPr>
        <w:footnoteReference w:id="3"/>
      </w:r>
      <w:r>
        <w:rPr>
          <w:noProof/>
        </w:rPr>
        <w:t>, Регламента за мониторинга и докладването</w:t>
      </w:r>
      <w:r>
        <w:rPr>
          <w:rStyle w:val="FootnoteReference"/>
          <w:noProof/>
        </w:rPr>
        <w:footnoteReference w:id="4"/>
      </w:r>
      <w:r>
        <w:rPr>
          <w:noProof/>
        </w:rPr>
        <w:t>, системата на ЕС за одобрение на типа, Директива „Евровинетка“</w:t>
      </w:r>
      <w:r>
        <w:rPr>
          <w:rStyle w:val="FootnoteReference"/>
          <w:noProof/>
        </w:rPr>
        <w:footnoteReference w:id="5"/>
      </w:r>
      <w:r>
        <w:rPr>
          <w:noProof/>
        </w:rPr>
        <w:t>, Директивата за качеството на горивата</w:t>
      </w:r>
      <w:r>
        <w:rPr>
          <w:rStyle w:val="FootnoteReference"/>
          <w:noProof/>
        </w:rPr>
        <w:footnoteReference w:id="6"/>
      </w:r>
      <w:r>
        <w:rPr>
          <w:noProof/>
        </w:rPr>
        <w:t>, Директивата за екологично чисти превозни средства</w:t>
      </w:r>
      <w:r>
        <w:rPr>
          <w:rStyle w:val="FootnoteReference"/>
          <w:noProof/>
        </w:rPr>
        <w:footnoteReference w:id="7"/>
      </w:r>
      <w:r>
        <w:rPr>
          <w:noProof/>
        </w:rPr>
        <w:t>, Директивата относно максимално допустимите маси и размери</w:t>
      </w:r>
      <w:r>
        <w:rPr>
          <w:rStyle w:val="FootnoteReference"/>
          <w:noProof/>
        </w:rPr>
        <w:footnoteReference w:id="8"/>
      </w:r>
      <w:r>
        <w:rPr>
          <w:noProof/>
        </w:rPr>
        <w:t>, както и Директивата за разгръщането на инфраструктура за алтернативни горива</w:t>
      </w:r>
      <w:r>
        <w:rPr>
          <w:rStyle w:val="FootnoteReference"/>
          <w:noProof/>
        </w:rPr>
        <w:footnoteReference w:id="9"/>
      </w:r>
      <w:r>
        <w:rPr>
          <w:noProof/>
        </w:rPr>
        <w:t>.</w:t>
      </w:r>
    </w:p>
    <w:p w:rsidR="00185C77" w:rsidRDefault="00176197">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rsidR="00185C77" w:rsidRDefault="00176197">
      <w:pPr>
        <w:pStyle w:val="Text1"/>
        <w:ind w:left="0"/>
        <w:rPr>
          <w:noProof/>
        </w:rPr>
      </w:pPr>
      <w:r>
        <w:rPr>
          <w:noProof/>
        </w:rPr>
        <w:t>Настоящото предложение допринася за прехода към нисковъглеродна, сигурна</w:t>
      </w:r>
      <w:r>
        <w:rPr>
          <w:noProof/>
        </w:rPr>
        <w:t xml:space="preserve"> и конкурентоспособна икономика и ще спомогне за изпълнението на целта за намаляване на емисиите най-малко с 40 %, залегнала в стратегията за енергийния съюз</w:t>
      </w:r>
      <w:r>
        <w:rPr>
          <w:rStyle w:val="FootnoteReference"/>
          <w:noProof/>
        </w:rPr>
        <w:footnoteReference w:id="10"/>
      </w:r>
      <w:r>
        <w:rPr>
          <w:noProof/>
        </w:rPr>
        <w:t>. То ще подпомогне и държавите членки да постигнат националните си цели за намаляване на емисиите,</w:t>
      </w:r>
      <w:r>
        <w:rPr>
          <w:noProof/>
        </w:rPr>
        <w:t xml:space="preserve"> установени с Регламента за разпределяне на усилията</w:t>
      </w:r>
      <w:r>
        <w:rPr>
          <w:rStyle w:val="FootnoteReference"/>
          <w:noProof/>
        </w:rPr>
        <w:footnoteReference w:id="11"/>
      </w:r>
      <w:r>
        <w:rPr>
          <w:noProof/>
        </w:rPr>
        <w:t>.</w:t>
      </w:r>
    </w:p>
    <w:p w:rsidR="00185C77" w:rsidRDefault="00176197">
      <w:pPr>
        <w:pBdr>
          <w:top w:val="nil"/>
          <w:left w:val="nil"/>
          <w:bottom w:val="nil"/>
          <w:right w:val="nil"/>
          <w:between w:val="nil"/>
          <w:bar w:val="nil"/>
        </w:pBdr>
        <w:spacing w:before="0"/>
        <w:rPr>
          <w:rFonts w:eastAsia="Arial Unicode MS"/>
          <w:noProof/>
        </w:rPr>
      </w:pPr>
      <w:r>
        <w:rPr>
          <w:noProof/>
        </w:rPr>
        <w:t>На последно място, предложението е съобразено с поетия от Съюза ангажимент на световно равнище за постигане на амбициозните цели в областта на климата съгласно споразумението, сключено в Париж на 21-та сесия на конференцията на страните по Рамковата конвен</w:t>
      </w:r>
      <w:r>
        <w:rPr>
          <w:noProof/>
        </w:rPr>
        <w:t xml:space="preserve">ция на ООН по изменението на климата (COP21). </w:t>
      </w:r>
    </w:p>
    <w:p w:rsidR="00185C77" w:rsidRDefault="00176197">
      <w:pPr>
        <w:pBdr>
          <w:top w:val="nil"/>
          <w:left w:val="nil"/>
          <w:bottom w:val="nil"/>
          <w:right w:val="nil"/>
          <w:between w:val="nil"/>
          <w:bar w:val="nil"/>
        </w:pBdr>
        <w:spacing w:before="0"/>
        <w:rPr>
          <w:rFonts w:eastAsia="Arial Unicode MS"/>
          <w:bCs/>
          <w:iCs/>
          <w:noProof/>
        </w:rPr>
      </w:pPr>
      <w:r>
        <w:rPr>
          <w:noProof/>
        </w:rPr>
        <w:t>С приноса си за решаването на проблеми, свързани с водещите позиции на автомобилната промишленост на ЕС в областта на технологиите и иновациите, предложението е съобразено и с новата стратегия за индустриалнат</w:t>
      </w:r>
      <w:r>
        <w:rPr>
          <w:noProof/>
        </w:rPr>
        <w:t>а политика</w:t>
      </w:r>
      <w:r>
        <w:rPr>
          <w:rStyle w:val="FootnoteReference"/>
          <w:noProof/>
        </w:rPr>
        <w:footnoteReference w:id="12"/>
      </w:r>
      <w:r>
        <w:rPr>
          <w:noProof/>
        </w:rPr>
        <w:t>, в която се посочва, че развитието на модерна и конкурентоспособна автомобилна промишленост е от основно значение за икономиката на ЕС. Предложението също така насърчава внедряването на нови технологии, намаляващи разхода на гориво, и с това до</w:t>
      </w:r>
      <w:r>
        <w:rPr>
          <w:noProof/>
        </w:rPr>
        <w:t xml:space="preserve">принася за изпълнението на целите на Съюза за създаване на заетост и икономически растеж. </w:t>
      </w:r>
    </w:p>
    <w:p w:rsidR="00185C77" w:rsidRDefault="00176197">
      <w:pPr>
        <w:pStyle w:val="ManualHeading1"/>
        <w:rPr>
          <w:noProof/>
        </w:rPr>
      </w:pPr>
      <w:r>
        <w:rPr>
          <w:noProof/>
        </w:rPr>
        <w:t>2.</w:t>
      </w:r>
      <w:r>
        <w:rPr>
          <w:noProof/>
        </w:rPr>
        <w:tab/>
        <w:t>ПРАВНО ОСНОВАНИЕ, СУБСИДИАРНОСТ И ПРОПОРЦИОНАЛНОСТ</w:t>
      </w:r>
    </w:p>
    <w:p w:rsidR="00185C77" w:rsidRDefault="00176197">
      <w:pPr>
        <w:pStyle w:val="ManualHeading2"/>
        <w:rPr>
          <w:rFonts w:eastAsia="Arial Unicode MS"/>
          <w:noProof/>
          <w:u w:color="000000"/>
          <w:bdr w:val="nil"/>
        </w:rPr>
      </w:pPr>
      <w:r>
        <w:rPr>
          <w:noProof/>
        </w:rPr>
        <w:t>•</w:t>
      </w:r>
      <w:r>
        <w:rPr>
          <w:noProof/>
        </w:rPr>
        <w:tab/>
        <w:t>Правно основание</w:t>
      </w:r>
    </w:p>
    <w:p w:rsidR="00185C77" w:rsidRDefault="00176197">
      <w:pPr>
        <w:pBdr>
          <w:top w:val="nil"/>
          <w:left w:val="nil"/>
          <w:bottom w:val="nil"/>
          <w:right w:val="nil"/>
          <w:between w:val="nil"/>
          <w:bar w:val="nil"/>
        </w:pBdr>
        <w:spacing w:before="0" w:after="240"/>
        <w:rPr>
          <w:rFonts w:eastAsia="Arial Unicode MS"/>
          <w:noProof/>
        </w:rPr>
      </w:pPr>
      <w:r>
        <w:rPr>
          <w:noProof/>
        </w:rPr>
        <w:t xml:space="preserve">Компетентността на ЕС в областта на изменението на климата е уредена в членове 191 — 193 от </w:t>
      </w:r>
      <w:r>
        <w:rPr>
          <w:noProof/>
        </w:rPr>
        <w:t>Договора за функционирането на Европейския съюз. По-специално посочените членове представляват правното основание за предприемане на действия във връзка с разхода на гориво и емисиите на CO</w:t>
      </w:r>
      <w:r>
        <w:rPr>
          <w:noProof/>
          <w:vertAlign w:val="subscript"/>
        </w:rPr>
        <w:t>2</w:t>
      </w:r>
      <w:r>
        <w:rPr>
          <w:noProof/>
        </w:rPr>
        <w:t xml:space="preserve"> от тежкотоварните превозни средства.</w:t>
      </w:r>
    </w:p>
    <w:p w:rsidR="00185C77" w:rsidRDefault="00176197">
      <w:pPr>
        <w:pBdr>
          <w:top w:val="nil"/>
          <w:left w:val="nil"/>
          <w:bottom w:val="nil"/>
          <w:right w:val="nil"/>
          <w:between w:val="nil"/>
          <w:bar w:val="nil"/>
        </w:pBdr>
        <w:spacing w:before="0" w:after="240"/>
        <w:rPr>
          <w:rFonts w:eastAsia="Arial Unicode MS"/>
          <w:noProof/>
        </w:rPr>
      </w:pPr>
      <w:r>
        <w:rPr>
          <w:noProof/>
        </w:rPr>
        <w:t>ЕС вече прилага действия отн</w:t>
      </w:r>
      <w:r>
        <w:rPr>
          <w:noProof/>
        </w:rPr>
        <w:t>осно емисиите на CO</w:t>
      </w:r>
      <w:r>
        <w:rPr>
          <w:noProof/>
          <w:vertAlign w:val="subscript"/>
        </w:rPr>
        <w:t>2</w:t>
      </w:r>
      <w:r>
        <w:rPr>
          <w:noProof/>
        </w:rPr>
        <w:t xml:space="preserve"> с приетите регламенти (EО) 443/2009 и (ЕС) 510/2011, с които се определят пределно допустими стойности за емисиите на CO</w:t>
      </w:r>
      <w:r>
        <w:rPr>
          <w:noProof/>
          <w:vertAlign w:val="subscript"/>
        </w:rPr>
        <w:t>2</w:t>
      </w:r>
      <w:r>
        <w:rPr>
          <w:noProof/>
        </w:rPr>
        <w:t xml:space="preserve"> от леките и лекотоварните автомобили. Комисията прие също така предложение за регламент относно мониторинга и док</w:t>
      </w:r>
      <w:r>
        <w:rPr>
          <w:noProof/>
        </w:rPr>
        <w:t>ладването на емисиите на СО</w:t>
      </w:r>
      <w:r>
        <w:rPr>
          <w:noProof/>
          <w:vertAlign w:val="subscript"/>
        </w:rPr>
        <w:t>2</w:t>
      </w:r>
      <w:r>
        <w:rPr>
          <w:noProof/>
        </w:rPr>
        <w:t xml:space="preserve"> и разхода на гориво от нови тежкотоварни превозни средства. Основанието за тези регламенти е главата от Договора, посветена на околната среда, по-точно член 192 от ДФЕС.</w:t>
      </w:r>
    </w:p>
    <w:p w:rsidR="00185C77" w:rsidRDefault="00176197">
      <w:pPr>
        <w:pStyle w:val="ManualHeading2"/>
        <w:spacing w:before="0"/>
        <w:rPr>
          <w:rFonts w:eastAsia="Arial Unicode MS"/>
          <w:noProof/>
          <w:szCs w:val="24"/>
          <w:u w:color="000000"/>
          <w:bdr w:val="nil"/>
        </w:rPr>
      </w:pPr>
      <w:r>
        <w:rPr>
          <w:noProof/>
        </w:rPr>
        <w:t>•</w:t>
      </w:r>
      <w:r>
        <w:rPr>
          <w:noProof/>
        </w:rPr>
        <w:tab/>
      </w:r>
      <w:r>
        <w:rPr>
          <w:noProof/>
        </w:rPr>
        <w:t xml:space="preserve">Субсидиарност (извън областите на изключителна компетентност) </w:t>
      </w:r>
    </w:p>
    <w:p w:rsidR="00185C77" w:rsidRDefault="00176197">
      <w:pPr>
        <w:pStyle w:val="Text1"/>
        <w:spacing w:before="0"/>
        <w:ind w:left="0"/>
        <w:rPr>
          <w:i/>
          <w:noProof/>
          <w:szCs w:val="24"/>
        </w:rPr>
      </w:pPr>
      <w:r>
        <w:rPr>
          <w:i/>
          <w:noProof/>
        </w:rPr>
        <w:t>Необходимост от действия на ЕС</w:t>
      </w:r>
    </w:p>
    <w:p w:rsidR="00185C77" w:rsidRDefault="00176197">
      <w:pPr>
        <w:pStyle w:val="Text1"/>
        <w:spacing w:before="0"/>
        <w:ind w:left="0"/>
        <w:rPr>
          <w:noProof/>
          <w:szCs w:val="24"/>
        </w:rPr>
      </w:pPr>
      <w:r>
        <w:rPr>
          <w:noProof/>
        </w:rPr>
        <w:t>Изменението на климата е трансграничен проблем и е от областта на споделена компетентност между ЕС и държавите членки. Поради спецификата на осигуряваните от него</w:t>
      </w:r>
      <w:r>
        <w:rPr>
          <w:noProof/>
        </w:rPr>
        <w:t xml:space="preserve"> услуги автомобилният транспорт на товари също е трансгранична дейност. Стоки се транспортират не само в границите на определена държава, но и на територията на всички държави членки, а тежкотоварни превозни средства се търгуват на цялата територия на ЕС. </w:t>
      </w:r>
    </w:p>
    <w:p w:rsidR="00185C77" w:rsidRDefault="00176197">
      <w:pPr>
        <w:pStyle w:val="Text1"/>
        <w:spacing w:before="0"/>
        <w:ind w:left="0"/>
        <w:rPr>
          <w:noProof/>
          <w:szCs w:val="24"/>
        </w:rPr>
      </w:pPr>
      <w:r>
        <w:rPr>
          <w:noProof/>
        </w:rPr>
        <w:t>Трансграничното отражение на изменението на климата и необходимостта да се запази единният пазар на услуги в областта на автомобилния превоз на товари, както и в областта на тежкотоварните превозни средства, са основание за предприемането на действия на р</w:t>
      </w:r>
      <w:r>
        <w:rPr>
          <w:noProof/>
        </w:rPr>
        <w:t>авнището на ЕС.</w:t>
      </w:r>
    </w:p>
    <w:p w:rsidR="00185C77" w:rsidRDefault="00176197">
      <w:pPr>
        <w:pStyle w:val="Text1"/>
        <w:spacing w:before="0"/>
        <w:ind w:left="0"/>
        <w:rPr>
          <w:noProof/>
          <w:szCs w:val="24"/>
        </w:rPr>
      </w:pPr>
      <w:r>
        <w:rPr>
          <w:noProof/>
        </w:rPr>
        <w:t>Ако ЕС не предприеме действия, намаляването на емисиите от тежкотоварните превозни средства ще зависи от инициативата на държавите членки. Понастоящем обаче много държави членки прилагат данъчни преференции за горивата, използвани за тежкот</w:t>
      </w:r>
      <w:r>
        <w:rPr>
          <w:noProof/>
        </w:rPr>
        <w:t xml:space="preserve">оварните превозни средства в транспортния отрасъл, и няма съществени признаци, че в бъдеще тази тенденция ще се промени.  Сега действащите ставки на данъка върху горивата не водят до необходимото повишаване на горивната ефективност. </w:t>
      </w:r>
    </w:p>
    <w:p w:rsidR="00185C77" w:rsidRDefault="00176197">
      <w:pPr>
        <w:pStyle w:val="Text1"/>
        <w:spacing w:before="0"/>
        <w:ind w:left="0"/>
        <w:rPr>
          <w:noProof/>
          <w:szCs w:val="24"/>
        </w:rPr>
      </w:pPr>
      <w:r>
        <w:rPr>
          <w:noProof/>
        </w:rPr>
        <w:t>Освен това вземането н</w:t>
      </w:r>
      <w:r>
        <w:rPr>
          <w:noProof/>
        </w:rPr>
        <w:t>а подобно решение е от компетентността на държавите членки и е слабо вероятно всички те едновременно да повишат ставките на данъка върху горивата до степен, способна да предизвика значително повишаване на ефективността. Също така политиката на ЕС в областт</w:t>
      </w:r>
      <w:r>
        <w:rPr>
          <w:noProof/>
        </w:rPr>
        <w:t xml:space="preserve">а на данъчното облагане се приема с единодушие, което затруднява хармонизирането в тази област. </w:t>
      </w:r>
    </w:p>
    <w:p w:rsidR="00185C77" w:rsidRDefault="00176197">
      <w:pPr>
        <w:pStyle w:val="Text1"/>
        <w:spacing w:before="0"/>
        <w:ind w:left="0"/>
        <w:rPr>
          <w:noProof/>
          <w:szCs w:val="24"/>
        </w:rPr>
      </w:pPr>
      <w:r>
        <w:rPr>
          <w:noProof/>
        </w:rPr>
        <w:t>Поради описаните причини евентуално увеличаване на ставките на данъка върху горивата може да бъде само допълваща мярка, но не може да замени определянето на ст</w:t>
      </w:r>
      <w:r>
        <w:rPr>
          <w:noProof/>
        </w:rPr>
        <w:t>андарти за емисиите на CO</w:t>
      </w:r>
      <w:r>
        <w:rPr>
          <w:noProof/>
          <w:vertAlign w:val="subscript"/>
        </w:rPr>
        <w:t>2</w:t>
      </w:r>
      <w:r>
        <w:rPr>
          <w:noProof/>
        </w:rPr>
        <w:t>.</w:t>
      </w:r>
    </w:p>
    <w:p w:rsidR="00185C77" w:rsidRDefault="00176197">
      <w:pPr>
        <w:pStyle w:val="Text1"/>
        <w:spacing w:before="0"/>
        <w:ind w:left="0"/>
        <w:rPr>
          <w:noProof/>
          <w:szCs w:val="24"/>
        </w:rPr>
      </w:pPr>
      <w:r>
        <w:rPr>
          <w:noProof/>
        </w:rPr>
        <w:t>Също така, ако държавите членки трябва да предприемат действия, те ще установят различни национални схеми, например в зависимост от целите по Регламента за разпределяне на усилията. Това би довело до различни по мащаб цели и раз</w:t>
      </w:r>
      <w:r>
        <w:rPr>
          <w:noProof/>
        </w:rPr>
        <w:t xml:space="preserve">лични параметри в проектирането, за които биха били необходими различни технологични варианти, а това ще намали икономиите от мащаба и ще предизвика разпокъсаност на единния пазар. </w:t>
      </w:r>
    </w:p>
    <w:p w:rsidR="00185C77" w:rsidRDefault="00176197">
      <w:pPr>
        <w:pStyle w:val="Text1"/>
        <w:spacing w:before="0"/>
        <w:ind w:left="0"/>
        <w:rPr>
          <w:noProof/>
          <w:szCs w:val="24"/>
        </w:rPr>
      </w:pPr>
      <w:r>
        <w:rPr>
          <w:noProof/>
        </w:rPr>
        <w:t xml:space="preserve">Тъй като производителите имат различен дял на пазара на превозни средства в различните държави членки, отражението на различното национално законодателство за тях също ще се различава, като това може да доведе до нарушаване на конкуренцията. </w:t>
      </w:r>
    </w:p>
    <w:p w:rsidR="00185C77" w:rsidRDefault="00176197">
      <w:pPr>
        <w:pStyle w:val="Text1"/>
        <w:spacing w:before="0"/>
        <w:ind w:left="0"/>
        <w:rPr>
          <w:noProof/>
          <w:szCs w:val="24"/>
        </w:rPr>
      </w:pPr>
      <w:r>
        <w:rPr>
          <w:noProof/>
        </w:rPr>
        <w:t>С оглед на то</w:t>
      </w:r>
      <w:r>
        <w:rPr>
          <w:noProof/>
        </w:rPr>
        <w:t>ва са необходими съгласувани и взаимно допълващи се действия на европейско равнище.</w:t>
      </w:r>
    </w:p>
    <w:p w:rsidR="00185C77" w:rsidRDefault="00176197">
      <w:pPr>
        <w:pStyle w:val="Text1"/>
        <w:spacing w:before="0"/>
        <w:ind w:left="0"/>
        <w:rPr>
          <w:i/>
          <w:noProof/>
          <w:szCs w:val="24"/>
        </w:rPr>
      </w:pPr>
      <w:r>
        <w:rPr>
          <w:i/>
          <w:noProof/>
        </w:rPr>
        <w:t>Добавена стойност от участието на ЕС</w:t>
      </w:r>
    </w:p>
    <w:p w:rsidR="00185C77" w:rsidRDefault="00176197">
      <w:pPr>
        <w:pStyle w:val="Text1"/>
        <w:spacing w:before="0"/>
        <w:ind w:left="0"/>
        <w:rPr>
          <w:iCs/>
          <w:noProof/>
          <w:szCs w:val="24"/>
        </w:rPr>
      </w:pPr>
      <w:r>
        <w:rPr>
          <w:noProof/>
        </w:rPr>
        <w:t>Като се има предвид създаденият единен пазар за нови тежкотоварни превозни средства, икономически най-ефективно е да се предприемат хар</w:t>
      </w:r>
      <w:r>
        <w:rPr>
          <w:noProof/>
        </w:rPr>
        <w:t>монизирани действия и да се определят стандарти за емисиите на CO</w:t>
      </w:r>
      <w:r>
        <w:rPr>
          <w:noProof/>
          <w:vertAlign w:val="subscript"/>
        </w:rPr>
        <w:t>2</w:t>
      </w:r>
      <w:r>
        <w:rPr>
          <w:noProof/>
        </w:rPr>
        <w:t xml:space="preserve"> от нови тежкотоварни превозни средства на равнището на ЕС. Дори всички държави членки да въведат нормативни изисквания за емисиите на CO</w:t>
      </w:r>
      <w:r>
        <w:rPr>
          <w:noProof/>
          <w:vertAlign w:val="subscript"/>
        </w:rPr>
        <w:t>2</w:t>
      </w:r>
      <w:r>
        <w:rPr>
          <w:noProof/>
        </w:rPr>
        <w:t xml:space="preserve"> от нови превозни средства, недостатъчно добрата коо</w:t>
      </w:r>
      <w:r>
        <w:rPr>
          <w:noProof/>
        </w:rPr>
        <w:t>рдинация между тях може да доведе до по-големи разходи за съответствие за производителите и да обезсмисли стимулите за проектиране на тежкотоварни превозни средства с по-нисък разход на гориво поради разпокъсаността на европейския пазар.</w:t>
      </w:r>
    </w:p>
    <w:p w:rsidR="00185C77" w:rsidRDefault="00176197">
      <w:pPr>
        <w:pStyle w:val="Text1"/>
        <w:spacing w:before="0"/>
        <w:ind w:left="0"/>
        <w:rPr>
          <w:iCs/>
          <w:noProof/>
          <w:szCs w:val="24"/>
        </w:rPr>
      </w:pPr>
      <w:r>
        <w:rPr>
          <w:noProof/>
        </w:rPr>
        <w:t>Липсата на общи ст</w:t>
      </w:r>
      <w:r>
        <w:rPr>
          <w:noProof/>
        </w:rPr>
        <w:t>андарти и общи технически решения или конфигурации на превозните средства ще доведе до допълнителни разходи както за доставчиците на компоненти, така и за производителите на превозни средства. В крайна сметка обаче тези разходи ще бъдат прехвърлени на потр</w:t>
      </w:r>
      <w:r>
        <w:rPr>
          <w:noProof/>
        </w:rPr>
        <w:t>ебителите, които ще трябва да поемат по-големи разходи за превозните средства.</w:t>
      </w:r>
    </w:p>
    <w:p w:rsidR="00185C77" w:rsidRDefault="00176197">
      <w:pPr>
        <w:pStyle w:val="Text1"/>
        <w:spacing w:before="0"/>
        <w:ind w:left="0"/>
        <w:rPr>
          <w:iCs/>
          <w:noProof/>
          <w:szCs w:val="24"/>
        </w:rPr>
      </w:pPr>
      <w:r>
        <w:rPr>
          <w:noProof/>
        </w:rPr>
        <w:t>За да направи необходимите мащабни капиталовложения за оптимални икономии на гориво за новите превозни средства — и в още по-голяма степен за да осъществи прехода към алтернатив</w:t>
      </w:r>
      <w:r>
        <w:rPr>
          <w:noProof/>
        </w:rPr>
        <w:t>ни задвижващи системи — автомобилната промишленост се нуждае от възможно най-голяма сигурност на нормативната уредба. Въвеждането на хармонизирани стандарти на равнището на Съюза осигурява такава сигурност за дългосрочно планиране, а стандартите могат да с</w:t>
      </w:r>
      <w:r>
        <w:rPr>
          <w:noProof/>
        </w:rPr>
        <w:t>е прилагат еднакво ефикасно и с еднаква степен на сигурност на равнището на държавите членки.</w:t>
      </w:r>
    </w:p>
    <w:p w:rsidR="00185C77" w:rsidRDefault="00176197">
      <w:pPr>
        <w:pStyle w:val="ManualHeading2"/>
        <w:spacing w:before="0"/>
        <w:rPr>
          <w:rFonts w:eastAsia="Arial Unicode MS"/>
          <w:noProof/>
          <w:szCs w:val="24"/>
          <w:u w:color="000000"/>
          <w:bdr w:val="nil"/>
        </w:rPr>
      </w:pPr>
      <w:r>
        <w:rPr>
          <w:noProof/>
        </w:rPr>
        <w:t>•</w:t>
      </w:r>
      <w:r>
        <w:rPr>
          <w:noProof/>
        </w:rPr>
        <w:tab/>
        <w:t>Пропорционалност</w:t>
      </w:r>
    </w:p>
    <w:p w:rsidR="00185C77" w:rsidRDefault="00176197">
      <w:pPr>
        <w:pBdr>
          <w:top w:val="nil"/>
          <w:left w:val="nil"/>
          <w:bottom w:val="nil"/>
          <w:right w:val="nil"/>
          <w:between w:val="nil"/>
          <w:bar w:val="nil"/>
        </w:pBdr>
        <w:spacing w:before="0"/>
        <w:rPr>
          <w:rFonts w:eastAsia="Arial Unicode MS"/>
          <w:noProof/>
          <w:szCs w:val="24"/>
        </w:rPr>
      </w:pPr>
      <w:r>
        <w:rPr>
          <w:noProof/>
        </w:rPr>
        <w:t>Избраната политика в рамките на настоящото предложение се стреми да регламентира емисиите на CO</w:t>
      </w:r>
      <w:r>
        <w:rPr>
          <w:noProof/>
          <w:vertAlign w:val="subscript"/>
        </w:rPr>
        <w:t>2</w:t>
      </w:r>
      <w:r>
        <w:rPr>
          <w:noProof/>
        </w:rPr>
        <w:t xml:space="preserve"> от тежкотоварните превозни средства. Предложен</w:t>
      </w:r>
      <w:r>
        <w:rPr>
          <w:noProof/>
        </w:rPr>
        <w:t xml:space="preserve">ието е насочено към строго необходимото за постигането на поставените цели. </w:t>
      </w:r>
    </w:p>
    <w:p w:rsidR="00185C77" w:rsidRDefault="00176197">
      <w:pPr>
        <w:pBdr>
          <w:top w:val="nil"/>
          <w:left w:val="nil"/>
          <w:bottom w:val="nil"/>
          <w:right w:val="nil"/>
          <w:between w:val="nil"/>
          <w:bar w:val="nil"/>
        </w:pBdr>
        <w:spacing w:before="0"/>
        <w:rPr>
          <w:rFonts w:eastAsia="Arial Unicode MS"/>
          <w:noProof/>
          <w:szCs w:val="24"/>
        </w:rPr>
      </w:pPr>
      <w:r>
        <w:rPr>
          <w:noProof/>
        </w:rPr>
        <w:t>С оглед на това настоящото предложение е в съответствие с принципа на пропорционалност. С него се определят икономически ефективни стандарти за емисиите с цел да се постигне необх</w:t>
      </w:r>
      <w:r>
        <w:rPr>
          <w:noProof/>
        </w:rPr>
        <w:t>одимото намаляване на емисиите на CO</w:t>
      </w:r>
      <w:r>
        <w:rPr>
          <w:noProof/>
          <w:vertAlign w:val="subscript"/>
        </w:rPr>
        <w:t>2</w:t>
      </w:r>
      <w:r>
        <w:rPr>
          <w:noProof/>
        </w:rPr>
        <w:t xml:space="preserve"> от нови тежкотоварни превозни средства, съгласувано в уредбата на ЕС до 2030 г. в областта на климата и енергетиката, като същевременно се обезпечава справедливо разпределяне на усилията между производителите. </w:t>
      </w:r>
    </w:p>
    <w:p w:rsidR="00185C77" w:rsidRDefault="00176197">
      <w:pPr>
        <w:pBdr>
          <w:top w:val="nil"/>
          <w:left w:val="nil"/>
          <w:bottom w:val="nil"/>
          <w:right w:val="nil"/>
          <w:between w:val="nil"/>
          <w:bar w:val="nil"/>
        </w:pBdr>
        <w:spacing w:before="0"/>
        <w:rPr>
          <w:rFonts w:eastAsia="Arial Unicode MS"/>
          <w:noProof/>
          <w:szCs w:val="24"/>
        </w:rPr>
      </w:pPr>
      <w:r>
        <w:rPr>
          <w:noProof/>
        </w:rPr>
        <w:t>В глава</w:t>
      </w:r>
      <w:r>
        <w:rPr>
          <w:noProof/>
        </w:rPr>
        <w:t xml:space="preserve"> 7 от оценката на въздействието, придружаваща настоящото предложение, се разглеждат аспектите на всеки от очертаните варианти на политиката от гледна точка на пропорционалността. </w:t>
      </w:r>
    </w:p>
    <w:p w:rsidR="00185C77" w:rsidRDefault="00176197">
      <w:pPr>
        <w:pStyle w:val="ManualHeading2"/>
        <w:spacing w:before="0"/>
        <w:rPr>
          <w:rFonts w:eastAsia="Arial Unicode MS"/>
          <w:noProof/>
          <w:szCs w:val="24"/>
          <w:u w:color="000000"/>
          <w:bdr w:val="nil"/>
        </w:rPr>
      </w:pPr>
      <w:r>
        <w:rPr>
          <w:noProof/>
        </w:rPr>
        <w:t>•</w:t>
      </w:r>
      <w:r>
        <w:rPr>
          <w:noProof/>
        </w:rPr>
        <w:tab/>
        <w:t>Избор на инструмент</w:t>
      </w:r>
    </w:p>
    <w:p w:rsidR="00185C77" w:rsidRDefault="00176197">
      <w:pPr>
        <w:pBdr>
          <w:top w:val="nil"/>
          <w:left w:val="nil"/>
          <w:bottom w:val="nil"/>
          <w:right w:val="nil"/>
          <w:between w:val="nil"/>
          <w:bar w:val="nil"/>
        </w:pBdr>
        <w:spacing w:before="0"/>
        <w:rPr>
          <w:rFonts w:eastAsia="Arial Unicode MS"/>
          <w:noProof/>
          <w:szCs w:val="24"/>
        </w:rPr>
      </w:pPr>
      <w:r>
        <w:rPr>
          <w:noProof/>
        </w:rPr>
        <w:t>Счита се, че подходящият правен акт е регламент, тъй к</w:t>
      </w:r>
      <w:r>
        <w:rPr>
          <w:noProof/>
        </w:rPr>
        <w:t>ато с него се осигуряват необходимите гаранции, че производителите ще спазват стандартите за емисии на CO</w:t>
      </w:r>
      <w:r>
        <w:rPr>
          <w:noProof/>
          <w:vertAlign w:val="subscript"/>
        </w:rPr>
        <w:t>2</w:t>
      </w:r>
      <w:r>
        <w:rPr>
          <w:noProof/>
        </w:rPr>
        <w:t xml:space="preserve">, без да се налага транспонирането им в законодателството на държавите членки. Целта на ЕС се прилага за Съюза като цяло. Поради това е необходимо да </w:t>
      </w:r>
      <w:r>
        <w:rPr>
          <w:noProof/>
        </w:rPr>
        <w:t xml:space="preserve">се гарантира, че всички държави членки прилагат еднакъв подход. Също така, както бе обяснено по-горе, необходим е хармонизиран подход, за да се предотвратят нарушения на конкуренцията и опасност от разпокъсване на единния пазар. </w:t>
      </w:r>
    </w:p>
    <w:p w:rsidR="00185C77" w:rsidRDefault="00176197">
      <w:pPr>
        <w:pBdr>
          <w:top w:val="nil"/>
          <w:left w:val="nil"/>
          <w:bottom w:val="nil"/>
          <w:right w:val="nil"/>
          <w:between w:val="nil"/>
          <w:bar w:val="nil"/>
        </w:pBdr>
        <w:spacing w:before="0"/>
        <w:rPr>
          <w:rFonts w:eastAsia="Arial Unicode MS"/>
          <w:noProof/>
          <w:szCs w:val="24"/>
        </w:rPr>
      </w:pPr>
      <w:r>
        <w:rPr>
          <w:noProof/>
        </w:rPr>
        <w:t>Изборът е в съответствие и</w:t>
      </w:r>
      <w:r>
        <w:rPr>
          <w:noProof/>
        </w:rPr>
        <w:t xml:space="preserve"> със стандартите за емисии на CO</w:t>
      </w:r>
      <w:r>
        <w:rPr>
          <w:noProof/>
          <w:vertAlign w:val="subscript"/>
        </w:rPr>
        <w:t xml:space="preserve">2 </w:t>
      </w:r>
      <w:r>
        <w:rPr>
          <w:noProof/>
        </w:rPr>
        <w:t xml:space="preserve"> от новите леки пътнически автомобили и леките търговски превозни средства, определени в регламенти (EО) 443/2009 и (ЕС) 510/2011.</w:t>
      </w:r>
    </w:p>
    <w:p w:rsidR="00185C77" w:rsidRDefault="00176197">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w:t>
      </w:r>
      <w:r>
        <w:rPr>
          <w:noProof/>
        </w:rPr>
        <w:t>А ВЪЗДЕЙСТВИЕТО</w:t>
      </w:r>
    </w:p>
    <w:p w:rsidR="00185C77" w:rsidRDefault="00176197">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rsidR="00185C77" w:rsidRDefault="00176197">
      <w:pPr>
        <w:pStyle w:val="Text1"/>
        <w:ind w:left="0"/>
        <w:rPr>
          <w:noProof/>
        </w:rPr>
      </w:pPr>
      <w:r>
        <w:rPr>
          <w:noProof/>
        </w:rPr>
        <w:t>Поради липсата на законодателство на ЕС, определящо стандарти за емисиите на CO</w:t>
      </w:r>
      <w:r>
        <w:rPr>
          <w:noProof/>
          <w:vertAlign w:val="subscript"/>
        </w:rPr>
        <w:t>2</w:t>
      </w:r>
      <w:r>
        <w:rPr>
          <w:noProof/>
        </w:rPr>
        <w:t xml:space="preserve"> от тежкотоварните превозни средства, не бе възможно да се направи оценка. </w:t>
      </w:r>
    </w:p>
    <w:p w:rsidR="00185C77" w:rsidRDefault="00176197">
      <w:pPr>
        <w:pStyle w:val="ManualHeading2"/>
        <w:rPr>
          <w:rFonts w:eastAsia="Arial Unicode MS"/>
          <w:noProof/>
          <w:u w:color="000000"/>
          <w:bdr w:val="nil"/>
        </w:rPr>
      </w:pPr>
      <w:r>
        <w:rPr>
          <w:noProof/>
        </w:rPr>
        <w:t>•</w:t>
      </w:r>
      <w:r>
        <w:rPr>
          <w:noProof/>
        </w:rPr>
        <w:tab/>
      </w:r>
      <w:r>
        <w:rPr>
          <w:noProof/>
        </w:rPr>
        <w:t>Консултации със заинтересованите страни</w:t>
      </w:r>
    </w:p>
    <w:p w:rsidR="00185C77" w:rsidRDefault="00176197">
      <w:pPr>
        <w:pStyle w:val="Text1"/>
        <w:ind w:left="0"/>
        <w:rPr>
          <w:noProof/>
        </w:rPr>
      </w:pPr>
      <w:r>
        <w:rPr>
          <w:noProof/>
        </w:rPr>
        <w:t>Комисията потърси отзиви от заинтересованите страни със следните дейности:</w:t>
      </w:r>
    </w:p>
    <w:p w:rsidR="00185C77" w:rsidRDefault="00176197">
      <w:pPr>
        <w:pStyle w:val="Point1"/>
        <w:rPr>
          <w:noProof/>
        </w:rPr>
      </w:pPr>
      <w:r>
        <w:rPr>
          <w:noProof/>
        </w:rPr>
        <w:t>а)</w:t>
      </w:r>
      <w:r>
        <w:rPr>
          <w:noProof/>
        </w:rPr>
        <w:tab/>
        <w:t>обществена консултация онлайн (20 ноември 2017 г. — 29 януари 2018 г.);</w:t>
      </w:r>
    </w:p>
    <w:p w:rsidR="00185C77" w:rsidRDefault="00176197">
      <w:pPr>
        <w:pStyle w:val="Point1"/>
        <w:rPr>
          <w:noProof/>
        </w:rPr>
      </w:pPr>
      <w:r>
        <w:rPr>
          <w:noProof/>
        </w:rPr>
        <w:t>б)</w:t>
      </w:r>
      <w:r>
        <w:rPr>
          <w:noProof/>
        </w:rPr>
        <w:tab/>
        <w:t xml:space="preserve">семинар на заинтересованите страни (16 януари 2018 г.); </w:t>
      </w:r>
    </w:p>
    <w:p w:rsidR="00185C77" w:rsidRDefault="00176197">
      <w:pPr>
        <w:pStyle w:val="Point1"/>
        <w:rPr>
          <w:noProof/>
        </w:rPr>
      </w:pPr>
      <w:r>
        <w:rPr>
          <w:noProof/>
        </w:rPr>
        <w:t>в)</w:t>
      </w:r>
      <w:r>
        <w:rPr>
          <w:noProof/>
        </w:rPr>
        <w:tab/>
      </w:r>
      <w:r>
        <w:rPr>
          <w:noProof/>
        </w:rPr>
        <w:t>срещи със сдружения на промишлеността, представляващи производителите на превозни средства, доставчиците на компоненти и материали и доставчиците на горива;</w:t>
      </w:r>
    </w:p>
    <w:p w:rsidR="00185C77" w:rsidRDefault="00176197">
      <w:pPr>
        <w:pStyle w:val="Point1"/>
        <w:rPr>
          <w:noProof/>
        </w:rPr>
      </w:pPr>
      <w:r>
        <w:rPr>
          <w:noProof/>
        </w:rPr>
        <w:t>г)</w:t>
      </w:r>
      <w:r>
        <w:rPr>
          <w:noProof/>
        </w:rPr>
        <w:tab/>
        <w:t>срещи с органите на държавите членки, с производители на превозни средства, доставчици, социални</w:t>
      </w:r>
      <w:r>
        <w:rPr>
          <w:noProof/>
        </w:rPr>
        <w:t xml:space="preserve"> партньори и НПО;</w:t>
      </w:r>
    </w:p>
    <w:p w:rsidR="00185C77" w:rsidRDefault="00176197">
      <w:pPr>
        <w:pStyle w:val="Point1"/>
        <w:rPr>
          <w:noProof/>
        </w:rPr>
      </w:pPr>
      <w:r>
        <w:rPr>
          <w:noProof/>
        </w:rPr>
        <w:t>д)</w:t>
      </w:r>
      <w:r>
        <w:rPr>
          <w:noProof/>
        </w:rPr>
        <w:tab/>
        <w:t>становища на заинтересованите страни и държавите членки.</w:t>
      </w:r>
    </w:p>
    <w:p w:rsidR="00185C77" w:rsidRDefault="00176197">
      <w:pPr>
        <w:pStyle w:val="Text1"/>
        <w:ind w:left="0"/>
        <w:rPr>
          <w:noProof/>
        </w:rPr>
      </w:pPr>
      <w:r>
        <w:rPr>
          <w:noProof/>
        </w:rPr>
        <w:t>Обобщение на консултацията със заинтересованите страни е представено в приложение 2 към оценката на въздействието, придружаваща настоящото предложение.</w:t>
      </w:r>
    </w:p>
    <w:p w:rsidR="00185C77" w:rsidRDefault="00176197">
      <w:pPr>
        <w:pStyle w:val="Text1"/>
        <w:ind w:left="0"/>
        <w:rPr>
          <w:noProof/>
        </w:rPr>
      </w:pPr>
      <w:r>
        <w:rPr>
          <w:noProof/>
        </w:rPr>
        <w:t>Основните резултати от кон</w:t>
      </w:r>
      <w:r>
        <w:rPr>
          <w:noProof/>
        </w:rPr>
        <w:t>султациите със заинтересованите страни могат да се обобщят по следния начин:</w:t>
      </w:r>
    </w:p>
    <w:p w:rsidR="00185C77" w:rsidRDefault="00176197">
      <w:pPr>
        <w:pStyle w:val="Text1"/>
        <w:ind w:left="0"/>
        <w:rPr>
          <w:noProof/>
        </w:rPr>
      </w:pPr>
      <w:r>
        <w:rPr>
          <w:noProof/>
        </w:rPr>
        <w:t>На въпроса да подредят по важност предпочитаните от тях варианти за намаляване на емисиите на CO</w:t>
      </w:r>
      <w:r>
        <w:rPr>
          <w:noProof/>
          <w:vertAlign w:val="subscript"/>
        </w:rPr>
        <w:t>2</w:t>
      </w:r>
      <w:r>
        <w:rPr>
          <w:noProof/>
        </w:rPr>
        <w:t xml:space="preserve"> от нови тежкотоварни превозни средства и за постигане на целите в областта на ене</w:t>
      </w:r>
      <w:r>
        <w:rPr>
          <w:noProof/>
        </w:rPr>
        <w:t>ргетиката и климата до 2030 г., като предпочитан вариант всички заинтересовани страни посочват законодателство, с което се определят стандарти за емисиите на CO</w:t>
      </w:r>
      <w:r>
        <w:rPr>
          <w:noProof/>
          <w:vertAlign w:val="subscript"/>
        </w:rPr>
        <w:t>2</w:t>
      </w:r>
      <w:r>
        <w:rPr>
          <w:noProof/>
        </w:rPr>
        <w:t xml:space="preserve"> от тежкотоварни превозни средства на равнището на ЕС. </w:t>
      </w:r>
    </w:p>
    <w:p w:rsidR="00185C77" w:rsidRDefault="00176197">
      <w:pPr>
        <w:pStyle w:val="Text1"/>
        <w:ind w:left="0"/>
        <w:rPr>
          <w:noProof/>
          <w:szCs w:val="24"/>
        </w:rPr>
      </w:pPr>
      <w:r>
        <w:rPr>
          <w:noProof/>
        </w:rPr>
        <w:t xml:space="preserve">Организациите на гражданското общество </w:t>
      </w:r>
      <w:r>
        <w:rPr>
          <w:noProof/>
        </w:rPr>
        <w:t>обаче се изказват в подкрепа на задължителни цели за намаляване на емисиите на CO</w:t>
      </w:r>
      <w:r>
        <w:rPr>
          <w:noProof/>
          <w:vertAlign w:val="subscript"/>
        </w:rPr>
        <w:t>2</w:t>
      </w:r>
      <w:r>
        <w:rPr>
          <w:noProof/>
        </w:rPr>
        <w:t xml:space="preserve"> от тежкотоварни превозни средства на равнището на ЕС, а някои производители на тежкотоварни превозни средства и техните сдружения предпочитат други мерки в рамките на компле</w:t>
      </w:r>
      <w:r>
        <w:rPr>
          <w:noProof/>
        </w:rPr>
        <w:t>ксен подход, в т.ч. законодателство, с което се определя схема за етикетиране на емисиите на CO</w:t>
      </w:r>
      <w:r>
        <w:rPr>
          <w:noProof/>
          <w:vertAlign w:val="subscript"/>
        </w:rPr>
        <w:t>2</w:t>
      </w:r>
      <w:r>
        <w:rPr>
          <w:noProof/>
        </w:rPr>
        <w:t xml:space="preserve"> на равнището на ЕС, включване на транспортния отрасъл в схемата на ЕС за търговия с емисии, други стимули, като например данъци върху горивата на национално ра</w:t>
      </w:r>
      <w:r>
        <w:rPr>
          <w:noProof/>
        </w:rPr>
        <w:t>внище, или пътни такси въз основа на емисиите на CO</w:t>
      </w:r>
      <w:r>
        <w:rPr>
          <w:noProof/>
          <w:vertAlign w:val="subscript"/>
        </w:rPr>
        <w:t>2</w:t>
      </w:r>
      <w:r>
        <w:rPr>
          <w:noProof/>
        </w:rPr>
        <w:t>.</w:t>
      </w:r>
    </w:p>
    <w:p w:rsidR="00185C77" w:rsidRDefault="00176197">
      <w:pPr>
        <w:pStyle w:val="Text1"/>
        <w:ind w:left="0"/>
        <w:rPr>
          <w:noProof/>
        </w:rPr>
      </w:pPr>
      <w:r>
        <w:rPr>
          <w:noProof/>
        </w:rPr>
        <w:t>Въпреки че определянето на стандарти за емисиите на CO</w:t>
      </w:r>
      <w:r>
        <w:rPr>
          <w:noProof/>
          <w:vertAlign w:val="subscript"/>
        </w:rPr>
        <w:t>2</w:t>
      </w:r>
      <w:r>
        <w:rPr>
          <w:noProof/>
        </w:rPr>
        <w:t xml:space="preserve"> от тежкотоварните превозни средства не е предпочитаният вариант за производителите, при вариантите с по-умерени последици, разгледани в оценката н</w:t>
      </w:r>
      <w:r>
        <w:rPr>
          <w:noProof/>
        </w:rPr>
        <w:t>а въздействието, те предлагат определянето на цели за емисиите на CO</w:t>
      </w:r>
      <w:r>
        <w:rPr>
          <w:noProof/>
          <w:vertAlign w:val="subscript"/>
        </w:rPr>
        <w:t>2</w:t>
      </w:r>
      <w:r>
        <w:rPr>
          <w:noProof/>
        </w:rPr>
        <w:t xml:space="preserve"> за 2025 и 2030 г. и призовават скоро след 2020 г. да се направи преглед на целта за 2030 г.</w:t>
      </w:r>
    </w:p>
    <w:p w:rsidR="00185C77" w:rsidRDefault="00176197">
      <w:pPr>
        <w:pStyle w:val="Text1"/>
        <w:ind w:left="0"/>
        <w:rPr>
          <w:noProof/>
        </w:rPr>
      </w:pPr>
      <w:r>
        <w:rPr>
          <w:noProof/>
        </w:rPr>
        <w:t>Неправителствените екологични организации подкрепят варианта от 2025 г. да се прилага една-еди</w:t>
      </w:r>
      <w:r>
        <w:rPr>
          <w:noProof/>
        </w:rPr>
        <w:t>нствена цел за намаляване на емисиите на CO</w:t>
      </w:r>
      <w:r>
        <w:rPr>
          <w:noProof/>
          <w:vertAlign w:val="subscript"/>
        </w:rPr>
        <w:t>2</w:t>
      </w:r>
      <w:r>
        <w:rPr>
          <w:noProof/>
        </w:rPr>
        <w:t>, чиято стойност съвпада с разгледаните по-амбициозни варианти, и предлагат целта за 2030 г. да се определени на по-късен етап.</w:t>
      </w:r>
    </w:p>
    <w:p w:rsidR="00185C77" w:rsidRDefault="00176197">
      <w:pPr>
        <w:pStyle w:val="Text1"/>
        <w:ind w:left="0"/>
        <w:rPr>
          <w:noProof/>
        </w:rPr>
      </w:pPr>
      <w:r>
        <w:rPr>
          <w:noProof/>
        </w:rPr>
        <w:t>По отношение на стимулите за превозни средства с нулеви и ниски емисии (ZEV/LEV) про</w:t>
      </w:r>
      <w:r>
        <w:rPr>
          <w:noProof/>
        </w:rPr>
        <w:t>изводителите изразиха предпочитание за схема с извънредни кредити, при която тези превозни средства се броят многократно за изпълнението на целта за специфични емисии на CO</w:t>
      </w:r>
      <w:r>
        <w:rPr>
          <w:noProof/>
          <w:vertAlign w:val="subscript"/>
        </w:rPr>
        <w:t>2</w:t>
      </w:r>
      <w:r>
        <w:rPr>
          <w:noProof/>
        </w:rPr>
        <w:t xml:space="preserve"> на производителя. Неправителствените екологични организации подкрепят или въвеждан</w:t>
      </w:r>
      <w:r>
        <w:rPr>
          <w:noProof/>
        </w:rPr>
        <w:t>ето на задължение производителите да регистрират минимален дял превозни средства с нулеви и ниски емисии, или въвеждането на гъвкаво задължение, при което целта на производителя за емисиите на CO</w:t>
      </w:r>
      <w:r>
        <w:rPr>
          <w:noProof/>
          <w:vertAlign w:val="subscript"/>
        </w:rPr>
        <w:t>2</w:t>
      </w:r>
      <w:r>
        <w:rPr>
          <w:noProof/>
        </w:rPr>
        <w:t xml:space="preserve"> се намалява, ако делът на регистрираните от него превозни с</w:t>
      </w:r>
      <w:r>
        <w:rPr>
          <w:noProof/>
        </w:rPr>
        <w:t xml:space="preserve">редства с нулеви и ниски емисии надхвърли определена базова стойност. </w:t>
      </w:r>
    </w:p>
    <w:p w:rsidR="00185C77" w:rsidRDefault="00176197">
      <w:pPr>
        <w:pStyle w:val="Text1"/>
        <w:ind w:left="0"/>
        <w:rPr>
          <w:noProof/>
        </w:rPr>
      </w:pPr>
      <w:r>
        <w:rPr>
          <w:noProof/>
        </w:rPr>
        <w:t>Всички заинтересовани страни се изказват в подкрепа на икономически ефективното изпълнение, като производителите са за възможно най-голяма гъвкавост, а НПО подкрепят само схема за търго</w:t>
      </w:r>
      <w:r>
        <w:rPr>
          <w:noProof/>
        </w:rPr>
        <w:t>вия с емисии. Повечето заинтересовани страни подкрепят въвеждането на процедура за оценка доколко представителни са сертифицираните емисии на CO</w:t>
      </w:r>
      <w:r>
        <w:rPr>
          <w:noProof/>
          <w:vertAlign w:val="subscript"/>
        </w:rPr>
        <w:t>2</w:t>
      </w:r>
      <w:r>
        <w:rPr>
          <w:noProof/>
        </w:rPr>
        <w:t xml:space="preserve"> в сравнение с емисиите в реални условия. </w:t>
      </w:r>
    </w:p>
    <w:p w:rsidR="00185C77" w:rsidRDefault="00176197">
      <w:pPr>
        <w:pStyle w:val="ManualHeading2"/>
        <w:spacing w:before="0"/>
        <w:rPr>
          <w:rFonts w:eastAsia="Arial Unicode MS"/>
          <w:noProof/>
          <w:u w:color="000000"/>
          <w:bdr w:val="nil"/>
        </w:rPr>
      </w:pPr>
      <w:r>
        <w:rPr>
          <w:noProof/>
        </w:rPr>
        <w:t>•</w:t>
      </w:r>
      <w:r>
        <w:rPr>
          <w:noProof/>
        </w:rPr>
        <w:tab/>
        <w:t>Събиране и използване на експертни становища</w:t>
      </w:r>
    </w:p>
    <w:p w:rsidR="00185C77" w:rsidRDefault="00176197">
      <w:pPr>
        <w:pBdr>
          <w:top w:val="nil"/>
          <w:left w:val="nil"/>
          <w:bottom w:val="nil"/>
          <w:right w:val="nil"/>
          <w:between w:val="nil"/>
          <w:bar w:val="nil"/>
        </w:pBdr>
        <w:spacing w:before="0"/>
        <w:rPr>
          <w:noProof/>
        </w:rPr>
      </w:pPr>
      <w:r>
        <w:rPr>
          <w:noProof/>
        </w:rPr>
        <w:t>Представената в оценк</w:t>
      </w:r>
      <w:r>
        <w:rPr>
          <w:noProof/>
        </w:rPr>
        <w:t>ата на въздействието количествена оценка на икономическото, социалното и екологичното отражение на вариантите на политиката се основава на набор от модели и специален набор от криви на разходите, обхващащи широк кръг технологии за намаляване на емисиите на</w:t>
      </w:r>
      <w:r>
        <w:rPr>
          <w:noProof/>
        </w:rPr>
        <w:t xml:space="preserve"> CO</w:t>
      </w:r>
      <w:r>
        <w:rPr>
          <w:noProof/>
          <w:vertAlign w:val="subscript"/>
        </w:rPr>
        <w:t>2</w:t>
      </w:r>
      <w:r>
        <w:rPr>
          <w:noProof/>
        </w:rPr>
        <w:t xml:space="preserve"> от тежкотоварните превозни средства. </w:t>
      </w:r>
    </w:p>
    <w:p w:rsidR="00185C77" w:rsidRDefault="00176197">
      <w:pPr>
        <w:pBdr>
          <w:top w:val="nil"/>
          <w:left w:val="nil"/>
          <w:bottom w:val="nil"/>
          <w:right w:val="nil"/>
          <w:between w:val="nil"/>
          <w:bar w:val="nil"/>
        </w:pBdr>
        <w:spacing w:before="0"/>
        <w:rPr>
          <w:noProof/>
        </w:rPr>
      </w:pPr>
      <w:r>
        <w:rPr>
          <w:noProof/>
        </w:rPr>
        <w:t>Кривите на разходите, които показват потенциала и разходите за намаляване на емисиите на CO</w:t>
      </w:r>
      <w:r>
        <w:rPr>
          <w:noProof/>
          <w:vertAlign w:val="subscript"/>
        </w:rPr>
        <w:t>2</w:t>
      </w:r>
      <w:r>
        <w:rPr>
          <w:noProof/>
        </w:rPr>
        <w:t xml:space="preserve"> за повече от 50 технологии, са разработени в рамките на проучване, осъществено от наети от Комисията външни изпълнители</w:t>
      </w:r>
      <w:r>
        <w:rPr>
          <w:rStyle w:val="FootnoteReference"/>
          <w:noProof/>
        </w:rPr>
        <w:footnoteReference w:id="13"/>
      </w:r>
      <w:r>
        <w:rPr>
          <w:noProof/>
        </w:rPr>
        <w:t>, и с участието на Съвместния изследователски център JRC</w:t>
      </w:r>
      <w:r>
        <w:rPr>
          <w:rStyle w:val="FootnoteReference"/>
          <w:noProof/>
        </w:rPr>
        <w:footnoteReference w:id="14"/>
      </w:r>
      <w:r>
        <w:rPr>
          <w:noProof/>
        </w:rPr>
        <w:t xml:space="preserve">. </w:t>
      </w:r>
    </w:p>
    <w:p w:rsidR="00185C77" w:rsidRDefault="00176197">
      <w:pPr>
        <w:pBdr>
          <w:top w:val="nil"/>
          <w:left w:val="nil"/>
          <w:bottom w:val="nil"/>
          <w:right w:val="nil"/>
          <w:between w:val="nil"/>
          <w:bar w:val="nil"/>
        </w:pBdr>
        <w:spacing w:before="0"/>
        <w:rPr>
          <w:noProof/>
        </w:rPr>
      </w:pPr>
      <w:r>
        <w:rPr>
          <w:noProof/>
        </w:rPr>
        <w:t>Използван бе моделът PRIMES-TREMOVE, за да се прогнозира развитието на автомобилния транспорт при различни сценарии. Комисията последователно използва този модел за инициативите си в областта на к</w:t>
      </w:r>
      <w:r>
        <w:rPr>
          <w:noProof/>
        </w:rPr>
        <w:t xml:space="preserve">лимата, енергетиката и транспорта. Моделът DIONE, разработен от Съвместния изследователски център, бе използван за оценка на разходите, а микроикономическият модел EXIOMOD — за количествено определяне на отражението върху БВП и оборота в отрасъла. </w:t>
      </w:r>
    </w:p>
    <w:p w:rsidR="00185C77" w:rsidRDefault="00176197">
      <w:pPr>
        <w:pStyle w:val="Text2"/>
        <w:spacing w:before="0"/>
        <w:ind w:left="0"/>
        <w:rPr>
          <w:noProof/>
          <w:szCs w:val="24"/>
        </w:rPr>
      </w:pPr>
      <w:r>
        <w:rPr>
          <w:noProof/>
        </w:rPr>
        <w:t>Беше съ</w:t>
      </w:r>
      <w:r>
        <w:rPr>
          <w:noProof/>
        </w:rPr>
        <w:t xml:space="preserve">брана допълнителна информация чрез проучвания, възложени на външни изпълнители, както и с участието на Съвместния изследователски център, при които бяха разгледани следните аспекти: </w:t>
      </w:r>
    </w:p>
    <w:p w:rsidR="00185C77" w:rsidRDefault="00176197">
      <w:pPr>
        <w:pStyle w:val="Bullet1"/>
        <w:numPr>
          <w:ilvl w:val="0"/>
          <w:numId w:val="18"/>
        </w:numPr>
        <w:rPr>
          <w:noProof/>
        </w:rPr>
      </w:pPr>
      <w:r>
        <w:rPr>
          <w:noProof/>
        </w:rPr>
        <w:t>елементи с потенциално отражение върху конкурентоспособността на промишле</w:t>
      </w:r>
      <w:r>
        <w:rPr>
          <w:noProof/>
        </w:rPr>
        <w:t>ността и върху заетостта;</w:t>
      </w:r>
    </w:p>
    <w:p w:rsidR="00185C77" w:rsidRDefault="00176197">
      <w:pPr>
        <w:pStyle w:val="Bullet1"/>
        <w:rPr>
          <w:noProof/>
        </w:rPr>
      </w:pPr>
      <w:r>
        <w:rPr>
          <w:noProof/>
        </w:rPr>
        <w:t xml:space="preserve">отражението на различни регулаторни подходи, нормативни показатели и възможни елементи на проектирането (условия за изпълнение); </w:t>
      </w:r>
    </w:p>
    <w:p w:rsidR="00185C77" w:rsidRDefault="00176197">
      <w:pPr>
        <w:pStyle w:val="Bullet1"/>
        <w:rPr>
          <w:noProof/>
        </w:rPr>
      </w:pPr>
      <w:r>
        <w:rPr>
          <w:noProof/>
        </w:rPr>
        <w:t>отражение върху емисиите на парникови газове и замърсители.</w:t>
      </w:r>
    </w:p>
    <w:p w:rsidR="00185C77" w:rsidRDefault="00176197">
      <w:pPr>
        <w:pBdr>
          <w:top w:val="nil"/>
          <w:left w:val="nil"/>
          <w:bottom w:val="nil"/>
          <w:right w:val="nil"/>
          <w:between w:val="nil"/>
          <w:bar w:val="nil"/>
        </w:pBdr>
        <w:spacing w:before="0"/>
        <w:rPr>
          <w:noProof/>
        </w:rPr>
      </w:pPr>
      <w:r>
        <w:rPr>
          <w:noProof/>
        </w:rPr>
        <w:t xml:space="preserve">Информация за използваните данни и аналитични модели е представена в глава 6 и приложение 4 от оценката на въздействието. </w:t>
      </w:r>
    </w:p>
    <w:p w:rsidR="00185C77" w:rsidRDefault="00176197">
      <w:pPr>
        <w:pStyle w:val="ManualHeading2"/>
        <w:spacing w:before="0"/>
        <w:rPr>
          <w:rFonts w:eastAsia="Arial Unicode MS"/>
          <w:noProof/>
          <w:szCs w:val="24"/>
          <w:u w:color="000000"/>
          <w:bdr w:val="nil"/>
        </w:rPr>
      </w:pPr>
      <w:r>
        <w:rPr>
          <w:noProof/>
        </w:rPr>
        <w:t>•</w:t>
      </w:r>
      <w:r>
        <w:rPr>
          <w:noProof/>
        </w:rPr>
        <w:tab/>
        <w:t>Оценка на въздействието</w:t>
      </w:r>
    </w:p>
    <w:p w:rsidR="00185C77" w:rsidRDefault="00176197">
      <w:pPr>
        <w:pBdr>
          <w:top w:val="nil"/>
          <w:left w:val="nil"/>
          <w:bottom w:val="nil"/>
          <w:right w:val="nil"/>
          <w:between w:val="nil"/>
          <w:bar w:val="nil"/>
        </w:pBdr>
        <w:spacing w:before="0"/>
        <w:rPr>
          <w:rFonts w:eastAsia="Arial Unicode MS"/>
          <w:noProof/>
          <w:szCs w:val="24"/>
        </w:rPr>
      </w:pPr>
      <w:r>
        <w:rPr>
          <w:noProof/>
        </w:rPr>
        <w:t>Оценката на въздействието, придружаваща настоящото предложение, бе разработена и изготвена в съответствие с приложимите указания за по-добро законотворчество. На 4 април 2018 г. Комитетът за регулаторен контрол даде отрицателно становище по представения пр</w:t>
      </w:r>
      <w:r>
        <w:rPr>
          <w:noProof/>
        </w:rPr>
        <w:t xml:space="preserve">оект. </w:t>
      </w:r>
    </w:p>
    <w:p w:rsidR="00185C77" w:rsidRDefault="00176197">
      <w:pPr>
        <w:pBdr>
          <w:top w:val="nil"/>
          <w:left w:val="nil"/>
          <w:bottom w:val="nil"/>
          <w:right w:val="nil"/>
          <w:between w:val="nil"/>
          <w:bar w:val="nil"/>
        </w:pBdr>
        <w:spacing w:before="0"/>
        <w:rPr>
          <w:rFonts w:eastAsia="Arial Unicode MS"/>
          <w:noProof/>
          <w:szCs w:val="24"/>
        </w:rPr>
      </w:pPr>
      <w:r>
        <w:rPr>
          <w:noProof/>
        </w:rPr>
        <w:t>Препоръчаните от комитета подобрения бяха включени в преработения вариант и  засягат следните основни елементи: 1) пояснения и разширяване на анализа за пазарната неефективност, по-специално относно неравностойната информация на пазара; 2) по-подроб</w:t>
      </w:r>
      <w:r>
        <w:rPr>
          <w:noProof/>
        </w:rPr>
        <w:t>ен анализ, по-добро представяне и пояснения за лесно достъпните и перспективни технологии, както и за свързаната с тях несигурност, в т.ч. чрез обобщена таблица за посочените технологии; 3) по-добро представяне на досегашната и бъдещата стратегия на Комиси</w:t>
      </w:r>
      <w:r>
        <w:rPr>
          <w:noProof/>
        </w:rPr>
        <w:t>ята за намаляване на емисиите на СО</w:t>
      </w:r>
      <w:r>
        <w:rPr>
          <w:noProof/>
          <w:vertAlign w:val="subscript"/>
        </w:rPr>
        <w:t>2</w:t>
      </w:r>
      <w:r>
        <w:rPr>
          <w:noProof/>
        </w:rPr>
        <w:t xml:space="preserve"> от тежкотоварните превозни средства до 2030 г.; 4) повече информация за основните допускания, залегнали при изчисляването на очакваните икономии. </w:t>
      </w:r>
    </w:p>
    <w:p w:rsidR="00185C77" w:rsidRDefault="00176197">
      <w:pPr>
        <w:pBdr>
          <w:top w:val="nil"/>
          <w:left w:val="nil"/>
          <w:bottom w:val="nil"/>
          <w:right w:val="nil"/>
          <w:between w:val="nil"/>
          <w:bar w:val="nil"/>
        </w:pBdr>
        <w:spacing w:before="0"/>
        <w:rPr>
          <w:rFonts w:eastAsia="Arial Unicode MS"/>
          <w:noProof/>
          <w:szCs w:val="24"/>
        </w:rPr>
      </w:pPr>
      <w:r>
        <w:rPr>
          <w:noProof/>
        </w:rPr>
        <w:t>На 19 април 2018 г. Комитетът даде положително становище по представения</w:t>
      </w:r>
      <w:r>
        <w:rPr>
          <w:noProof/>
        </w:rPr>
        <w:t xml:space="preserve"> втори проект на оценката на въздействието. В окончателния си вид оценката на въздействието съдържа още подобрения, препоръчани от комитета в представеното от него окончателно становище: 1) повече информация за значението, което имат усилията за измерване,</w:t>
      </w:r>
      <w:r>
        <w:rPr>
          <w:noProof/>
        </w:rPr>
        <w:t xml:space="preserve"> сертифициране, мониторинг и отчитане на ранен етап за регламентиране на емисиите на СО</w:t>
      </w:r>
      <w:r>
        <w:rPr>
          <w:noProof/>
          <w:vertAlign w:val="subscript"/>
        </w:rPr>
        <w:t>2</w:t>
      </w:r>
      <w:r>
        <w:rPr>
          <w:noProof/>
        </w:rPr>
        <w:t xml:space="preserve"> в сектора на тежкотоварните превозни средства; 2) по-добро разясняване на инерцията като фактор при разработването на нови технологии за икономия на гориво и за това к</w:t>
      </w:r>
      <w:r>
        <w:rPr>
          <w:noProof/>
        </w:rPr>
        <w:t xml:space="preserve">ак несигурността на пазара в транспортния отрасъл става повод стопанските субекти да не инвестират достатъчно в технологии за икономия на гориво. </w:t>
      </w:r>
    </w:p>
    <w:p w:rsidR="00185C77" w:rsidRDefault="00176197">
      <w:pPr>
        <w:pBdr>
          <w:top w:val="nil"/>
          <w:left w:val="nil"/>
          <w:bottom w:val="nil"/>
          <w:right w:val="nil"/>
          <w:between w:val="nil"/>
          <w:bar w:val="nil"/>
        </w:pBdr>
        <w:spacing w:before="0"/>
        <w:rPr>
          <w:rFonts w:eastAsia="Arial Unicode MS"/>
          <w:i/>
          <w:noProof/>
          <w:szCs w:val="24"/>
        </w:rPr>
      </w:pPr>
      <w:r>
        <w:rPr>
          <w:i/>
          <w:noProof/>
        </w:rPr>
        <w:t>Варианти на политиката</w:t>
      </w:r>
    </w:p>
    <w:p w:rsidR="00185C77" w:rsidRDefault="00176197">
      <w:pPr>
        <w:pBdr>
          <w:top w:val="nil"/>
          <w:left w:val="nil"/>
          <w:bottom w:val="nil"/>
          <w:right w:val="nil"/>
          <w:between w:val="nil"/>
          <w:bar w:val="nil"/>
        </w:pBdr>
        <w:spacing w:before="0"/>
        <w:rPr>
          <w:rFonts w:eastAsia="Arial Unicode MS"/>
          <w:noProof/>
          <w:szCs w:val="24"/>
        </w:rPr>
      </w:pPr>
      <w:r>
        <w:rPr>
          <w:noProof/>
        </w:rPr>
        <w:t xml:space="preserve">Разгледаните в оценката на въздействието варианти на политиката се разпределят според </w:t>
      </w:r>
      <w:r>
        <w:rPr>
          <w:noProof/>
        </w:rPr>
        <w:t xml:space="preserve">пет основни елемента за решаване на набелязаните проблеми и постигане на целите на политиката. </w:t>
      </w:r>
    </w:p>
    <w:p w:rsidR="00185C77" w:rsidRDefault="00176197">
      <w:pPr>
        <w:pStyle w:val="ManualHeading2"/>
        <w:rPr>
          <w:noProof/>
        </w:rPr>
      </w:pPr>
      <w:r>
        <w:rPr>
          <w:noProof/>
        </w:rPr>
        <w:t>1) Общи цели за емисиите на CO</w:t>
      </w:r>
      <w:r>
        <w:rPr>
          <w:noProof/>
          <w:vertAlign w:val="subscript"/>
        </w:rPr>
        <w:t>2</w:t>
      </w:r>
      <w:r>
        <w:rPr>
          <w:noProof/>
        </w:rPr>
        <w:t xml:space="preserve"> за превозните средства в ЕС (обхват, измервания, мерни единици, равнище, етап във времето)</w:t>
      </w:r>
    </w:p>
    <w:p w:rsidR="00185C77" w:rsidRDefault="00176197">
      <w:pPr>
        <w:pBdr>
          <w:top w:val="nil"/>
          <w:left w:val="nil"/>
          <w:bottom w:val="nil"/>
          <w:right w:val="nil"/>
          <w:between w:val="nil"/>
          <w:bar w:val="nil"/>
        </w:pBdr>
        <w:spacing w:before="0"/>
        <w:rPr>
          <w:rFonts w:eastAsia="Arial Unicode MS"/>
          <w:noProof/>
          <w:szCs w:val="24"/>
        </w:rPr>
      </w:pPr>
      <w:r>
        <w:rPr>
          <w:noProof/>
        </w:rPr>
        <w:t>При определянето на общи цели за емис</w:t>
      </w:r>
      <w:r>
        <w:rPr>
          <w:noProof/>
        </w:rPr>
        <w:t>иите на CO</w:t>
      </w:r>
      <w:r>
        <w:rPr>
          <w:noProof/>
          <w:vertAlign w:val="subscript"/>
        </w:rPr>
        <w:t>2</w:t>
      </w:r>
      <w:r>
        <w:rPr>
          <w:noProof/>
        </w:rPr>
        <w:t xml:space="preserve"> за превозните средства в ЕС бяха взети под внимание следните аспекти: обхват, измервания, мерни единици, равнище, етап във времето. </w:t>
      </w:r>
    </w:p>
    <w:p w:rsidR="00185C77" w:rsidRDefault="00176197">
      <w:pPr>
        <w:pBdr>
          <w:top w:val="nil"/>
          <w:left w:val="nil"/>
          <w:bottom w:val="nil"/>
          <w:right w:val="nil"/>
          <w:between w:val="nil"/>
          <w:bar w:val="nil"/>
        </w:pBdr>
        <w:spacing w:before="0"/>
        <w:rPr>
          <w:rFonts w:eastAsia="Arial Unicode MS"/>
          <w:noProof/>
          <w:szCs w:val="24"/>
        </w:rPr>
      </w:pPr>
      <w:r>
        <w:rPr>
          <w:noProof/>
        </w:rPr>
        <w:t xml:space="preserve">Разгледаните варианти във връзка с </w:t>
      </w:r>
      <w:r>
        <w:rPr>
          <w:noProof/>
          <w:u w:val="single"/>
        </w:rPr>
        <w:t>обхвата на предложението</w:t>
      </w:r>
      <w:r>
        <w:rPr>
          <w:noProof/>
        </w:rPr>
        <w:t xml:space="preserve"> бяха да бъдат обхванати или четирите основни групи </w:t>
      </w:r>
      <w:r>
        <w:rPr>
          <w:noProof/>
        </w:rPr>
        <w:t>превозни средства, които от 1 януари 2019 г. ще влязат в обхвата на Регламента за сертифициране, или само най-голямата група, като и в двата случая се използват стандарти за емисиите на CO</w:t>
      </w:r>
      <w:r>
        <w:rPr>
          <w:noProof/>
          <w:vertAlign w:val="subscript"/>
        </w:rPr>
        <w:t>2</w:t>
      </w:r>
      <w:r>
        <w:rPr>
          <w:noProof/>
        </w:rPr>
        <w:t xml:space="preserve"> от цялото превозно средство. Анализиран бе и трети вариант, при ко</w:t>
      </w:r>
      <w:r>
        <w:rPr>
          <w:noProof/>
        </w:rPr>
        <w:t>йто се добавят стандарти за емисиите на CO</w:t>
      </w:r>
      <w:r>
        <w:rPr>
          <w:noProof/>
          <w:vertAlign w:val="subscript"/>
        </w:rPr>
        <w:t>2</w:t>
      </w:r>
      <w:r>
        <w:rPr>
          <w:noProof/>
        </w:rPr>
        <w:t xml:space="preserve"> само от двигателя. </w:t>
      </w:r>
    </w:p>
    <w:p w:rsidR="00185C77" w:rsidRDefault="00176197">
      <w:pPr>
        <w:pBdr>
          <w:top w:val="nil"/>
          <w:left w:val="nil"/>
          <w:bottom w:val="nil"/>
          <w:right w:val="nil"/>
          <w:between w:val="nil"/>
          <w:bar w:val="nil"/>
        </w:pBdr>
        <w:spacing w:before="0"/>
        <w:rPr>
          <w:rFonts w:eastAsia="Arial Unicode MS"/>
          <w:noProof/>
          <w:szCs w:val="24"/>
        </w:rPr>
      </w:pPr>
      <w:r>
        <w:rPr>
          <w:noProof/>
        </w:rPr>
        <w:t>Предпочетеният вариант е да се обхванат четирите групи превозни средства с най-големи емисии на CO</w:t>
      </w:r>
      <w:r>
        <w:rPr>
          <w:noProof/>
          <w:vertAlign w:val="subscript"/>
        </w:rPr>
        <w:t>2</w:t>
      </w:r>
      <w:r>
        <w:rPr>
          <w:noProof/>
        </w:rPr>
        <w:t>, като се прилагат стандарти за емисиите на CO</w:t>
      </w:r>
      <w:r>
        <w:rPr>
          <w:noProof/>
          <w:vertAlign w:val="subscript"/>
        </w:rPr>
        <w:t>2</w:t>
      </w:r>
      <w:r>
        <w:rPr>
          <w:noProof/>
        </w:rPr>
        <w:t xml:space="preserve"> от цялото превозно средство. Това ще гарантир</w:t>
      </w:r>
      <w:r>
        <w:rPr>
          <w:noProof/>
        </w:rPr>
        <w:t xml:space="preserve">а възможно най-голяма ефективност от гледна точка на екологичните ползи и добавената стойност. </w:t>
      </w:r>
    </w:p>
    <w:p w:rsidR="00185C77" w:rsidRDefault="00176197">
      <w:pPr>
        <w:pBdr>
          <w:top w:val="nil"/>
          <w:left w:val="nil"/>
          <w:bottom w:val="nil"/>
          <w:right w:val="nil"/>
          <w:between w:val="nil"/>
          <w:bar w:val="nil"/>
        </w:pBdr>
        <w:spacing w:before="0"/>
        <w:rPr>
          <w:rFonts w:eastAsia="Arial Unicode MS"/>
          <w:noProof/>
          <w:szCs w:val="24"/>
        </w:rPr>
      </w:pPr>
      <w:r>
        <w:rPr>
          <w:noProof/>
        </w:rPr>
        <w:t>За измерване на целите бяха разгледани два варианта — подход „от резервоара до потребителя“ и „от източника на гориво до потребителя“. По отношение на мерните е</w:t>
      </w:r>
      <w:r>
        <w:rPr>
          <w:noProof/>
        </w:rPr>
        <w:t>диници за изразяване на целите бяха разгледани три варианта, всеки от които отразява в различна степен полезността на тежкотоварното превозно средство.</w:t>
      </w:r>
    </w:p>
    <w:p w:rsidR="00185C77" w:rsidRDefault="00176197">
      <w:pPr>
        <w:pBdr>
          <w:top w:val="nil"/>
          <w:left w:val="nil"/>
          <w:bottom w:val="nil"/>
          <w:right w:val="nil"/>
          <w:between w:val="nil"/>
          <w:bar w:val="nil"/>
        </w:pBdr>
        <w:spacing w:before="0"/>
        <w:rPr>
          <w:rFonts w:eastAsia="Arial Unicode MS"/>
          <w:noProof/>
          <w:szCs w:val="24"/>
        </w:rPr>
      </w:pPr>
      <w:r>
        <w:rPr>
          <w:noProof/>
        </w:rPr>
        <w:t>Предпочетеният вариант е да се използва подходът „от резервоара до потребителя“, като целите се определя</w:t>
      </w:r>
      <w:r>
        <w:rPr>
          <w:noProof/>
        </w:rPr>
        <w:t>т в g CO</w:t>
      </w:r>
      <w:r>
        <w:rPr>
          <w:noProof/>
          <w:vertAlign w:val="subscript"/>
        </w:rPr>
        <w:t>2</w:t>
      </w:r>
      <w:r>
        <w:rPr>
          <w:noProof/>
        </w:rPr>
        <w:t>/tkm. По този начин се осигурява съгласуваност със съществуващата нормативна практика и се избягва двойното регламентиране, както и объркване на отговорностите между производителите и доставчиците на гориво. Мерната единица е изцяло съобразена и с</w:t>
      </w:r>
      <w:r>
        <w:rPr>
          <w:noProof/>
        </w:rPr>
        <w:t xml:space="preserve"> полезността на товарните автомобили.</w:t>
      </w:r>
    </w:p>
    <w:p w:rsidR="00185C77" w:rsidRDefault="00176197">
      <w:pPr>
        <w:pBdr>
          <w:top w:val="nil"/>
          <w:left w:val="nil"/>
          <w:bottom w:val="nil"/>
          <w:right w:val="nil"/>
          <w:between w:val="nil"/>
          <w:bar w:val="nil"/>
        </w:pBdr>
        <w:spacing w:before="0"/>
        <w:rPr>
          <w:rFonts w:eastAsia="Arial Unicode MS"/>
          <w:noProof/>
          <w:szCs w:val="24"/>
        </w:rPr>
      </w:pPr>
      <w:r>
        <w:rPr>
          <w:noProof/>
        </w:rPr>
        <w:t xml:space="preserve">Направена бе оценка на широк кръг </w:t>
      </w:r>
      <w:r>
        <w:rPr>
          <w:noProof/>
          <w:u w:val="single"/>
        </w:rPr>
        <w:t>целеви стойности и различни етапи във времето</w:t>
      </w:r>
      <w:r>
        <w:rPr>
          <w:noProof/>
        </w:rPr>
        <w:t xml:space="preserve">, като бяха обхванати становищата, изразени от заинтересованите страни. </w:t>
      </w:r>
    </w:p>
    <w:p w:rsidR="00185C77" w:rsidRDefault="00176197">
      <w:pPr>
        <w:pBdr>
          <w:top w:val="nil"/>
          <w:left w:val="nil"/>
          <w:bottom w:val="nil"/>
          <w:right w:val="nil"/>
          <w:between w:val="nil"/>
          <w:bar w:val="nil"/>
        </w:pBdr>
        <w:spacing w:before="0"/>
        <w:rPr>
          <w:noProof/>
          <w:szCs w:val="24"/>
        </w:rPr>
      </w:pPr>
      <w:r>
        <w:rPr>
          <w:noProof/>
        </w:rPr>
        <w:t>С оглед на направения анализ предпочетеният вариант е от 2025 г. д</w:t>
      </w:r>
      <w:r>
        <w:rPr>
          <w:noProof/>
        </w:rPr>
        <w:t>а се поставят задължителни цели за намаляване на емисиите на CO</w:t>
      </w:r>
      <w:r>
        <w:rPr>
          <w:noProof/>
          <w:vertAlign w:val="subscript"/>
        </w:rPr>
        <w:t>2</w:t>
      </w:r>
      <w:r>
        <w:rPr>
          <w:noProof/>
        </w:rPr>
        <w:t xml:space="preserve"> в сравнение с 2019 г., като се внедрят лесно достъпни и икономически ефективни технологии. За 2030 г. несигурността за навлизането на по-напреднали технологии, които все още не са лесно достъ</w:t>
      </w:r>
      <w:r>
        <w:rPr>
          <w:noProof/>
        </w:rPr>
        <w:t>пни, е по-голяма. Поради това предпочетеният вариант е да се заложи само принципна цел за 2030 г. С оглед на това през 2022 г. следва да се направи преглед на ранен етап с цел: i) да се определи задължителна цел и за 2030 г.; ii) да се направи оценка на ус</w:t>
      </w:r>
      <w:r>
        <w:rPr>
          <w:noProof/>
        </w:rPr>
        <w:t xml:space="preserve">ловията за изпълнение; iii) да се направи преглед на приложното поле, така че да бъдат обхванати и по-малките товарни автомобили, градските и междуградските автобуси и ремаркетата. </w:t>
      </w:r>
    </w:p>
    <w:p w:rsidR="00185C77" w:rsidRDefault="00176197">
      <w:pPr>
        <w:spacing w:before="0"/>
        <w:rPr>
          <w:rFonts w:eastAsia="Arial Unicode MS"/>
          <w:noProof/>
          <w:szCs w:val="24"/>
        </w:rPr>
      </w:pPr>
      <w:r>
        <w:rPr>
          <w:noProof/>
        </w:rPr>
        <w:t>Този подход ще даде ясно послание на ранен етап за инвестиции със средноср</w:t>
      </w:r>
      <w:r>
        <w:rPr>
          <w:noProof/>
        </w:rPr>
        <w:t>очна възвръщаемост и ще помогне на държавите членки да постигнат целите, заложени съгласно Регламента за разпределяне на усилията.</w:t>
      </w:r>
    </w:p>
    <w:p w:rsidR="00185C77" w:rsidRDefault="00176197">
      <w:pPr>
        <w:pStyle w:val="ManualHeading2"/>
        <w:rPr>
          <w:noProof/>
        </w:rPr>
      </w:pPr>
      <w:r>
        <w:rPr>
          <w:noProof/>
        </w:rPr>
        <w:t>2) Разпределяне на общата цел за превозните средства в ЕС по групи превозни средства и производители</w:t>
      </w:r>
    </w:p>
    <w:p w:rsidR="00185C77" w:rsidRDefault="00176197">
      <w:pPr>
        <w:pBdr>
          <w:top w:val="nil"/>
          <w:left w:val="nil"/>
          <w:bottom w:val="nil"/>
          <w:right w:val="nil"/>
          <w:between w:val="nil"/>
          <w:bar w:val="nil"/>
        </w:pBdr>
        <w:spacing w:before="0"/>
        <w:rPr>
          <w:rFonts w:eastAsia="Arial Unicode MS"/>
          <w:noProof/>
          <w:szCs w:val="24"/>
        </w:rPr>
      </w:pPr>
      <w:r>
        <w:rPr>
          <w:noProof/>
        </w:rPr>
        <w:t>Общата цел за емисиите н</w:t>
      </w:r>
      <w:r>
        <w:rPr>
          <w:noProof/>
        </w:rPr>
        <w:t>а CO</w:t>
      </w:r>
      <w:r>
        <w:rPr>
          <w:noProof/>
          <w:vertAlign w:val="subscript"/>
        </w:rPr>
        <w:t>2</w:t>
      </w:r>
      <w:r>
        <w:rPr>
          <w:noProof/>
        </w:rPr>
        <w:t xml:space="preserve"> за превозните средства в ЕС отразява цялостния стремеж на политиката, но изпълнението ѝ на практика трябва да бъде съобразено със състава на превозните средства на производителите, така че целта да бъде разпределена за различните групи превозни средс</w:t>
      </w:r>
      <w:r>
        <w:rPr>
          <w:noProof/>
        </w:rPr>
        <w:t>тва. Изпълнението на целите трябва да се докаже от производителите. Разгледаните варианти за разпределение са за отделни цели за всяка подгрупа тежкотоварни превозни средства или за една-единствена цел за всеки производител, изчислена като претеглена средн</w:t>
      </w:r>
      <w:r>
        <w:rPr>
          <w:noProof/>
        </w:rPr>
        <w:t xml:space="preserve">а стойност от целите за всички подгрупи, като се отчитат броят на превозните средства във всяка подгрупа и тяхната полезност. </w:t>
      </w:r>
    </w:p>
    <w:p w:rsidR="00185C77" w:rsidRDefault="00176197">
      <w:pPr>
        <w:pBdr>
          <w:top w:val="nil"/>
          <w:left w:val="nil"/>
          <w:bottom w:val="nil"/>
          <w:right w:val="nil"/>
          <w:between w:val="nil"/>
          <w:bar w:val="nil"/>
        </w:pBdr>
        <w:spacing w:before="0"/>
        <w:rPr>
          <w:rFonts w:eastAsia="Arial Unicode MS"/>
          <w:noProof/>
          <w:szCs w:val="24"/>
        </w:rPr>
      </w:pPr>
      <w:r>
        <w:rPr>
          <w:noProof/>
        </w:rPr>
        <w:t>Предпочетеният вариант е за всеки производител да се въведе една-единствена претеглена средна цел. Това е най-резултатният вариан</w:t>
      </w:r>
      <w:r>
        <w:rPr>
          <w:noProof/>
        </w:rPr>
        <w:t>т от гледна точка на ефективността и пропорционалността. Той осигурява гъвкавост, така че по-слабите резултати на превозните средства в дадени подгрупи да могат да се компенсират с постигнати резултати над очакваното в други подгрупи.</w:t>
      </w:r>
    </w:p>
    <w:p w:rsidR="00185C77" w:rsidRDefault="00176197">
      <w:pPr>
        <w:pStyle w:val="ManualHeading2"/>
        <w:rPr>
          <w:noProof/>
        </w:rPr>
      </w:pPr>
      <w:r>
        <w:rPr>
          <w:noProof/>
        </w:rPr>
        <w:t xml:space="preserve">3) Стимули за </w:t>
      </w:r>
      <w:r>
        <w:rPr>
          <w:noProof/>
        </w:rPr>
        <w:t>превозни средства с нулеви и ниски емисии (ZEV/LEV)</w:t>
      </w:r>
    </w:p>
    <w:p w:rsidR="00185C77" w:rsidRDefault="00176197">
      <w:pPr>
        <w:pBdr>
          <w:top w:val="nil"/>
          <w:left w:val="nil"/>
          <w:bottom w:val="nil"/>
          <w:right w:val="nil"/>
          <w:between w:val="nil"/>
          <w:bar w:val="nil"/>
        </w:pBdr>
        <w:spacing w:before="0"/>
        <w:rPr>
          <w:rFonts w:eastAsia="Arial Unicode MS"/>
          <w:noProof/>
          <w:szCs w:val="24"/>
        </w:rPr>
      </w:pPr>
      <w:r>
        <w:rPr>
          <w:noProof/>
        </w:rPr>
        <w:t>В оценката на въздействието се разглеждат четири групи специални стимули за превозни средства с нулеви и ниски емисии (ZEV/LEV). Вариантите включват схема с извънредни кредити, едно- и двупосочна схема за</w:t>
      </w:r>
      <w:r>
        <w:rPr>
          <w:noProof/>
        </w:rPr>
        <w:t xml:space="preserve"> кредити, обвързана с целите, и въвеждане на задължение.</w:t>
      </w:r>
    </w:p>
    <w:p w:rsidR="00185C77" w:rsidRDefault="00176197">
      <w:pPr>
        <w:pBdr>
          <w:top w:val="nil"/>
          <w:left w:val="nil"/>
          <w:bottom w:val="nil"/>
          <w:right w:val="nil"/>
          <w:between w:val="nil"/>
          <w:bar w:val="nil"/>
        </w:pBdr>
        <w:spacing w:before="0"/>
        <w:rPr>
          <w:rFonts w:eastAsia="Arial Unicode MS"/>
          <w:noProof/>
          <w:szCs w:val="24"/>
        </w:rPr>
      </w:pPr>
      <w:r>
        <w:rPr>
          <w:noProof/>
        </w:rPr>
        <w:t>Разгледан бе и допълнителен вариант, при който стимулът за ZEV/LEV обхваща и други тежкотоварни превозни средства, като автобуси и по-малки товарни автомобили, за които целите за емисиите на CO</w:t>
      </w:r>
      <w:r>
        <w:rPr>
          <w:noProof/>
          <w:vertAlign w:val="subscript"/>
        </w:rPr>
        <w:t>2</w:t>
      </w:r>
      <w:r>
        <w:rPr>
          <w:noProof/>
        </w:rPr>
        <w:t xml:space="preserve"> първ</w:t>
      </w:r>
      <w:r>
        <w:rPr>
          <w:noProof/>
        </w:rPr>
        <w:t xml:space="preserve">оначално не се прилагат. </w:t>
      </w:r>
    </w:p>
    <w:p w:rsidR="00185C77" w:rsidRDefault="00176197">
      <w:pPr>
        <w:pBdr>
          <w:top w:val="nil"/>
          <w:left w:val="nil"/>
          <w:bottom w:val="nil"/>
          <w:right w:val="nil"/>
          <w:between w:val="nil"/>
          <w:bar w:val="nil"/>
        </w:pBdr>
        <w:spacing w:before="0"/>
        <w:rPr>
          <w:rFonts w:eastAsia="Arial Unicode MS"/>
          <w:noProof/>
          <w:szCs w:val="24"/>
        </w:rPr>
      </w:pPr>
      <w:r>
        <w:rPr>
          <w:noProof/>
        </w:rPr>
        <w:t>Предпочетеният вариант е да се създаде стимул за превозни средства с нулеви и ниски емисии под формата на извънредни кредити, като се предвидят достатъчно ефикасни предпазни мерки, така че да не се обезсмислят стимулите за постига</w:t>
      </w:r>
      <w:r>
        <w:rPr>
          <w:noProof/>
        </w:rPr>
        <w:t>не на целите за емисиите на CO</w:t>
      </w:r>
      <w:r>
        <w:rPr>
          <w:noProof/>
          <w:vertAlign w:val="subscript"/>
        </w:rPr>
        <w:t>2</w:t>
      </w:r>
      <w:r>
        <w:rPr>
          <w:noProof/>
        </w:rPr>
        <w:t xml:space="preserve">. Беше установено, че това е най-ефикасният вариант, като се отчита специфичният стадий в разработването и внедряването на превозни средства с нулеви и ниски емисии в сектора на тежкотоварните превозни средства. </w:t>
      </w:r>
    </w:p>
    <w:p w:rsidR="00185C77" w:rsidRDefault="00176197">
      <w:pPr>
        <w:pStyle w:val="ManualHeading2"/>
        <w:rPr>
          <w:noProof/>
        </w:rPr>
      </w:pPr>
      <w:r>
        <w:rPr>
          <w:noProof/>
        </w:rPr>
        <w:t xml:space="preserve">4) Елементи </w:t>
      </w:r>
      <w:r>
        <w:rPr>
          <w:noProof/>
        </w:rPr>
        <w:t>за икономически ефективно изпълнение</w:t>
      </w:r>
    </w:p>
    <w:p w:rsidR="00185C77" w:rsidRDefault="00176197">
      <w:pPr>
        <w:pBdr>
          <w:top w:val="nil"/>
          <w:left w:val="nil"/>
          <w:bottom w:val="nil"/>
          <w:right w:val="nil"/>
          <w:between w:val="nil"/>
          <w:bar w:val="nil"/>
        </w:pBdr>
        <w:spacing w:before="0"/>
        <w:rPr>
          <w:rFonts w:eastAsia="Arial Unicode MS"/>
          <w:noProof/>
          <w:szCs w:val="24"/>
        </w:rPr>
      </w:pPr>
      <w:r>
        <w:rPr>
          <w:noProof/>
        </w:rPr>
        <w:t>Направена бе оценка на различни елементи, от които зависи икономически ефективното изпълнение. Това включва: 1) изключения за специализираните превозни средства, например превозни средства, използвани в строителството и</w:t>
      </w:r>
      <w:r>
        <w:rPr>
          <w:noProof/>
        </w:rPr>
        <w:t xml:space="preserve"> сметосъбиращи товарни автомобили; 2) обединяване; 3) търговия; 4) натрупване и заемане. </w:t>
      </w:r>
    </w:p>
    <w:p w:rsidR="00185C77" w:rsidRDefault="00176197">
      <w:pPr>
        <w:pBdr>
          <w:top w:val="nil"/>
          <w:left w:val="nil"/>
          <w:bottom w:val="nil"/>
          <w:right w:val="nil"/>
          <w:between w:val="nil"/>
          <w:bar w:val="nil"/>
        </w:pBdr>
        <w:spacing w:before="0"/>
        <w:rPr>
          <w:rFonts w:eastAsia="Arial Unicode MS"/>
          <w:noProof/>
          <w:szCs w:val="24"/>
        </w:rPr>
      </w:pPr>
      <w:r>
        <w:rPr>
          <w:noProof/>
        </w:rPr>
        <w:t>Като се има предвид ограниченият потенциал на специализираните превозни средства за разходоефективно намаляване на емисиите на CO</w:t>
      </w:r>
      <w:r>
        <w:rPr>
          <w:noProof/>
          <w:vertAlign w:val="subscript"/>
        </w:rPr>
        <w:t>2</w:t>
      </w:r>
      <w:r>
        <w:rPr>
          <w:noProof/>
        </w:rPr>
        <w:t xml:space="preserve"> поради по-малкия им пробег и полезе</w:t>
      </w:r>
      <w:r>
        <w:rPr>
          <w:noProof/>
        </w:rPr>
        <w:t>н товар в сравнение с другите тежкотоварни превозни средства, предпочетеният вариант е те да бъдат изключени от обхвата на целите за намаляване на CO</w:t>
      </w:r>
      <w:r>
        <w:rPr>
          <w:noProof/>
          <w:vertAlign w:val="subscript"/>
        </w:rPr>
        <w:t>2</w:t>
      </w:r>
      <w:r>
        <w:rPr>
          <w:noProof/>
        </w:rPr>
        <w:t xml:space="preserve">. </w:t>
      </w:r>
    </w:p>
    <w:p w:rsidR="00185C77" w:rsidRDefault="00176197">
      <w:pPr>
        <w:pBdr>
          <w:top w:val="nil"/>
          <w:left w:val="nil"/>
          <w:bottom w:val="nil"/>
          <w:right w:val="nil"/>
          <w:between w:val="nil"/>
          <w:bar w:val="nil"/>
        </w:pBdr>
        <w:spacing w:before="0"/>
        <w:rPr>
          <w:rFonts w:eastAsia="Arial Unicode MS"/>
          <w:noProof/>
          <w:szCs w:val="24"/>
        </w:rPr>
      </w:pPr>
      <w:r>
        <w:rPr>
          <w:noProof/>
        </w:rPr>
        <w:t>Предпочетеният вариант за гъвкаво прилагане е да се осигури възможност за натрупване и заемане на креди</w:t>
      </w:r>
      <w:r>
        <w:rPr>
          <w:noProof/>
        </w:rPr>
        <w:t>ти за емисии на CO</w:t>
      </w:r>
      <w:r>
        <w:rPr>
          <w:noProof/>
          <w:vertAlign w:val="subscript"/>
        </w:rPr>
        <w:t>2</w:t>
      </w:r>
      <w:r>
        <w:rPr>
          <w:noProof/>
        </w:rPr>
        <w:t xml:space="preserve"> през различните години за изпълнение на целите, в т.ч. като се предвидят необходимите предпазни мерки, за да се гарантира ефективността на законодателството от гледна точка на околната среда. Това е най-ефикасният вариант с най-малко на</w:t>
      </w:r>
      <w:r>
        <w:rPr>
          <w:noProof/>
        </w:rPr>
        <w:t>рушения на пазара.</w:t>
      </w:r>
    </w:p>
    <w:p w:rsidR="00185C77" w:rsidRDefault="00176197">
      <w:pPr>
        <w:pStyle w:val="ManualHeading2"/>
        <w:rPr>
          <w:noProof/>
        </w:rPr>
      </w:pPr>
      <w:r>
        <w:rPr>
          <w:noProof/>
        </w:rPr>
        <w:t>5) Въпроси, свързани с управлението</w:t>
      </w:r>
    </w:p>
    <w:p w:rsidR="00185C77" w:rsidRDefault="00176197">
      <w:pPr>
        <w:pBdr>
          <w:top w:val="nil"/>
          <w:left w:val="nil"/>
          <w:bottom w:val="nil"/>
          <w:right w:val="nil"/>
          <w:between w:val="nil"/>
          <w:bar w:val="nil"/>
        </w:pBdr>
        <w:spacing w:before="0"/>
        <w:rPr>
          <w:rFonts w:eastAsia="Arial Unicode MS"/>
          <w:noProof/>
          <w:szCs w:val="24"/>
        </w:rPr>
      </w:pPr>
      <w:r>
        <w:rPr>
          <w:noProof/>
        </w:rPr>
        <w:t>Ефикасността на целите за намаляване на емисиите на CO</w:t>
      </w:r>
      <w:r>
        <w:rPr>
          <w:noProof/>
          <w:vertAlign w:val="subscript"/>
        </w:rPr>
        <w:t>2</w:t>
      </w:r>
      <w:r>
        <w:rPr>
          <w:noProof/>
        </w:rPr>
        <w:t xml:space="preserve"> в реални условия зависи от два фактора — доколко представителни са резултатите от симулационния инструмент VECTO за средните стойности при движен</w:t>
      </w:r>
      <w:r>
        <w:rPr>
          <w:noProof/>
        </w:rPr>
        <w:t xml:space="preserve">ие в реални условия, от една страна, и до каква степен пуснатите на пазара тежкотоварни превозни средства отговарят на еталонните стойности, изпитани за одобряване на типа, от друга. Разгледаните варианти са свързани с емисиите в реални условия, надзор на </w:t>
      </w:r>
      <w:r>
        <w:rPr>
          <w:noProof/>
        </w:rPr>
        <w:t>пазара и санкции.</w:t>
      </w:r>
    </w:p>
    <w:p w:rsidR="00185C77" w:rsidRDefault="00176197">
      <w:pPr>
        <w:pBdr>
          <w:top w:val="nil"/>
          <w:left w:val="nil"/>
          <w:bottom w:val="nil"/>
          <w:right w:val="nil"/>
          <w:between w:val="nil"/>
          <w:bar w:val="nil"/>
        </w:pBdr>
        <w:spacing w:before="0"/>
        <w:rPr>
          <w:rFonts w:eastAsia="Arial Unicode MS"/>
          <w:noProof/>
          <w:szCs w:val="24"/>
        </w:rPr>
      </w:pPr>
      <w:r>
        <w:rPr>
          <w:noProof/>
        </w:rPr>
        <w:t>Предпочетените варианти са, както следва:</w:t>
      </w:r>
    </w:p>
    <w:p w:rsidR="00185C77" w:rsidRDefault="00176197">
      <w:pPr>
        <w:pStyle w:val="Point0"/>
        <w:rPr>
          <w:noProof/>
        </w:rPr>
      </w:pPr>
      <w:r>
        <w:rPr>
          <w:noProof/>
        </w:rPr>
        <w:t>а)</w:t>
      </w:r>
      <w:r>
        <w:rPr>
          <w:noProof/>
        </w:rPr>
        <w:tab/>
        <w:t xml:space="preserve">въвеждане на задължение за събиране, публикуване и мониторинг на данните за разход на гориво в реални условия, докладвани от производителите въз основа на задължителни стандартизирани устройва </w:t>
      </w:r>
      <w:r>
        <w:rPr>
          <w:noProof/>
        </w:rPr>
        <w:t xml:space="preserve">за измерване на разхода на гориво; </w:t>
      </w:r>
    </w:p>
    <w:p w:rsidR="00185C77" w:rsidRDefault="00176197">
      <w:pPr>
        <w:pStyle w:val="Point0"/>
        <w:rPr>
          <w:noProof/>
        </w:rPr>
      </w:pPr>
      <w:r>
        <w:rPr>
          <w:noProof/>
        </w:rPr>
        <w:t>б)</w:t>
      </w:r>
      <w:r>
        <w:rPr>
          <w:noProof/>
        </w:rPr>
        <w:tab/>
        <w:t xml:space="preserve">въвеждане на изпитвания за съответствие в експлоатация и задължение да се съобщават отклонения от стойностите заедно с механизъм за корекция; </w:t>
      </w:r>
    </w:p>
    <w:p w:rsidR="00185C77" w:rsidRDefault="00176197">
      <w:pPr>
        <w:pStyle w:val="Point0"/>
        <w:rPr>
          <w:noProof/>
        </w:rPr>
      </w:pPr>
      <w:r>
        <w:rPr>
          <w:noProof/>
        </w:rPr>
        <w:t>в)</w:t>
      </w:r>
      <w:r>
        <w:rPr>
          <w:noProof/>
        </w:rPr>
        <w:tab/>
        <w:t>прилагане на финансови санкции за неизпълнение на целите за емисиите на</w:t>
      </w:r>
      <w:r>
        <w:rPr>
          <w:noProof/>
        </w:rPr>
        <w:t xml:space="preserve"> CO</w:t>
      </w:r>
      <w:r>
        <w:rPr>
          <w:noProof/>
          <w:vertAlign w:val="subscript"/>
        </w:rPr>
        <w:t>2</w:t>
      </w:r>
      <w:r>
        <w:rPr>
          <w:noProof/>
        </w:rPr>
        <w:t>.</w:t>
      </w:r>
    </w:p>
    <w:p w:rsidR="00185C77" w:rsidRDefault="00176197">
      <w:pPr>
        <w:pBdr>
          <w:top w:val="nil"/>
          <w:left w:val="nil"/>
          <w:bottom w:val="nil"/>
          <w:right w:val="nil"/>
          <w:between w:val="nil"/>
          <w:bar w:val="nil"/>
        </w:pBdr>
        <w:spacing w:before="0"/>
        <w:rPr>
          <w:rFonts w:eastAsia="Arial Unicode MS"/>
          <w:noProof/>
          <w:szCs w:val="24"/>
        </w:rPr>
      </w:pPr>
      <w:r>
        <w:rPr>
          <w:noProof/>
        </w:rPr>
        <w:t>Тези варианти ще засилят ефикасността, ефективността и добавената стойност на законодателството.</w:t>
      </w:r>
    </w:p>
    <w:p w:rsidR="00185C77" w:rsidRDefault="00176197">
      <w:pPr>
        <w:pBdr>
          <w:top w:val="nil"/>
          <w:left w:val="nil"/>
          <w:bottom w:val="nil"/>
          <w:right w:val="nil"/>
          <w:between w:val="nil"/>
          <w:bar w:val="nil"/>
        </w:pBdr>
        <w:spacing w:before="0"/>
        <w:rPr>
          <w:rFonts w:eastAsia="Arial Unicode MS"/>
          <w:noProof/>
          <w:szCs w:val="24"/>
        </w:rPr>
      </w:pPr>
      <w:r>
        <w:rPr>
          <w:noProof/>
        </w:rPr>
        <w:t>Препратка към резюме на оценката на въздействието: SWD(2018)186</w:t>
      </w:r>
    </w:p>
    <w:p w:rsidR="00185C77" w:rsidRDefault="00176197">
      <w:pPr>
        <w:pBdr>
          <w:top w:val="nil"/>
          <w:left w:val="nil"/>
          <w:bottom w:val="nil"/>
          <w:right w:val="nil"/>
          <w:between w:val="nil"/>
          <w:bar w:val="nil"/>
        </w:pBdr>
        <w:spacing w:before="0"/>
        <w:rPr>
          <w:rFonts w:eastAsia="Arial Unicode MS"/>
          <w:noProof/>
          <w:szCs w:val="24"/>
        </w:rPr>
      </w:pPr>
      <w:r>
        <w:rPr>
          <w:noProof/>
        </w:rPr>
        <w:t xml:space="preserve">Препратка към становището на Комитета за регулаторен контрол: SEC(2018) 233. </w:t>
      </w:r>
    </w:p>
    <w:p w:rsidR="00185C77" w:rsidRDefault="00176197">
      <w:pPr>
        <w:pStyle w:val="ManualHeading2"/>
        <w:spacing w:before="0"/>
        <w:rPr>
          <w:rFonts w:eastAsia="Arial Unicode MS"/>
          <w:noProof/>
          <w:szCs w:val="24"/>
          <w:u w:color="000000"/>
          <w:bdr w:val="nil"/>
        </w:rPr>
      </w:pPr>
      <w:r>
        <w:rPr>
          <w:noProof/>
        </w:rPr>
        <w:t>•</w:t>
      </w:r>
      <w:r>
        <w:rPr>
          <w:noProof/>
        </w:rPr>
        <w:tab/>
        <w:t>Пригоднос</w:t>
      </w:r>
      <w:r>
        <w:rPr>
          <w:noProof/>
        </w:rPr>
        <w:t>т и опростяване на законодателството</w:t>
      </w:r>
    </w:p>
    <w:p w:rsidR="00185C77" w:rsidRDefault="00176197">
      <w:pPr>
        <w:pBdr>
          <w:top w:val="nil"/>
          <w:left w:val="nil"/>
          <w:bottom w:val="nil"/>
          <w:right w:val="nil"/>
          <w:between w:val="nil"/>
          <w:bar w:val="nil"/>
        </w:pBdr>
        <w:spacing w:before="0"/>
        <w:rPr>
          <w:rFonts w:eastAsia="Arial Unicode MS"/>
          <w:noProof/>
          <w:szCs w:val="24"/>
        </w:rPr>
      </w:pPr>
      <w:r>
        <w:rPr>
          <w:noProof/>
        </w:rPr>
        <w:t xml:space="preserve">В съответствие с поетия от Комисията ангажимент за по-добро законотворчество предложението бе подготвено с участието на заинтересованите страни при спазване на принципа за прозрачност и в постоянно взаимодействие с тях </w:t>
      </w:r>
      <w:r>
        <w:rPr>
          <w:noProof/>
        </w:rPr>
        <w:t xml:space="preserve">на всички етапи от процеса. </w:t>
      </w:r>
    </w:p>
    <w:p w:rsidR="00185C77" w:rsidRDefault="00176197">
      <w:pPr>
        <w:pBdr>
          <w:top w:val="nil"/>
          <w:left w:val="nil"/>
          <w:bottom w:val="nil"/>
          <w:right w:val="nil"/>
          <w:between w:val="nil"/>
          <w:bar w:val="nil"/>
        </w:pBdr>
        <w:spacing w:before="0"/>
        <w:rPr>
          <w:rFonts w:eastAsia="Arial Unicode MS"/>
          <w:noProof/>
          <w:szCs w:val="24"/>
        </w:rPr>
      </w:pPr>
      <w:r>
        <w:rPr>
          <w:noProof/>
        </w:rPr>
        <w:t>В оценката на въздействието също се прави анализ по какъв начин може да се опрости законодателството и да се намалят излишните административни разходи.</w:t>
      </w:r>
    </w:p>
    <w:p w:rsidR="00185C77" w:rsidRDefault="00176197">
      <w:pPr>
        <w:pBdr>
          <w:top w:val="nil"/>
          <w:left w:val="nil"/>
          <w:bottom w:val="nil"/>
          <w:right w:val="nil"/>
          <w:between w:val="nil"/>
          <w:bar w:val="nil"/>
        </w:pBdr>
        <w:spacing w:before="0"/>
        <w:rPr>
          <w:rFonts w:eastAsia="Arial Unicode MS"/>
          <w:noProof/>
          <w:szCs w:val="24"/>
        </w:rPr>
      </w:pPr>
      <w:r>
        <w:rPr>
          <w:noProof/>
        </w:rPr>
        <w:t>Предвижда се стандартите за емисиите на CO</w:t>
      </w:r>
      <w:r>
        <w:rPr>
          <w:noProof/>
          <w:vertAlign w:val="subscript"/>
        </w:rPr>
        <w:t>2</w:t>
      </w:r>
      <w:r>
        <w:rPr>
          <w:noProof/>
        </w:rPr>
        <w:t xml:space="preserve"> да не се прилагат за специализи</w:t>
      </w:r>
      <w:r>
        <w:rPr>
          <w:noProof/>
        </w:rPr>
        <w:t>раните превозни средства.</w:t>
      </w:r>
    </w:p>
    <w:p w:rsidR="00185C77" w:rsidRDefault="00176197">
      <w:pPr>
        <w:pBdr>
          <w:top w:val="nil"/>
          <w:left w:val="nil"/>
          <w:bottom w:val="nil"/>
          <w:right w:val="nil"/>
          <w:between w:val="nil"/>
          <w:bar w:val="nil"/>
        </w:pBdr>
        <w:spacing w:before="0"/>
        <w:rPr>
          <w:rFonts w:eastAsia="Arial Unicode MS"/>
          <w:iCs/>
          <w:noProof/>
          <w:szCs w:val="24"/>
        </w:rPr>
      </w:pPr>
      <w:r>
        <w:rPr>
          <w:noProof/>
        </w:rPr>
        <w:t xml:space="preserve">Предложението съдържа и няколко елемента за икономически ефективно изпълнение, като схема за натрупване и заемане на емисии, с която се намаляват разходите на производителите за спазване на изискванията. </w:t>
      </w:r>
    </w:p>
    <w:p w:rsidR="00185C77" w:rsidRDefault="00176197">
      <w:pPr>
        <w:spacing w:before="0"/>
        <w:rPr>
          <w:noProof/>
          <w:szCs w:val="24"/>
        </w:rPr>
      </w:pPr>
      <w:r>
        <w:rPr>
          <w:noProof/>
        </w:rPr>
        <w:t>Изпълнението на предложен</w:t>
      </w:r>
      <w:r>
        <w:rPr>
          <w:noProof/>
        </w:rPr>
        <w:t xml:space="preserve">ата схема за извънредни кредити за превозни средства с нулеви и ниски емисии не създава допълнителна административна тежест, тъй като не налага задължение да се докладва допълнителна информация. </w:t>
      </w:r>
    </w:p>
    <w:p w:rsidR="00185C77" w:rsidRDefault="00176197">
      <w:pPr>
        <w:spacing w:before="0"/>
        <w:rPr>
          <w:rFonts w:eastAsia="Times New Roman"/>
          <w:iCs/>
          <w:noProof/>
          <w:szCs w:val="24"/>
        </w:rPr>
      </w:pPr>
      <w:r>
        <w:rPr>
          <w:noProof/>
        </w:rPr>
        <w:t xml:space="preserve">Отражението на вариантите от гледна точка на </w:t>
      </w:r>
      <w:r>
        <w:rPr>
          <w:noProof/>
        </w:rPr>
        <w:t>административната тежест във връзка с управлението ще зависи от конкретните мерки за прилагане.</w:t>
      </w:r>
    </w:p>
    <w:p w:rsidR="00185C77" w:rsidRDefault="00176197">
      <w:pPr>
        <w:pBdr>
          <w:top w:val="nil"/>
          <w:left w:val="nil"/>
          <w:bottom w:val="nil"/>
          <w:right w:val="nil"/>
          <w:between w:val="nil"/>
          <w:bar w:val="nil"/>
        </w:pBdr>
        <w:spacing w:before="0"/>
        <w:rPr>
          <w:rFonts w:eastAsia="Arial Unicode MS"/>
          <w:iCs/>
          <w:noProof/>
          <w:szCs w:val="24"/>
        </w:rPr>
      </w:pPr>
      <w:r>
        <w:rPr>
          <w:noProof/>
        </w:rPr>
        <w:t>Инициативата не предполага допълнителни административни разходи за органите по одобряване на типа. Разходите за сертифициране и за мониторинг и докладване на да</w:t>
      </w:r>
      <w:r>
        <w:rPr>
          <w:noProof/>
        </w:rPr>
        <w:t>нни за емисиите на CO</w:t>
      </w:r>
      <w:r>
        <w:rPr>
          <w:noProof/>
          <w:vertAlign w:val="subscript"/>
        </w:rPr>
        <w:t>2</w:t>
      </w:r>
      <w:r>
        <w:rPr>
          <w:noProof/>
        </w:rPr>
        <w:t xml:space="preserve"> са разгледани в съответните предложения.</w:t>
      </w:r>
    </w:p>
    <w:p w:rsidR="00185C77" w:rsidRDefault="00176197">
      <w:pPr>
        <w:pBdr>
          <w:top w:val="nil"/>
          <w:left w:val="nil"/>
          <w:bottom w:val="nil"/>
          <w:right w:val="nil"/>
          <w:between w:val="nil"/>
          <w:bar w:val="nil"/>
        </w:pBdr>
        <w:spacing w:before="0"/>
        <w:rPr>
          <w:rFonts w:eastAsia="Arial Unicode MS"/>
          <w:b/>
          <w:noProof/>
          <w:szCs w:val="24"/>
          <w:u w:color="000000"/>
          <w:bdr w:val="nil"/>
        </w:rPr>
      </w:pPr>
      <w:r>
        <w:rPr>
          <w:b/>
          <w:noProof/>
          <w:u w:color="000000"/>
          <w:bdr w:val="nil"/>
        </w:rPr>
        <w:t>•</w:t>
      </w:r>
      <w:r>
        <w:rPr>
          <w:noProof/>
        </w:rPr>
        <w:tab/>
      </w:r>
      <w:r>
        <w:rPr>
          <w:b/>
          <w:noProof/>
          <w:u w:color="000000"/>
          <w:bdr w:val="nil"/>
        </w:rPr>
        <w:t>Основни права</w:t>
      </w:r>
    </w:p>
    <w:p w:rsidR="00185C77" w:rsidRDefault="00176197">
      <w:pPr>
        <w:pBdr>
          <w:top w:val="nil"/>
          <w:left w:val="nil"/>
          <w:bottom w:val="nil"/>
          <w:right w:val="nil"/>
          <w:between w:val="nil"/>
          <w:bar w:val="nil"/>
        </w:pBdr>
        <w:spacing w:before="0"/>
        <w:rPr>
          <w:rFonts w:eastAsia="Arial Unicode MS"/>
          <w:iCs/>
          <w:noProof/>
          <w:szCs w:val="24"/>
        </w:rPr>
      </w:pPr>
      <w:r>
        <w:rPr>
          <w:noProof/>
        </w:rPr>
        <w:t>В предложението са зачетени основните права и са спазени принципите, признати по-специално с Хартата на основните права на Европейския съюз.</w:t>
      </w:r>
    </w:p>
    <w:p w:rsidR="00185C77" w:rsidRDefault="00176197">
      <w:pPr>
        <w:pStyle w:val="ManualHeading1"/>
        <w:rPr>
          <w:noProof/>
        </w:rPr>
      </w:pPr>
      <w:r>
        <w:rPr>
          <w:noProof/>
        </w:rPr>
        <w:t>4.</w:t>
      </w:r>
      <w:r>
        <w:rPr>
          <w:noProof/>
        </w:rPr>
        <w:tab/>
        <w:t>ОТРАЖЕНИЕ ВЪРХУ БЮДЖЕТА</w:t>
      </w:r>
    </w:p>
    <w:p w:rsidR="00185C77" w:rsidRDefault="00176197">
      <w:pPr>
        <w:pBdr>
          <w:top w:val="nil"/>
          <w:left w:val="nil"/>
          <w:bottom w:val="nil"/>
          <w:right w:val="nil"/>
          <w:between w:val="nil"/>
          <w:bar w:val="nil"/>
        </w:pBdr>
        <w:spacing w:before="0"/>
        <w:rPr>
          <w:rFonts w:eastAsia="Arial Unicode MS"/>
          <w:iCs/>
          <w:noProof/>
          <w:szCs w:val="24"/>
        </w:rPr>
      </w:pPr>
      <w:r>
        <w:rPr>
          <w:noProof/>
        </w:rPr>
        <w:t xml:space="preserve">Отражението върху бюджета от прилагането на предложения регламент е много ограничено (вж. подробности в приложената законодателна финансова обосновка). </w:t>
      </w:r>
    </w:p>
    <w:p w:rsidR="00185C77" w:rsidRDefault="00176197">
      <w:pPr>
        <w:pStyle w:val="ManualHeading1"/>
        <w:rPr>
          <w:noProof/>
        </w:rPr>
      </w:pPr>
      <w:r>
        <w:rPr>
          <w:noProof/>
        </w:rPr>
        <w:t>5.</w:t>
      </w:r>
      <w:r>
        <w:rPr>
          <w:noProof/>
        </w:rPr>
        <w:tab/>
        <w:t>ДРУГИ ЕЛЕМЕНТИ</w:t>
      </w:r>
    </w:p>
    <w:p w:rsidR="00185C77" w:rsidRDefault="00176197">
      <w:pPr>
        <w:pStyle w:val="ManualHeading2"/>
        <w:spacing w:before="0"/>
        <w:rPr>
          <w:rFonts w:eastAsia="Arial Unicode MS"/>
          <w:noProof/>
          <w:szCs w:val="24"/>
          <w:u w:color="000000"/>
          <w:bdr w:val="nil"/>
        </w:rPr>
      </w:pPr>
      <w:r>
        <w:rPr>
          <w:noProof/>
        </w:rPr>
        <w:t>•</w:t>
      </w:r>
      <w:r>
        <w:rPr>
          <w:noProof/>
        </w:rPr>
        <w:tab/>
        <w:t>Планове за изпълнение и механизми за наблюдение, оценка и докладване</w:t>
      </w:r>
    </w:p>
    <w:p w:rsidR="00185C77" w:rsidRDefault="00176197">
      <w:pPr>
        <w:pBdr>
          <w:top w:val="nil"/>
          <w:left w:val="nil"/>
          <w:bottom w:val="nil"/>
          <w:right w:val="nil"/>
          <w:between w:val="nil"/>
          <w:bar w:val="nil"/>
        </w:pBdr>
        <w:spacing w:before="0"/>
        <w:rPr>
          <w:rFonts w:eastAsia="Arial Unicode MS"/>
          <w:iCs/>
          <w:noProof/>
          <w:szCs w:val="24"/>
        </w:rPr>
      </w:pPr>
      <w:r>
        <w:rPr>
          <w:noProof/>
        </w:rPr>
        <w:t xml:space="preserve">Предложението </w:t>
      </w:r>
      <w:r>
        <w:rPr>
          <w:noProof/>
        </w:rPr>
        <w:t>се основава на Регламента за сертифициране</w:t>
      </w:r>
      <w:r>
        <w:rPr>
          <w:rStyle w:val="FootnoteReference"/>
          <w:noProof/>
        </w:rPr>
        <w:footnoteReference w:id="15"/>
      </w:r>
      <w:r>
        <w:rPr>
          <w:noProof/>
        </w:rPr>
        <w:t xml:space="preserve"> и на Регламента за мониторинга и докладването</w:t>
      </w:r>
      <w:r>
        <w:rPr>
          <w:rStyle w:val="FootnoteReference"/>
          <w:noProof/>
        </w:rPr>
        <w:footnoteReference w:id="16"/>
      </w:r>
      <w:r>
        <w:rPr>
          <w:noProof/>
        </w:rPr>
        <w:t>.</w:t>
      </w:r>
    </w:p>
    <w:p w:rsidR="00185C77" w:rsidRDefault="00176197">
      <w:pPr>
        <w:pBdr>
          <w:top w:val="nil"/>
          <w:left w:val="nil"/>
          <w:bottom w:val="nil"/>
          <w:right w:val="nil"/>
          <w:between w:val="nil"/>
          <w:bar w:val="nil"/>
        </w:pBdr>
        <w:spacing w:before="0"/>
        <w:rPr>
          <w:rFonts w:eastAsia="Arial Unicode MS"/>
          <w:iCs/>
          <w:noProof/>
          <w:szCs w:val="24"/>
        </w:rPr>
      </w:pPr>
      <w:r>
        <w:rPr>
          <w:noProof/>
        </w:rPr>
        <w:t>При прилагането на втория посочен регламент Европейската агенция за околната среда (ЕАОС) ще обединява данните за регистрацията, предоставени от националните органи</w:t>
      </w:r>
      <w:r>
        <w:rPr>
          <w:noProof/>
        </w:rPr>
        <w:t>, и данните от мониторинга, предоставени от производителите, и ще публикува годишни данни от мониторинга за всяко сертифицирано ново превозно средство, регистрирано в ЕС, за всеки производител и всяка група превозни средства.</w:t>
      </w:r>
    </w:p>
    <w:p w:rsidR="00185C77" w:rsidRDefault="00176197">
      <w:pPr>
        <w:pBdr>
          <w:top w:val="nil"/>
          <w:left w:val="nil"/>
          <w:bottom w:val="nil"/>
          <w:right w:val="nil"/>
          <w:between w:val="nil"/>
          <w:bar w:val="nil"/>
        </w:pBdr>
        <w:spacing w:before="0"/>
        <w:rPr>
          <w:rFonts w:eastAsia="Arial Unicode MS"/>
          <w:iCs/>
          <w:noProof/>
          <w:szCs w:val="24"/>
        </w:rPr>
      </w:pPr>
      <w:r>
        <w:rPr>
          <w:noProof/>
        </w:rPr>
        <w:t>В оценката на въздействието се</w:t>
      </w:r>
      <w:r>
        <w:rPr>
          <w:noProof/>
        </w:rPr>
        <w:t xml:space="preserve"> предлага също така предложеният Регламент за мониторинга и докладването на данни за емисиите на CO</w:t>
      </w:r>
      <w:r>
        <w:rPr>
          <w:noProof/>
          <w:vertAlign w:val="subscript"/>
        </w:rPr>
        <w:t>2</w:t>
      </w:r>
      <w:r>
        <w:rPr>
          <w:noProof/>
        </w:rPr>
        <w:t xml:space="preserve"> от тежкотоварните превозни средства да бъде допълнен със следните две мерки за мониторинг:</w:t>
      </w:r>
    </w:p>
    <w:p w:rsidR="00185C77" w:rsidRDefault="00176197">
      <w:pPr>
        <w:pStyle w:val="Bullet0"/>
        <w:numPr>
          <w:ilvl w:val="0"/>
          <w:numId w:val="14"/>
        </w:numPr>
        <w:rPr>
          <w:noProof/>
        </w:rPr>
      </w:pPr>
      <w:r>
        <w:rPr>
          <w:noProof/>
        </w:rPr>
        <w:t>събиране, публикуване и мониторинг на данните за разход на горив</w:t>
      </w:r>
      <w:r>
        <w:rPr>
          <w:noProof/>
        </w:rPr>
        <w:t>о в реални условия, докладвани от производителите въз основа на задължителни устройва за измерване на разхода на гориво;</w:t>
      </w:r>
    </w:p>
    <w:p w:rsidR="00185C77" w:rsidRDefault="00176197">
      <w:pPr>
        <w:pStyle w:val="Bullet0"/>
        <w:rPr>
          <w:noProof/>
        </w:rPr>
      </w:pPr>
      <w:r>
        <w:rPr>
          <w:noProof/>
        </w:rPr>
        <w:t>въвеждане на изпитвания за съответствие в експлоатация и задължение да се съобщават отклонения от стойностите за одобряване на типа, за</w:t>
      </w:r>
      <w:r>
        <w:rPr>
          <w:noProof/>
        </w:rPr>
        <w:t xml:space="preserve">едно с механизъм за корекция. </w:t>
      </w:r>
    </w:p>
    <w:p w:rsidR="00185C77" w:rsidRDefault="00176197">
      <w:pPr>
        <w:pBdr>
          <w:top w:val="nil"/>
          <w:left w:val="nil"/>
          <w:bottom w:val="nil"/>
          <w:right w:val="nil"/>
          <w:between w:val="nil"/>
          <w:bar w:val="nil"/>
        </w:pBdr>
        <w:spacing w:before="0"/>
        <w:rPr>
          <w:rFonts w:eastAsia="Arial Unicode MS"/>
          <w:iCs/>
          <w:noProof/>
          <w:szCs w:val="24"/>
        </w:rPr>
      </w:pPr>
      <w:r>
        <w:rPr>
          <w:noProof/>
        </w:rPr>
        <w:t>Тези допълнителни мерки ще заздравят процеса на мониторинг и ще гарантират ефикасността на предложената законодателна инициатива.</w:t>
      </w:r>
    </w:p>
    <w:p w:rsidR="00185C77" w:rsidRDefault="00176197">
      <w:pPr>
        <w:pStyle w:val="ManualHeading2"/>
        <w:spacing w:before="0"/>
        <w:rPr>
          <w:rFonts w:eastAsia="Arial Unicode MS"/>
          <w:noProof/>
          <w:szCs w:val="24"/>
          <w:u w:color="000000"/>
          <w:bdr w:val="nil"/>
        </w:rPr>
      </w:pPr>
      <w:r>
        <w:rPr>
          <w:noProof/>
        </w:rPr>
        <w:t>•</w:t>
      </w:r>
      <w:r>
        <w:rPr>
          <w:noProof/>
        </w:rPr>
        <w:tab/>
        <w:t>Подробни разяснения за отделните разпоредби на предложението</w:t>
      </w:r>
    </w:p>
    <w:p w:rsidR="00185C77" w:rsidRDefault="00176197">
      <w:pPr>
        <w:rPr>
          <w:b/>
          <w:noProof/>
          <w:u w:color="000000"/>
          <w:bdr w:val="nil"/>
        </w:rPr>
      </w:pPr>
      <w:r>
        <w:rPr>
          <w:b/>
          <w:noProof/>
          <w:u w:color="000000"/>
          <w:bdr w:val="nil"/>
        </w:rPr>
        <w:t xml:space="preserve">Член 1 — Предмет </w:t>
      </w:r>
    </w:p>
    <w:p w:rsidR="00185C77" w:rsidRDefault="00176197">
      <w:pPr>
        <w:rPr>
          <w:noProof/>
          <w:u w:color="000000"/>
          <w:bdr w:val="nil"/>
        </w:rPr>
      </w:pPr>
      <w:r>
        <w:rPr>
          <w:noProof/>
        </w:rPr>
        <w:t>В този член се</w:t>
      </w:r>
      <w:r>
        <w:rPr>
          <w:noProof/>
        </w:rPr>
        <w:t xml:space="preserve"> посочва целта на настоящия регламент — да се допринесе за постигането на необходимото намаляване на емисиите на CO</w:t>
      </w:r>
      <w:r>
        <w:rPr>
          <w:noProof/>
          <w:vertAlign w:val="subscript"/>
        </w:rPr>
        <w:t>2</w:t>
      </w:r>
      <w:r>
        <w:rPr>
          <w:noProof/>
        </w:rPr>
        <w:t xml:space="preserve"> съгласно Регламента за разпределяне на усилията чрез намаляване на емисиите в автомобилния транспорт. В него се посочват и целите за относи</w:t>
      </w:r>
      <w:r>
        <w:rPr>
          <w:noProof/>
        </w:rPr>
        <w:t xml:space="preserve">телно намаляване на емисиите, които да бъдат постигнати от новите тежкотоварни превозни средства в Съюза в периода 2025 — 2029 г. Заявява се и намерението за постигане на конкретна цел до 2030 г., която ще бъде определена след извършения преглед през 2022 </w:t>
      </w:r>
      <w:r>
        <w:rPr>
          <w:noProof/>
        </w:rPr>
        <w:t>г.</w:t>
      </w:r>
    </w:p>
    <w:p w:rsidR="00185C77" w:rsidRDefault="00176197">
      <w:pPr>
        <w:rPr>
          <w:noProof/>
          <w:u w:color="000000"/>
          <w:bdr w:val="nil"/>
        </w:rPr>
      </w:pPr>
      <w:r>
        <w:rPr>
          <w:noProof/>
        </w:rPr>
        <w:t>Целите са определени като относително намаляване на средните специфични емисии от превозните средства, регистрирани през базовата 2019 г. — първата година, за която ще има официални проверени с мониторинг данни за емисиите на CO</w:t>
      </w:r>
      <w:r>
        <w:rPr>
          <w:noProof/>
          <w:vertAlign w:val="subscript"/>
        </w:rPr>
        <w:t>2</w:t>
      </w:r>
      <w:r>
        <w:rPr>
          <w:noProof/>
        </w:rPr>
        <w:t xml:space="preserve">. Целите се разпределят </w:t>
      </w:r>
      <w:r>
        <w:rPr>
          <w:noProof/>
        </w:rPr>
        <w:t>за всяка подгрупа превозни средства, определени в приложение I, раздел 1. Специализираните превозни средства (например сметосъбиращите камиони и товарните автомобили, използвани в строителството) нямат същия потенциал за намаляване на емисиите на CO</w:t>
      </w:r>
      <w:r>
        <w:rPr>
          <w:noProof/>
          <w:vertAlign w:val="subscript"/>
        </w:rPr>
        <w:t>2</w:t>
      </w:r>
      <w:r>
        <w:rPr>
          <w:noProof/>
        </w:rPr>
        <w:t xml:space="preserve"> като </w:t>
      </w:r>
      <w:r>
        <w:rPr>
          <w:noProof/>
        </w:rPr>
        <w:t>тежкотоварните превозни средства, използвани за доставка на стоки, и поради това не се вземат предвид при изчисляването на еталонните емисии на CO</w:t>
      </w:r>
      <w:r>
        <w:rPr>
          <w:noProof/>
          <w:vertAlign w:val="subscript"/>
        </w:rPr>
        <w:t>2</w:t>
      </w:r>
      <w:r>
        <w:rPr>
          <w:noProof/>
        </w:rPr>
        <w:t xml:space="preserve">. </w:t>
      </w:r>
    </w:p>
    <w:p w:rsidR="00185C77" w:rsidRDefault="00176197">
      <w:pPr>
        <w:rPr>
          <w:noProof/>
          <w:u w:color="000000"/>
          <w:bdr w:val="nil"/>
        </w:rPr>
      </w:pPr>
      <w:r>
        <w:rPr>
          <w:noProof/>
        </w:rPr>
        <w:t>Еталонните стойности на емисиите на CO</w:t>
      </w:r>
      <w:r>
        <w:rPr>
          <w:noProof/>
          <w:vertAlign w:val="subscript"/>
        </w:rPr>
        <w:t>2</w:t>
      </w:r>
      <w:r>
        <w:rPr>
          <w:noProof/>
        </w:rPr>
        <w:t xml:space="preserve"> се определят в съответствие с приложение I, раздел 3.</w:t>
      </w:r>
    </w:p>
    <w:p w:rsidR="00185C77" w:rsidRDefault="00176197">
      <w:pPr>
        <w:rPr>
          <w:b/>
          <w:noProof/>
          <w:u w:color="000000"/>
          <w:bdr w:val="nil"/>
        </w:rPr>
      </w:pPr>
      <w:r>
        <w:rPr>
          <w:b/>
          <w:noProof/>
          <w:u w:color="000000"/>
          <w:bdr w:val="nil"/>
        </w:rPr>
        <w:t>Член 2 — При</w:t>
      </w:r>
      <w:r>
        <w:rPr>
          <w:b/>
          <w:noProof/>
          <w:u w:color="000000"/>
          <w:bdr w:val="nil"/>
        </w:rPr>
        <w:t>ложно поле</w:t>
      </w:r>
    </w:p>
    <w:p w:rsidR="00185C77" w:rsidRDefault="00176197">
      <w:pPr>
        <w:rPr>
          <w:noProof/>
          <w:u w:color="000000"/>
          <w:bdr w:val="nil"/>
        </w:rPr>
      </w:pPr>
      <w:r>
        <w:rPr>
          <w:noProof/>
        </w:rPr>
        <w:t xml:space="preserve">В този член се определят превозните средства, които попадат в приложното поле на настоящия регламент, като се използват съответните категории, определени в законодателството за одобряване на типа, и четирите групи превозни средства, за които от </w:t>
      </w:r>
      <w:r>
        <w:rPr>
          <w:noProof/>
        </w:rPr>
        <w:t>2019 г. нататък ще има сертифицирани данни за емисиите на CO</w:t>
      </w:r>
      <w:r>
        <w:rPr>
          <w:noProof/>
          <w:u w:color="000000"/>
          <w:bdr w:val="nil"/>
          <w:vertAlign w:val="subscript"/>
        </w:rPr>
        <w:t>2</w:t>
      </w:r>
      <w:r>
        <w:rPr>
          <w:noProof/>
        </w:rPr>
        <w:t>. Изискванията за намаляване на емисиите на CO</w:t>
      </w:r>
      <w:r>
        <w:rPr>
          <w:noProof/>
          <w:u w:color="000000"/>
          <w:bdr w:val="nil"/>
          <w:vertAlign w:val="subscript"/>
        </w:rPr>
        <w:t>2</w:t>
      </w:r>
      <w:r>
        <w:rPr>
          <w:noProof/>
        </w:rPr>
        <w:t xml:space="preserve"> няма да се прилагат за превозни средства от категориите M2 (градски автобуси), M3 (междуградски автобуси) и N (товарни автомобили), които не спадат</w:t>
      </w:r>
      <w:r>
        <w:rPr>
          <w:noProof/>
        </w:rPr>
        <w:t xml:space="preserve"> към посочените по-горе четири групи превозни средства, но те ще се вземат предвид във връзка със стимулите, които се предоставят за превозни средства с нулеви и ниски емисии (вж. член 5).</w:t>
      </w:r>
    </w:p>
    <w:p w:rsidR="00185C77" w:rsidRDefault="00176197">
      <w:pPr>
        <w:rPr>
          <w:noProof/>
          <w:u w:color="000000"/>
          <w:bdr w:val="nil"/>
        </w:rPr>
      </w:pPr>
      <w:r>
        <w:rPr>
          <w:noProof/>
        </w:rPr>
        <w:t>В отделна разпоредба се пояснява и в кои случаи превозните средства</w:t>
      </w:r>
      <w:r>
        <w:rPr>
          <w:noProof/>
        </w:rPr>
        <w:t xml:space="preserve"> се считат за регистрирани нови превозни средства за целите на настоящия регламент.</w:t>
      </w:r>
    </w:p>
    <w:p w:rsidR="00185C77" w:rsidRDefault="00176197">
      <w:pPr>
        <w:rPr>
          <w:b/>
          <w:noProof/>
          <w:u w:color="000000"/>
          <w:bdr w:val="nil"/>
        </w:rPr>
      </w:pPr>
      <w:r>
        <w:rPr>
          <w:b/>
          <w:noProof/>
          <w:u w:color="000000"/>
          <w:bdr w:val="nil"/>
        </w:rPr>
        <w:t>Член 3 — Определения</w:t>
      </w:r>
    </w:p>
    <w:p w:rsidR="00185C77" w:rsidRDefault="00176197">
      <w:pPr>
        <w:rPr>
          <w:noProof/>
          <w:u w:color="000000"/>
          <w:bdr w:val="nil"/>
        </w:rPr>
      </w:pPr>
      <w:r>
        <w:rPr>
          <w:noProof/>
        </w:rPr>
        <w:t>В този член се посочват определенията, които следва да се прилагат за целите на настоящия регламент.</w:t>
      </w:r>
    </w:p>
    <w:p w:rsidR="00185C77" w:rsidRDefault="00176197">
      <w:pPr>
        <w:rPr>
          <w:b/>
          <w:noProof/>
          <w:u w:color="000000"/>
          <w:bdr w:val="nil"/>
        </w:rPr>
      </w:pPr>
      <w:r>
        <w:rPr>
          <w:b/>
          <w:noProof/>
          <w:u w:color="000000"/>
          <w:bdr w:val="nil"/>
        </w:rPr>
        <w:t>Член 4 — Средни специфични емисии на производителя</w:t>
      </w:r>
    </w:p>
    <w:p w:rsidR="00185C77" w:rsidRDefault="00176197">
      <w:pPr>
        <w:rPr>
          <w:noProof/>
          <w:u w:color="000000"/>
          <w:bdr w:val="nil"/>
        </w:rPr>
      </w:pPr>
      <w:r>
        <w:rPr>
          <w:noProof/>
        </w:rPr>
        <w:t>Съгласно този член от 2019 г. Комисията определя и всяка година публикува средните специфични емисии на CO</w:t>
      </w:r>
      <w:r>
        <w:rPr>
          <w:noProof/>
          <w:u w:color="000000"/>
          <w:bdr w:val="nil"/>
          <w:vertAlign w:val="subscript"/>
        </w:rPr>
        <w:t>2</w:t>
      </w:r>
      <w:r>
        <w:rPr>
          <w:noProof/>
        </w:rPr>
        <w:t xml:space="preserve"> за всеки производител. Данните, които се използват като основа за изчисляване на средните емисии, се докладват от производителите в съответствие с </w:t>
      </w:r>
      <w:r>
        <w:rPr>
          <w:noProof/>
        </w:rPr>
        <w:t>Регламент (ЕС) 2018/....  С цел да се отчетат полезността и специфичните характеристики на превозните средства отделните тежкотоварни превозни средства се разпределят в различни подгрупи, за които се прилагат специални тегловни коефициенти за профил на дви</w:t>
      </w:r>
      <w:r>
        <w:rPr>
          <w:noProof/>
        </w:rPr>
        <w:t>жение (т.е. модели за употреба на превозното средство), полезен товар и годишен пробег. Взема се предвид и делът на превозните средства на производителя във всяка подгрупа. Специализираните превозни средства от категории N2 и N3 (например сметосъбиращите к</w:t>
      </w:r>
      <w:r>
        <w:rPr>
          <w:noProof/>
        </w:rPr>
        <w:t>амиони и товарните автомобили, използвани в строителството) нямат същия потенциал за намаляване на емисиите на CO</w:t>
      </w:r>
      <w:r>
        <w:rPr>
          <w:noProof/>
          <w:u w:color="000000"/>
          <w:bdr w:val="nil"/>
          <w:vertAlign w:val="subscript"/>
        </w:rPr>
        <w:t>2</w:t>
      </w:r>
      <w:r>
        <w:rPr>
          <w:noProof/>
        </w:rPr>
        <w:t xml:space="preserve"> като тежкотоварните превозни средства, използвани за доставка на стоки, и поради това не се вземат предвид при изчисляването на средните стой</w:t>
      </w:r>
      <w:r>
        <w:rPr>
          <w:noProof/>
        </w:rPr>
        <w:t>ности. Формулите за изчисляване на средните специфични емисии са дадени в приложение I, раздел 2.</w:t>
      </w:r>
    </w:p>
    <w:p w:rsidR="00185C77" w:rsidRDefault="00176197">
      <w:pPr>
        <w:rPr>
          <w:b/>
          <w:noProof/>
          <w:u w:color="000000"/>
          <w:bdr w:val="nil"/>
        </w:rPr>
      </w:pPr>
      <w:r>
        <w:rPr>
          <w:b/>
          <w:noProof/>
          <w:u w:color="000000"/>
          <w:bdr w:val="nil"/>
        </w:rPr>
        <w:t>Член 5 — Тежкотоварни превозни средства с нулеви и ниски емисии</w:t>
      </w:r>
    </w:p>
    <w:p w:rsidR="00185C77" w:rsidRDefault="00176197">
      <w:pPr>
        <w:rPr>
          <w:rFonts w:eastAsia="Times New Roman"/>
          <w:noProof/>
          <w:szCs w:val="24"/>
        </w:rPr>
      </w:pPr>
      <w:r>
        <w:rPr>
          <w:noProof/>
        </w:rPr>
        <w:t>С цел да се стимулира навлизането на тежкотоварни превозни средства с нулеви и ниски емисии, п</w:t>
      </w:r>
      <w:r>
        <w:rPr>
          <w:noProof/>
        </w:rPr>
        <w:t>ри изчисляването на средните специфични емисии на производителя от 2019 г. нататък те се броят многократно. За всяко пуснато на пазара превозно средство с нулеви и ниски емисии производителите на такива превозни средства ще ползват извънредни кредити с раз</w:t>
      </w:r>
      <w:r>
        <w:rPr>
          <w:noProof/>
        </w:rPr>
        <w:t>личен коефициент на умножение в зависимост от отделяните от превозното средство емисии на CO</w:t>
      </w:r>
      <w:r>
        <w:rPr>
          <w:noProof/>
          <w:vertAlign w:val="subscript"/>
        </w:rPr>
        <w:t>2</w:t>
      </w:r>
      <w:r>
        <w:rPr>
          <w:noProof/>
        </w:rPr>
        <w:t>.</w:t>
      </w:r>
    </w:p>
    <w:p w:rsidR="00185C77" w:rsidRDefault="00176197">
      <w:pPr>
        <w:rPr>
          <w:noProof/>
          <w:u w:color="000000"/>
          <w:bdr w:val="nil"/>
        </w:rPr>
      </w:pPr>
      <w:r>
        <w:rPr>
          <w:noProof/>
        </w:rPr>
        <w:t>Предвижда се специален стимул и за тежкотоварни превозни средства с нулеви емисии от категориите M2 (градски автобуси) и M3 (междуградски автобуси), както и за н</w:t>
      </w:r>
      <w:r>
        <w:rPr>
          <w:noProof/>
        </w:rPr>
        <w:t>якои превозни средства от категория N (малки товарни автомобили), в т.ч. специализирани превозни средства с нулеви емисии. Въпреки че за тези превозни средства не се прилагат изискванията за намаляване на емисиите на CO</w:t>
      </w:r>
      <w:r>
        <w:rPr>
          <w:noProof/>
          <w:u w:color="000000"/>
          <w:bdr w:val="nil"/>
          <w:vertAlign w:val="subscript"/>
        </w:rPr>
        <w:t>2</w:t>
      </w:r>
      <w:r>
        <w:rPr>
          <w:noProof/>
        </w:rPr>
        <w:t xml:space="preserve"> съгласно настоящия регламент, те ще</w:t>
      </w:r>
      <w:r>
        <w:rPr>
          <w:noProof/>
        </w:rPr>
        <w:t xml:space="preserve"> се вземат предвид при определянето на коефициента за нулеви и ниски емисии.</w:t>
      </w:r>
    </w:p>
    <w:p w:rsidR="00185C77" w:rsidRDefault="00176197">
      <w:pPr>
        <w:rPr>
          <w:rFonts w:eastAsia="Times New Roman"/>
          <w:noProof/>
          <w:szCs w:val="24"/>
        </w:rPr>
      </w:pPr>
      <w:r>
        <w:rPr>
          <w:noProof/>
        </w:rPr>
        <w:t>Тежкотоварните превозни средства с ниски емисии имат специфични емисии под 350g CO</w:t>
      </w:r>
      <w:r>
        <w:rPr>
          <w:noProof/>
          <w:vertAlign w:val="subscript"/>
        </w:rPr>
        <w:t>2</w:t>
      </w:r>
      <w:r>
        <w:rPr>
          <w:noProof/>
        </w:rPr>
        <w:t xml:space="preserve">/km, т.е. по-малко от половината от средната стойност на емисиите за всички превозни средства. </w:t>
      </w:r>
    </w:p>
    <w:p w:rsidR="00185C77" w:rsidRDefault="00176197">
      <w:pPr>
        <w:rPr>
          <w:rFonts w:eastAsia="Times New Roman"/>
          <w:noProof/>
          <w:szCs w:val="24"/>
        </w:rPr>
      </w:pPr>
      <w:r>
        <w:rPr>
          <w:noProof/>
        </w:rPr>
        <w:t xml:space="preserve">Следва да се предвиди горна граница за намаляването на средните специфични емисии на производителите посредством схемата от стимули за превозни средства с нулеви и ниски емисии, така че целите да запазят значението си за околната среда. </w:t>
      </w:r>
    </w:p>
    <w:p w:rsidR="00185C77" w:rsidRDefault="00176197">
      <w:pPr>
        <w:rPr>
          <w:rFonts w:eastAsia="Times New Roman"/>
          <w:noProof/>
          <w:szCs w:val="24"/>
        </w:rPr>
      </w:pPr>
      <w:r>
        <w:rPr>
          <w:noProof/>
        </w:rPr>
        <w:t>Формулите за изчис</w:t>
      </w:r>
      <w:r>
        <w:rPr>
          <w:noProof/>
        </w:rPr>
        <w:t>ляване на коефициента за нулеви и ниски емисии са дадени в приложение I, точка 2.3.</w:t>
      </w:r>
    </w:p>
    <w:p w:rsidR="00185C77" w:rsidRDefault="00176197">
      <w:pPr>
        <w:rPr>
          <w:b/>
          <w:noProof/>
          <w:u w:color="000000"/>
          <w:bdr w:val="nil"/>
        </w:rPr>
      </w:pPr>
      <w:r>
        <w:rPr>
          <w:b/>
          <w:noProof/>
          <w:u w:color="000000"/>
          <w:bdr w:val="nil"/>
        </w:rPr>
        <w:t>Член 6 — Цели за специфичните емисии на производителя</w:t>
      </w:r>
    </w:p>
    <w:p w:rsidR="00185C77" w:rsidRDefault="00176197">
      <w:pPr>
        <w:rPr>
          <w:noProof/>
          <w:u w:color="000000"/>
          <w:bdr w:val="nil"/>
        </w:rPr>
      </w:pPr>
      <w:r>
        <w:rPr>
          <w:noProof/>
        </w:rPr>
        <w:t>Съгласно този член се предвижда от 2026 г. да се изчисляват цели за специфичните емисии на производителя за предходнат</w:t>
      </w:r>
      <w:r>
        <w:rPr>
          <w:noProof/>
        </w:rPr>
        <w:t>а календарна година. Съответно първите годишни цели ще бъдат определени за календарната 2025 г. При определянето на целите ще се вземат предвид общите цели за намаляване на емисиите съответно за 2025 и 2030 г., както и полезността и специфичните характерис</w:t>
      </w:r>
      <w:r>
        <w:rPr>
          <w:noProof/>
        </w:rPr>
        <w:t>тики на различните тежкотоварни превозни средства — по същия начин, както при изчисляването на средните специфични емисии. Годишните цели за специфичните емисии на производителя съответно ще се изчисляват като претеглена средна стойност на целите, определе</w:t>
      </w:r>
      <w:r>
        <w:rPr>
          <w:noProof/>
        </w:rPr>
        <w:t>ни за всяка подгрупа превозни средства.</w:t>
      </w:r>
    </w:p>
    <w:p w:rsidR="00185C77" w:rsidRDefault="00176197">
      <w:pPr>
        <w:rPr>
          <w:noProof/>
          <w:u w:color="000000"/>
          <w:bdr w:val="nil"/>
        </w:rPr>
      </w:pPr>
      <w:r>
        <w:rPr>
          <w:noProof/>
        </w:rPr>
        <w:t>Формулите за изчисляване на целта за специфичните емисии са дадени в приложение I, раздел 4.</w:t>
      </w:r>
    </w:p>
    <w:p w:rsidR="00185C77" w:rsidRDefault="00176197">
      <w:pPr>
        <w:rPr>
          <w:b/>
          <w:noProof/>
          <w:u w:color="000000"/>
          <w:bdr w:val="nil"/>
        </w:rPr>
      </w:pPr>
      <w:r>
        <w:rPr>
          <w:b/>
          <w:noProof/>
          <w:u w:color="000000"/>
          <w:bdr w:val="nil"/>
        </w:rPr>
        <w:t>Член 7 — Кредити и дългове за емисии</w:t>
      </w:r>
    </w:p>
    <w:p w:rsidR="00185C77" w:rsidRDefault="00176197">
      <w:pPr>
        <w:rPr>
          <w:noProof/>
          <w:u w:color="000000"/>
          <w:bdr w:val="nil"/>
        </w:rPr>
      </w:pPr>
      <w:r>
        <w:rPr>
          <w:noProof/>
        </w:rPr>
        <w:t>С този член се въвежда механизъм за натрупване и заемане на емисии, с който производит</w:t>
      </w:r>
      <w:r>
        <w:rPr>
          <w:noProof/>
        </w:rPr>
        <w:t xml:space="preserve">елят може да компенсира неизпълнение на целта за специфичните емисии през дадена година, ако през друга година отбележи резултати над очакваното. За целта производителят може да натрупва кредити за емисии, ако емисиите му са под траекторията за намаляване </w:t>
      </w:r>
      <w:r>
        <w:rPr>
          <w:noProof/>
        </w:rPr>
        <w:t>на емисиите, определена като линейна траектория от еталонните емисии на CO</w:t>
      </w:r>
      <w:r>
        <w:rPr>
          <w:noProof/>
          <w:u w:color="000000"/>
          <w:bdr w:val="nil"/>
          <w:vertAlign w:val="subscript"/>
        </w:rPr>
        <w:t>2</w:t>
      </w:r>
      <w:r>
        <w:rPr>
          <w:noProof/>
        </w:rPr>
        <w:t xml:space="preserve"> през 2019 г. до целите за 2025 г. и от целите за 2025 г. до целите за 2030 г. Трябва да се вземат предвид две различни траектории, така че наклонът на кривата може да бъде различен</w:t>
      </w:r>
      <w:r>
        <w:rPr>
          <w:noProof/>
        </w:rPr>
        <w:t xml:space="preserve"> в зависимост от конкретните цели, определени за 2025 и 2030 г. С цел да се стимулира намаляването на емисиите на ранен етап кредити за емисии могат да се придобиват още от 2019 г. до 2024 г., както и за периода 2025 — 2029 г. Кредитите за емисии, придобит</w:t>
      </w:r>
      <w:r>
        <w:rPr>
          <w:noProof/>
        </w:rPr>
        <w:t>и в периода 2019 — 2024 г., се вземат предвид единствено при оценката дали производителят е изпълнил целта си за специфичните емисии през 2025 г. След тази дата не се допуска пренасяне на кредитите, придобити в периода 2019 — 2024 г. Кредити за емисии мога</w:t>
      </w:r>
      <w:r>
        <w:rPr>
          <w:noProof/>
        </w:rPr>
        <w:t>т да се придобиват и използват също така за следващия период — от 2025 до 2029 г. Ако през някоя от годините в периода 2025 — 2029 г. превиши целта си, производителят може да придобие ограничен дълг за емисии, който трябва да се изравни най-късно през 2029</w:t>
      </w:r>
      <w:r>
        <w:rPr>
          <w:noProof/>
        </w:rPr>
        <w:t xml:space="preserve"> г. Общият дълг за емисии не може да превишава 5 % от целта за специфичните емисии на производителя през 2025 г., в противен случай му се налага такса за извънредно количество емисии в съответствие с член 8.</w:t>
      </w:r>
    </w:p>
    <w:p w:rsidR="00185C77" w:rsidRDefault="00176197">
      <w:pPr>
        <w:rPr>
          <w:noProof/>
          <w:u w:color="000000"/>
          <w:bdr w:val="nil"/>
        </w:rPr>
      </w:pPr>
      <w:r>
        <w:rPr>
          <w:noProof/>
        </w:rPr>
        <w:t xml:space="preserve">Кредитите и дълговете за емисии се определят за </w:t>
      </w:r>
      <w:r>
        <w:rPr>
          <w:noProof/>
        </w:rPr>
        <w:t>целите на изчислението, но не се считат за активи, които могат да се прехвърлят или спрямо които се прилагат мерки от областта на финансовата политика.</w:t>
      </w:r>
    </w:p>
    <w:p w:rsidR="00185C77" w:rsidRDefault="00176197">
      <w:pPr>
        <w:rPr>
          <w:noProof/>
          <w:u w:color="000000"/>
          <w:bdr w:val="nil"/>
        </w:rPr>
      </w:pPr>
      <w:r>
        <w:rPr>
          <w:noProof/>
        </w:rPr>
        <w:t>Формулите за изчисляването на траекторията за намаляване на емисиите на CO</w:t>
      </w:r>
      <w:r>
        <w:rPr>
          <w:noProof/>
          <w:u w:color="000000"/>
          <w:bdr w:val="nil"/>
          <w:vertAlign w:val="subscript"/>
        </w:rPr>
        <w:t>2</w:t>
      </w:r>
      <w:r>
        <w:rPr>
          <w:noProof/>
        </w:rPr>
        <w:t xml:space="preserve"> и на кредитите и дълговете з</w:t>
      </w:r>
      <w:r>
        <w:rPr>
          <w:noProof/>
        </w:rPr>
        <w:t xml:space="preserve">а емисии са дадени в приложение I, раздел 5. </w:t>
      </w:r>
    </w:p>
    <w:p w:rsidR="00185C77" w:rsidRDefault="00176197">
      <w:pPr>
        <w:rPr>
          <w:b/>
          <w:noProof/>
          <w:u w:color="000000"/>
          <w:bdr w:val="nil"/>
        </w:rPr>
      </w:pPr>
      <w:r>
        <w:rPr>
          <w:b/>
          <w:noProof/>
          <w:u w:color="000000"/>
          <w:bdr w:val="nil"/>
        </w:rPr>
        <w:t>Член 8 — Изпълнение на целите за специфичните емисии</w:t>
      </w:r>
    </w:p>
    <w:p w:rsidR="00185C77" w:rsidRDefault="00176197">
      <w:pPr>
        <w:rPr>
          <w:rFonts w:eastAsia="Times New Roman"/>
          <w:noProof/>
          <w:szCs w:val="24"/>
        </w:rPr>
      </w:pPr>
      <w:r>
        <w:rPr>
          <w:noProof/>
        </w:rPr>
        <w:t>Ако се установи, че даден производител има извънредно количество емисии, Комисията — след като вземе предвид кредитите и дълговете за емисии, придобити в съо</w:t>
      </w:r>
      <w:r>
        <w:rPr>
          <w:noProof/>
        </w:rPr>
        <w:t>тветствие с член 7 — му налага финансова санкция във вид на такса за извънредно количество емисии. Размерът на таксата се определя на 6800 евро за g/tkm извънредно количество емисии, което се равнява на 570 евро за g/km при среден полезен товар 12 тона и о</w:t>
      </w:r>
      <w:r>
        <w:rPr>
          <w:noProof/>
        </w:rPr>
        <w:t>тразява незначителните разходи за технологии, способстващи за намаляване на емисиите на CO</w:t>
      </w:r>
      <w:r>
        <w:rPr>
          <w:noProof/>
          <w:vertAlign w:val="subscript"/>
        </w:rPr>
        <w:t>2</w:t>
      </w:r>
      <w:r>
        <w:rPr>
          <w:noProof/>
        </w:rPr>
        <w:t>.</w:t>
      </w:r>
    </w:p>
    <w:p w:rsidR="00185C77" w:rsidRDefault="00176197">
      <w:pPr>
        <w:rPr>
          <w:noProof/>
          <w:u w:color="000000"/>
          <w:bdr w:val="nil"/>
        </w:rPr>
      </w:pPr>
      <w:r>
        <w:rPr>
          <w:noProof/>
        </w:rPr>
        <w:t xml:space="preserve">Формулите за изчисляване на извънредно количество емисии са дадени в приложение I, раздел 6. Методите за събиране на таксите се определят с акт за изпълнение. </w:t>
      </w:r>
    </w:p>
    <w:p w:rsidR="00185C77" w:rsidRDefault="00176197">
      <w:pPr>
        <w:rPr>
          <w:b/>
          <w:noProof/>
          <w:u w:color="000000"/>
          <w:bdr w:val="nil"/>
        </w:rPr>
      </w:pPr>
      <w:r>
        <w:rPr>
          <w:b/>
          <w:noProof/>
          <w:u w:color="000000"/>
          <w:bdr w:val="nil"/>
        </w:rPr>
        <w:t>Чле</w:t>
      </w:r>
      <w:r>
        <w:rPr>
          <w:b/>
          <w:noProof/>
          <w:u w:color="000000"/>
          <w:bdr w:val="nil"/>
        </w:rPr>
        <w:t>н 9 — Проверка на данните от мониторинга</w:t>
      </w:r>
    </w:p>
    <w:p w:rsidR="00185C77" w:rsidRDefault="00176197">
      <w:pPr>
        <w:autoSpaceDE w:val="0"/>
        <w:autoSpaceDN w:val="0"/>
        <w:rPr>
          <w:rFonts w:eastAsia="Times New Roman"/>
          <w:noProof/>
          <w:szCs w:val="24"/>
        </w:rPr>
      </w:pPr>
      <w:r>
        <w:rPr>
          <w:noProof/>
        </w:rPr>
        <w:t>С този член се установява механизъм за въвеждане на процедура за проверки дали емисиите на CO</w:t>
      </w:r>
      <w:r>
        <w:rPr>
          <w:noProof/>
          <w:vertAlign w:val="subscript"/>
        </w:rPr>
        <w:t>2</w:t>
      </w:r>
      <w:r>
        <w:rPr>
          <w:noProof/>
        </w:rPr>
        <w:t xml:space="preserve"> от тежкотоварните превозни средства в експлоатация отговарят на съответните стойности, като за основа се използва законо</w:t>
      </w:r>
      <w:r>
        <w:rPr>
          <w:noProof/>
        </w:rPr>
        <w:t>дателството за одобряване на типа. Органите по одобряване на типа съобщават за установени отклонения и Комисията ги взема предвид, когато проверява дали производителите изпълняват своите цели. В отделна разпоредба се предвижда на Комисията да се предоставя</w:t>
      </w:r>
      <w:r>
        <w:rPr>
          <w:noProof/>
        </w:rPr>
        <w:t xml:space="preserve">т правомощия подробно да установи съответната процедура посредством акт за изпълнение. </w:t>
      </w:r>
    </w:p>
    <w:p w:rsidR="00185C77" w:rsidRDefault="00176197">
      <w:pPr>
        <w:rPr>
          <w:b/>
          <w:noProof/>
          <w:u w:color="000000"/>
          <w:bdr w:val="nil"/>
        </w:rPr>
      </w:pPr>
      <w:r>
        <w:rPr>
          <w:b/>
          <w:noProof/>
          <w:u w:color="000000"/>
          <w:bdr w:val="nil"/>
        </w:rPr>
        <w:t>Член 10 — Публикуване на данни и показатели на производителите</w:t>
      </w:r>
    </w:p>
    <w:p w:rsidR="00185C77" w:rsidRDefault="00176197">
      <w:pPr>
        <w:rPr>
          <w:noProof/>
          <w:u w:color="000000"/>
          <w:bdr w:val="nil"/>
        </w:rPr>
      </w:pPr>
      <w:r>
        <w:rPr>
          <w:noProof/>
        </w:rPr>
        <w:t>В този член се изброяват данните, които Комисията ще публикува във връзка с изпълнението на годишната цел</w:t>
      </w:r>
      <w:r>
        <w:rPr>
          <w:noProof/>
        </w:rPr>
        <w:t xml:space="preserve"> на производителя (т.е. решението относно мониторинга за съответната година).</w:t>
      </w:r>
    </w:p>
    <w:p w:rsidR="00185C77" w:rsidRDefault="00176197">
      <w:pPr>
        <w:rPr>
          <w:noProof/>
          <w:u w:color="000000"/>
          <w:bdr w:val="nil"/>
        </w:rPr>
      </w:pPr>
      <w:r>
        <w:rPr>
          <w:noProof/>
        </w:rPr>
        <w:t>Със същия член на Комисията се предоставя правомощието да коригира еталонните емисии на CO</w:t>
      </w:r>
      <w:r>
        <w:rPr>
          <w:noProof/>
          <w:u w:color="000000"/>
          <w:bdr w:val="nil"/>
          <w:vertAlign w:val="subscript"/>
        </w:rPr>
        <w:t>2</w:t>
      </w:r>
      <w:r>
        <w:rPr>
          <w:noProof/>
        </w:rPr>
        <w:t xml:space="preserve"> за 2019 г. в съответствие с ясно определени процедури, установени в член 12 и в прилож</w:t>
      </w:r>
      <w:r>
        <w:rPr>
          <w:noProof/>
        </w:rPr>
        <w:t>ение II, с цел да бъдат отразени корекции в стойностите на полезния товар или промени в процедурата за одобряване на типа, които имат съществено отражение върху определените за дадено тежкотоварно превозно средство емисии на CO</w:t>
      </w:r>
      <w:r>
        <w:rPr>
          <w:noProof/>
          <w:u w:color="000000"/>
          <w:bdr w:val="nil"/>
          <w:vertAlign w:val="subscript"/>
        </w:rPr>
        <w:t>2</w:t>
      </w:r>
      <w:r>
        <w:rPr>
          <w:noProof/>
        </w:rPr>
        <w:t>. Корекцията ще има отражени</w:t>
      </w:r>
      <w:r>
        <w:rPr>
          <w:noProof/>
        </w:rPr>
        <w:t>е върху изчисляването на целите за специфичните емисии на производителя от годината след приемането ѝ.</w:t>
      </w:r>
    </w:p>
    <w:p w:rsidR="00185C77" w:rsidRDefault="00176197">
      <w:pPr>
        <w:rPr>
          <w:b/>
          <w:noProof/>
          <w:u w:color="000000"/>
          <w:bdr w:val="nil"/>
        </w:rPr>
      </w:pPr>
      <w:r>
        <w:rPr>
          <w:b/>
          <w:noProof/>
          <w:u w:color="000000"/>
          <w:bdr w:val="nil"/>
        </w:rPr>
        <w:t>Член 11 — Емисии на CO</w:t>
      </w:r>
      <w:r>
        <w:rPr>
          <w:b/>
          <w:noProof/>
          <w:u w:color="000000"/>
          <w:bdr w:val="nil"/>
          <w:vertAlign w:val="subscript"/>
        </w:rPr>
        <w:t>2</w:t>
      </w:r>
      <w:r>
        <w:rPr>
          <w:b/>
          <w:noProof/>
          <w:u w:color="000000"/>
          <w:bdr w:val="nil"/>
        </w:rPr>
        <w:t xml:space="preserve"> и разход на гориво в реални условия</w:t>
      </w:r>
    </w:p>
    <w:p w:rsidR="00185C77" w:rsidRDefault="00176197">
      <w:pPr>
        <w:rPr>
          <w:noProof/>
          <w:u w:color="000000"/>
          <w:bdr w:val="nil"/>
        </w:rPr>
      </w:pPr>
      <w:r>
        <w:rPr>
          <w:noProof/>
        </w:rPr>
        <w:t>С този член се предвижда на Комисията да бъде предоставено правомощието да извършва мониторин</w:t>
      </w:r>
      <w:r>
        <w:rPr>
          <w:noProof/>
        </w:rPr>
        <w:t>г и оценка на това доколко представителни са стойностите на емисиите на CO</w:t>
      </w:r>
      <w:r>
        <w:rPr>
          <w:noProof/>
          <w:u w:color="000000"/>
          <w:bdr w:val="nil"/>
          <w:vertAlign w:val="subscript"/>
        </w:rPr>
        <w:t>2</w:t>
      </w:r>
      <w:r>
        <w:rPr>
          <w:noProof/>
        </w:rPr>
        <w:t>, симулирани с инструмента VECTO в съответствие с Регламент (ЕС) 2017/2400 на Комисията, в реални условия. За целта на Комисията следва да се предостави правомощието да изисква държ</w:t>
      </w:r>
      <w:r>
        <w:rPr>
          <w:noProof/>
        </w:rPr>
        <w:t>авите членки и производителите да събират и докладват данни за резултатите в реални условия. Този подход съвпада с предложения подход за лекотоварните превозни средства и като първа стъпка с него се въвежда изискването в тежкотоварните превозни средства да</w:t>
      </w:r>
      <w:r>
        <w:rPr>
          <w:noProof/>
        </w:rPr>
        <w:t xml:space="preserve"> бъдат монтирани задължителни стандартизирани устройства за измерване на разхода на гориво.</w:t>
      </w:r>
    </w:p>
    <w:p w:rsidR="00185C77" w:rsidRDefault="00176197">
      <w:pPr>
        <w:rPr>
          <w:b/>
          <w:noProof/>
          <w:u w:color="000000"/>
          <w:bdr w:val="nil"/>
        </w:rPr>
      </w:pPr>
      <w:r>
        <w:rPr>
          <w:b/>
          <w:noProof/>
          <w:u w:color="000000"/>
          <w:bdr w:val="nil"/>
        </w:rPr>
        <w:t>Член 12 — Корекции в приложения I и II</w:t>
      </w:r>
    </w:p>
    <w:p w:rsidR="00185C77" w:rsidRDefault="00176197">
      <w:pPr>
        <w:rPr>
          <w:noProof/>
          <w:u w:color="000000"/>
          <w:bdr w:val="nil"/>
        </w:rPr>
      </w:pPr>
      <w:r>
        <w:rPr>
          <w:noProof/>
        </w:rPr>
        <w:t>Техническият напредък и промени в процедурата за одобряване на типа може да окажат влияние върху определените официални стойн</w:t>
      </w:r>
      <w:r>
        <w:rPr>
          <w:noProof/>
        </w:rPr>
        <w:t>ости за емисиите на CO</w:t>
      </w:r>
      <w:r>
        <w:rPr>
          <w:noProof/>
          <w:u w:color="000000"/>
          <w:bdr w:val="nil"/>
          <w:vertAlign w:val="subscript"/>
        </w:rPr>
        <w:t>2</w:t>
      </w:r>
      <w:r>
        <w:rPr>
          <w:noProof/>
        </w:rPr>
        <w:t xml:space="preserve"> от тежкотоварните превозни средства, попадащи в обхвата на настоящия регламент. За да може да се отчетат подобни промени, в този член се предвижда на Комисията да бъде предоставено правомощие да коригира определени технически параме</w:t>
      </w:r>
      <w:r>
        <w:rPr>
          <w:noProof/>
        </w:rPr>
        <w:t>три, посочени в приложения I и II, в т.ч. като приема методиката за определяне на представително превозно средство за всяка подгрупа превозни средства, което ще служи като основа за оценка на настъпилите промени. За въвеждане на предложените корекции ще се</w:t>
      </w:r>
      <w:r>
        <w:rPr>
          <w:noProof/>
        </w:rPr>
        <w:t xml:space="preserve"> прилагат ясно определени стъпки съгласно приложение II, раздели 1 и 2. </w:t>
      </w:r>
    </w:p>
    <w:p w:rsidR="00185C77" w:rsidRDefault="00176197">
      <w:pPr>
        <w:rPr>
          <w:b/>
          <w:noProof/>
          <w:u w:color="000000"/>
          <w:bdr w:val="nil"/>
        </w:rPr>
      </w:pPr>
      <w:r>
        <w:rPr>
          <w:b/>
          <w:noProof/>
          <w:u w:color="000000"/>
          <w:bdr w:val="nil"/>
        </w:rPr>
        <w:t>Член 13 — Преглед и доклад</w:t>
      </w:r>
    </w:p>
    <w:p w:rsidR="00185C77" w:rsidRDefault="00176197">
      <w:pPr>
        <w:rPr>
          <w:noProof/>
          <w:u w:color="000000"/>
          <w:bdr w:val="nil"/>
        </w:rPr>
      </w:pPr>
      <w:r>
        <w:rPr>
          <w:noProof/>
        </w:rPr>
        <w:t xml:space="preserve">С този член се въвежда изискване през 2022 г. Комисията да представи доклад за ефективността на настоящия регламент. В доклада трябва да се разгледат целта </w:t>
      </w:r>
      <w:r>
        <w:rPr>
          <w:noProof/>
        </w:rPr>
        <w:t xml:space="preserve">за намаляване на емисиите за 2030 г. и въпросът за определяне на цели за намаляване на емисиите за други тежкотоварни превозни средства, за които все още не се прилагат такива изисквания. Трябва да се обсъдят също така ефикасността на въведените механизми </w:t>
      </w:r>
      <w:r>
        <w:rPr>
          <w:noProof/>
        </w:rPr>
        <w:t xml:space="preserve">— системата от стимули за превозни средства с нулеви и ниски емисии и механизма за натрупване и заемане, както и необходимостта прилагането на тези механизми да продължи и след 2030 г.  Ако е целесъобразно, докладът следва да бъде придружен от предложение </w:t>
      </w:r>
      <w:r>
        <w:rPr>
          <w:noProof/>
        </w:rPr>
        <w:t>за изменение на настоящия регламент.</w:t>
      </w:r>
    </w:p>
    <w:p w:rsidR="00185C77" w:rsidRDefault="00176197">
      <w:pPr>
        <w:rPr>
          <w:b/>
          <w:noProof/>
          <w:u w:color="000000"/>
          <w:bdr w:val="nil"/>
        </w:rPr>
      </w:pPr>
      <w:r>
        <w:rPr>
          <w:b/>
          <w:noProof/>
          <w:u w:color="000000"/>
          <w:bdr w:val="nil"/>
        </w:rPr>
        <w:t>Членове 14 и 15 — Процедура на комитет и делегиране на правомощия</w:t>
      </w:r>
    </w:p>
    <w:p w:rsidR="00185C77" w:rsidRDefault="00176197">
      <w:pPr>
        <w:rPr>
          <w:noProof/>
          <w:u w:color="000000"/>
          <w:bdr w:val="nil"/>
        </w:rPr>
      </w:pPr>
      <w:r>
        <w:rPr>
          <w:noProof/>
        </w:rPr>
        <w:t>Членовете съдържат стандартни разпоредби относно процедурата на комитет и делегирането на правомощия.</w:t>
      </w:r>
    </w:p>
    <w:p w:rsidR="00185C77" w:rsidRDefault="00176197">
      <w:pPr>
        <w:rPr>
          <w:b/>
          <w:noProof/>
          <w:u w:color="000000"/>
          <w:bdr w:val="nil"/>
        </w:rPr>
      </w:pPr>
      <w:r>
        <w:rPr>
          <w:b/>
          <w:noProof/>
          <w:u w:color="000000"/>
          <w:bdr w:val="nil"/>
        </w:rPr>
        <w:t>Член 16 — Изменение на Регламент (ЕО) № 595/2009</w:t>
      </w:r>
    </w:p>
    <w:p w:rsidR="00185C77" w:rsidRDefault="00176197">
      <w:pPr>
        <w:rPr>
          <w:noProof/>
          <w:u w:color="000000"/>
          <w:bdr w:val="nil"/>
        </w:rPr>
      </w:pPr>
      <w:r>
        <w:rPr>
          <w:noProof/>
        </w:rPr>
        <w:t>Це</w:t>
      </w:r>
      <w:r>
        <w:rPr>
          <w:noProof/>
        </w:rPr>
        <w:t>лта на изменението е в Регламент (ЕО) № 595/2009 (Регламента за одобряване на типа по отношение на емисиите от тежки превозни средства — Евро 6) да се въведе правно основание, с което Комисията да създаде процедура за проверка на съответствието в експлоата</w:t>
      </w:r>
      <w:r>
        <w:rPr>
          <w:noProof/>
        </w:rPr>
        <w:t>ция по отношение на емисиите на CO</w:t>
      </w:r>
      <w:r>
        <w:rPr>
          <w:noProof/>
          <w:u w:color="000000"/>
          <w:bdr w:val="nil"/>
          <w:vertAlign w:val="subscript"/>
        </w:rPr>
        <w:t>2</w:t>
      </w:r>
      <w:r>
        <w:rPr>
          <w:noProof/>
        </w:rPr>
        <w:t xml:space="preserve"> от тежкотоварни превозни средства. Тази процедура е от съществено значение за ефикасното наблюдение на пазара във връзка със системата за одобряване на типа и във връзка със стойностите на емисиите на CO</w:t>
      </w:r>
      <w:r>
        <w:rPr>
          <w:noProof/>
          <w:u w:color="000000"/>
          <w:bdr w:val="nil"/>
          <w:vertAlign w:val="subscript"/>
        </w:rPr>
        <w:t>2</w:t>
      </w:r>
      <w:r>
        <w:rPr>
          <w:noProof/>
        </w:rPr>
        <w:t>,  използвани за</w:t>
      </w:r>
      <w:r>
        <w:rPr>
          <w:noProof/>
        </w:rPr>
        <w:t xml:space="preserve"> установяване на съответствие с целите.</w:t>
      </w:r>
    </w:p>
    <w:p w:rsidR="00185C77" w:rsidRDefault="00176197">
      <w:pPr>
        <w:rPr>
          <w:b/>
          <w:noProof/>
          <w:u w:color="000000"/>
          <w:bdr w:val="nil"/>
        </w:rPr>
      </w:pPr>
      <w:r>
        <w:rPr>
          <w:b/>
          <w:noProof/>
          <w:u w:color="000000"/>
          <w:bdr w:val="nil"/>
        </w:rPr>
        <w:t>Приложение I</w:t>
      </w:r>
    </w:p>
    <w:p w:rsidR="00185C77" w:rsidRDefault="00176197">
      <w:pPr>
        <w:rPr>
          <w:noProof/>
          <w:u w:color="000000"/>
          <w:bdr w:val="nil"/>
        </w:rPr>
      </w:pPr>
      <w:r>
        <w:rPr>
          <w:noProof/>
        </w:rPr>
        <w:t>Приложение I съдържа техническите изисквания и формули за следните елементи:</w:t>
      </w:r>
    </w:p>
    <w:p w:rsidR="00185C77" w:rsidRDefault="00176197">
      <w:pPr>
        <w:pStyle w:val="Bullet1"/>
        <w:numPr>
          <w:ilvl w:val="0"/>
          <w:numId w:val="15"/>
        </w:numPr>
        <w:rPr>
          <w:noProof/>
          <w:u w:color="000000"/>
          <w:bdr w:val="nil"/>
        </w:rPr>
      </w:pPr>
      <w:r>
        <w:rPr>
          <w:noProof/>
        </w:rPr>
        <w:t>разпределяне към подгрупи превозни средства;</w:t>
      </w:r>
    </w:p>
    <w:p w:rsidR="00185C77" w:rsidRDefault="00176197">
      <w:pPr>
        <w:pStyle w:val="Bullet1"/>
        <w:rPr>
          <w:noProof/>
          <w:u w:color="000000"/>
          <w:bdr w:val="nil"/>
        </w:rPr>
      </w:pPr>
      <w:r>
        <w:rPr>
          <w:noProof/>
        </w:rPr>
        <w:t>изчисляване на средните специфични емисии на производителя;</w:t>
      </w:r>
    </w:p>
    <w:p w:rsidR="00185C77" w:rsidRDefault="00176197">
      <w:pPr>
        <w:pStyle w:val="Bullet1"/>
        <w:rPr>
          <w:noProof/>
          <w:u w:color="000000"/>
          <w:bdr w:val="nil"/>
        </w:rPr>
      </w:pPr>
      <w:r>
        <w:rPr>
          <w:noProof/>
        </w:rPr>
        <w:t xml:space="preserve">изчисляване на </w:t>
      </w:r>
      <w:r>
        <w:rPr>
          <w:noProof/>
        </w:rPr>
        <w:t>еталонните емисии на CO</w:t>
      </w:r>
      <w:r>
        <w:rPr>
          <w:noProof/>
          <w:u w:color="000000"/>
          <w:bdr w:val="nil"/>
          <w:vertAlign w:val="subscript"/>
        </w:rPr>
        <w:t>2</w:t>
      </w:r>
      <w:r>
        <w:rPr>
          <w:noProof/>
        </w:rPr>
        <w:t>;</w:t>
      </w:r>
    </w:p>
    <w:p w:rsidR="00185C77" w:rsidRDefault="00176197">
      <w:pPr>
        <w:pStyle w:val="Bullet1"/>
        <w:rPr>
          <w:noProof/>
          <w:u w:color="000000"/>
          <w:bdr w:val="nil"/>
        </w:rPr>
      </w:pPr>
      <w:r>
        <w:rPr>
          <w:noProof/>
        </w:rPr>
        <w:t>изчисляване на целта за специфичните емисии на производителя;</w:t>
      </w:r>
    </w:p>
    <w:p w:rsidR="00185C77" w:rsidRDefault="00176197">
      <w:pPr>
        <w:pStyle w:val="Bullet1"/>
        <w:rPr>
          <w:noProof/>
          <w:u w:color="000000"/>
          <w:bdr w:val="nil"/>
        </w:rPr>
      </w:pPr>
      <w:r>
        <w:rPr>
          <w:noProof/>
        </w:rPr>
        <w:t>изчисляване на траекторията за намаляване на емисиите на CO</w:t>
      </w:r>
      <w:r>
        <w:rPr>
          <w:noProof/>
          <w:u w:color="000000"/>
          <w:bdr w:val="nil"/>
          <w:vertAlign w:val="subscript"/>
        </w:rPr>
        <w:t>2</w:t>
      </w:r>
      <w:r>
        <w:rPr>
          <w:noProof/>
        </w:rPr>
        <w:t xml:space="preserve">  и на кредити и дългове за емисиите; </w:t>
      </w:r>
    </w:p>
    <w:p w:rsidR="00185C77" w:rsidRDefault="00176197">
      <w:pPr>
        <w:pStyle w:val="Bullet1"/>
        <w:rPr>
          <w:noProof/>
          <w:u w:color="000000"/>
          <w:bdr w:val="nil"/>
        </w:rPr>
      </w:pPr>
      <w:r>
        <w:rPr>
          <w:noProof/>
        </w:rPr>
        <w:t>определяне на извънредно количество емисии на производителя.</w:t>
      </w:r>
    </w:p>
    <w:p w:rsidR="00185C77" w:rsidRDefault="00176197">
      <w:pPr>
        <w:rPr>
          <w:noProof/>
          <w:u w:color="000000"/>
          <w:bdr w:val="nil"/>
        </w:rPr>
      </w:pPr>
      <w:r>
        <w:rPr>
          <w:b/>
          <w:noProof/>
          <w:u w:color="000000"/>
          <w:bdr w:val="nil"/>
        </w:rPr>
        <w:t>Приложен</w:t>
      </w:r>
      <w:r>
        <w:rPr>
          <w:b/>
          <w:noProof/>
          <w:u w:color="000000"/>
          <w:bdr w:val="nil"/>
        </w:rPr>
        <w:t>ие II</w:t>
      </w:r>
    </w:p>
    <w:p w:rsidR="00185C77" w:rsidRDefault="00176197">
      <w:pPr>
        <w:rPr>
          <w:noProof/>
          <w:u w:color="000000"/>
          <w:bdr w:val="nil"/>
        </w:rPr>
      </w:pPr>
      <w:r>
        <w:rPr>
          <w:noProof/>
        </w:rPr>
        <w:t>В приложение II се определят процедурите за коригиране на еталонните емисии на CO</w:t>
      </w:r>
      <w:r>
        <w:rPr>
          <w:noProof/>
          <w:u w:color="000000"/>
          <w:bdr w:val="nil"/>
          <w:vertAlign w:val="subscript"/>
        </w:rPr>
        <w:t>2</w:t>
      </w:r>
      <w:r>
        <w:rPr>
          <w:noProof/>
        </w:rPr>
        <w:t>, т.е. коефициенти за коригиране на полезния товар (раздел 1) и методика за отчитане на промените в процедурите за одобряване на типа (раздел 2).</w:t>
      </w:r>
    </w:p>
    <w:p w:rsidR="00185C77" w:rsidRDefault="00185C77">
      <w:pPr>
        <w:rPr>
          <w:noProof/>
        </w:rPr>
        <w:sectPr w:rsidR="00185C77" w:rsidSect="00176197">
          <w:footerReference w:type="default" r:id="rId16"/>
          <w:footerReference w:type="first" r:id="rId17"/>
          <w:pgSz w:w="11907" w:h="16839"/>
          <w:pgMar w:top="1134" w:right="1417" w:bottom="1134" w:left="1417" w:header="709" w:footer="709" w:gutter="0"/>
          <w:cols w:space="708"/>
          <w:docGrid w:linePitch="360"/>
        </w:sectPr>
      </w:pPr>
    </w:p>
    <w:p w:rsidR="00185C77" w:rsidRDefault="00176197" w:rsidP="00176197">
      <w:pPr>
        <w:pStyle w:val="Rfrenceinterinstitutionnelle"/>
        <w:rPr>
          <w:noProof/>
        </w:rPr>
      </w:pPr>
      <w:r w:rsidRPr="00176197">
        <w:t>2018/0143 (COD)</w:t>
      </w:r>
    </w:p>
    <w:p w:rsidR="00185C77" w:rsidRDefault="00176197" w:rsidP="00176197">
      <w:pPr>
        <w:pStyle w:val="Statut"/>
        <w:rPr>
          <w:noProof/>
        </w:rPr>
      </w:pPr>
      <w:r w:rsidRPr="00176197">
        <w:t>Предложение за</w:t>
      </w:r>
    </w:p>
    <w:p w:rsidR="00185C77" w:rsidRDefault="00176197" w:rsidP="00176197">
      <w:pPr>
        <w:pStyle w:val="Typedudocument"/>
        <w:rPr>
          <w:noProof/>
        </w:rPr>
      </w:pPr>
      <w:r w:rsidRPr="00176197">
        <w:t>РЕГЛАМЕНТ НА ЕВРОПЕЙСКИЯ ПАРЛАМЕНТ И НА СЪВЕТА</w:t>
      </w:r>
    </w:p>
    <w:p w:rsidR="00185C77" w:rsidRDefault="00176197" w:rsidP="00176197">
      <w:pPr>
        <w:pStyle w:val="Titreobjet"/>
        <w:rPr>
          <w:noProof/>
        </w:rPr>
      </w:pPr>
      <w:r w:rsidRPr="00176197">
        <w:t>за определяне на стандарти за емисиите на CO</w:t>
      </w:r>
      <w:r w:rsidRPr="00176197">
        <w:rPr>
          <w:vertAlign w:val="subscript"/>
        </w:rPr>
        <w:t>2</w:t>
      </w:r>
      <w:r w:rsidRPr="00176197">
        <w:t xml:space="preserve"> от нови тежкотоварни превозни средства</w:t>
      </w:r>
    </w:p>
    <w:p w:rsidR="00185C77" w:rsidRDefault="00176197" w:rsidP="00176197">
      <w:pPr>
        <w:pStyle w:val="IntrtEEE"/>
        <w:rPr>
          <w:noProof/>
        </w:rPr>
      </w:pPr>
      <w:r w:rsidRPr="00176197">
        <w:t>(текст от значение за ЕИП)</w:t>
      </w:r>
    </w:p>
    <w:p w:rsidR="00185C77" w:rsidRDefault="00176197">
      <w:pPr>
        <w:pStyle w:val="Institutionquiagit"/>
        <w:rPr>
          <w:noProof/>
        </w:rPr>
      </w:pPr>
      <w:r>
        <w:rPr>
          <w:noProof/>
        </w:rPr>
        <w:t>ЕВРОПЕЙСКИЯТ ПАРЛАМЕНТ И СЪВЕТЪТ Н</w:t>
      </w:r>
      <w:r>
        <w:rPr>
          <w:noProof/>
        </w:rPr>
        <w:t>А ЕВРОПЕЙСКИЯ СЪЮЗ,</w:t>
      </w:r>
    </w:p>
    <w:p w:rsidR="00185C77" w:rsidRDefault="00176197">
      <w:pPr>
        <w:rPr>
          <w:noProof/>
        </w:rPr>
      </w:pPr>
      <w:r>
        <w:rPr>
          <w:noProof/>
        </w:rPr>
        <w:t>като взеха предвид Договора за функционирането на Европейския съюз, и по-специално член 192, параграф 1 от него,</w:t>
      </w:r>
    </w:p>
    <w:p w:rsidR="00185C77" w:rsidRDefault="00176197">
      <w:pPr>
        <w:rPr>
          <w:noProof/>
        </w:rPr>
      </w:pPr>
      <w:r>
        <w:rPr>
          <w:noProof/>
        </w:rPr>
        <w:t>като взеха предвид предложението на Европейската комисия,</w:t>
      </w:r>
    </w:p>
    <w:p w:rsidR="00185C77" w:rsidRDefault="00176197">
      <w:pPr>
        <w:rPr>
          <w:noProof/>
        </w:rPr>
      </w:pPr>
      <w:r>
        <w:rPr>
          <w:noProof/>
        </w:rPr>
        <w:t xml:space="preserve">след предаване на проекта на законодателния акт на националните </w:t>
      </w:r>
      <w:r>
        <w:rPr>
          <w:noProof/>
        </w:rPr>
        <w:t>парламенти,</w:t>
      </w:r>
    </w:p>
    <w:p w:rsidR="00185C77" w:rsidRDefault="00176197">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7"/>
      </w:r>
      <w:r>
        <w:rPr>
          <w:noProof/>
        </w:rPr>
        <w:t xml:space="preserve">, </w:t>
      </w:r>
    </w:p>
    <w:p w:rsidR="00185C77" w:rsidRDefault="00176197">
      <w:pPr>
        <w:rPr>
          <w:noProof/>
        </w:rPr>
      </w:pPr>
      <w:r>
        <w:rPr>
          <w:noProof/>
        </w:rPr>
        <w:t>като взеха предвид становището на Комитета на регионите</w:t>
      </w:r>
      <w:r>
        <w:rPr>
          <w:rStyle w:val="FootnoteReference"/>
          <w:noProof/>
        </w:rPr>
        <w:footnoteReference w:id="18"/>
      </w:r>
      <w:r>
        <w:rPr>
          <w:noProof/>
        </w:rPr>
        <w:t xml:space="preserve">, </w:t>
      </w:r>
    </w:p>
    <w:p w:rsidR="00185C77" w:rsidRDefault="00176197">
      <w:pPr>
        <w:rPr>
          <w:noProof/>
        </w:rPr>
      </w:pPr>
      <w:r>
        <w:rPr>
          <w:noProof/>
        </w:rPr>
        <w:t>в съответствие с обикновената законодателна процедура,</w:t>
      </w:r>
    </w:p>
    <w:p w:rsidR="00185C77" w:rsidRDefault="00176197">
      <w:pPr>
        <w:rPr>
          <w:noProof/>
        </w:rPr>
      </w:pPr>
      <w:r>
        <w:rPr>
          <w:noProof/>
        </w:rPr>
        <w:t>като имат предвид, че:</w:t>
      </w:r>
    </w:p>
    <w:p w:rsidR="00185C77" w:rsidRDefault="00176197">
      <w:pPr>
        <w:pStyle w:val="Point0number"/>
        <w:numPr>
          <w:ilvl w:val="0"/>
          <w:numId w:val="16"/>
        </w:numPr>
        <w:rPr>
          <w:noProof/>
        </w:rPr>
      </w:pPr>
      <w:r>
        <w:rPr>
          <w:noProof/>
        </w:rPr>
        <w:t xml:space="preserve">В Европейската стратегия </w:t>
      </w:r>
      <w:r>
        <w:rPr>
          <w:noProof/>
        </w:rPr>
        <w:t>за мобилност с ниски емисии се определя ясна и амбициозна цел — до средата на века емисиите на парникови газове от транспорта трябва да намалеят поне с 60 % спрямо тези през 1990 г. и да е налице устойчива тенденция за понижаването им до нулеви емисии. Вре</w:t>
      </w:r>
      <w:r>
        <w:rPr>
          <w:noProof/>
        </w:rPr>
        <w:t>дните за здравето ни емисии на замърсители на въздуха от транспорта също трябва неотложно и драстично да намалеят.</w:t>
      </w:r>
    </w:p>
    <w:p w:rsidR="00185C77" w:rsidRDefault="00176197">
      <w:pPr>
        <w:pStyle w:val="Point0number"/>
        <w:numPr>
          <w:ilvl w:val="0"/>
          <w:numId w:val="16"/>
        </w:numPr>
        <w:rPr>
          <w:noProof/>
        </w:rPr>
      </w:pPr>
      <w:r>
        <w:rPr>
          <w:noProof/>
        </w:rPr>
        <w:t>След стратегията за мобилност с ниски емисии през май</w:t>
      </w:r>
      <w:r>
        <w:rPr>
          <w:rStyle w:val="FootnoteReference"/>
          <w:noProof/>
        </w:rPr>
        <w:footnoteReference w:id="19"/>
      </w:r>
      <w:r>
        <w:rPr>
          <w:noProof/>
        </w:rPr>
        <w:t xml:space="preserve"> и ноември</w:t>
      </w:r>
      <w:r>
        <w:rPr>
          <w:rStyle w:val="FootnoteReference"/>
          <w:noProof/>
        </w:rPr>
        <w:footnoteReference w:id="20"/>
      </w:r>
      <w:r>
        <w:rPr>
          <w:noProof/>
        </w:rPr>
        <w:t xml:space="preserve"> 2017 г. Комисията прие два пакета във връзка с мобилността, в които се очер</w:t>
      </w:r>
      <w:r>
        <w:rPr>
          <w:noProof/>
        </w:rPr>
        <w:t xml:space="preserve">тава положителна програма за постигането на резултати по стратегията и за осигуряване на гладък преход към екологосъобразна, конкурентоспособна и свързана мобилност за всички. </w:t>
      </w:r>
    </w:p>
    <w:p w:rsidR="00185C77" w:rsidRDefault="00176197">
      <w:pPr>
        <w:pStyle w:val="Point0number"/>
        <w:numPr>
          <w:ilvl w:val="0"/>
          <w:numId w:val="16"/>
        </w:numPr>
        <w:rPr>
          <w:noProof/>
        </w:rPr>
      </w:pPr>
      <w:r>
        <w:rPr>
          <w:noProof/>
        </w:rPr>
        <w:t>Настоящият регламент е част от третия пакет „Европа в движение“, с който се осъ</w:t>
      </w:r>
      <w:r>
        <w:rPr>
          <w:noProof/>
        </w:rPr>
        <w:t>ществява новата стратегия в областта на промишлената политика от септември 2017 г.</w:t>
      </w:r>
      <w:r>
        <w:rPr>
          <w:rStyle w:val="FootnoteReference"/>
          <w:noProof/>
        </w:rPr>
        <w:footnoteReference w:id="21"/>
      </w:r>
      <w:r>
        <w:rPr>
          <w:noProof/>
        </w:rPr>
        <w:t>, и има за цел да завърши процеса, благодарение на който Съюзът ще може пълноценно да се възползва от модернизацията и декарбонизацията на мобилността. Целта е мобилността в</w:t>
      </w:r>
      <w:r>
        <w:rPr>
          <w:noProof/>
        </w:rPr>
        <w:t xml:space="preserve"> Европа да стане по-безопасна и по-достъпна, европейската промишленост — по-конкурентоспособна, заетостта в Европа — по-сигурна, а системата за мобилност — по-екологосъобразна и по-добре пригодена към необходимостта да се справим с изменението на климата. </w:t>
      </w:r>
      <w:r>
        <w:rPr>
          <w:noProof/>
        </w:rPr>
        <w:t>Необходимо е Съюзът, държавите членки и заинтересованите страни изцяло да се ангажират с постигането на тази цел, не на последно място като полагат още по-големи усилия за намаляване на емисиите на CO</w:t>
      </w:r>
      <w:r>
        <w:rPr>
          <w:noProof/>
          <w:vertAlign w:val="subscript"/>
        </w:rPr>
        <w:t>2</w:t>
      </w:r>
      <w:r>
        <w:rPr>
          <w:noProof/>
        </w:rPr>
        <w:t xml:space="preserve"> и замърсяването на въздуха.</w:t>
      </w:r>
    </w:p>
    <w:p w:rsidR="00185C77" w:rsidRDefault="00176197">
      <w:pPr>
        <w:pStyle w:val="Point0number"/>
        <w:rPr>
          <w:noProof/>
        </w:rPr>
      </w:pPr>
      <w:r>
        <w:rPr>
          <w:noProof/>
        </w:rPr>
        <w:t xml:space="preserve">Успоредно със стандартите </w:t>
      </w:r>
      <w:r>
        <w:rPr>
          <w:noProof/>
        </w:rPr>
        <w:t>за емисиите на CO</w:t>
      </w:r>
      <w:r>
        <w:rPr>
          <w:noProof/>
          <w:vertAlign w:val="subscript"/>
        </w:rPr>
        <w:t>2</w:t>
      </w:r>
      <w:r>
        <w:rPr>
          <w:noProof/>
        </w:rPr>
        <w:t xml:space="preserve"> за леки пътнически автомобили и леки търговски превозни средства</w:t>
      </w:r>
      <w:r>
        <w:rPr>
          <w:rStyle w:val="FootnoteReference"/>
          <w:noProof/>
        </w:rPr>
        <w:footnoteReference w:id="22"/>
      </w:r>
      <w:r>
        <w:rPr>
          <w:noProof/>
        </w:rPr>
        <w:t xml:space="preserve"> настоящият регламент ясно определя пътя за намаляване на емисиите на CO</w:t>
      </w:r>
      <w:r>
        <w:rPr>
          <w:noProof/>
          <w:vertAlign w:val="subscript"/>
        </w:rPr>
        <w:t>2</w:t>
      </w:r>
      <w:r>
        <w:rPr>
          <w:noProof/>
        </w:rPr>
        <w:t xml:space="preserve"> от автомобилния транспорт и допринася за постигането на задължителната цел до 2030 г. вътрешните е</w:t>
      </w:r>
      <w:r>
        <w:rPr>
          <w:noProof/>
        </w:rPr>
        <w:t>мисии на парникови газове от цялата икономика да намалеят най-малко с 40 % спрямо 1990 г.; тази цел беше приета в заключенията на Европейския съвет от 23 — 24 октомври 2014 г. и на заседанието на Съвета по околна среда на 6 март 2015 г. бе одобрена като пл</w:t>
      </w:r>
      <w:r>
        <w:rPr>
          <w:noProof/>
        </w:rPr>
        <w:t>аниран национално определен принос на Съюза в рамките на Парижкото споразумение.</w:t>
      </w:r>
    </w:p>
    <w:p w:rsidR="00185C77" w:rsidRDefault="00176197">
      <w:pPr>
        <w:pStyle w:val="Point0number"/>
        <w:rPr>
          <w:noProof/>
        </w:rPr>
      </w:pPr>
      <w:r>
        <w:rPr>
          <w:noProof/>
        </w:rPr>
        <w:t>В заключенията си от октомври 2014 г. Европейският съвет потвърди целта до 2030 г. емисиите на парникови газове да намалеят с 30 % спрямо 2005 г. в секторите, които не са обхв</w:t>
      </w:r>
      <w:r>
        <w:rPr>
          <w:noProof/>
        </w:rPr>
        <w:t>анати от системата на Съюза за търговия с емисии. Автомобилният транспорт съществено допринася за емисиите в тези сектори и емисиите от него продължават да са значително по-високи в сравнение с 1990 г. Ако емисиите от автомобилния транспорт продължат да се</w:t>
      </w:r>
      <w:r>
        <w:rPr>
          <w:noProof/>
        </w:rPr>
        <w:t xml:space="preserve"> увеличават, това ще обезсмисли намаленията, постигнати от другите сектори в борбата с изменението на климата. </w:t>
      </w:r>
    </w:p>
    <w:p w:rsidR="00185C77" w:rsidRDefault="00176197">
      <w:pPr>
        <w:pStyle w:val="Point0number"/>
        <w:rPr>
          <w:noProof/>
        </w:rPr>
      </w:pPr>
      <w:r>
        <w:rPr>
          <w:noProof/>
        </w:rPr>
        <w:t>В заключенията на Европейския съвет от октомври 2014 г. се подчертава колко важно е да се намалят емисиите на парникови газове и рисковете, свър</w:t>
      </w:r>
      <w:r>
        <w:rPr>
          <w:noProof/>
        </w:rPr>
        <w:t>зани със зависимостта от изкопаеми горива в транспорта, чрез цялостен и технологично неутрален подход, насърчаващ намаляването на емисиите и енергийната ефективност в транспорта, както и използването на електрически превозни средства и възобновяеми енергий</w:t>
      </w:r>
      <w:r>
        <w:rPr>
          <w:noProof/>
        </w:rPr>
        <w:t>ни източници в отрасъла и след 2020 г.</w:t>
      </w:r>
    </w:p>
    <w:p w:rsidR="00185C77" w:rsidRDefault="00176197">
      <w:pPr>
        <w:pStyle w:val="Point0number"/>
        <w:rPr>
          <w:noProof/>
        </w:rPr>
      </w:pPr>
      <w:r>
        <w:rPr>
          <w:noProof/>
        </w:rPr>
        <w:t>Енергийната ефективност и нейният принос за ограничаване на потреблението са едно от петте взаимно подсилващи се и тясно свързани измерения на приетата на 25 февруари 2015 г. Стратегия за енергийния съюз, с която на п</w:t>
      </w:r>
      <w:r>
        <w:rPr>
          <w:noProof/>
        </w:rPr>
        <w:t>отребителите в ЕС се предоставя сигурна, конкурентоспособна и достъпна енергия. В стратегията за енергийния съюз се посочва, че всички икономически отрасли трябва да предприемат стъпки за по-ефективно потребление на енергия, но потенциалът за енергийна ефе</w:t>
      </w:r>
      <w:r>
        <w:rPr>
          <w:noProof/>
        </w:rPr>
        <w:t xml:space="preserve">ктивност в сектора на транспорта е огромен. </w:t>
      </w:r>
    </w:p>
    <w:p w:rsidR="00185C77" w:rsidRDefault="00176197">
      <w:pPr>
        <w:pStyle w:val="Point0number"/>
        <w:rPr>
          <w:noProof/>
        </w:rPr>
      </w:pPr>
      <w:r>
        <w:rPr>
          <w:noProof/>
        </w:rPr>
        <w:t>Емисиите на CO</w:t>
      </w:r>
      <w:r>
        <w:rPr>
          <w:noProof/>
          <w:vertAlign w:val="subscript"/>
        </w:rPr>
        <w:t>2</w:t>
      </w:r>
      <w:r>
        <w:rPr>
          <w:noProof/>
        </w:rPr>
        <w:t xml:space="preserve"> от тежкотоварни превозни средства, в т.ч. товарни автомобили, градски и междуградски автобуси, представляват около 6 % от общото количество емисии на</w:t>
      </w:r>
      <w:r>
        <w:rPr>
          <w:noProof/>
          <w:lang w:val="ru-RU"/>
        </w:rPr>
        <w:t xml:space="preserve"> </w:t>
      </w:r>
      <w:r>
        <w:rPr>
          <w:noProof/>
        </w:rPr>
        <w:t>CO</w:t>
      </w:r>
      <w:r>
        <w:rPr>
          <w:noProof/>
          <w:vertAlign w:val="subscript"/>
        </w:rPr>
        <w:t>2</w:t>
      </w:r>
      <w:r>
        <w:rPr>
          <w:noProof/>
        </w:rPr>
        <w:t xml:space="preserve"> в ЕС и близо 25 % от общото количество на</w:t>
      </w:r>
      <w:r>
        <w:rPr>
          <w:noProof/>
        </w:rPr>
        <w:t xml:space="preserve"> емисиите на CO</w:t>
      </w:r>
      <w:r>
        <w:rPr>
          <w:noProof/>
          <w:vertAlign w:val="subscript"/>
        </w:rPr>
        <w:t>2</w:t>
      </w:r>
      <w:r>
        <w:rPr>
          <w:noProof/>
        </w:rPr>
        <w:t xml:space="preserve"> от автомобилния транспорт. Ако не бъдат предприети други действия, се очаква в периода 2010 — 2030 г. делът на емисиите от тежкотоварни превозни средства да се увеличи с около 9 %. Понастоящем в законодателството на Съюза не са предвидени </w:t>
      </w:r>
      <w:r>
        <w:rPr>
          <w:noProof/>
        </w:rPr>
        <w:t>изисквания за намаляване на емисиите на CO</w:t>
      </w:r>
      <w:r>
        <w:rPr>
          <w:noProof/>
          <w:vertAlign w:val="subscript"/>
        </w:rPr>
        <w:t>2</w:t>
      </w:r>
      <w:r>
        <w:rPr>
          <w:noProof/>
        </w:rPr>
        <w:t xml:space="preserve"> от тежкотоварните превозни средства.</w:t>
      </w:r>
    </w:p>
    <w:p w:rsidR="00185C77" w:rsidRDefault="00176197">
      <w:pPr>
        <w:pStyle w:val="Point0number"/>
        <w:rPr>
          <w:noProof/>
        </w:rPr>
      </w:pPr>
      <w:r>
        <w:rPr>
          <w:noProof/>
        </w:rPr>
        <w:t>За да може пълноценно да се реализира потенциалът за енергийна ефективност и за да се гарантира, че автомобилният транспорт като цяло допринася за договореното намаляване на е</w:t>
      </w:r>
      <w:r>
        <w:rPr>
          <w:noProof/>
        </w:rPr>
        <w:t>мисиите на парникови газове, е целесъобразно вече съществуващите стандарти за емисиите на CO</w:t>
      </w:r>
      <w:r>
        <w:rPr>
          <w:noProof/>
          <w:vertAlign w:val="subscript"/>
        </w:rPr>
        <w:t>2</w:t>
      </w:r>
      <w:r>
        <w:rPr>
          <w:noProof/>
        </w:rPr>
        <w:t xml:space="preserve"> от нови леки пътнически автомобили и леки търговски превозни средства да се допълнят, като бъдат определени стандарти за емисиите на CO</w:t>
      </w:r>
      <w:r>
        <w:rPr>
          <w:noProof/>
          <w:vertAlign w:val="subscript"/>
        </w:rPr>
        <w:t>2</w:t>
      </w:r>
      <w:r>
        <w:rPr>
          <w:noProof/>
        </w:rPr>
        <w:t xml:space="preserve"> от нови тежкотоварни прев</w:t>
      </w:r>
      <w:r>
        <w:rPr>
          <w:noProof/>
        </w:rPr>
        <w:t>озни средства. Въвеждането на такива стандарти ще стимулира разработването на новаторски технологии за ефективно използване на гориво и с това ще засили водещите позиции на производителите и доставчиците в Съюза в областта на технологиите.</w:t>
      </w:r>
    </w:p>
    <w:p w:rsidR="00185C77" w:rsidRDefault="00176197">
      <w:pPr>
        <w:pStyle w:val="Point0number"/>
        <w:rPr>
          <w:noProof/>
        </w:rPr>
      </w:pPr>
      <w:r>
        <w:rPr>
          <w:noProof/>
        </w:rPr>
        <w:t xml:space="preserve">Като се отчитат </w:t>
      </w:r>
      <w:r>
        <w:rPr>
          <w:noProof/>
        </w:rPr>
        <w:t>трансграничният характер на изменението на климата и необходимостта единният пазар да продължи да работи добре както за пътно-транспортните услуги, така и за тежкотоварните превозни средства, е целесъобразно да се определят стандарти за емисиите на CO</w:t>
      </w:r>
      <w:r>
        <w:rPr>
          <w:noProof/>
          <w:vertAlign w:val="subscript"/>
        </w:rPr>
        <w:t>2</w:t>
      </w:r>
      <w:r>
        <w:rPr>
          <w:noProof/>
        </w:rPr>
        <w:t xml:space="preserve"> за </w:t>
      </w:r>
      <w:r>
        <w:rPr>
          <w:noProof/>
        </w:rPr>
        <w:t>тежкотоварните превозни средства на равнището на Съюза. Стандартите следва да се разработят така, че да не влизат в противоречие с правото на конкуренция.</w:t>
      </w:r>
    </w:p>
    <w:p w:rsidR="00185C77" w:rsidRDefault="00176197">
      <w:pPr>
        <w:pStyle w:val="Point0number"/>
        <w:rPr>
          <w:noProof/>
        </w:rPr>
      </w:pPr>
      <w:r>
        <w:rPr>
          <w:noProof/>
        </w:rPr>
        <w:t>При определянето на равнищата на намаляване на емисиите, които следва да бъдат постигнати от тежкотов</w:t>
      </w:r>
      <w:r>
        <w:rPr>
          <w:noProof/>
        </w:rPr>
        <w:t xml:space="preserve">арните превозни средства в Съюза, следва да се вземе предвид доколко те ефикасно и икономически ефективно могат да допринесат за намаляване на емисиите от секторите, обхванати от Регламент [Регламента за разпределяне на усилията (ЕС) 2018/...] до 2030 г.; </w:t>
      </w:r>
      <w:r>
        <w:rPr>
          <w:noProof/>
        </w:rPr>
        <w:t>следва да се отчитат също така произтичащите от това разходи и икономии за обществото, производителите, превозвачите и потребителите, както и преките и косвените последици за заетостта, иновациите и съпътстващите ползи, като по-слабо замърсяване на въздуха</w:t>
      </w:r>
      <w:r>
        <w:rPr>
          <w:noProof/>
        </w:rPr>
        <w:t xml:space="preserve"> и по-добра енергийна сигурност.</w:t>
      </w:r>
    </w:p>
    <w:p w:rsidR="00185C77" w:rsidRDefault="00176197">
      <w:pPr>
        <w:pStyle w:val="Point0number"/>
        <w:rPr>
          <w:noProof/>
        </w:rPr>
      </w:pPr>
      <w:r>
        <w:rPr>
          <w:noProof/>
        </w:rPr>
        <w:t>Във връзка с прилагането на Регламент (ЕО) № 595/2009</w:t>
      </w:r>
      <w:r>
        <w:rPr>
          <w:rStyle w:val="FootnoteReference"/>
          <w:noProof/>
        </w:rPr>
        <w:footnoteReference w:id="23"/>
      </w:r>
      <w:r>
        <w:rPr>
          <w:noProof/>
        </w:rPr>
        <w:t xml:space="preserve"> беше въведена нова процедура за определяне на емисиите на CO</w:t>
      </w:r>
      <w:r>
        <w:rPr>
          <w:noProof/>
          <w:vertAlign w:val="subscript"/>
        </w:rPr>
        <w:t>2</w:t>
      </w:r>
      <w:r>
        <w:rPr>
          <w:noProof/>
        </w:rPr>
        <w:t xml:space="preserve"> и разхода на гориво от отделните тежкотоварни превозни средства. С Регламент (ЕС) 2017/2400 на Комисията</w:t>
      </w:r>
      <w:r>
        <w:rPr>
          <w:rStyle w:val="FootnoteReference"/>
          <w:noProof/>
        </w:rPr>
        <w:footnoteReference w:id="24"/>
      </w:r>
      <w:r>
        <w:rPr>
          <w:noProof/>
        </w:rPr>
        <w:t xml:space="preserve"> </w:t>
      </w:r>
      <w:r>
        <w:rPr>
          <w:noProof/>
        </w:rPr>
        <w:t>се установява основана на инструмента VECTO методика, с чиято помощ може да се симулират емисиите на CO</w:t>
      </w:r>
      <w:r>
        <w:rPr>
          <w:noProof/>
          <w:vertAlign w:val="subscript"/>
        </w:rPr>
        <w:t>2</w:t>
      </w:r>
      <w:r>
        <w:rPr>
          <w:noProof/>
        </w:rPr>
        <w:t xml:space="preserve"> и разходът на гориво на цялото тежкотоварно превозно средство. Методиката дава възможност да се отчетат голямото разнообразие в сектора на тежкотоварни</w:t>
      </w:r>
      <w:r>
        <w:rPr>
          <w:noProof/>
        </w:rPr>
        <w:t>те превозни средства и голямата степен на персонализация на отделните превозни средства. Като първа стъпка от 1 януари 2019 г. се определят емисии на CO</w:t>
      </w:r>
      <w:r>
        <w:rPr>
          <w:noProof/>
          <w:vertAlign w:val="subscript"/>
        </w:rPr>
        <w:t>2</w:t>
      </w:r>
      <w:r>
        <w:rPr>
          <w:noProof/>
        </w:rPr>
        <w:t xml:space="preserve"> за четири групи тежкотоварни превозни средства, емисиите от които представляват 65 — 70 % от общото ко</w:t>
      </w:r>
      <w:r>
        <w:rPr>
          <w:noProof/>
        </w:rPr>
        <w:t>личество на емисиите на CO</w:t>
      </w:r>
      <w:r>
        <w:rPr>
          <w:noProof/>
          <w:vertAlign w:val="subscript"/>
        </w:rPr>
        <w:t>2</w:t>
      </w:r>
      <w:r>
        <w:rPr>
          <w:noProof/>
        </w:rPr>
        <w:t xml:space="preserve"> от всички тежкотоварни превозни средства в Съюза.</w:t>
      </w:r>
    </w:p>
    <w:p w:rsidR="00185C77" w:rsidRDefault="00176197">
      <w:pPr>
        <w:pStyle w:val="Point0number"/>
        <w:rPr>
          <w:noProof/>
        </w:rPr>
      </w:pPr>
      <w:r>
        <w:rPr>
          <w:noProof/>
        </w:rPr>
        <w:t>С цел да се отчитат иновациите и прилагането на нови технологии, повишаващи горивната ефективност на тежкотоварните превозни средства, симулационният инструмент VECTO и Регламент</w:t>
      </w:r>
      <w:r>
        <w:rPr>
          <w:noProof/>
        </w:rPr>
        <w:t xml:space="preserve"> (ЕС) 2017/2400 ще продължат непрекъснато и своевременно да бъдат актуализирани. </w:t>
      </w:r>
    </w:p>
    <w:p w:rsidR="00185C77" w:rsidRDefault="00176197">
      <w:pPr>
        <w:pStyle w:val="Point0number"/>
        <w:rPr>
          <w:noProof/>
        </w:rPr>
      </w:pPr>
      <w:r>
        <w:rPr>
          <w:noProof/>
        </w:rPr>
        <w:t>Съгласно Регламент (ЕС) 2018/... на Европейския парламент и на Съвета</w:t>
      </w:r>
      <w:r>
        <w:rPr>
          <w:rStyle w:val="FootnoteReference"/>
          <w:noProof/>
        </w:rPr>
        <w:footnoteReference w:id="25"/>
      </w:r>
      <w:r>
        <w:rPr>
          <w:noProof/>
        </w:rPr>
        <w:t xml:space="preserve"> трябва да се извършва мониторинг на данните за емисиите на CO</w:t>
      </w:r>
      <w:r>
        <w:rPr>
          <w:noProof/>
          <w:vertAlign w:val="subscript"/>
        </w:rPr>
        <w:t>2</w:t>
      </w:r>
      <w:r>
        <w:rPr>
          <w:noProof/>
        </w:rPr>
        <w:t>, определени в съответствие с Регламент (</w:t>
      </w:r>
      <w:r>
        <w:rPr>
          <w:noProof/>
        </w:rPr>
        <w:t>ЕС) 2017/2400. Тези данни следва да формират основата за определяне на целите за намаляване на емисиите, които да бъдат постигнати от четирите групи тежкотоварни превозни средства с най-големи емисии в Съюза, както и за определяне на средните специфични ем</w:t>
      </w:r>
      <w:r>
        <w:rPr>
          <w:noProof/>
        </w:rPr>
        <w:t xml:space="preserve">исии на производителя през дадена календарна година. </w:t>
      </w:r>
    </w:p>
    <w:p w:rsidR="00185C77" w:rsidRDefault="00176197">
      <w:pPr>
        <w:pStyle w:val="Point0number"/>
        <w:rPr>
          <w:noProof/>
        </w:rPr>
      </w:pPr>
      <w:r>
        <w:rPr>
          <w:noProof/>
        </w:rPr>
        <w:t>Следва да бъде определена цел за намаляване на емисиите за 2025 г. като относително намаление спрямо средните емисии на CO</w:t>
      </w:r>
      <w:r>
        <w:rPr>
          <w:noProof/>
          <w:vertAlign w:val="subscript"/>
        </w:rPr>
        <w:t>2</w:t>
      </w:r>
      <w:r>
        <w:rPr>
          <w:noProof/>
        </w:rPr>
        <w:t xml:space="preserve"> от тези тежкотоварни превозни средства през 2019 г., отразяваща внедряването н</w:t>
      </w:r>
      <w:r>
        <w:rPr>
          <w:noProof/>
        </w:rPr>
        <w:t>а лесно достъпни, разходоефективни технологии за конвенционалните превозни средства. Целта за 2030 г. следва да се разглежда като стимул, а крайната цел следва да бъде определена след извършването на преглед през 2022 г., тъй като има повече неясноти във в</w:t>
      </w:r>
      <w:r>
        <w:rPr>
          <w:noProof/>
        </w:rPr>
        <w:t>ръзка с навлизането на по-напреднали технологии, които все още не са лесно достъпни.</w:t>
      </w:r>
    </w:p>
    <w:p w:rsidR="00185C77" w:rsidRDefault="00176197">
      <w:pPr>
        <w:pStyle w:val="Point0number"/>
        <w:rPr>
          <w:noProof/>
        </w:rPr>
      </w:pPr>
      <w:r>
        <w:rPr>
          <w:noProof/>
        </w:rPr>
        <w:t>Втечненият природен газ (ВПГ) е достъпна алтернатива на дизеловото гориво при тежкотоварните превозни средства. Внедряването на вече наличните, а в бъдеще — и на още по-но</w:t>
      </w:r>
      <w:r>
        <w:rPr>
          <w:noProof/>
        </w:rPr>
        <w:t>ваторски технологии на основата на втечнен природен газ, ще допринесе за постигането на целите за емисиите на СО</w:t>
      </w:r>
      <w:r>
        <w:rPr>
          <w:noProof/>
          <w:vertAlign w:val="subscript"/>
        </w:rPr>
        <w:t>2</w:t>
      </w:r>
      <w:r>
        <w:rPr>
          <w:noProof/>
        </w:rPr>
        <w:t xml:space="preserve"> в краткосрочен и дългосрочен план, тъй като в сравнение с дизеловото гориво използването им води до по-ниски емисии на СО</w:t>
      </w:r>
      <w:r>
        <w:rPr>
          <w:noProof/>
          <w:vertAlign w:val="subscript"/>
        </w:rPr>
        <w:t>2</w:t>
      </w:r>
      <w:r>
        <w:rPr>
          <w:noProof/>
        </w:rPr>
        <w:t xml:space="preserve">. Потенциалът на </w:t>
      </w:r>
      <w:r>
        <w:rPr>
          <w:noProof/>
        </w:rPr>
        <w:t>превозните средства с втечнен природен газ за намаляване на емисиите на CO</w:t>
      </w:r>
      <w:r>
        <w:rPr>
          <w:noProof/>
          <w:vertAlign w:val="subscript"/>
        </w:rPr>
        <w:t>2</w:t>
      </w:r>
      <w:r>
        <w:rPr>
          <w:noProof/>
        </w:rPr>
        <w:t xml:space="preserve"> вече е изцяло застъпен в инструмента VECTO. Допълнително предимство на вече достъпните технологии с втечнен природен газ са по-ниските емисии на замърсители на въздуха, като азотни</w:t>
      </w:r>
      <w:r>
        <w:rPr>
          <w:noProof/>
        </w:rPr>
        <w:t xml:space="preserve"> оксиди (NOx) и прахови частици. Вече съществува достатъчна минимална инфраструктура за презареждане, която продължава да се разгръща като част от националната политика за изграждане на инфраструктура за алтернативни горива.</w:t>
      </w:r>
    </w:p>
    <w:p w:rsidR="00185C77" w:rsidRDefault="00176197">
      <w:pPr>
        <w:pStyle w:val="Point0number"/>
        <w:rPr>
          <w:noProof/>
        </w:rPr>
      </w:pPr>
      <w:r>
        <w:rPr>
          <w:noProof/>
        </w:rPr>
        <w:t>При изчисляването на еталонните</w:t>
      </w:r>
      <w:r>
        <w:rPr>
          <w:noProof/>
        </w:rPr>
        <w:t xml:space="preserve"> емисии за 2019 г., които ще послужат като основа за определянето на целите за намаляване на емисиите за 2025 и 2030 г., следва да се отчита очакваният през този период потенциал на тежкотоварните превозни средства за тяхното намаляване. Поради това е целе</w:t>
      </w:r>
      <w:r>
        <w:rPr>
          <w:noProof/>
        </w:rPr>
        <w:t>съобразно специализираните превозни средства — например използваните за събиране на смет или в строителството, да не се вземат предвид при изчислението. Поради относително малкия пробег на тези превозни средства и специфичния им модел на движение изглежда,</w:t>
      </w:r>
      <w:r>
        <w:rPr>
          <w:noProof/>
        </w:rPr>
        <w:t xml:space="preserve"> че при тях технически мерки за намаляване на емисиите от CO</w:t>
      </w:r>
      <w:r>
        <w:rPr>
          <w:noProof/>
          <w:vertAlign w:val="subscript"/>
        </w:rPr>
        <w:t>2</w:t>
      </w:r>
      <w:r>
        <w:rPr>
          <w:noProof/>
        </w:rPr>
        <w:t xml:space="preserve"> и на разхода на гориво не са толкова икономически ефективни, колкото при тежкотоварните превозни средства, използвани за доставка на стоки. </w:t>
      </w:r>
    </w:p>
    <w:p w:rsidR="00185C77" w:rsidRDefault="00176197">
      <w:pPr>
        <w:pStyle w:val="Point0number"/>
        <w:rPr>
          <w:noProof/>
        </w:rPr>
      </w:pPr>
      <w:r>
        <w:rPr>
          <w:noProof/>
        </w:rPr>
        <w:t>Изискванията за намаляване на емисиите на CO</w:t>
      </w:r>
      <w:r>
        <w:rPr>
          <w:noProof/>
          <w:vertAlign w:val="subscript"/>
        </w:rPr>
        <w:t>2</w:t>
      </w:r>
      <w:r>
        <w:rPr>
          <w:noProof/>
        </w:rPr>
        <w:t xml:space="preserve"> следва </w:t>
      </w:r>
      <w:r>
        <w:rPr>
          <w:noProof/>
        </w:rPr>
        <w:t>да бъдат изразени в грамове CO</w:t>
      </w:r>
      <w:r>
        <w:rPr>
          <w:noProof/>
          <w:vertAlign w:val="subscript"/>
        </w:rPr>
        <w:t>2</w:t>
      </w:r>
      <w:r>
        <w:rPr>
          <w:noProof/>
        </w:rPr>
        <w:t xml:space="preserve"> на тонкилометър, така че да отразяват полезността на тежкотоварните превозни средства. </w:t>
      </w:r>
    </w:p>
    <w:p w:rsidR="00185C77" w:rsidRDefault="00176197">
      <w:pPr>
        <w:pStyle w:val="Point0number"/>
        <w:rPr>
          <w:noProof/>
        </w:rPr>
      </w:pPr>
      <w:r>
        <w:rPr>
          <w:noProof/>
        </w:rPr>
        <w:t>Следва да се гарантира справедливо разпределение на общите изисквания за намаляване на емисиите между производителите, като се отчита ра</w:t>
      </w:r>
      <w:r>
        <w:rPr>
          <w:noProof/>
        </w:rPr>
        <w:t>знообразието от тежкотоварни превозни средства от гледна точка на тяхното проектиране, модела им на движение, годишния им пробег, полезния товар и конфигурацията на ремаркето. Поради това е целесъобразно да се въведе разграничение между тежкотоварните прев</w:t>
      </w:r>
      <w:r>
        <w:rPr>
          <w:noProof/>
        </w:rPr>
        <w:t>озни средства, като се обособят различни подгрупи превозни средства, отразяващи типичния модел на използване на превозното средство и конкретните му технически характеристики. Чрез определянето на специфични годишни цели за производителите, които представл</w:t>
      </w:r>
      <w:r>
        <w:rPr>
          <w:noProof/>
        </w:rPr>
        <w:t>яват претеглена средна стойност на целите, определени за всяка подгрупа, на производителите се дава възможност реално да компенсират евентуално изоставане от целите при превозните средства в дадени подгрупи с постигнати резултати над планираното за други п</w:t>
      </w:r>
      <w:r>
        <w:rPr>
          <w:noProof/>
        </w:rPr>
        <w:t>одгрупи превозни средства, като вземат предвид средните емисии на CO</w:t>
      </w:r>
      <w:r>
        <w:rPr>
          <w:noProof/>
          <w:vertAlign w:val="subscript"/>
        </w:rPr>
        <w:t>2</w:t>
      </w:r>
      <w:r>
        <w:rPr>
          <w:noProof/>
        </w:rPr>
        <w:t xml:space="preserve"> за срока на експлоатация на превозните средства в различните подгрупи.</w:t>
      </w:r>
    </w:p>
    <w:p w:rsidR="00185C77" w:rsidRDefault="00176197">
      <w:pPr>
        <w:pStyle w:val="Point0number"/>
        <w:rPr>
          <w:noProof/>
        </w:rPr>
      </w:pPr>
      <w:r>
        <w:rPr>
          <w:noProof/>
        </w:rPr>
        <w:t>Оценката дали даден производител изпълнява своите годишни специфични цели, следва да се основава на неговите средни</w:t>
      </w:r>
      <w:r>
        <w:rPr>
          <w:noProof/>
        </w:rPr>
        <w:t xml:space="preserve"> емисии на СО</w:t>
      </w:r>
      <w:r>
        <w:rPr>
          <w:noProof/>
          <w:vertAlign w:val="subscript"/>
        </w:rPr>
        <w:t>2</w:t>
      </w:r>
      <w:r>
        <w:rPr>
          <w:noProof/>
        </w:rPr>
        <w:t>. При определянето на средните специфични емисии следва да се отчитат също така специфичните характеристики, които обуславят целите за различните подгрупи превозни средства. С оглед на това средните специфични емисии на CO</w:t>
      </w:r>
      <w:r>
        <w:rPr>
          <w:noProof/>
          <w:vertAlign w:val="subscript"/>
        </w:rPr>
        <w:t>2</w:t>
      </w:r>
      <w:r>
        <w:rPr>
          <w:noProof/>
        </w:rPr>
        <w:t xml:space="preserve"> на производителя с</w:t>
      </w:r>
      <w:r>
        <w:rPr>
          <w:noProof/>
        </w:rPr>
        <w:t>ледва да се основават на средните емисии, определени за всяка подгрупа, в т.ч. с тегловен коефициент на базата на допусканията за средния годишен пробег и средния полезен товар, отразяващи емисиите на CO</w:t>
      </w:r>
      <w:r>
        <w:rPr>
          <w:noProof/>
          <w:vertAlign w:val="subscript"/>
        </w:rPr>
        <w:t>2</w:t>
      </w:r>
      <w:r>
        <w:rPr>
          <w:noProof/>
        </w:rPr>
        <w:t xml:space="preserve"> през целия срок на експлоатация на превозното средс</w:t>
      </w:r>
      <w:r>
        <w:rPr>
          <w:noProof/>
        </w:rPr>
        <w:t>тво. Поради ограничения им потенциал за намаляване на емисиите специализираните превозни средства следва да не се вземат предвид при изчисляването на средните специфични емисии.</w:t>
      </w:r>
    </w:p>
    <w:p w:rsidR="00185C77" w:rsidRDefault="00176197">
      <w:pPr>
        <w:pStyle w:val="Point0number"/>
        <w:rPr>
          <w:noProof/>
        </w:rPr>
      </w:pPr>
      <w:r>
        <w:rPr>
          <w:noProof/>
        </w:rPr>
        <w:t>За разлика от конюнктурата при леките и лекотоварните автомобили, на пазара вс</w:t>
      </w:r>
      <w:r>
        <w:rPr>
          <w:noProof/>
        </w:rPr>
        <w:t xml:space="preserve">е още не се предлагат тежкотоварни превозни средства с нулеви и ниски емисии, с изключение на автобуси. Поради това следва да се въведе специален механизъм под формата на извънредни кредити с цел да се улесни плавният преход към мобилност с нулеви емисии. </w:t>
      </w:r>
      <w:r>
        <w:rPr>
          <w:noProof/>
        </w:rPr>
        <w:t>Това ще създаде стимули за разработване и внедряване на тежкотоварни превозни средства с нулеви и ниски емисии на пазара на Съюза, които ще допълнят инструментите за насърчаване на търсенето, като Директива 2009/33/ЕО на Европейския парламент и на Съвета з</w:t>
      </w:r>
      <w:r>
        <w:rPr>
          <w:noProof/>
        </w:rPr>
        <w:t>а екологично чисти превозни средства</w:t>
      </w:r>
      <w:r>
        <w:rPr>
          <w:rStyle w:val="FootnoteReference"/>
          <w:noProof/>
        </w:rPr>
        <w:footnoteReference w:id="26"/>
      </w:r>
      <w:r>
        <w:rPr>
          <w:noProof/>
        </w:rPr>
        <w:t>.</w:t>
      </w:r>
    </w:p>
    <w:p w:rsidR="00185C77" w:rsidRDefault="00176197">
      <w:pPr>
        <w:pStyle w:val="Point0number"/>
        <w:rPr>
          <w:noProof/>
        </w:rPr>
      </w:pPr>
      <w:r>
        <w:rPr>
          <w:noProof/>
        </w:rPr>
        <w:t>С оглед на това при изчисляването на средните специфични емисии на производителя всички тежкотоварни превозни средства с нулеви и ниски емисии следва да се броят многократно. Степента на стимулиране следва да бъде раз</w:t>
      </w:r>
      <w:r>
        <w:rPr>
          <w:noProof/>
        </w:rPr>
        <w:t>лична в зависимост от реалните емисии на CO</w:t>
      </w:r>
      <w:r>
        <w:rPr>
          <w:noProof/>
          <w:vertAlign w:val="subscript"/>
        </w:rPr>
        <w:t>2</w:t>
      </w:r>
      <w:r>
        <w:rPr>
          <w:noProof/>
        </w:rPr>
        <w:t xml:space="preserve"> на превозното средство. Следва да се предвиди горна граница за произтичащите от това икономии, така че стимулите за постигане на екологичните цели да не изгубят своето значение.</w:t>
      </w:r>
    </w:p>
    <w:p w:rsidR="00185C77" w:rsidRDefault="00176197">
      <w:pPr>
        <w:pStyle w:val="Point0number"/>
        <w:rPr>
          <w:noProof/>
        </w:rPr>
      </w:pPr>
      <w:r>
        <w:rPr>
          <w:noProof/>
        </w:rPr>
        <w:t xml:space="preserve">Тежкотоварните превозни средства </w:t>
      </w:r>
      <w:r>
        <w:rPr>
          <w:noProof/>
        </w:rPr>
        <w:t>с ниски емисии следва да се насърчават само ако емисиите на CO</w:t>
      </w:r>
      <w:r>
        <w:rPr>
          <w:noProof/>
          <w:vertAlign w:val="subscript"/>
        </w:rPr>
        <w:t>2</w:t>
      </w:r>
      <w:r>
        <w:rPr>
          <w:noProof/>
        </w:rPr>
        <w:t xml:space="preserve"> от тях са по-ниски от приблизително половината от общата средна стойност на емисиите на CO</w:t>
      </w:r>
      <w:r>
        <w:rPr>
          <w:noProof/>
          <w:vertAlign w:val="subscript"/>
        </w:rPr>
        <w:t>2</w:t>
      </w:r>
      <w:r>
        <w:rPr>
          <w:noProof/>
        </w:rPr>
        <w:t xml:space="preserve"> в Съюза за тези превозни средства през 2025 г. Това е в съзвучие с възприетия подход при лекотоварни</w:t>
      </w:r>
      <w:r>
        <w:rPr>
          <w:noProof/>
        </w:rPr>
        <w:t>те превозни средства и ще насърчи иновациите в тази област.</w:t>
      </w:r>
    </w:p>
    <w:p w:rsidR="00185C77" w:rsidRDefault="00176197">
      <w:pPr>
        <w:pStyle w:val="Point0number"/>
        <w:rPr>
          <w:noProof/>
        </w:rPr>
      </w:pPr>
      <w:r>
        <w:rPr>
          <w:noProof/>
        </w:rPr>
        <w:t xml:space="preserve">При създаването на механизъм, насърчаващ навлизането на тежкотоварни превозни средства с нулеви емисии, следва да се включат също така по-малки товарни автомобили, както и градски и междуградски </w:t>
      </w:r>
      <w:r>
        <w:rPr>
          <w:noProof/>
        </w:rPr>
        <w:t>автобуси, за които не се прилагат целите за намаляване на емисиите на CO</w:t>
      </w:r>
      <w:r>
        <w:rPr>
          <w:noProof/>
          <w:vertAlign w:val="subscript"/>
        </w:rPr>
        <w:t>2</w:t>
      </w:r>
      <w:r>
        <w:rPr>
          <w:noProof/>
        </w:rPr>
        <w:t xml:space="preserve"> съгласно настоящия регламент. Тези превозни средства също значително допринасят за борба със замърсяването на въздуха в градовете. Следва да се отбележи обаче, че на пазара вече има </w:t>
      </w:r>
      <w:r>
        <w:rPr>
          <w:noProof/>
        </w:rPr>
        <w:t>автобуси с нулеви емисии, както и стимули за тяхното навлизане посредством мерки от страна на търсенето, например чрез процедури за обществени поръчки. С цел да се гарантира добро и балансирано разпределение на стимулите за различните видове превозни средс</w:t>
      </w:r>
      <w:r>
        <w:rPr>
          <w:noProof/>
        </w:rPr>
        <w:t>тва следва да се предвиди горна граница и за икономиите от по-малки товарни автомобили, както и от градски и междуградски автобуси с нулеви емисии.</w:t>
      </w:r>
    </w:p>
    <w:p w:rsidR="00185C77" w:rsidRDefault="00176197">
      <w:pPr>
        <w:pStyle w:val="Point0number"/>
        <w:rPr>
          <w:noProof/>
        </w:rPr>
      </w:pPr>
      <w:r>
        <w:rPr>
          <w:noProof/>
        </w:rPr>
        <w:t>За да може изпълнението на изискванията за намаляване на емисиите на СО</w:t>
      </w:r>
      <w:r>
        <w:rPr>
          <w:noProof/>
          <w:vertAlign w:val="subscript"/>
        </w:rPr>
        <w:t>2</w:t>
      </w:r>
      <w:r>
        <w:rPr>
          <w:noProof/>
        </w:rPr>
        <w:t xml:space="preserve"> да е икономически ефективно, като с</w:t>
      </w:r>
      <w:r>
        <w:rPr>
          <w:noProof/>
        </w:rPr>
        <w:t>ъщевременно се отчитат промените в състава на автомобилния парк и емисиите с течение на времето, следва производителите да могат да компенсират постигнатите по-високи резултати при изпълнението на своята цел за специфичните емисии през дадена година с по-н</w:t>
      </w:r>
      <w:r>
        <w:rPr>
          <w:noProof/>
        </w:rPr>
        <w:t xml:space="preserve">иски резултати през друга година. </w:t>
      </w:r>
    </w:p>
    <w:p w:rsidR="00185C77" w:rsidRDefault="00176197">
      <w:pPr>
        <w:pStyle w:val="Point0number"/>
        <w:rPr>
          <w:noProof/>
        </w:rPr>
      </w:pPr>
      <w:r>
        <w:rPr>
          <w:noProof/>
        </w:rPr>
        <w:t>За да се насърчи постигането на намаления на по-ранен етап, производител, чиито средни специфични емисии са под траекторията за намаляване на емисиите, определена от еталонните емисии през 2019 г. и целта за 2025 г., след</w:t>
      </w:r>
      <w:r>
        <w:rPr>
          <w:noProof/>
        </w:rPr>
        <w:t>ва да може да съхрани тези кредити за емисии, така че да постигне целта през 2025 г. По същия начин производител, чиито средни специфични емисии са под траекторията за намаляване на емисиите между целите за 2025 и 2030 г., следва да може да съхрани тези кр</w:t>
      </w:r>
      <w:r>
        <w:rPr>
          <w:noProof/>
        </w:rPr>
        <w:t>едити за емисии, така че да постигне целта за периода 2025 — 2029 г.</w:t>
      </w:r>
    </w:p>
    <w:p w:rsidR="00185C77" w:rsidRDefault="00176197">
      <w:pPr>
        <w:pStyle w:val="Point0number"/>
        <w:rPr>
          <w:noProof/>
        </w:rPr>
      </w:pPr>
      <w:r>
        <w:rPr>
          <w:noProof/>
        </w:rPr>
        <w:t>Ако през някоя година в периода 2025 — 2029 г. не постигне своята цел за специфичните емисии, производителят следва също така да може да придобие ограничен дълг за емисии. До 2029 г. обач</w:t>
      </w:r>
      <w:r>
        <w:rPr>
          <w:noProof/>
        </w:rPr>
        <w:t>е производителите следва да погасят оставащия си дълг за емисии.</w:t>
      </w:r>
    </w:p>
    <w:p w:rsidR="00185C77" w:rsidRDefault="00176197">
      <w:pPr>
        <w:pStyle w:val="Point0number"/>
        <w:rPr>
          <w:noProof/>
        </w:rPr>
      </w:pPr>
      <w:r>
        <w:rPr>
          <w:noProof/>
        </w:rPr>
        <w:t>Кредитите и дълговете за емисии следва да се разглеждат единствено с цел да се определи дали производителят изпълнява целта си за специфичните емисии, а не като активи, които могат да се прех</w:t>
      </w:r>
      <w:r>
        <w:rPr>
          <w:noProof/>
        </w:rPr>
        <w:t>върлят или спрямо които се прилагат мерки от областта на финансовата политика.</w:t>
      </w:r>
    </w:p>
    <w:p w:rsidR="00185C77" w:rsidRDefault="00176197">
      <w:pPr>
        <w:pStyle w:val="Point0number"/>
        <w:rPr>
          <w:noProof/>
        </w:rPr>
      </w:pPr>
      <w:r>
        <w:rPr>
          <w:noProof/>
        </w:rPr>
        <w:t>Ако при даден производител се установи извънредно количество емисии, Комисията следва да наложи финансова санкция — такса за извънредно количество емисии, като вземе предвид кре</w:t>
      </w:r>
      <w:r>
        <w:rPr>
          <w:noProof/>
        </w:rPr>
        <w:t>дитите и дълговете за емисии. За да имат производителите достатъчно голям стимул да предприемат мерки за намаляване на емисиите на CO</w:t>
      </w:r>
      <w:r>
        <w:rPr>
          <w:noProof/>
          <w:vertAlign w:val="subscript"/>
        </w:rPr>
        <w:t>2</w:t>
      </w:r>
      <w:r>
        <w:rPr>
          <w:noProof/>
        </w:rPr>
        <w:t xml:space="preserve"> от тежкотоварните превозни средства, размерът на таксата следва да надхвърля средните пределни разходи за технологиите, к</w:t>
      </w:r>
      <w:r>
        <w:rPr>
          <w:noProof/>
        </w:rPr>
        <w:t xml:space="preserve">оито са необходими за постигането на целите. Таксата следва да се счита за приход в общия бюджет на Съюза. Методиката за събиране на таксите следва да бъде определена с акт за изпълнение, като се вземе предвид методиката, приета в съответствие с Регламент </w:t>
      </w:r>
      <w:r>
        <w:rPr>
          <w:noProof/>
        </w:rPr>
        <w:t>(ЕО) № 443/2009.</w:t>
      </w:r>
    </w:p>
    <w:p w:rsidR="00185C77" w:rsidRDefault="00176197">
      <w:pPr>
        <w:pStyle w:val="Point0number"/>
        <w:rPr>
          <w:noProof/>
        </w:rPr>
      </w:pPr>
      <w:r>
        <w:rPr>
          <w:noProof/>
        </w:rPr>
        <w:t>За да се осигури изпълнението на целите по настоящия регламент, е необходимо да се използва надежден механизъм за проверка на съответствието. Въведените за производителите задължения да предоставят точни данни съгласно Регламент (ЕС) 2018/</w:t>
      </w:r>
      <w:r>
        <w:rPr>
          <w:noProof/>
        </w:rPr>
        <w:t>... [мониторинг и докладване за ТПС] и административните глоби, които могат да бъдат наложени за неизпълнението на това задължение, допринасят да се обезпечи надеждността на данните, които се използват за проверка на изпълнението на целите по настоящия рег</w:t>
      </w:r>
      <w:r>
        <w:rPr>
          <w:noProof/>
        </w:rPr>
        <w:t xml:space="preserve">ламент. </w:t>
      </w:r>
    </w:p>
    <w:p w:rsidR="00185C77" w:rsidRDefault="00176197">
      <w:pPr>
        <w:pStyle w:val="Point0number"/>
        <w:rPr>
          <w:noProof/>
        </w:rPr>
      </w:pPr>
      <w:r>
        <w:rPr>
          <w:noProof/>
        </w:rPr>
        <w:t>Съществена предпоставка за постигане на намаленията на емисиите на CO</w:t>
      </w:r>
      <w:r>
        <w:rPr>
          <w:noProof/>
          <w:vertAlign w:val="subscript"/>
        </w:rPr>
        <w:t>2</w:t>
      </w:r>
      <w:r>
        <w:rPr>
          <w:noProof/>
        </w:rPr>
        <w:t xml:space="preserve"> съгласно настоящия регламент е емисиите на CO</w:t>
      </w:r>
      <w:r>
        <w:rPr>
          <w:noProof/>
          <w:vertAlign w:val="subscript"/>
        </w:rPr>
        <w:t>2</w:t>
      </w:r>
      <w:r>
        <w:rPr>
          <w:noProof/>
        </w:rPr>
        <w:t xml:space="preserve"> от тежкотоварните превозни средства в употреба да отговарят на стойностите, определени съгласно Регламент (ЕО) № 595/2009 и мерки</w:t>
      </w:r>
      <w:r>
        <w:rPr>
          <w:noProof/>
        </w:rPr>
        <w:t>те за неговото прилагане. С оглед на това при изчисляването на средните специфични емисии на производителя Комисията следва да може да вземе под внимание случаи на систематично неспазване на изискванията, установени от органите по одобряването на типа по о</w:t>
      </w:r>
      <w:r>
        <w:rPr>
          <w:noProof/>
        </w:rPr>
        <w:t>тношение на емисиите на CO</w:t>
      </w:r>
      <w:r>
        <w:rPr>
          <w:noProof/>
          <w:vertAlign w:val="subscript"/>
        </w:rPr>
        <w:t>2</w:t>
      </w:r>
      <w:r>
        <w:rPr>
          <w:noProof/>
        </w:rPr>
        <w:t xml:space="preserve"> от тежкотоварни превозни средства.</w:t>
      </w:r>
    </w:p>
    <w:p w:rsidR="00185C77" w:rsidRDefault="00176197">
      <w:pPr>
        <w:pStyle w:val="Point0number"/>
        <w:rPr>
          <w:noProof/>
        </w:rPr>
      </w:pPr>
      <w:r>
        <w:rPr>
          <w:noProof/>
        </w:rPr>
        <w:t>За да може да предприеме такива мерки, Комисията следва да има правомощия да изготви и прилага процедура за проверка на съответствието в експлоатация на емисиите на CO</w:t>
      </w:r>
      <w:r>
        <w:rPr>
          <w:noProof/>
          <w:vertAlign w:val="subscript"/>
        </w:rPr>
        <w:t>2</w:t>
      </w:r>
      <w:r>
        <w:rPr>
          <w:noProof/>
        </w:rPr>
        <w:t xml:space="preserve"> от тежкотоварни превозни</w:t>
      </w:r>
      <w:r>
        <w:rPr>
          <w:noProof/>
        </w:rPr>
        <w:t xml:space="preserve"> средства. За тази цел Регламент (ЕО) № 595/2009 следва да бъде изменен.</w:t>
      </w:r>
    </w:p>
    <w:p w:rsidR="00185C77" w:rsidRDefault="00176197">
      <w:pPr>
        <w:pStyle w:val="Point0number"/>
        <w:rPr>
          <w:noProof/>
        </w:rPr>
      </w:pPr>
      <w:r>
        <w:rPr>
          <w:noProof/>
        </w:rPr>
        <w:t>Ефикасността на целите, заложени в настоящия регламент, за намаляване на емисиите на CO</w:t>
      </w:r>
      <w:r>
        <w:rPr>
          <w:noProof/>
          <w:vertAlign w:val="subscript"/>
        </w:rPr>
        <w:t>2</w:t>
      </w:r>
      <w:r>
        <w:rPr>
          <w:noProof/>
        </w:rPr>
        <w:t xml:space="preserve"> до голяма степен зависи от представителния характер на методиката, която се използва за тяхнот</w:t>
      </w:r>
      <w:r>
        <w:rPr>
          <w:noProof/>
        </w:rPr>
        <w:t>о установяване. В съответствие със становището на механизма за научни становища</w:t>
      </w:r>
      <w:r>
        <w:rPr>
          <w:rStyle w:val="FootnoteReference"/>
          <w:noProof/>
        </w:rPr>
        <w:footnoteReference w:id="27"/>
      </w:r>
      <w:r>
        <w:rPr>
          <w:noProof/>
        </w:rPr>
        <w:t xml:space="preserve"> във връзка с лекотоварните превозни средства е целесъобразно също така да се въведе механизъм за оценка доколко представителни в реални условия са стойностите за емисиите на С</w:t>
      </w:r>
      <w:r>
        <w:rPr>
          <w:noProof/>
        </w:rPr>
        <w:t>О</w:t>
      </w:r>
      <w:r>
        <w:rPr>
          <w:noProof/>
          <w:vertAlign w:val="subscript"/>
        </w:rPr>
        <w:t>2</w:t>
      </w:r>
      <w:r>
        <w:rPr>
          <w:noProof/>
        </w:rPr>
        <w:t xml:space="preserve"> и за разхода на енергия при тежкотоварните превозни средства, определени в съответствие с Регламент (ЕС) 2017/2400. На Комисията следва да бъдат предоставени правомощия да осигури публичен достъп до тези данни и при необходимост — да разработи съответни</w:t>
      </w:r>
      <w:r>
        <w:rPr>
          <w:noProof/>
        </w:rPr>
        <w:t>те процедури за установяване и събиране на необходимите данни за извършването на такива оценки.</w:t>
      </w:r>
    </w:p>
    <w:p w:rsidR="00185C77" w:rsidRDefault="00176197">
      <w:pPr>
        <w:pStyle w:val="Point0number"/>
        <w:rPr>
          <w:noProof/>
        </w:rPr>
      </w:pPr>
      <w:r>
        <w:rPr>
          <w:noProof/>
        </w:rPr>
        <w:t>През 2022 г. Комисията следва да направи оценка на ефективността на стандартите за емисиите на CO</w:t>
      </w:r>
      <w:r>
        <w:rPr>
          <w:noProof/>
          <w:vertAlign w:val="subscript"/>
        </w:rPr>
        <w:t>2</w:t>
      </w:r>
      <w:r>
        <w:rPr>
          <w:noProof/>
        </w:rPr>
        <w:t>, определени с настоящия регламент, по-специално на степента н</w:t>
      </w:r>
      <w:r>
        <w:rPr>
          <w:noProof/>
        </w:rPr>
        <w:t>а намаляване на емисиите, която да бъде постигната до 2030 г., на условията, които следва да бъдат налице за постигането на тази цел, както и в периода след това, а също относно определянето на цели за намаляване на емисиите на CO</w:t>
      </w:r>
      <w:r>
        <w:rPr>
          <w:noProof/>
          <w:vertAlign w:val="subscript"/>
        </w:rPr>
        <w:t>2</w:t>
      </w:r>
      <w:r>
        <w:rPr>
          <w:noProof/>
        </w:rPr>
        <w:t xml:space="preserve"> за други видове тежкотов</w:t>
      </w:r>
      <w:r>
        <w:rPr>
          <w:noProof/>
        </w:rPr>
        <w:t>арни превозни средства, като по-малки товарни автомобили, градски и междуградски автобуси и ремаркета. При оценката — изключително във връзка с целите на настоящия регламент — следва да се разгледат също така съображения относно комбинациите от тежкотоварн</w:t>
      </w:r>
      <w:r>
        <w:rPr>
          <w:noProof/>
        </w:rPr>
        <w:t>и превозни средства и други превозни средства извън стандартните маси и габарити, приложими за транспорта на национално равнище, например модулни концепции.</w:t>
      </w:r>
    </w:p>
    <w:p w:rsidR="00185C77" w:rsidRDefault="00176197">
      <w:pPr>
        <w:pStyle w:val="Point0number"/>
        <w:rPr>
          <w:noProof/>
        </w:rPr>
      </w:pPr>
      <w:r>
        <w:rPr>
          <w:noProof/>
        </w:rPr>
        <w:t>С цел да се гарантира, че специфичните емисии на CO</w:t>
      </w:r>
      <w:r>
        <w:rPr>
          <w:noProof/>
          <w:vertAlign w:val="subscript"/>
        </w:rPr>
        <w:t>2</w:t>
      </w:r>
      <w:r>
        <w:rPr>
          <w:noProof/>
        </w:rPr>
        <w:t xml:space="preserve"> от тежкотоварните превозни средства остават пр</w:t>
      </w:r>
      <w:r>
        <w:rPr>
          <w:noProof/>
        </w:rPr>
        <w:t>едставителни и актуални, в настоящия регламент следва да се включат изменения на Регламент (ЕО) № 595/2009 и законодателството за прилагането му, което има отражение върху тези стойности. За целта на Комисията следва да се предоставят правомощия да установ</w:t>
      </w:r>
      <w:r>
        <w:rPr>
          <w:noProof/>
        </w:rPr>
        <w:t>и методика за определяне на представително тежкотоварно превозно средство за всяка подгрупа превозни средства, което да се използва като основа за оценка на промените на специфичните емисии на CO</w:t>
      </w:r>
      <w:r>
        <w:rPr>
          <w:noProof/>
          <w:vertAlign w:val="subscript"/>
        </w:rPr>
        <w:t>2</w:t>
      </w:r>
      <w:r>
        <w:rPr>
          <w:noProof/>
        </w:rPr>
        <w:t xml:space="preserve">.  </w:t>
      </w:r>
    </w:p>
    <w:p w:rsidR="00185C77" w:rsidRDefault="00176197">
      <w:pPr>
        <w:pStyle w:val="Point0number"/>
        <w:rPr>
          <w:noProof/>
        </w:rPr>
      </w:pPr>
      <w:r>
        <w:rPr>
          <w:noProof/>
        </w:rPr>
        <w:t xml:space="preserve">Изпълнителните правомощия във връзка с член 8, параграф </w:t>
      </w:r>
      <w:r>
        <w:rPr>
          <w:noProof/>
        </w:rPr>
        <w:t>3, член 9, параграф 3, член 11, параграф 3 и член 12, параграф 2 следва да се упражняват в съответствие с Регламент (ЕС) № 182/2011 на Европейския парламент и на Съвета</w:t>
      </w:r>
      <w:r>
        <w:rPr>
          <w:rStyle w:val="FootnoteReference"/>
          <w:noProof/>
        </w:rPr>
        <w:footnoteReference w:id="28"/>
      </w:r>
      <w:r>
        <w:rPr>
          <w:noProof/>
        </w:rPr>
        <w:t>.</w:t>
      </w:r>
    </w:p>
    <w:p w:rsidR="00185C77" w:rsidRDefault="00176197">
      <w:pPr>
        <w:pStyle w:val="Point0number"/>
        <w:rPr>
          <w:noProof/>
        </w:rPr>
      </w:pPr>
      <w:r>
        <w:rPr>
          <w:noProof/>
        </w:rPr>
        <w:t>Правомощието да приема актове в съответствие с член 290 от Договора за функциониранет</w:t>
      </w:r>
      <w:r>
        <w:rPr>
          <w:noProof/>
        </w:rPr>
        <w:t>о на Европейския съюз следва да се делегира на Комисията с цел да изменя или допълва несъществени елементи от разпоредбите на настоящия регламент — за коригиране на еталонните емисии на CO</w:t>
      </w:r>
      <w:r>
        <w:rPr>
          <w:noProof/>
          <w:vertAlign w:val="subscript"/>
        </w:rPr>
        <w:t>2</w:t>
      </w:r>
      <w:r>
        <w:rPr>
          <w:noProof/>
        </w:rPr>
        <w:t xml:space="preserve"> съгласно член 12, параграф 2, и за изменение на приложения I и II </w:t>
      </w:r>
      <w:r>
        <w:rPr>
          <w:noProof/>
        </w:rPr>
        <w:t>по отношение на някои технически параметри, в т.ч. тегловните коефициенти на профилите на движение, полезния товар, годишния пробег и корекционните коефициенти за полезен товар. От особена важност е по време на подготвителната си работа Комисията да провед</w:t>
      </w:r>
      <w:r>
        <w:rPr>
          <w:noProof/>
        </w:rPr>
        <w:t>е подходящи консултации, включително на експертно равнище, които да бъдат съобразени с принципите, заложени в Междуинституционалното споразумение за по-добро законотворчество от 13 април 2016 г.</w:t>
      </w:r>
      <w:r>
        <w:rPr>
          <w:rStyle w:val="FootnoteReference"/>
          <w:noProof/>
        </w:rPr>
        <w:footnoteReference w:id="29"/>
      </w:r>
      <w:r>
        <w:rPr>
          <w:noProof/>
        </w:rPr>
        <w:t>. По-специално, за да се гарантира равностойно участие в изго</w:t>
      </w:r>
      <w:r>
        <w:rPr>
          <w:noProof/>
        </w:rPr>
        <w:t>твянето на делегирани актове, Европейският парламент и Съветът следва да получават всички документи едновременно с експертите на държавите членки, а техните експерти следва да имат редовен достъп до заседанията на експертните групи на Комисията, които се з</w:t>
      </w:r>
      <w:r>
        <w:rPr>
          <w:noProof/>
        </w:rPr>
        <w:t>анимават с изготвянето на делегираните актове.</w:t>
      </w:r>
    </w:p>
    <w:p w:rsidR="00185C77" w:rsidRDefault="00176197">
      <w:pPr>
        <w:pStyle w:val="Point0number"/>
        <w:rPr>
          <w:noProof/>
        </w:rPr>
      </w:pPr>
      <w:r>
        <w:rPr>
          <w:noProof/>
        </w:rPr>
        <w:t>Тъй като целите на настоящия регламент, а именно определяне на стандарти за емисиите на CO</w:t>
      </w:r>
      <w:r>
        <w:rPr>
          <w:noProof/>
          <w:vertAlign w:val="subscript"/>
        </w:rPr>
        <w:t>2</w:t>
      </w:r>
      <w:r>
        <w:rPr>
          <w:noProof/>
        </w:rPr>
        <w:t xml:space="preserve"> от нови тежкотоварни превозни средства, не могат да бъдат постигнати в достатъчна степен от държавите членки и следов</w:t>
      </w:r>
      <w:r>
        <w:rPr>
          <w:noProof/>
        </w:rPr>
        <w:t>ателно — като се имат предвид мащабът и последиците —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w:t>
      </w:r>
      <w:r>
        <w:rPr>
          <w:noProof/>
        </w:rPr>
        <w:t>па на пропорционалност, уреден в същия член, настоящият регламент не надхвърля необходимото за постигането на тази цел,</w:t>
      </w:r>
    </w:p>
    <w:p w:rsidR="00185C77" w:rsidRDefault="00176197">
      <w:pPr>
        <w:pStyle w:val="Formuledadoption"/>
        <w:rPr>
          <w:noProof/>
        </w:rPr>
      </w:pPr>
      <w:r>
        <w:rPr>
          <w:noProof/>
        </w:rPr>
        <w:t>ПРИЕХА НАСТОЯЩИЯ РЕГЛАМЕНТ:</w:t>
      </w:r>
    </w:p>
    <w:p w:rsidR="00185C77" w:rsidRDefault="00176197">
      <w:pPr>
        <w:pStyle w:val="Titrearticle"/>
        <w:rPr>
          <w:noProof/>
        </w:rPr>
      </w:pPr>
      <w:r>
        <w:rPr>
          <w:noProof/>
        </w:rPr>
        <w:t>Член 1</w:t>
      </w:r>
      <w:r>
        <w:rPr>
          <w:noProof/>
        </w:rPr>
        <w:br/>
        <w:t>Предмет и цел</w:t>
      </w:r>
    </w:p>
    <w:p w:rsidR="00185C77" w:rsidRDefault="00176197">
      <w:pPr>
        <w:rPr>
          <w:noProof/>
        </w:rPr>
      </w:pPr>
      <w:r>
        <w:rPr>
          <w:noProof/>
        </w:rPr>
        <w:t xml:space="preserve">С оглед Съюзът да може да изпълни целта си през 2030 г. емисиите на парникови газове в </w:t>
      </w:r>
      <w:r>
        <w:rPr>
          <w:noProof/>
        </w:rPr>
        <w:t>секторите, попадащи в обхвата на член 2 от Регламент (ЕС) 2018/..... [Регламент за разпределяне на усилията], да намалеят с 30 % спрямо равнищата от 2005 г., както и за да се постигнат целите по Парижкото споразумение и да се гарантира правилното функциони</w:t>
      </w:r>
      <w:r>
        <w:rPr>
          <w:noProof/>
        </w:rPr>
        <w:t>ране на вътрешния пазар, с настоящия регламент се определят стандарти за емисиите на CO</w:t>
      </w:r>
      <w:r>
        <w:rPr>
          <w:noProof/>
          <w:vertAlign w:val="subscript"/>
        </w:rPr>
        <w:t>2</w:t>
      </w:r>
      <w:r>
        <w:rPr>
          <w:noProof/>
        </w:rPr>
        <w:t xml:space="preserve"> от нови тежкотоварни превозни средства, така че специфичните емисии на CO</w:t>
      </w:r>
      <w:r>
        <w:rPr>
          <w:noProof/>
          <w:vertAlign w:val="subscript"/>
        </w:rPr>
        <w:t>2</w:t>
      </w:r>
      <w:r>
        <w:rPr>
          <w:noProof/>
        </w:rPr>
        <w:t xml:space="preserve"> от новите тежкотоварни превозни средства в Съюза да намалеят спрямо еталонните емисии на CO</w:t>
      </w:r>
      <w:r>
        <w:rPr>
          <w:noProof/>
          <w:vertAlign w:val="subscript"/>
        </w:rPr>
        <w:t>2</w:t>
      </w:r>
      <w:r>
        <w:rPr>
          <w:noProof/>
        </w:rPr>
        <w:t>, както следва:</w:t>
      </w:r>
    </w:p>
    <w:p w:rsidR="00185C77" w:rsidRDefault="00176197">
      <w:pPr>
        <w:pStyle w:val="Point0letter"/>
        <w:numPr>
          <w:ilvl w:val="1"/>
          <w:numId w:val="19"/>
        </w:numPr>
        <w:rPr>
          <w:noProof/>
        </w:rPr>
      </w:pPr>
      <w:r>
        <w:rPr>
          <w:noProof/>
        </w:rPr>
        <w:t>от 1 януари 2025 г. до 31 декември 2029 г. — с 15 %;</w:t>
      </w:r>
    </w:p>
    <w:p w:rsidR="00185C77" w:rsidRDefault="00176197">
      <w:pPr>
        <w:pStyle w:val="Point0letter"/>
        <w:numPr>
          <w:ilvl w:val="1"/>
          <w:numId w:val="19"/>
        </w:numPr>
        <w:rPr>
          <w:noProof/>
        </w:rPr>
      </w:pPr>
      <w:r>
        <w:rPr>
          <w:noProof/>
        </w:rPr>
        <w:t>от 1 януари 2030 г. нататък — най-малко с 30 % в зависимост от резултатите от извършения преглед в съответствие с член 13.</w:t>
      </w:r>
    </w:p>
    <w:p w:rsidR="00185C77" w:rsidRDefault="00176197">
      <w:pPr>
        <w:rPr>
          <w:noProof/>
        </w:rPr>
      </w:pPr>
      <w:r>
        <w:rPr>
          <w:noProof/>
        </w:rPr>
        <w:t>Еталонните емисии на CO</w:t>
      </w:r>
      <w:r>
        <w:rPr>
          <w:noProof/>
          <w:vertAlign w:val="subscript"/>
        </w:rPr>
        <w:t>2</w:t>
      </w:r>
      <w:r>
        <w:rPr>
          <w:noProof/>
        </w:rPr>
        <w:t xml:space="preserve"> се определят въз основа на данните от м</w:t>
      </w:r>
      <w:r>
        <w:rPr>
          <w:noProof/>
        </w:rPr>
        <w:t>ониторинга през 2019 г., докладвани съгласно Регламент (ЕС) 2018/.... [мониторинг и докладване за ТПС], без да се включват специализираните превозни средства, и се изчисляват в съответствие с приложение I, точка 3.</w:t>
      </w:r>
    </w:p>
    <w:p w:rsidR="00185C77" w:rsidRDefault="00176197">
      <w:pPr>
        <w:pStyle w:val="Titrearticle"/>
        <w:rPr>
          <w:noProof/>
        </w:rPr>
      </w:pPr>
      <w:r>
        <w:rPr>
          <w:noProof/>
        </w:rPr>
        <w:t>Член 2</w:t>
      </w:r>
      <w:r>
        <w:rPr>
          <w:noProof/>
        </w:rPr>
        <w:br/>
        <w:t>Приложно поле</w:t>
      </w:r>
    </w:p>
    <w:p w:rsidR="00185C77" w:rsidRDefault="00176197">
      <w:pPr>
        <w:pStyle w:val="ManualNumPar1"/>
        <w:rPr>
          <w:noProof/>
        </w:rPr>
      </w:pPr>
      <w:r>
        <w:rPr>
          <w:noProof/>
        </w:rPr>
        <w:t>1.</w:t>
      </w:r>
      <w:r>
        <w:rPr>
          <w:noProof/>
        </w:rPr>
        <w:tab/>
        <w:t>Настоящият реглам</w:t>
      </w:r>
      <w:r>
        <w:rPr>
          <w:noProof/>
        </w:rPr>
        <w:t>ент се прилага за нови превозни средства от категории N2 и N3 със следните характеристики:</w:t>
      </w:r>
    </w:p>
    <w:p w:rsidR="00185C77" w:rsidRDefault="00176197">
      <w:pPr>
        <w:pStyle w:val="Point1"/>
        <w:rPr>
          <w:noProof/>
        </w:rPr>
      </w:pPr>
      <w:r>
        <w:rPr>
          <w:noProof/>
        </w:rPr>
        <w:t>а)</w:t>
      </w:r>
      <w:r>
        <w:rPr>
          <w:noProof/>
        </w:rPr>
        <w:tab/>
        <w:t>несъчленени товарни автомобили с конфигурация на осите 4x2 и технически допустима максимална маса с товар над 16 тона;</w:t>
      </w:r>
    </w:p>
    <w:p w:rsidR="00185C77" w:rsidRDefault="00176197">
      <w:pPr>
        <w:pStyle w:val="Point1"/>
        <w:rPr>
          <w:noProof/>
        </w:rPr>
      </w:pPr>
      <w:r>
        <w:rPr>
          <w:noProof/>
        </w:rPr>
        <w:t>б)</w:t>
      </w:r>
      <w:r>
        <w:rPr>
          <w:noProof/>
        </w:rPr>
        <w:tab/>
        <w:t>несъчленени товарни автомобили с конфигу</w:t>
      </w:r>
      <w:r>
        <w:rPr>
          <w:noProof/>
        </w:rPr>
        <w:t>рация на осите 6x2;</w:t>
      </w:r>
    </w:p>
    <w:p w:rsidR="00185C77" w:rsidRDefault="00176197">
      <w:pPr>
        <w:pStyle w:val="Point1"/>
        <w:rPr>
          <w:noProof/>
        </w:rPr>
      </w:pPr>
      <w:r>
        <w:rPr>
          <w:noProof/>
        </w:rPr>
        <w:t>в)</w:t>
      </w:r>
      <w:r>
        <w:rPr>
          <w:noProof/>
        </w:rPr>
        <w:tab/>
        <w:t>влекачи с конфигурация на осите 4x2 и технически допустима максимална маса с товар над 16 тона;</w:t>
      </w:r>
    </w:p>
    <w:p w:rsidR="00185C77" w:rsidRDefault="00176197">
      <w:pPr>
        <w:pStyle w:val="Point1"/>
        <w:rPr>
          <w:noProof/>
        </w:rPr>
      </w:pPr>
      <w:r>
        <w:rPr>
          <w:noProof/>
        </w:rPr>
        <w:t>г)</w:t>
      </w:r>
      <w:r>
        <w:rPr>
          <w:noProof/>
        </w:rPr>
        <w:tab/>
        <w:t>влекачи с конфигурация на осите 6x2.</w:t>
      </w:r>
    </w:p>
    <w:p w:rsidR="00185C77" w:rsidRDefault="00176197">
      <w:pPr>
        <w:pStyle w:val="Text1"/>
        <w:rPr>
          <w:noProof/>
        </w:rPr>
      </w:pPr>
      <w:r>
        <w:rPr>
          <w:noProof/>
        </w:rPr>
        <w:t xml:space="preserve">За целите на член 5 и приложение I, точка 2.3 настоящият регламент се прилага също така за </w:t>
      </w:r>
      <w:r>
        <w:rPr>
          <w:noProof/>
        </w:rPr>
        <w:t>превозни средства от категории M2 и M3, както и за превозни средства от категория N, които не попадат в приложното поле на Регламент (ЕС) № 510/2011 и не притежават характеристиките, посочени в букви а) — г).</w:t>
      </w:r>
    </w:p>
    <w:p w:rsidR="00185C77" w:rsidRDefault="00176197">
      <w:pPr>
        <w:pStyle w:val="ManualNumPar1"/>
        <w:rPr>
          <w:noProof/>
        </w:rPr>
      </w:pPr>
      <w:r>
        <w:rPr>
          <w:noProof/>
        </w:rPr>
        <w:t>2.</w:t>
      </w:r>
      <w:r>
        <w:rPr>
          <w:noProof/>
        </w:rPr>
        <w:tab/>
        <w:t xml:space="preserve">За целите на настоящия регламент превозните </w:t>
      </w:r>
      <w:r>
        <w:rPr>
          <w:noProof/>
        </w:rPr>
        <w:t>средства, посочени в параграф 1, се считат за нови тежкотоварни превозни средства през дадена календарна година, ако са регистрирани за пръв път в Съюза през съответната година и преди това не са били регистрирани извън Съюза.</w:t>
      </w:r>
    </w:p>
    <w:p w:rsidR="00185C77" w:rsidRDefault="00176197">
      <w:pPr>
        <w:pStyle w:val="Text1"/>
        <w:rPr>
          <w:noProof/>
        </w:rPr>
      </w:pPr>
      <w:r>
        <w:rPr>
          <w:noProof/>
        </w:rPr>
        <w:t>Предишна регистрация извън Съ</w:t>
      </w:r>
      <w:r>
        <w:rPr>
          <w:noProof/>
        </w:rPr>
        <w:t>юза не се взема предвид, ако е извършена по-малко от три месеца преди регистрацията в Съюза.</w:t>
      </w:r>
    </w:p>
    <w:p w:rsidR="00185C77" w:rsidRDefault="00176197">
      <w:pPr>
        <w:pStyle w:val="Titrearticle"/>
        <w:rPr>
          <w:noProof/>
        </w:rPr>
      </w:pPr>
      <w:r>
        <w:rPr>
          <w:noProof/>
        </w:rPr>
        <w:t>Член 3</w:t>
      </w:r>
      <w:r>
        <w:rPr>
          <w:noProof/>
        </w:rPr>
        <w:br/>
        <w:t>Определения</w:t>
      </w:r>
    </w:p>
    <w:p w:rsidR="00185C77" w:rsidRDefault="00176197">
      <w:pPr>
        <w:rPr>
          <w:noProof/>
        </w:rPr>
      </w:pPr>
      <w:r>
        <w:rPr>
          <w:noProof/>
        </w:rPr>
        <w:t>За целите на настоящия регламент се прилагат следните определения:</w:t>
      </w:r>
    </w:p>
    <w:p w:rsidR="00185C77" w:rsidRDefault="00176197">
      <w:pPr>
        <w:pStyle w:val="Point0"/>
        <w:rPr>
          <w:noProof/>
        </w:rPr>
      </w:pPr>
      <w:r>
        <w:rPr>
          <w:noProof/>
        </w:rPr>
        <w:t>а)</w:t>
      </w:r>
      <w:r>
        <w:rPr>
          <w:noProof/>
        </w:rPr>
        <w:tab/>
        <w:t>„еталонни емисии на CO</w:t>
      </w:r>
      <w:r>
        <w:rPr>
          <w:noProof/>
          <w:vertAlign w:val="subscript"/>
        </w:rPr>
        <w:t>2</w:t>
      </w:r>
      <w:r>
        <w:rPr>
          <w:noProof/>
        </w:rPr>
        <w:t>“ означава средните специфични емисии за 2019 г. на</w:t>
      </w:r>
      <w:r>
        <w:rPr>
          <w:noProof/>
        </w:rPr>
        <w:t xml:space="preserve"> всички нови тежкотоварни превозни средства във всяка подгрупа на превозното средство, с изключение на специализираните превозни средства, определени в съответствие с приложение I, точка 3;</w:t>
      </w:r>
    </w:p>
    <w:p w:rsidR="00185C77" w:rsidRDefault="00176197">
      <w:pPr>
        <w:pStyle w:val="Point0"/>
        <w:rPr>
          <w:noProof/>
        </w:rPr>
      </w:pPr>
      <w:r>
        <w:rPr>
          <w:noProof/>
        </w:rPr>
        <w:t>б)</w:t>
      </w:r>
      <w:r>
        <w:rPr>
          <w:noProof/>
        </w:rPr>
        <w:tab/>
        <w:t>„специфични емисии“ означава емисиите на CO</w:t>
      </w:r>
      <w:r>
        <w:rPr>
          <w:noProof/>
          <w:vertAlign w:val="subscript"/>
        </w:rPr>
        <w:t>2</w:t>
      </w:r>
      <w:r>
        <w:rPr>
          <w:noProof/>
        </w:rPr>
        <w:t xml:space="preserve"> от отделно тежкото</w:t>
      </w:r>
      <w:r>
        <w:rPr>
          <w:noProof/>
        </w:rPr>
        <w:t>варно превозно средство, определени в съответствие с приложение I, точка 2.1;</w:t>
      </w:r>
    </w:p>
    <w:p w:rsidR="00185C77" w:rsidRDefault="00176197">
      <w:pPr>
        <w:pStyle w:val="Point0"/>
        <w:rPr>
          <w:noProof/>
        </w:rPr>
      </w:pPr>
      <w:r>
        <w:rPr>
          <w:noProof/>
        </w:rPr>
        <w:t>в)</w:t>
      </w:r>
      <w:r>
        <w:rPr>
          <w:noProof/>
        </w:rPr>
        <w:tab/>
        <w:t>„средни специфични емисии“ означава средната стойност на специфичните емисии от новите тежкотоварни превозни средства на даден производител през дадена календарна година, опре</w:t>
      </w:r>
      <w:r>
        <w:rPr>
          <w:noProof/>
        </w:rPr>
        <w:t>делени в съответствие с приложение I, точка 2.7;</w:t>
      </w:r>
    </w:p>
    <w:p w:rsidR="00185C77" w:rsidRDefault="00176197">
      <w:pPr>
        <w:pStyle w:val="Point0"/>
        <w:rPr>
          <w:noProof/>
          <w:szCs w:val="24"/>
        </w:rPr>
      </w:pPr>
      <w:r>
        <w:rPr>
          <w:noProof/>
          <w:sz w:val="22"/>
        </w:rPr>
        <w:t>г)</w:t>
      </w:r>
      <w:r>
        <w:rPr>
          <w:noProof/>
        </w:rPr>
        <w:tab/>
        <w:t>„цел за специфични емисии“ означава целта за даден производител, изразена в g/tkm, която се определя всяка година за предходната календарна година в съответствие с приложение I, точка 4;</w:t>
      </w:r>
    </w:p>
    <w:p w:rsidR="00185C77" w:rsidRDefault="00176197">
      <w:pPr>
        <w:pStyle w:val="Point0"/>
        <w:rPr>
          <w:noProof/>
        </w:rPr>
      </w:pPr>
      <w:r>
        <w:rPr>
          <w:noProof/>
        </w:rPr>
        <w:t>д)</w:t>
      </w:r>
      <w:r>
        <w:rPr>
          <w:noProof/>
        </w:rPr>
        <w:tab/>
        <w:t>„несъчленен то</w:t>
      </w:r>
      <w:r>
        <w:rPr>
          <w:noProof/>
        </w:rPr>
        <w:t>варен автомобил“ означава товарен автомобил, който не е проектиран или конструиран да тегли полуремарке;</w:t>
      </w:r>
    </w:p>
    <w:p w:rsidR="00185C77" w:rsidRDefault="00176197">
      <w:pPr>
        <w:pStyle w:val="Point0"/>
        <w:rPr>
          <w:noProof/>
        </w:rPr>
      </w:pPr>
      <w:r>
        <w:rPr>
          <w:noProof/>
        </w:rPr>
        <w:t>е)</w:t>
      </w:r>
      <w:r>
        <w:rPr>
          <w:noProof/>
        </w:rPr>
        <w:tab/>
        <w:t xml:space="preserve">„влекач“ означава влекач, който е проектиран и конструиран изключително или главно да тегли полуремаркета; </w:t>
      </w:r>
    </w:p>
    <w:p w:rsidR="00185C77" w:rsidRDefault="00176197">
      <w:pPr>
        <w:pStyle w:val="Point0"/>
        <w:rPr>
          <w:noProof/>
        </w:rPr>
      </w:pPr>
      <w:r>
        <w:rPr>
          <w:noProof/>
        </w:rPr>
        <w:t>ж)</w:t>
      </w:r>
      <w:r>
        <w:rPr>
          <w:noProof/>
        </w:rPr>
        <w:tab/>
        <w:t>„подгрупа на превозното средство“ озн</w:t>
      </w:r>
      <w:r>
        <w:rPr>
          <w:noProof/>
        </w:rPr>
        <w:t>ачава група превозни средства, определена в приложение I, точка 1, които имат общи характеристики и отличителен набор технически критерии, които са от значение за определяне на емисиите на CO</w:t>
      </w:r>
      <w:r>
        <w:rPr>
          <w:noProof/>
          <w:vertAlign w:val="subscript"/>
        </w:rPr>
        <w:t>2</w:t>
      </w:r>
      <w:r>
        <w:rPr>
          <w:noProof/>
        </w:rPr>
        <w:t xml:space="preserve"> и разхода на гориво;</w:t>
      </w:r>
    </w:p>
    <w:p w:rsidR="00185C77" w:rsidRDefault="00176197">
      <w:pPr>
        <w:pStyle w:val="Point0"/>
        <w:rPr>
          <w:noProof/>
          <w:szCs w:val="24"/>
        </w:rPr>
      </w:pPr>
      <w:r>
        <w:rPr>
          <w:noProof/>
          <w:sz w:val="22"/>
        </w:rPr>
        <w:t>з)</w:t>
      </w:r>
      <w:r>
        <w:rPr>
          <w:noProof/>
        </w:rPr>
        <w:tab/>
        <w:t>„специализирано превозно средство“ озна</w:t>
      </w:r>
      <w:r>
        <w:rPr>
          <w:noProof/>
        </w:rPr>
        <w:t>чава тежкотоварно превозно средство, което не е предназначено за доставка на стоки и чиито емисии на CO</w:t>
      </w:r>
      <w:r>
        <w:rPr>
          <w:noProof/>
          <w:vertAlign w:val="subscript"/>
        </w:rPr>
        <w:t>2</w:t>
      </w:r>
      <w:r>
        <w:rPr>
          <w:noProof/>
        </w:rPr>
        <w:t xml:space="preserve"> и разход на гориво са определени в съответствие с Регламент (ЕО) № 595/2009 и мерките за неговото прилагане само за профили на движение, различни от по</w:t>
      </w:r>
      <w:r>
        <w:rPr>
          <w:noProof/>
        </w:rPr>
        <w:t>сочените в точка 2.1 от приложение I към настоящия регламент;</w:t>
      </w:r>
    </w:p>
    <w:p w:rsidR="00185C77" w:rsidRDefault="00176197">
      <w:pPr>
        <w:pStyle w:val="Point0"/>
        <w:rPr>
          <w:noProof/>
          <w:szCs w:val="24"/>
        </w:rPr>
      </w:pPr>
      <w:r>
        <w:rPr>
          <w:noProof/>
        </w:rPr>
        <w:t>и)</w:t>
      </w:r>
      <w:r>
        <w:rPr>
          <w:noProof/>
        </w:rPr>
        <w:tab/>
        <w:t>„производител“ означава лицето или организацията, които отговарят за подаването на данните относно новите тежкотоварни превозни средства в съответствие с член 5 от Регламент (ЕС) 2018/...., и</w:t>
      </w:r>
      <w:r>
        <w:rPr>
          <w:noProof/>
        </w:rPr>
        <w:t>ли — за тежкотоварни превозни средства с нулеви емисии — лицето или организацията, които носят отговорност пред органа по одобряването за всички аспекти, свързани с процедурата за ЕО одобряване на типа на цяло превозно средство или за индивидуално одобрява</w:t>
      </w:r>
      <w:r>
        <w:rPr>
          <w:noProof/>
        </w:rPr>
        <w:t>не в съответствие с Директива 2007/46/ЕО, както и за осигуряване на съответствието на производството;</w:t>
      </w:r>
    </w:p>
    <w:p w:rsidR="00185C77" w:rsidRDefault="00176197">
      <w:pPr>
        <w:pStyle w:val="Point0"/>
        <w:rPr>
          <w:noProof/>
          <w:szCs w:val="24"/>
        </w:rPr>
      </w:pPr>
      <w:r>
        <w:rPr>
          <w:noProof/>
        </w:rPr>
        <w:t>й)</w:t>
      </w:r>
      <w:r>
        <w:rPr>
          <w:noProof/>
        </w:rPr>
        <w:tab/>
        <w:t>„тежкотоварно превозно средство с нулеви емисии“ означава тежкотоварно превозно средство без двигател с вътрешно горене или с двигател с вътрешно горен</w:t>
      </w:r>
      <w:r>
        <w:rPr>
          <w:noProof/>
        </w:rPr>
        <w:t>е, който отделя по-малко от 1 g CO</w:t>
      </w:r>
      <w:r>
        <w:rPr>
          <w:noProof/>
          <w:vertAlign w:val="subscript"/>
        </w:rPr>
        <w:t>2</w:t>
      </w:r>
      <w:r>
        <w:rPr>
          <w:noProof/>
        </w:rPr>
        <w:t>/kWh, като количеството е опредено в съответствие с Регламент (ЕО) № 595/2009 и мерките за неговото прилагане, или по-малко от 1 g CO</w:t>
      </w:r>
      <w:r>
        <w:rPr>
          <w:noProof/>
          <w:vertAlign w:val="subscript"/>
        </w:rPr>
        <w:t>2</w:t>
      </w:r>
      <w:r>
        <w:rPr>
          <w:noProof/>
        </w:rPr>
        <w:t xml:space="preserve">/km, като количеството е опредено в съответствие с Регламент (ЕО) № 715/2007 и мерките </w:t>
      </w:r>
      <w:r>
        <w:rPr>
          <w:noProof/>
        </w:rPr>
        <w:t>за неговото прилагане;</w:t>
      </w:r>
    </w:p>
    <w:p w:rsidR="00185C77" w:rsidRDefault="00176197">
      <w:pPr>
        <w:pStyle w:val="Point0"/>
        <w:rPr>
          <w:noProof/>
          <w:szCs w:val="24"/>
        </w:rPr>
      </w:pPr>
      <w:r>
        <w:rPr>
          <w:noProof/>
          <w:sz w:val="22"/>
        </w:rPr>
        <w:t>к)</w:t>
      </w:r>
      <w:r>
        <w:rPr>
          <w:noProof/>
        </w:rPr>
        <w:tab/>
        <w:t>„тежкотоварно превозно средство с ниски емисии“ означава тежкотоварно превозно средство, което не е с нулеви емисии и чиито специфични емисии на CO</w:t>
      </w:r>
      <w:r>
        <w:rPr>
          <w:noProof/>
          <w:vertAlign w:val="subscript"/>
        </w:rPr>
        <w:t>2</w:t>
      </w:r>
      <w:r>
        <w:rPr>
          <w:noProof/>
        </w:rPr>
        <w:t xml:space="preserve"> са по-малко от 350 g CO</w:t>
      </w:r>
      <w:r>
        <w:rPr>
          <w:noProof/>
          <w:vertAlign w:val="subscript"/>
        </w:rPr>
        <w:t>2</w:t>
      </w:r>
      <w:r>
        <w:rPr>
          <w:noProof/>
        </w:rPr>
        <w:t>/km, като количеството е определено съгласно приложение I</w:t>
      </w:r>
      <w:r>
        <w:rPr>
          <w:noProof/>
        </w:rPr>
        <w:t>, точка 2.1;</w:t>
      </w:r>
    </w:p>
    <w:p w:rsidR="00185C77" w:rsidRDefault="00176197">
      <w:pPr>
        <w:pStyle w:val="Point0"/>
        <w:rPr>
          <w:noProof/>
          <w:sz w:val="22"/>
        </w:rPr>
      </w:pPr>
      <w:r>
        <w:rPr>
          <w:noProof/>
          <w:sz w:val="22"/>
        </w:rPr>
        <w:t>л)</w:t>
      </w:r>
      <w:r>
        <w:rPr>
          <w:noProof/>
        </w:rPr>
        <w:tab/>
        <w:t>„профил на движение“ означава съчетание от целева скорост, стойност на полезния товар, конфигурация на каросерията или на ремаркето и други параметри, ако е приложимо, което отразява специфичната употреба на превозното средство и въз основа</w:t>
      </w:r>
      <w:r>
        <w:rPr>
          <w:noProof/>
        </w:rPr>
        <w:t xml:space="preserve"> на което се определят официалните емисии на CO</w:t>
      </w:r>
      <w:r>
        <w:rPr>
          <w:noProof/>
          <w:vertAlign w:val="subscript"/>
        </w:rPr>
        <w:t>2</w:t>
      </w:r>
      <w:r>
        <w:rPr>
          <w:noProof/>
        </w:rPr>
        <w:t xml:space="preserve"> и разходът на гориво за тежкотоварно превозно средство;</w:t>
      </w:r>
    </w:p>
    <w:p w:rsidR="00185C77" w:rsidRDefault="00176197">
      <w:pPr>
        <w:pStyle w:val="Point0"/>
        <w:rPr>
          <w:noProof/>
          <w:sz w:val="22"/>
        </w:rPr>
      </w:pPr>
      <w:r>
        <w:rPr>
          <w:noProof/>
          <w:sz w:val="22"/>
        </w:rPr>
        <w:t>м)</w:t>
      </w:r>
      <w:r>
        <w:rPr>
          <w:noProof/>
        </w:rPr>
        <w:tab/>
        <w:t>„целева скорост“ означава описанието на скоростта на превозното средство, която водачът иска да достигне или до която е ограничен от условията на дв</w:t>
      </w:r>
      <w:r>
        <w:rPr>
          <w:noProof/>
        </w:rPr>
        <w:t>ижението, като функция от разстоянието, изминато по време на пътуването;</w:t>
      </w:r>
    </w:p>
    <w:p w:rsidR="00185C77" w:rsidRDefault="00176197">
      <w:pPr>
        <w:pStyle w:val="Point0"/>
        <w:rPr>
          <w:noProof/>
          <w:szCs w:val="24"/>
        </w:rPr>
      </w:pPr>
      <w:r>
        <w:rPr>
          <w:noProof/>
          <w:sz w:val="22"/>
        </w:rPr>
        <w:t>н)</w:t>
      </w:r>
      <w:r>
        <w:rPr>
          <w:noProof/>
        </w:rPr>
        <w:tab/>
        <w:t>„полезен товар“ означава теглото на стоките или лицата, пренасяни от превозното средство при различни условия.</w:t>
      </w:r>
    </w:p>
    <w:p w:rsidR="00185C77" w:rsidRDefault="00176197">
      <w:pPr>
        <w:pStyle w:val="Titrearticle"/>
        <w:rPr>
          <w:noProof/>
        </w:rPr>
      </w:pPr>
      <w:r>
        <w:rPr>
          <w:noProof/>
        </w:rPr>
        <w:t>Член 4</w:t>
      </w:r>
      <w:r>
        <w:rPr>
          <w:noProof/>
        </w:rPr>
        <w:br/>
        <w:t>Средни специфични емисии на производителя</w:t>
      </w:r>
    </w:p>
    <w:p w:rsidR="00185C77" w:rsidRDefault="00176197">
      <w:pPr>
        <w:rPr>
          <w:noProof/>
        </w:rPr>
      </w:pPr>
      <w:r>
        <w:rPr>
          <w:noProof/>
        </w:rPr>
        <w:t>От 2020 г. и за всяк</w:t>
      </w:r>
      <w:r>
        <w:rPr>
          <w:noProof/>
        </w:rPr>
        <w:t>а следваща календарна година Комисията определя с актовете за изпълнение, посочени в член 10, параграф 1, средните специфични емисии на CO</w:t>
      </w:r>
      <w:r>
        <w:rPr>
          <w:noProof/>
          <w:vertAlign w:val="subscript"/>
        </w:rPr>
        <w:t>2</w:t>
      </w:r>
      <w:r>
        <w:rPr>
          <w:noProof/>
        </w:rPr>
        <w:t xml:space="preserve"> в g/tkm за всеки производител за предходната календарна година, като взема предвид следното:</w:t>
      </w:r>
    </w:p>
    <w:p w:rsidR="00185C77" w:rsidRDefault="00176197">
      <w:pPr>
        <w:pStyle w:val="Point0"/>
        <w:rPr>
          <w:noProof/>
        </w:rPr>
      </w:pPr>
      <w:r>
        <w:rPr>
          <w:noProof/>
        </w:rPr>
        <w:t>а)</w:t>
      </w:r>
      <w:r>
        <w:rPr>
          <w:noProof/>
        </w:rPr>
        <w:tab/>
        <w:t xml:space="preserve">данните, докладвани </w:t>
      </w:r>
      <w:r>
        <w:rPr>
          <w:noProof/>
        </w:rPr>
        <w:t>съгласно Регламент (ЕС) 2018/.... [мониторинг &amp; докладване за ТПС] за новите тежкотоварни превозни средства на производителя, регистрирани през съответната година, с изключение на специализираните превозни средства;</w:t>
      </w:r>
    </w:p>
    <w:p w:rsidR="00185C77" w:rsidRDefault="00176197">
      <w:pPr>
        <w:pStyle w:val="Point0"/>
        <w:ind w:left="720" w:hanging="720"/>
        <w:rPr>
          <w:noProof/>
        </w:rPr>
      </w:pPr>
      <w:r>
        <w:rPr>
          <w:noProof/>
        </w:rPr>
        <w:t>б)</w:t>
      </w:r>
      <w:r>
        <w:rPr>
          <w:noProof/>
        </w:rPr>
        <w:tab/>
        <w:t>коефициента за нулеви и ниски емисии,</w:t>
      </w:r>
      <w:r>
        <w:rPr>
          <w:noProof/>
        </w:rPr>
        <w:t xml:space="preserve"> определен в съответствие с член 5.</w:t>
      </w:r>
    </w:p>
    <w:p w:rsidR="00185C77" w:rsidRDefault="00176197">
      <w:pPr>
        <w:rPr>
          <w:noProof/>
        </w:rPr>
      </w:pPr>
      <w:r>
        <w:rPr>
          <w:noProof/>
        </w:rPr>
        <w:t>Средните специфични емисии се изчисляват в съответствие с приложение I, точка 2.7.</w:t>
      </w:r>
    </w:p>
    <w:p w:rsidR="00185C77" w:rsidRDefault="00176197">
      <w:pPr>
        <w:pStyle w:val="Titrearticle"/>
        <w:rPr>
          <w:noProof/>
        </w:rPr>
      </w:pPr>
      <w:r>
        <w:rPr>
          <w:noProof/>
        </w:rPr>
        <w:t>Член 5</w:t>
      </w:r>
      <w:r>
        <w:rPr>
          <w:noProof/>
        </w:rPr>
        <w:br/>
        <w:t>Тежкотоварни превозни средства с нулеви и ниски емисии</w:t>
      </w:r>
    </w:p>
    <w:p w:rsidR="00185C77" w:rsidRDefault="00176197">
      <w:pPr>
        <w:pStyle w:val="ManualNumPar1"/>
        <w:rPr>
          <w:noProof/>
        </w:rPr>
      </w:pPr>
      <w:r>
        <w:rPr>
          <w:noProof/>
        </w:rPr>
        <w:t>1.</w:t>
      </w:r>
      <w:r>
        <w:rPr>
          <w:noProof/>
        </w:rPr>
        <w:tab/>
        <w:t>От 2020 г. и за всяка следваща календарна година Комисията определя с ак</w:t>
      </w:r>
      <w:r>
        <w:rPr>
          <w:noProof/>
        </w:rPr>
        <w:t xml:space="preserve">товете за изпълнение, посочени в член 10, параграф 1, коефициента за нулеви и ниски емисии, посочен в член 4, буква б), за всеки производител за предходната календарна година. </w:t>
      </w:r>
    </w:p>
    <w:p w:rsidR="00185C77" w:rsidRDefault="00176197">
      <w:pPr>
        <w:pStyle w:val="Text1"/>
        <w:rPr>
          <w:noProof/>
        </w:rPr>
      </w:pPr>
      <w:r>
        <w:rPr>
          <w:noProof/>
        </w:rPr>
        <w:t>С коефициента за нулеви и ниски емисии се отчитат броят на тежкотоварните прево</w:t>
      </w:r>
      <w:r>
        <w:rPr>
          <w:noProof/>
        </w:rPr>
        <w:t>зни средства на производителя и емисиите на CO</w:t>
      </w:r>
      <w:r>
        <w:rPr>
          <w:noProof/>
          <w:vertAlign w:val="subscript"/>
        </w:rPr>
        <w:t>2</w:t>
      </w:r>
      <w:r>
        <w:rPr>
          <w:noProof/>
        </w:rPr>
        <w:t xml:space="preserve"> от тях през дадена календарна година, в т.ч. превозните средства с нулеви емисии от категориите, посочени в член 2, параграф 1, втора алинея, както и специализираните превозни средства с нулеви и ниски емисии</w:t>
      </w:r>
      <w:r>
        <w:rPr>
          <w:noProof/>
        </w:rPr>
        <w:t>.</w:t>
      </w:r>
    </w:p>
    <w:p w:rsidR="00185C77" w:rsidRDefault="00176197">
      <w:pPr>
        <w:pStyle w:val="Text1"/>
        <w:rPr>
          <w:noProof/>
        </w:rPr>
      </w:pPr>
      <w:r>
        <w:rPr>
          <w:noProof/>
        </w:rPr>
        <w:t>Коефициентът за нулеви и ниски емисии се изчислява в съответствие с приложение I, точка 2.3.</w:t>
      </w:r>
    </w:p>
    <w:p w:rsidR="00185C77" w:rsidRDefault="00176197">
      <w:pPr>
        <w:pStyle w:val="ManualNumPar1"/>
        <w:rPr>
          <w:noProof/>
        </w:rPr>
      </w:pPr>
      <w:r>
        <w:rPr>
          <w:noProof/>
        </w:rPr>
        <w:t>2.</w:t>
      </w:r>
      <w:r>
        <w:rPr>
          <w:noProof/>
        </w:rPr>
        <w:tab/>
        <w:t>За целите на параграф 1 броят на тежкотоварните превозни средства с нулеви и ниски емисии се определя, както следва:</w:t>
      </w:r>
    </w:p>
    <w:p w:rsidR="00185C77" w:rsidRDefault="00176197">
      <w:pPr>
        <w:pStyle w:val="Point1"/>
        <w:rPr>
          <w:noProof/>
        </w:rPr>
      </w:pPr>
      <w:r>
        <w:rPr>
          <w:noProof/>
        </w:rPr>
        <w:t>а)</w:t>
      </w:r>
      <w:r>
        <w:rPr>
          <w:noProof/>
        </w:rPr>
        <w:tab/>
        <w:t xml:space="preserve">тежкотоварно превозно средство с </w:t>
      </w:r>
      <w:r>
        <w:rPr>
          <w:noProof/>
        </w:rPr>
        <w:t>нулеви емисии се брои за 2 превозни средства;</w:t>
      </w:r>
    </w:p>
    <w:p w:rsidR="00185C77" w:rsidRDefault="00176197">
      <w:pPr>
        <w:pStyle w:val="Point1"/>
        <w:rPr>
          <w:noProof/>
        </w:rPr>
      </w:pPr>
      <w:r>
        <w:rPr>
          <w:noProof/>
        </w:rPr>
        <w:t>б)</w:t>
      </w:r>
      <w:r>
        <w:rPr>
          <w:noProof/>
        </w:rPr>
        <w:tab/>
        <w:t>тежкотоварно превозно средство с ниски емисии се брои до 2 превозни средства в зависимост от функция на специфичните му емисии на CO</w:t>
      </w:r>
      <w:r>
        <w:rPr>
          <w:noProof/>
          <w:vertAlign w:val="subscript"/>
        </w:rPr>
        <w:t>2</w:t>
      </w:r>
      <w:r>
        <w:rPr>
          <w:noProof/>
        </w:rPr>
        <w:t xml:space="preserve"> и праговата стойност за емисиите от 350 g CO</w:t>
      </w:r>
      <w:r>
        <w:rPr>
          <w:noProof/>
          <w:vertAlign w:val="subscript"/>
        </w:rPr>
        <w:t>2</w:t>
      </w:r>
      <w:r>
        <w:rPr>
          <w:noProof/>
        </w:rPr>
        <w:t>/km.</w:t>
      </w:r>
    </w:p>
    <w:p w:rsidR="00185C77" w:rsidRDefault="00176197">
      <w:pPr>
        <w:pStyle w:val="ManualNumPar1"/>
        <w:rPr>
          <w:noProof/>
        </w:rPr>
      </w:pPr>
      <w:r>
        <w:rPr>
          <w:noProof/>
        </w:rPr>
        <w:t>3.</w:t>
      </w:r>
      <w:r>
        <w:rPr>
          <w:noProof/>
        </w:rPr>
        <w:tab/>
        <w:t>Коефициентът за нуле</w:t>
      </w:r>
      <w:r>
        <w:rPr>
          <w:noProof/>
        </w:rPr>
        <w:t>ви и ниски емисии трябва да намалява средните специфични емисии на производителя най-много с 3 %. При изчисляването на коефициента приносът на тежкотоварните превозни средства с нулеви емисии от категориите, посочени в член 2, параграф 1, втора алинея, тря</w:t>
      </w:r>
      <w:r>
        <w:rPr>
          <w:noProof/>
        </w:rPr>
        <w:t xml:space="preserve">бва да намалява средните специфични емисии на производителя най-много с 1,5 %.  </w:t>
      </w:r>
    </w:p>
    <w:p w:rsidR="00185C77" w:rsidRDefault="00176197">
      <w:pPr>
        <w:pStyle w:val="Titrearticle"/>
        <w:rPr>
          <w:noProof/>
        </w:rPr>
      </w:pPr>
      <w:r>
        <w:rPr>
          <w:noProof/>
        </w:rPr>
        <w:t>Член 6</w:t>
      </w:r>
      <w:r>
        <w:rPr>
          <w:noProof/>
        </w:rPr>
        <w:br/>
        <w:t>Цели за специфичните емисии на производителя</w:t>
      </w:r>
    </w:p>
    <w:p w:rsidR="00185C77" w:rsidRDefault="00176197">
      <w:pPr>
        <w:rPr>
          <w:noProof/>
        </w:rPr>
      </w:pPr>
      <w:r>
        <w:rPr>
          <w:noProof/>
        </w:rPr>
        <w:t xml:space="preserve">От 2026 г. и за всяка следваща календарна година Комисията определя с актовете за изпълнение, посочени в член 10, параграф </w:t>
      </w:r>
      <w:r>
        <w:rPr>
          <w:noProof/>
        </w:rPr>
        <w:t>1, цел за специфичните емисиите за всеки производител за предходната календарна година. Целта за специфичните емисии представлява сумата от произведенията на следните стойности за всички подгрупи превозни средства:</w:t>
      </w:r>
    </w:p>
    <w:p w:rsidR="00185C77" w:rsidRDefault="00176197">
      <w:pPr>
        <w:pStyle w:val="Point0"/>
        <w:rPr>
          <w:noProof/>
        </w:rPr>
      </w:pPr>
      <w:r>
        <w:rPr>
          <w:noProof/>
        </w:rPr>
        <w:t>а)</w:t>
      </w:r>
      <w:r>
        <w:rPr>
          <w:noProof/>
        </w:rPr>
        <w:tab/>
        <w:t>целта за намаляване на емисиите на CO</w:t>
      </w:r>
      <w:r>
        <w:rPr>
          <w:noProof/>
          <w:vertAlign w:val="subscript"/>
        </w:rPr>
        <w:t>2</w:t>
      </w:r>
      <w:r>
        <w:rPr>
          <w:noProof/>
        </w:rPr>
        <w:t>, посочена в член 1, буква а) или б), според случая;</w:t>
      </w:r>
    </w:p>
    <w:p w:rsidR="00185C77" w:rsidRDefault="00176197">
      <w:pPr>
        <w:pStyle w:val="Point0"/>
        <w:rPr>
          <w:noProof/>
        </w:rPr>
      </w:pPr>
      <w:r>
        <w:rPr>
          <w:noProof/>
        </w:rPr>
        <w:t>б)</w:t>
      </w:r>
      <w:r>
        <w:rPr>
          <w:noProof/>
        </w:rPr>
        <w:tab/>
        <w:t>еталонните стойности на емисиите на CO2;</w:t>
      </w:r>
    </w:p>
    <w:p w:rsidR="00185C77" w:rsidRDefault="00176197">
      <w:pPr>
        <w:pStyle w:val="Point0"/>
        <w:rPr>
          <w:noProof/>
        </w:rPr>
      </w:pPr>
      <w:r>
        <w:rPr>
          <w:noProof/>
        </w:rPr>
        <w:t>в)</w:t>
      </w:r>
      <w:r>
        <w:rPr>
          <w:noProof/>
        </w:rPr>
        <w:tab/>
        <w:t>дела на превозните средства на производителя във всяка подгрупа превозни средства;</w:t>
      </w:r>
    </w:p>
    <w:p w:rsidR="00185C77" w:rsidRDefault="00176197">
      <w:pPr>
        <w:pStyle w:val="Point0"/>
        <w:rPr>
          <w:noProof/>
        </w:rPr>
      </w:pPr>
      <w:r>
        <w:rPr>
          <w:noProof/>
        </w:rPr>
        <w:t>г)</w:t>
      </w:r>
      <w:r>
        <w:rPr>
          <w:noProof/>
        </w:rPr>
        <w:tab/>
        <w:t>тегловните коефициенти за пробег и полезен товар, приложими за всяка п</w:t>
      </w:r>
      <w:r>
        <w:rPr>
          <w:noProof/>
        </w:rPr>
        <w:t>одгрупа.</w:t>
      </w:r>
    </w:p>
    <w:p w:rsidR="00185C77" w:rsidRDefault="00176197">
      <w:pPr>
        <w:rPr>
          <w:noProof/>
        </w:rPr>
      </w:pPr>
      <w:r>
        <w:rPr>
          <w:noProof/>
        </w:rPr>
        <w:t>Целта за специфичните емисии се изчислява в съответствие с приложение I, точка 4.</w:t>
      </w:r>
    </w:p>
    <w:p w:rsidR="00185C77" w:rsidRDefault="00176197">
      <w:pPr>
        <w:pStyle w:val="Titrearticle"/>
        <w:rPr>
          <w:noProof/>
        </w:rPr>
      </w:pPr>
      <w:r>
        <w:rPr>
          <w:noProof/>
        </w:rPr>
        <w:t>Член 7</w:t>
      </w:r>
      <w:r>
        <w:rPr>
          <w:noProof/>
        </w:rPr>
        <w:br/>
        <w:t>Кредити и дългове за емисии</w:t>
      </w:r>
    </w:p>
    <w:p w:rsidR="00185C77" w:rsidRDefault="00176197">
      <w:pPr>
        <w:pStyle w:val="ManualNumPar1"/>
        <w:rPr>
          <w:noProof/>
        </w:rPr>
      </w:pPr>
      <w:r>
        <w:rPr>
          <w:noProof/>
        </w:rPr>
        <w:t>1.</w:t>
      </w:r>
      <w:r>
        <w:rPr>
          <w:noProof/>
        </w:rPr>
        <w:tab/>
        <w:t>За да се определи дали даден производител изпълнява своите цели за специфичните емисии за периода 2025 — 2029 г., се вземат пре</w:t>
      </w:r>
      <w:r>
        <w:rPr>
          <w:noProof/>
        </w:rPr>
        <w:t>двид неговите кредити за емисии или дългове за емисии, които представляват броят на новите тежкотоварни превозни средства на производителя през дадена календарна година, с изключение на специализираните превозни средства, умножен по разликата между:</w:t>
      </w:r>
    </w:p>
    <w:p w:rsidR="00185C77" w:rsidRDefault="00176197">
      <w:pPr>
        <w:pStyle w:val="Point1"/>
        <w:rPr>
          <w:noProof/>
        </w:rPr>
      </w:pPr>
      <w:r>
        <w:rPr>
          <w:noProof/>
        </w:rPr>
        <w:t>а)</w:t>
      </w:r>
      <w:r>
        <w:rPr>
          <w:noProof/>
        </w:rPr>
        <w:tab/>
        <w:t>тра</w:t>
      </w:r>
      <w:r>
        <w:rPr>
          <w:noProof/>
        </w:rPr>
        <w:t>екторията за намаляване на емисиите на CO</w:t>
      </w:r>
      <w:r>
        <w:rPr>
          <w:noProof/>
          <w:vertAlign w:val="subscript"/>
        </w:rPr>
        <w:t>2</w:t>
      </w:r>
      <w:r>
        <w:rPr>
          <w:noProof/>
        </w:rPr>
        <w:t>, посочена в параграф 2, и средните специфични емисии на производителя, ако разликата е положителна („кредити за емисии“);</w:t>
      </w:r>
    </w:p>
    <w:p w:rsidR="00185C77" w:rsidRDefault="00176197">
      <w:pPr>
        <w:pStyle w:val="Point1"/>
        <w:rPr>
          <w:noProof/>
        </w:rPr>
      </w:pPr>
      <w:r>
        <w:rPr>
          <w:noProof/>
        </w:rPr>
        <w:t>б)</w:t>
      </w:r>
      <w:r>
        <w:rPr>
          <w:noProof/>
        </w:rPr>
        <w:tab/>
        <w:t>средните специфични емисии на производителя и неговата цел за специфичните емисии, ако р</w:t>
      </w:r>
      <w:r>
        <w:rPr>
          <w:noProof/>
        </w:rPr>
        <w:t>азликата е положителна („дългове за емисии“).</w:t>
      </w:r>
    </w:p>
    <w:p w:rsidR="00185C77" w:rsidRDefault="00176197">
      <w:pPr>
        <w:pStyle w:val="Text1"/>
        <w:rPr>
          <w:noProof/>
        </w:rPr>
      </w:pPr>
      <w:r>
        <w:rPr>
          <w:noProof/>
        </w:rPr>
        <w:t>Кредити за емисии се придобиват в периода 2019 — 2029 г. Кредитите, придобити в периода 2019 — 2024 г. обаче, се вземат предвид, за да се определи само дали производителят изпълнява целта си за специфичните еми</w:t>
      </w:r>
      <w:r>
        <w:rPr>
          <w:noProof/>
        </w:rPr>
        <w:t>сии за 2025 г.</w:t>
      </w:r>
    </w:p>
    <w:p w:rsidR="00185C77" w:rsidRDefault="00176197">
      <w:pPr>
        <w:pStyle w:val="Text1"/>
        <w:rPr>
          <w:noProof/>
        </w:rPr>
      </w:pPr>
      <w:r>
        <w:rPr>
          <w:noProof/>
        </w:rPr>
        <w:t xml:space="preserve">Дългове за емисии се придобиват в периода 2025 — 2029 г., но общата им стойност не може да надвишава 5 % от целта за специфичните емисии на производителя през 2025 г., умножена по броя на тежкотоварните превозни средства на производителя </w:t>
      </w:r>
      <w:r>
        <w:rPr>
          <w:noProof/>
        </w:rPr>
        <w:t>през същата година („пределна стойност на дълговете за емисии“).</w:t>
      </w:r>
    </w:p>
    <w:p w:rsidR="00185C77" w:rsidRDefault="00176197">
      <w:pPr>
        <w:pStyle w:val="Text1"/>
        <w:rPr>
          <w:noProof/>
        </w:rPr>
      </w:pPr>
      <w:r>
        <w:rPr>
          <w:noProof/>
        </w:rPr>
        <w:t xml:space="preserve">Кредити и дългове за емисии, придобити през 2025 г. и всяка от следващите календарни години до 2028 г. — ако има такива, се пренасят от една календарна година в следващата до 2029 г., когато </w:t>
      </w:r>
      <w:r>
        <w:rPr>
          <w:noProof/>
        </w:rPr>
        <w:t>всички останали дългове за емисии се прихващат.</w:t>
      </w:r>
    </w:p>
    <w:p w:rsidR="00185C77" w:rsidRDefault="00176197">
      <w:pPr>
        <w:pStyle w:val="ManualNumPar1"/>
        <w:rPr>
          <w:noProof/>
        </w:rPr>
      </w:pPr>
      <w:r>
        <w:rPr>
          <w:noProof/>
        </w:rPr>
        <w:t>2.</w:t>
      </w:r>
      <w:r>
        <w:rPr>
          <w:noProof/>
        </w:rPr>
        <w:tab/>
        <w:t>Траекторията за намаляване на емисиите на CO</w:t>
      </w:r>
      <w:r>
        <w:rPr>
          <w:noProof/>
          <w:vertAlign w:val="subscript"/>
        </w:rPr>
        <w:t>2</w:t>
      </w:r>
      <w:r>
        <w:rPr>
          <w:noProof/>
        </w:rPr>
        <w:t xml:space="preserve">, посочена в параграф 1, буква а), се определя за всеки производител в съответствие с приложение I, точка 5.1, на базата на линейна траектория между еталонните </w:t>
      </w:r>
      <w:r>
        <w:rPr>
          <w:noProof/>
        </w:rPr>
        <w:t>емисии на CO</w:t>
      </w:r>
      <w:r>
        <w:rPr>
          <w:noProof/>
          <w:vertAlign w:val="subscript"/>
        </w:rPr>
        <w:t>2</w:t>
      </w:r>
      <w:r>
        <w:rPr>
          <w:noProof/>
        </w:rPr>
        <w:t>, посочени в параграф 1, втора алинея, и целта за 2025 г., посочена в същия член, буква а), и между целта за 2025 г. и целта за 2030 г., посочена в същия член, буква б).</w:t>
      </w:r>
    </w:p>
    <w:p w:rsidR="00185C77" w:rsidRDefault="00176197">
      <w:pPr>
        <w:pStyle w:val="Titrearticle"/>
        <w:rPr>
          <w:noProof/>
        </w:rPr>
      </w:pPr>
      <w:r>
        <w:rPr>
          <w:noProof/>
        </w:rPr>
        <w:t>Член 8</w:t>
      </w:r>
      <w:r>
        <w:rPr>
          <w:noProof/>
        </w:rPr>
        <w:br/>
        <w:t>Изпълнение на целите за специфичните емисии</w:t>
      </w:r>
    </w:p>
    <w:p w:rsidR="00185C77" w:rsidRDefault="00176197">
      <w:pPr>
        <w:pStyle w:val="ManualNumPar1"/>
        <w:rPr>
          <w:noProof/>
        </w:rPr>
      </w:pPr>
      <w:r>
        <w:rPr>
          <w:noProof/>
        </w:rPr>
        <w:t>1.</w:t>
      </w:r>
      <w:r>
        <w:rPr>
          <w:noProof/>
        </w:rPr>
        <w:tab/>
        <w:t>Ако бъде установено</w:t>
      </w:r>
      <w:r>
        <w:rPr>
          <w:noProof/>
        </w:rPr>
        <w:t>, че през дадена календарна година от 2025 г. нататък даден производител има извънредно количество емисии в съответствие с параграф 2, Комисията начислява такса за извънредно количество емисии в съответствие със следната формула:</w:t>
      </w:r>
    </w:p>
    <w:p w:rsidR="00185C77" w:rsidRDefault="00176197">
      <w:pPr>
        <w:pStyle w:val="Text1"/>
        <w:rPr>
          <w:noProof/>
        </w:rPr>
      </w:pPr>
      <w:r>
        <w:rPr>
          <w:noProof/>
        </w:rPr>
        <w:t>(такса за извънредно колич</w:t>
      </w:r>
      <w:r>
        <w:rPr>
          <w:noProof/>
        </w:rPr>
        <w:t>ество емисии) = (извънредното количество емисии x 6800 EUR/gCO</w:t>
      </w:r>
      <w:r>
        <w:rPr>
          <w:noProof/>
          <w:vertAlign w:val="subscript"/>
        </w:rPr>
        <w:t>2</w:t>
      </w:r>
      <w:r>
        <w:rPr>
          <w:noProof/>
        </w:rPr>
        <w:t xml:space="preserve">/tkm). </w:t>
      </w:r>
    </w:p>
    <w:p w:rsidR="00185C77" w:rsidRDefault="00176197">
      <w:pPr>
        <w:pStyle w:val="ManualNumPar1"/>
        <w:rPr>
          <w:noProof/>
        </w:rPr>
      </w:pPr>
      <w:r>
        <w:rPr>
          <w:noProof/>
        </w:rPr>
        <w:t>2.</w:t>
      </w:r>
      <w:r>
        <w:rPr>
          <w:noProof/>
        </w:rPr>
        <w:tab/>
        <w:t>Приема се, че производителят има извънредно количество емисии, във всеки от следните случаи:</w:t>
      </w:r>
    </w:p>
    <w:p w:rsidR="00185C77" w:rsidRDefault="00176197">
      <w:pPr>
        <w:pStyle w:val="Point1"/>
        <w:rPr>
          <w:noProof/>
        </w:rPr>
      </w:pPr>
      <w:r>
        <w:rPr>
          <w:noProof/>
        </w:rPr>
        <w:t>а)</w:t>
      </w:r>
      <w:r>
        <w:rPr>
          <w:noProof/>
        </w:rPr>
        <w:tab/>
        <w:t>през дадена година от 2025 до 2028 г. — ако сумата на дълговете за емисии, намалена съ</w:t>
      </w:r>
      <w:r>
        <w:rPr>
          <w:noProof/>
        </w:rPr>
        <w:t>с сумата на кредитите за емисии, е по-голяма от пределната стойност на дълговете за емисии, посочена в член 7, параграф 1;</w:t>
      </w:r>
    </w:p>
    <w:p w:rsidR="00185C77" w:rsidRDefault="00176197">
      <w:pPr>
        <w:pStyle w:val="Point1"/>
        <w:rPr>
          <w:noProof/>
        </w:rPr>
      </w:pPr>
      <w:r>
        <w:rPr>
          <w:noProof/>
        </w:rPr>
        <w:t>б)</w:t>
      </w:r>
      <w:r>
        <w:rPr>
          <w:noProof/>
        </w:rPr>
        <w:tab/>
        <w:t>през календарната 2029 г. — ако сумата на дълговете за емисии, намалена със сумата на кредитите за емисии, е по-голяма от нула;</w:t>
      </w:r>
    </w:p>
    <w:p w:rsidR="00185C77" w:rsidRDefault="00176197">
      <w:pPr>
        <w:pStyle w:val="Point1"/>
        <w:rPr>
          <w:noProof/>
        </w:rPr>
      </w:pPr>
      <w:r>
        <w:rPr>
          <w:noProof/>
        </w:rPr>
        <w:t>в)</w:t>
      </w:r>
      <w:r>
        <w:rPr>
          <w:noProof/>
        </w:rPr>
        <w:tab/>
        <w:t xml:space="preserve">през календарните години от 2030 г. нататък — ако средните специфични емисии на производителя надвишават целта му за специфичните емисии. </w:t>
      </w:r>
    </w:p>
    <w:p w:rsidR="00185C77" w:rsidRDefault="00176197">
      <w:pPr>
        <w:pStyle w:val="Text1"/>
        <w:rPr>
          <w:noProof/>
        </w:rPr>
      </w:pPr>
      <w:r>
        <w:rPr>
          <w:noProof/>
        </w:rPr>
        <w:t>Извънредното количество емисии през дадена календарна година се изчислява в съответствие с приложение I, точка 6.</w:t>
      </w:r>
    </w:p>
    <w:p w:rsidR="00185C77" w:rsidRDefault="00176197">
      <w:pPr>
        <w:pStyle w:val="ManualNumPar1"/>
        <w:rPr>
          <w:noProof/>
        </w:rPr>
      </w:pPr>
      <w:r>
        <w:rPr>
          <w:noProof/>
        </w:rPr>
        <w:t>3.</w:t>
      </w:r>
      <w:r>
        <w:rPr>
          <w:noProof/>
        </w:rPr>
        <w:tab/>
        <w:t>Комисията определя с актове за изпълнение начина за събиране на таксите за извънредни количества емисии по параграф 1. Тези актове за изпълнение се приемат в съответствие с процедурата по разглеждане, посочена в член 14, параграф 2.</w:t>
      </w:r>
    </w:p>
    <w:p w:rsidR="00185C77" w:rsidRDefault="00176197">
      <w:pPr>
        <w:pStyle w:val="ManualNumPar1"/>
        <w:rPr>
          <w:noProof/>
        </w:rPr>
      </w:pPr>
      <w:r>
        <w:rPr>
          <w:noProof/>
        </w:rPr>
        <w:t>4.</w:t>
      </w:r>
      <w:r>
        <w:rPr>
          <w:noProof/>
        </w:rPr>
        <w:tab/>
        <w:t>Сумите от таксите з</w:t>
      </w:r>
      <w:r>
        <w:rPr>
          <w:noProof/>
        </w:rPr>
        <w:t>а извънредно количество емисии се считат за приход в общия бюджет на Съюза.</w:t>
      </w:r>
    </w:p>
    <w:p w:rsidR="00185C77" w:rsidRDefault="00176197">
      <w:pPr>
        <w:pStyle w:val="Titrearticle"/>
        <w:rPr>
          <w:noProof/>
        </w:rPr>
      </w:pPr>
      <w:r>
        <w:rPr>
          <w:noProof/>
        </w:rPr>
        <w:t>Член 9</w:t>
      </w:r>
      <w:r>
        <w:rPr>
          <w:noProof/>
        </w:rPr>
        <w:br/>
        <w:t>Проверка на данните от мониторинга</w:t>
      </w:r>
    </w:p>
    <w:p w:rsidR="00185C77" w:rsidRDefault="00176197">
      <w:pPr>
        <w:pStyle w:val="ManualNumPar1"/>
        <w:rPr>
          <w:noProof/>
        </w:rPr>
      </w:pPr>
      <w:r>
        <w:rPr>
          <w:noProof/>
        </w:rPr>
        <w:t>1.</w:t>
      </w:r>
      <w:r>
        <w:rPr>
          <w:noProof/>
        </w:rPr>
        <w:tab/>
        <w:t>Органите по одобряването незабавно съобщават на Комисията за отклонения в емисиите на СО</w:t>
      </w:r>
      <w:r>
        <w:rPr>
          <w:noProof/>
          <w:vertAlign w:val="subscript"/>
        </w:rPr>
        <w:t>2</w:t>
      </w:r>
      <w:r>
        <w:rPr>
          <w:noProof/>
        </w:rPr>
        <w:t xml:space="preserve"> от тежкотоварни превозни средства в експлоата</w:t>
      </w:r>
      <w:r>
        <w:rPr>
          <w:noProof/>
        </w:rPr>
        <w:t>ция спрямо стойностите, посочени в сертификатите за съответствие или в досието на клиента, установени вследствие на проверките, извършени в съответствие с процедурата по [член 5, параграф 4, буква л)] от Регламент (ЕО) № 595/2009.</w:t>
      </w:r>
    </w:p>
    <w:p w:rsidR="00185C77" w:rsidRDefault="00176197">
      <w:pPr>
        <w:pStyle w:val="ManualNumPar1"/>
        <w:rPr>
          <w:noProof/>
        </w:rPr>
      </w:pPr>
      <w:r>
        <w:rPr>
          <w:noProof/>
        </w:rPr>
        <w:t>2.</w:t>
      </w:r>
      <w:r>
        <w:rPr>
          <w:noProof/>
        </w:rPr>
        <w:tab/>
        <w:t>Комисията взема предви</w:t>
      </w:r>
      <w:r>
        <w:rPr>
          <w:noProof/>
        </w:rPr>
        <w:t>д тези отклонения при изчисляването на средните специфични емисии на производителя.</w:t>
      </w:r>
    </w:p>
    <w:p w:rsidR="00185C77" w:rsidRDefault="00176197">
      <w:pPr>
        <w:pStyle w:val="ManualNumPar1"/>
        <w:rPr>
          <w:noProof/>
        </w:rPr>
      </w:pPr>
      <w:r>
        <w:rPr>
          <w:noProof/>
        </w:rPr>
        <w:t>3.</w:t>
      </w:r>
      <w:r>
        <w:rPr>
          <w:noProof/>
        </w:rPr>
        <w:tab/>
        <w:t>Комисията приема подробни правила относно процедурите за съобщаване на такива отклонения и за отчитането им при изчисляването на средните специфични емисии. Тези процеду</w:t>
      </w:r>
      <w:r>
        <w:rPr>
          <w:noProof/>
        </w:rPr>
        <w:t>ри се приемат с актове за изпълнение в съответствие с процедурата по разглеждане, посочена в член 14, параграф 2.</w:t>
      </w:r>
    </w:p>
    <w:p w:rsidR="00185C77" w:rsidRDefault="00176197">
      <w:pPr>
        <w:pStyle w:val="Titrearticle"/>
        <w:rPr>
          <w:noProof/>
        </w:rPr>
      </w:pPr>
      <w:r>
        <w:rPr>
          <w:noProof/>
        </w:rPr>
        <w:t>Член 10</w:t>
      </w:r>
      <w:r>
        <w:rPr>
          <w:noProof/>
        </w:rPr>
        <w:br/>
        <w:t>Публикуване на данни и показатели на производителите</w:t>
      </w:r>
    </w:p>
    <w:p w:rsidR="00185C77" w:rsidRDefault="00176197">
      <w:pPr>
        <w:pStyle w:val="ManualNumPar1"/>
        <w:rPr>
          <w:noProof/>
        </w:rPr>
      </w:pPr>
      <w:r>
        <w:rPr>
          <w:noProof/>
        </w:rPr>
        <w:t>1.</w:t>
      </w:r>
      <w:r>
        <w:rPr>
          <w:noProof/>
        </w:rPr>
        <w:tab/>
        <w:t>С актове за изпълнение, които се приемат до 31 октомври всяка година, Комисият</w:t>
      </w:r>
      <w:r>
        <w:rPr>
          <w:noProof/>
        </w:rPr>
        <w:t>а публикува списък, в който се посочват:</w:t>
      </w:r>
    </w:p>
    <w:p w:rsidR="00185C77" w:rsidRDefault="00176197">
      <w:pPr>
        <w:pStyle w:val="Point1"/>
        <w:rPr>
          <w:noProof/>
        </w:rPr>
      </w:pPr>
      <w:r>
        <w:rPr>
          <w:noProof/>
        </w:rPr>
        <w:t>а)</w:t>
      </w:r>
      <w:r>
        <w:rPr>
          <w:noProof/>
        </w:rPr>
        <w:tab/>
        <w:t>от 2020 г. нататък — средните специфични емисии на CO</w:t>
      </w:r>
      <w:r>
        <w:rPr>
          <w:noProof/>
          <w:vertAlign w:val="subscript"/>
        </w:rPr>
        <w:t>2</w:t>
      </w:r>
      <w:r>
        <w:rPr>
          <w:noProof/>
        </w:rPr>
        <w:t xml:space="preserve"> за всеки производител през предходната календарна година съгласно посоченото в член 4;</w:t>
      </w:r>
    </w:p>
    <w:p w:rsidR="00185C77" w:rsidRDefault="00176197">
      <w:pPr>
        <w:pStyle w:val="Point1"/>
        <w:rPr>
          <w:noProof/>
        </w:rPr>
      </w:pPr>
      <w:r>
        <w:rPr>
          <w:noProof/>
        </w:rPr>
        <w:t>б)</w:t>
      </w:r>
      <w:r>
        <w:rPr>
          <w:noProof/>
        </w:rPr>
        <w:tab/>
        <w:t xml:space="preserve">от 2020 г. нататък — коефициента за нулеви и ниски емисии съгласно </w:t>
      </w:r>
      <w:r>
        <w:rPr>
          <w:noProof/>
        </w:rPr>
        <w:t>посоченото в член 5;</w:t>
      </w:r>
    </w:p>
    <w:p w:rsidR="00185C77" w:rsidRDefault="00176197">
      <w:pPr>
        <w:pStyle w:val="Point1"/>
        <w:rPr>
          <w:noProof/>
        </w:rPr>
      </w:pPr>
      <w:r>
        <w:rPr>
          <w:noProof/>
        </w:rPr>
        <w:t>в)</w:t>
      </w:r>
      <w:r>
        <w:rPr>
          <w:noProof/>
        </w:rPr>
        <w:tab/>
        <w:t>от 2026 г. нататък — целта за специфичните емисии за всеки производител за предходната календарна година съгласно посоченото в член 6;</w:t>
      </w:r>
    </w:p>
    <w:p w:rsidR="00185C77" w:rsidRDefault="00176197">
      <w:pPr>
        <w:pStyle w:val="Point1"/>
        <w:rPr>
          <w:noProof/>
        </w:rPr>
      </w:pPr>
      <w:r>
        <w:rPr>
          <w:noProof/>
        </w:rPr>
        <w:t>г)</w:t>
      </w:r>
      <w:r>
        <w:rPr>
          <w:noProof/>
        </w:rPr>
        <w:tab/>
        <w:t>от 2020 до 2030 г. — траекторията за намаляване на емисиите на CO</w:t>
      </w:r>
      <w:r>
        <w:rPr>
          <w:noProof/>
          <w:vertAlign w:val="subscript"/>
        </w:rPr>
        <w:t>2</w:t>
      </w:r>
      <w:r>
        <w:rPr>
          <w:noProof/>
        </w:rPr>
        <w:t xml:space="preserve"> за всеки производител, него</w:t>
      </w:r>
      <w:r>
        <w:rPr>
          <w:noProof/>
        </w:rPr>
        <w:t xml:space="preserve">вите кредити за емисии и от 2026 г. нататък — дълговете му за емисии през предходната календарна година съгласно посоченото в член 7; </w:t>
      </w:r>
    </w:p>
    <w:p w:rsidR="00185C77" w:rsidRDefault="00176197">
      <w:pPr>
        <w:pStyle w:val="Point1"/>
        <w:rPr>
          <w:noProof/>
        </w:rPr>
      </w:pPr>
      <w:r>
        <w:rPr>
          <w:noProof/>
        </w:rPr>
        <w:t>д)</w:t>
      </w:r>
      <w:r>
        <w:rPr>
          <w:noProof/>
        </w:rPr>
        <w:tab/>
        <w:t xml:space="preserve">от 2026 г. нататък — извънредното количество емисии за всеки производител през предходната календарна година съгласно </w:t>
      </w:r>
      <w:r>
        <w:rPr>
          <w:noProof/>
        </w:rPr>
        <w:t>посоченото в член 8;</w:t>
      </w:r>
    </w:p>
    <w:p w:rsidR="00185C77" w:rsidRDefault="00176197">
      <w:pPr>
        <w:pStyle w:val="Point1"/>
        <w:rPr>
          <w:noProof/>
        </w:rPr>
      </w:pPr>
      <w:r>
        <w:rPr>
          <w:noProof/>
        </w:rPr>
        <w:t>е)</w:t>
      </w:r>
      <w:r>
        <w:rPr>
          <w:noProof/>
        </w:rPr>
        <w:tab/>
        <w:t>от 2020 г. нататък — средната стойност на специфичните емисии на СО</w:t>
      </w:r>
      <w:r>
        <w:rPr>
          <w:noProof/>
          <w:vertAlign w:val="subscript"/>
        </w:rPr>
        <w:t>2</w:t>
      </w:r>
      <w:r>
        <w:rPr>
          <w:noProof/>
        </w:rPr>
        <w:t xml:space="preserve"> от всички нови тежкотоварни превозни средства, регистрирани в Съюза през предходната календарна година.</w:t>
      </w:r>
    </w:p>
    <w:p w:rsidR="00185C77" w:rsidRDefault="00176197">
      <w:pPr>
        <w:pStyle w:val="Text1"/>
        <w:rPr>
          <w:noProof/>
        </w:rPr>
      </w:pPr>
      <w:r>
        <w:rPr>
          <w:noProof/>
        </w:rPr>
        <w:t>При публикуването му към 31 октомври 2020 г. списъкът съдър</w:t>
      </w:r>
      <w:r>
        <w:rPr>
          <w:noProof/>
        </w:rPr>
        <w:t>жа еталонните емисии на CO</w:t>
      </w:r>
      <w:r>
        <w:rPr>
          <w:noProof/>
          <w:vertAlign w:val="subscript"/>
        </w:rPr>
        <w:t>2</w:t>
      </w:r>
      <w:r>
        <w:rPr>
          <w:noProof/>
        </w:rPr>
        <w:t xml:space="preserve"> съгласно посоченото в член 1. </w:t>
      </w:r>
    </w:p>
    <w:p w:rsidR="00185C77" w:rsidRDefault="00176197">
      <w:pPr>
        <w:pStyle w:val="ManualNumPar1"/>
        <w:rPr>
          <w:noProof/>
        </w:rPr>
      </w:pPr>
      <w:r>
        <w:rPr>
          <w:noProof/>
        </w:rPr>
        <w:t>2.</w:t>
      </w:r>
      <w:r>
        <w:rPr>
          <w:noProof/>
        </w:rPr>
        <w:tab/>
        <w:t>Комисията приема делегирани актове в съответствие с член 15 с цел да се коригират еталонните емисии на CO</w:t>
      </w:r>
      <w:r>
        <w:rPr>
          <w:noProof/>
          <w:vertAlign w:val="subscript"/>
        </w:rPr>
        <w:t>2</w:t>
      </w:r>
      <w:r>
        <w:rPr>
          <w:noProof/>
        </w:rPr>
        <w:t>, посочени в параграф 1 от настоящия член, при спазване на следните условия:</w:t>
      </w:r>
    </w:p>
    <w:p w:rsidR="00185C77" w:rsidRDefault="00176197">
      <w:pPr>
        <w:pStyle w:val="Point1"/>
        <w:rPr>
          <w:noProof/>
        </w:rPr>
      </w:pPr>
      <w:r>
        <w:rPr>
          <w:noProof/>
        </w:rPr>
        <w:t>а)</w:t>
      </w:r>
      <w:r>
        <w:rPr>
          <w:noProof/>
        </w:rPr>
        <w:tab/>
        <w:t>когато с</w:t>
      </w:r>
      <w:r>
        <w:rPr>
          <w:noProof/>
        </w:rPr>
        <w:t>тойностите на полезния товар са били коригирани в съответствие с член 12, параграф 1, буква в) съгласно процедурата, посочена в приложение II, точка 1;</w:t>
      </w:r>
    </w:p>
    <w:p w:rsidR="00185C77" w:rsidRDefault="00176197">
      <w:pPr>
        <w:pStyle w:val="Point1"/>
        <w:rPr>
          <w:noProof/>
        </w:rPr>
      </w:pPr>
      <w:r>
        <w:rPr>
          <w:noProof/>
        </w:rPr>
        <w:t>б)</w:t>
      </w:r>
      <w:r>
        <w:rPr>
          <w:noProof/>
        </w:rPr>
        <w:tab/>
        <w:t>когато в съответствие с член 12, параграф 2 е бил определен корекционен коефициент, като прилага този</w:t>
      </w:r>
      <w:r>
        <w:rPr>
          <w:noProof/>
        </w:rPr>
        <w:t xml:space="preserve"> корекционен коефициент за еталонните емисии на CO</w:t>
      </w:r>
      <w:r>
        <w:rPr>
          <w:noProof/>
          <w:vertAlign w:val="subscript"/>
        </w:rPr>
        <w:t>2</w:t>
      </w:r>
      <w:r>
        <w:rPr>
          <w:noProof/>
        </w:rPr>
        <w:t>.</w:t>
      </w:r>
    </w:p>
    <w:p w:rsidR="00185C77" w:rsidRDefault="00176197">
      <w:pPr>
        <w:pStyle w:val="Text1"/>
        <w:rPr>
          <w:noProof/>
        </w:rPr>
      </w:pPr>
      <w:r>
        <w:rPr>
          <w:noProof/>
        </w:rPr>
        <w:t>Комисията публикува коригираните стойности на еталонните емисии на CO</w:t>
      </w:r>
      <w:r>
        <w:rPr>
          <w:noProof/>
          <w:vertAlign w:val="subscript"/>
        </w:rPr>
        <w:t>2</w:t>
      </w:r>
      <w:r>
        <w:rPr>
          <w:noProof/>
        </w:rPr>
        <w:t xml:space="preserve"> и ги прилага при изчисляването на целите за специфични емисии на производителя, приложими през календарната година след влизането в </w:t>
      </w:r>
      <w:r>
        <w:rPr>
          <w:noProof/>
        </w:rPr>
        <w:t xml:space="preserve">сила на делегираните актове, с които се коригират посочените стойности. </w:t>
      </w:r>
    </w:p>
    <w:p w:rsidR="00185C77" w:rsidRDefault="00176197">
      <w:pPr>
        <w:pStyle w:val="Titrearticle"/>
        <w:rPr>
          <w:noProof/>
        </w:rPr>
      </w:pPr>
      <w:r>
        <w:rPr>
          <w:noProof/>
        </w:rPr>
        <w:t>Член 11</w:t>
      </w:r>
      <w:r>
        <w:rPr>
          <w:noProof/>
        </w:rPr>
        <w:br/>
        <w:t>Емисии на CO</w:t>
      </w:r>
      <w:r>
        <w:rPr>
          <w:noProof/>
          <w:vertAlign w:val="subscript"/>
        </w:rPr>
        <w:t>2</w:t>
      </w:r>
      <w:r>
        <w:rPr>
          <w:noProof/>
        </w:rPr>
        <w:t xml:space="preserve"> и разход на енергия в реални условия</w:t>
      </w:r>
    </w:p>
    <w:p w:rsidR="00185C77" w:rsidRDefault="00176197">
      <w:pPr>
        <w:pStyle w:val="ManualNumPar1"/>
        <w:rPr>
          <w:noProof/>
        </w:rPr>
      </w:pPr>
      <w:r>
        <w:rPr>
          <w:noProof/>
        </w:rPr>
        <w:t>1.</w:t>
      </w:r>
      <w:r>
        <w:rPr>
          <w:noProof/>
        </w:rPr>
        <w:tab/>
        <w:t>Комисията наблюдава и оценява реалната представителност на стойностите за емисиите на CO</w:t>
      </w:r>
      <w:r>
        <w:rPr>
          <w:noProof/>
          <w:vertAlign w:val="subscript"/>
        </w:rPr>
        <w:t>2</w:t>
      </w:r>
      <w:r>
        <w:rPr>
          <w:noProof/>
        </w:rPr>
        <w:t xml:space="preserve"> и за разхода на гориво, определ</w:t>
      </w:r>
      <w:r>
        <w:rPr>
          <w:noProof/>
        </w:rPr>
        <w:t>ени в съответствие с Регламент (ЕС) 2017/2400. Тя взема мерки обществеността да бъде информирана за развитието на представителността им във времето.</w:t>
      </w:r>
    </w:p>
    <w:p w:rsidR="00185C77" w:rsidRDefault="00176197">
      <w:pPr>
        <w:pStyle w:val="ManualNumPar1"/>
        <w:rPr>
          <w:noProof/>
        </w:rPr>
      </w:pPr>
      <w:r>
        <w:rPr>
          <w:noProof/>
        </w:rPr>
        <w:t>2.</w:t>
      </w:r>
      <w:r>
        <w:rPr>
          <w:noProof/>
        </w:rPr>
        <w:tab/>
        <w:t>За целта Комисията осигурява наличието на надеждни анонимизирани данни от производителите или от национа</w:t>
      </w:r>
      <w:r>
        <w:rPr>
          <w:noProof/>
        </w:rPr>
        <w:t>лните органи — според случая — за емисиите на CO</w:t>
      </w:r>
      <w:r>
        <w:rPr>
          <w:noProof/>
          <w:vertAlign w:val="subscript"/>
        </w:rPr>
        <w:t>2</w:t>
      </w:r>
      <w:r>
        <w:rPr>
          <w:noProof/>
        </w:rPr>
        <w:t xml:space="preserve"> и разхода на енергия на тежкотоварните превозни средства в реални условия.</w:t>
      </w:r>
    </w:p>
    <w:p w:rsidR="00185C77" w:rsidRDefault="00176197">
      <w:pPr>
        <w:pStyle w:val="ManualNumPar1"/>
        <w:rPr>
          <w:noProof/>
        </w:rPr>
      </w:pPr>
      <w:r>
        <w:rPr>
          <w:noProof/>
        </w:rPr>
        <w:t>3.</w:t>
      </w:r>
      <w:r>
        <w:rPr>
          <w:noProof/>
        </w:rPr>
        <w:tab/>
        <w:t>Комисията може да приеме с актове за изпълнение мерките, посочени в параграфи 1 и 2 от настоящия член. Тези актове за изпълнение</w:t>
      </w:r>
      <w:r>
        <w:rPr>
          <w:noProof/>
        </w:rPr>
        <w:t xml:space="preserve"> се приемат в съответствие с процедурата по разглеждане, посочена в член 14, параграф 2.</w:t>
      </w:r>
    </w:p>
    <w:p w:rsidR="00185C77" w:rsidRDefault="00176197">
      <w:pPr>
        <w:pStyle w:val="Titrearticle"/>
        <w:rPr>
          <w:noProof/>
        </w:rPr>
      </w:pPr>
      <w:r>
        <w:rPr>
          <w:noProof/>
        </w:rPr>
        <w:t xml:space="preserve">Член 12 </w:t>
      </w:r>
      <w:r>
        <w:rPr>
          <w:noProof/>
        </w:rPr>
        <w:br/>
        <w:t>Корекции в приложения I и II</w:t>
      </w:r>
    </w:p>
    <w:p w:rsidR="00185C77" w:rsidRDefault="00176197">
      <w:pPr>
        <w:pStyle w:val="ManualNumPar1"/>
        <w:rPr>
          <w:noProof/>
        </w:rPr>
      </w:pPr>
      <w:r>
        <w:rPr>
          <w:noProof/>
        </w:rPr>
        <w:t>1.</w:t>
      </w:r>
      <w:r>
        <w:rPr>
          <w:noProof/>
        </w:rPr>
        <w:tab/>
        <w:t>С цел да се гарантира, че използваните технически параметри за изчисляването на средните специфични емисии на производителя съ</w:t>
      </w:r>
      <w:r>
        <w:rPr>
          <w:noProof/>
        </w:rPr>
        <w:t>гласно член 4 и на целите за специфичните емисии съгласно член 6 са съобразени с техническия напредък и с развитието на логистиката за превоз на товари, на Комисията се предоставя правомощието да приема делегирани актове в съответствие с член 15 за изменен</w:t>
      </w:r>
      <w:r>
        <w:rPr>
          <w:noProof/>
        </w:rPr>
        <w:t xml:space="preserve">ие на следните разпоредби, посочени в приложения I и II: </w:t>
      </w:r>
    </w:p>
    <w:p w:rsidR="00185C77" w:rsidRDefault="00176197">
      <w:pPr>
        <w:pStyle w:val="Point1"/>
        <w:rPr>
          <w:noProof/>
        </w:rPr>
      </w:pPr>
      <w:r>
        <w:rPr>
          <w:noProof/>
        </w:rPr>
        <w:t>а)</w:t>
      </w:r>
      <w:r>
        <w:rPr>
          <w:noProof/>
        </w:rPr>
        <w:tab/>
        <w:t xml:space="preserve">вписванията за вид на кабината и мощност на двигателя в приложение I, таблица 1, и определенията за „кабина със спално отделение“ и „дневна кабина“ към същата таблица; </w:t>
      </w:r>
    </w:p>
    <w:p w:rsidR="00185C77" w:rsidRDefault="00176197">
      <w:pPr>
        <w:pStyle w:val="Point1"/>
        <w:rPr>
          <w:noProof/>
        </w:rPr>
      </w:pPr>
      <w:r>
        <w:rPr>
          <w:noProof/>
        </w:rPr>
        <w:t>б)</w:t>
      </w:r>
      <w:r>
        <w:rPr>
          <w:noProof/>
        </w:rPr>
        <w:tab/>
        <w:t xml:space="preserve">тегловните коефициенти </w:t>
      </w:r>
      <w:r>
        <w:rPr>
          <w:noProof/>
        </w:rPr>
        <w:t>за профилите на движение в приложение I, таблица 2;</w:t>
      </w:r>
    </w:p>
    <w:p w:rsidR="00185C77" w:rsidRDefault="00176197">
      <w:pPr>
        <w:pStyle w:val="Point1"/>
        <w:rPr>
          <w:noProof/>
        </w:rPr>
      </w:pPr>
      <w:r>
        <w:rPr>
          <w:noProof/>
        </w:rPr>
        <w:t>в)</w:t>
      </w:r>
      <w:r>
        <w:rPr>
          <w:noProof/>
        </w:rPr>
        <w:tab/>
        <w:t>стойностите за полезния товар в приложение I, таблица 3, и корекционните коефициенти за полезния товар в приложение II, таблица 1;</w:t>
      </w:r>
    </w:p>
    <w:p w:rsidR="00185C77" w:rsidRDefault="00176197">
      <w:pPr>
        <w:pStyle w:val="Point1"/>
        <w:rPr>
          <w:noProof/>
        </w:rPr>
      </w:pPr>
      <w:r>
        <w:rPr>
          <w:noProof/>
        </w:rPr>
        <w:t>г)</w:t>
      </w:r>
      <w:r>
        <w:rPr>
          <w:noProof/>
        </w:rPr>
        <w:tab/>
        <w:t>стойностите за годишния пробег в приложение I, таблица 4.</w:t>
      </w:r>
    </w:p>
    <w:p w:rsidR="00185C77" w:rsidRDefault="00176197">
      <w:pPr>
        <w:pStyle w:val="ManualNumPar1"/>
        <w:rPr>
          <w:noProof/>
        </w:rPr>
      </w:pPr>
      <w:r>
        <w:rPr>
          <w:noProof/>
        </w:rPr>
        <w:t>2.</w:t>
      </w:r>
      <w:r>
        <w:rPr>
          <w:noProof/>
        </w:rPr>
        <w:tab/>
        <w:t xml:space="preserve">При </w:t>
      </w:r>
      <w:r>
        <w:rPr>
          <w:noProof/>
        </w:rPr>
        <w:t>изменения на процедурите за одобряване на типа, установени с Регламент (ЕО) № 595/2009 и мерките за прилагането му, вследствие на които емисиите на CO</w:t>
      </w:r>
      <w:r>
        <w:rPr>
          <w:noProof/>
          <w:vertAlign w:val="subscript"/>
        </w:rPr>
        <w:t>2</w:t>
      </w:r>
      <w:r>
        <w:rPr>
          <w:noProof/>
        </w:rPr>
        <w:t xml:space="preserve"> от представителните превозни средства, определени съгласно настоящия параграф, намаляват или се увеличав</w:t>
      </w:r>
      <w:r>
        <w:rPr>
          <w:noProof/>
        </w:rPr>
        <w:t>ат с повече от 5 g CO</w:t>
      </w:r>
      <w:r>
        <w:rPr>
          <w:noProof/>
          <w:vertAlign w:val="subscript"/>
        </w:rPr>
        <w:t>2</w:t>
      </w:r>
      <w:r>
        <w:rPr>
          <w:noProof/>
        </w:rPr>
        <w:t>/km, в съответствие с член 10, параграф 2, буква б) Комисията коригира еталонните емисии на CO</w:t>
      </w:r>
      <w:r>
        <w:rPr>
          <w:noProof/>
          <w:vertAlign w:val="subscript"/>
        </w:rPr>
        <w:t>2</w:t>
      </w:r>
      <w:r>
        <w:rPr>
          <w:noProof/>
        </w:rPr>
        <w:t xml:space="preserve">, посочени в член 10, параграф 1, като корекцията се изчислява в съответствие с формулата, посочена в приложение II, точка 2. </w:t>
      </w:r>
    </w:p>
    <w:p w:rsidR="00185C77" w:rsidRDefault="00176197">
      <w:pPr>
        <w:pStyle w:val="Text1"/>
        <w:rPr>
          <w:noProof/>
        </w:rPr>
      </w:pPr>
      <w:r>
        <w:rPr>
          <w:noProof/>
        </w:rPr>
        <w:t xml:space="preserve">С актове за </w:t>
      </w:r>
      <w:r>
        <w:rPr>
          <w:noProof/>
        </w:rPr>
        <w:t>изпълнение, които се приемат в съответствие с процедурата по разглеждане, посочена в член 14, параграф 2, Комисията въвежда методика за определяне на едно или няколко превозни средства от дадена подгрупа превозни средства, в т.ч. статистическите им тежести</w:t>
      </w:r>
      <w:r>
        <w:rPr>
          <w:noProof/>
        </w:rPr>
        <w:t xml:space="preserve">, въз основа на които се определя корекцията, като взема предвид данните от мониторинга, докладвани в съответствие с Регламент (ЕС) 2018/..., и техническите характеристики на превозните средства, посочени в член 12, параграф 1 от Регламент (ЕС) 2017/2400. </w:t>
      </w:r>
    </w:p>
    <w:p w:rsidR="00185C77" w:rsidRDefault="00176197">
      <w:pPr>
        <w:pStyle w:val="Titrearticle"/>
        <w:rPr>
          <w:noProof/>
        </w:rPr>
      </w:pPr>
      <w:r>
        <w:rPr>
          <w:noProof/>
        </w:rPr>
        <w:t>Член 13</w:t>
      </w:r>
      <w:r>
        <w:rPr>
          <w:noProof/>
        </w:rPr>
        <w:br/>
        <w:t>Преглед и доклад</w:t>
      </w:r>
    </w:p>
    <w:p w:rsidR="00185C77" w:rsidRDefault="00176197">
      <w:pPr>
        <w:rPr>
          <w:noProof/>
        </w:rPr>
      </w:pPr>
      <w:r>
        <w:rPr>
          <w:noProof/>
        </w:rPr>
        <w:t>До 31 декември 2022 г. Комисията представя доклад на Европейския парламент и на Съвета относно ефективността на настоящия регламент, целта за намаляване на емисиите на CO</w:t>
      </w:r>
      <w:r>
        <w:rPr>
          <w:noProof/>
          <w:vertAlign w:val="subscript"/>
        </w:rPr>
        <w:t>2</w:t>
      </w:r>
      <w:r>
        <w:rPr>
          <w:noProof/>
        </w:rPr>
        <w:t>, която трябва да се определи за 2030 г. съгласно член 1, и</w:t>
      </w:r>
      <w:r>
        <w:rPr>
          <w:noProof/>
        </w:rPr>
        <w:t xml:space="preserve"> определянето на цели за намаляване на емисиите на CO</w:t>
      </w:r>
      <w:r>
        <w:rPr>
          <w:noProof/>
          <w:vertAlign w:val="subscript"/>
        </w:rPr>
        <w:t>2</w:t>
      </w:r>
      <w:r>
        <w:rPr>
          <w:noProof/>
        </w:rPr>
        <w:t xml:space="preserve"> от други видове тежкотоварни превозни средства, включително ремаркета. Докладът съдържа също така оценка на ефективността на мерките, по-специално по отношение на превозните средства с нулеви и ниски е</w:t>
      </w:r>
      <w:r>
        <w:rPr>
          <w:noProof/>
        </w:rPr>
        <w:t>мисии, най-вече автобусите, като се отчитат целите, посочени в Директива 2009/33/ЕО</w:t>
      </w:r>
      <w:r>
        <w:rPr>
          <w:rStyle w:val="FootnoteReference"/>
          <w:noProof/>
        </w:rPr>
        <w:footnoteReference w:id="30"/>
      </w:r>
      <w:r>
        <w:rPr>
          <w:noProof/>
        </w:rPr>
        <w:t>, както и на системата за кредити за СО</w:t>
      </w:r>
      <w:r>
        <w:rPr>
          <w:noProof/>
          <w:vertAlign w:val="subscript"/>
        </w:rPr>
        <w:t>2</w:t>
      </w:r>
      <w:r>
        <w:rPr>
          <w:noProof/>
        </w:rPr>
        <w:t>, а също дали е целесъобразно прилагането на мерките да продължи през 2030 г. и след това, и — ако е целесъобразно — се придружава о</w:t>
      </w:r>
      <w:r>
        <w:rPr>
          <w:noProof/>
        </w:rPr>
        <w:t xml:space="preserve">т предложение за изменение на настоящия регламент. </w:t>
      </w:r>
    </w:p>
    <w:p w:rsidR="00185C77" w:rsidRDefault="00176197">
      <w:pPr>
        <w:pStyle w:val="Titrearticle"/>
        <w:rPr>
          <w:noProof/>
        </w:rPr>
      </w:pPr>
      <w:r>
        <w:rPr>
          <w:noProof/>
        </w:rPr>
        <w:t>Член 14</w:t>
      </w:r>
      <w:r>
        <w:rPr>
          <w:noProof/>
        </w:rPr>
        <w:br/>
        <w:t>Процедура на комитет</w:t>
      </w:r>
    </w:p>
    <w:p w:rsidR="00185C77" w:rsidRDefault="00176197">
      <w:pPr>
        <w:pStyle w:val="ManualNumPar1"/>
        <w:rPr>
          <w:noProof/>
        </w:rPr>
      </w:pPr>
      <w:r>
        <w:rPr>
          <w:noProof/>
        </w:rPr>
        <w:t>1.</w:t>
      </w:r>
      <w:r>
        <w:rPr>
          <w:noProof/>
        </w:rPr>
        <w:tab/>
        <w:t>Комисията се подпомага от Комитета ххх, създаден с Регламент (ЕС) 2018/... [относно управлението]. Този комитет е комитет по смисъла на Регламент (ЕС) № 182/2011.</w:t>
      </w:r>
    </w:p>
    <w:p w:rsidR="00185C77" w:rsidRDefault="00176197">
      <w:pPr>
        <w:pStyle w:val="ManualNumPar1"/>
        <w:rPr>
          <w:noProof/>
        </w:rPr>
      </w:pPr>
      <w:r>
        <w:rPr>
          <w:noProof/>
        </w:rPr>
        <w:t>2.</w:t>
      </w:r>
      <w:r>
        <w:rPr>
          <w:noProof/>
        </w:rPr>
        <w:tab/>
        <w:t>При по</w:t>
      </w:r>
      <w:r>
        <w:rPr>
          <w:noProof/>
        </w:rPr>
        <w:t>зоваване на настоящия параграф се прилага член 5 от Регламент (ЕС) № 182/2011.</w:t>
      </w:r>
    </w:p>
    <w:p w:rsidR="00185C77" w:rsidRDefault="00176197">
      <w:pPr>
        <w:pStyle w:val="ManualNumPar1"/>
        <w:rPr>
          <w:noProof/>
        </w:rPr>
      </w:pPr>
      <w:r>
        <w:rPr>
          <w:noProof/>
        </w:rPr>
        <w:t>3.</w:t>
      </w:r>
      <w:r>
        <w:rPr>
          <w:noProof/>
        </w:rPr>
        <w:tab/>
        <w:t>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rsidR="00185C77" w:rsidRDefault="00176197">
      <w:pPr>
        <w:pStyle w:val="Titrearticle"/>
        <w:rPr>
          <w:noProof/>
        </w:rPr>
      </w:pPr>
      <w:r>
        <w:rPr>
          <w:noProof/>
        </w:rPr>
        <w:t>Член 15</w:t>
      </w:r>
      <w:r>
        <w:rPr>
          <w:noProof/>
        </w:rPr>
        <w:br/>
        <w:t>Упраж</w:t>
      </w:r>
      <w:r>
        <w:rPr>
          <w:noProof/>
        </w:rPr>
        <w:t>няване на делегирането</w:t>
      </w:r>
    </w:p>
    <w:p w:rsidR="00185C77" w:rsidRDefault="00176197">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rsidR="00185C77" w:rsidRDefault="00176197">
      <w:pPr>
        <w:pStyle w:val="ManualNumPar1"/>
        <w:rPr>
          <w:noProof/>
        </w:rPr>
      </w:pPr>
      <w:r>
        <w:rPr>
          <w:noProof/>
        </w:rPr>
        <w:t>2.</w:t>
      </w:r>
      <w:r>
        <w:rPr>
          <w:noProof/>
        </w:rPr>
        <w:tab/>
        <w:t>Правомощието да приема делегирани актове, посочено в член 10, параграф 2 и член 12, параграф 1, се предо</w:t>
      </w:r>
      <w:r>
        <w:rPr>
          <w:noProof/>
        </w:rPr>
        <w:t>ставя на Комисията за неопределен срок, считано от [датата на влизане в сила на настоящия регламент].</w:t>
      </w:r>
    </w:p>
    <w:p w:rsidR="00185C77" w:rsidRDefault="00176197">
      <w:pPr>
        <w:pStyle w:val="ManualNumPar1"/>
        <w:rPr>
          <w:noProof/>
        </w:rPr>
      </w:pPr>
      <w:r>
        <w:rPr>
          <w:noProof/>
        </w:rPr>
        <w:t>3.</w:t>
      </w:r>
      <w:r>
        <w:rPr>
          <w:noProof/>
        </w:rPr>
        <w:tab/>
        <w:t>Делегирането на правомощия, посочено в член 10, параграф 2 и член 12, параграф 1, може да бъде оттеглено по всяко време от Европейския парламент или от</w:t>
      </w:r>
      <w:r>
        <w:rPr>
          <w:noProof/>
        </w:rPr>
        <w:t xml:space="preserve">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w:t>
      </w:r>
      <w:r>
        <w:rPr>
          <w:noProof/>
        </w:rPr>
        <w:t xml:space="preserve"> действителността на делегираните актове, които вече са в сила.</w:t>
      </w:r>
    </w:p>
    <w:p w:rsidR="00185C77" w:rsidRDefault="00176197">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w:t>
      </w:r>
      <w:r>
        <w:rPr>
          <w:noProof/>
        </w:rPr>
        <w:t>обро законотворчество от 13 април 2016 г.</w:t>
      </w:r>
    </w:p>
    <w:p w:rsidR="00185C77" w:rsidRDefault="00176197">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rsidR="00185C77" w:rsidRDefault="00176197">
      <w:pPr>
        <w:pStyle w:val="ManualNumPar1"/>
        <w:rPr>
          <w:noProof/>
        </w:rPr>
      </w:pPr>
      <w:r>
        <w:rPr>
          <w:noProof/>
        </w:rPr>
        <w:t>6.</w:t>
      </w:r>
      <w:r>
        <w:rPr>
          <w:noProof/>
        </w:rPr>
        <w:tab/>
        <w:t>Делегиран акт, приет съгласно член 10, параграф 2 и член 12, параграф 1, влиза в сила единс</w:t>
      </w:r>
      <w:r>
        <w:rPr>
          <w:noProof/>
        </w:rPr>
        <w:t>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w:t>
      </w:r>
      <w:r>
        <w:rPr>
          <w:noProof/>
        </w:rPr>
        <w:t>ията, че няма да представят възражения. Посоченият срок може да се удължи с два месеца по инициатива на Европейския парламент или на Съвета.</w:t>
      </w:r>
    </w:p>
    <w:p w:rsidR="00185C77" w:rsidRDefault="00176197">
      <w:pPr>
        <w:pStyle w:val="Titrearticle"/>
        <w:rPr>
          <w:noProof/>
        </w:rPr>
      </w:pPr>
      <w:r>
        <w:rPr>
          <w:noProof/>
        </w:rPr>
        <w:t>Член 16</w:t>
      </w:r>
      <w:r>
        <w:rPr>
          <w:noProof/>
        </w:rPr>
        <w:br/>
        <w:t>Изменение на Регламент (ЕО) № 595/2009</w:t>
      </w:r>
    </w:p>
    <w:p w:rsidR="00185C77" w:rsidRDefault="00176197">
      <w:pPr>
        <w:rPr>
          <w:noProof/>
        </w:rPr>
      </w:pPr>
      <w:r>
        <w:rPr>
          <w:noProof/>
        </w:rPr>
        <w:t>В член 5, параграф 4 от Регламент (ЕО) № 595/2009 се добавя следната</w:t>
      </w:r>
      <w:r>
        <w:rPr>
          <w:noProof/>
        </w:rPr>
        <w:t xml:space="preserve"> буква л):</w:t>
      </w:r>
    </w:p>
    <w:p w:rsidR="00185C77" w:rsidRDefault="00176197">
      <w:pPr>
        <w:pStyle w:val="ManualNumPar1"/>
        <w:rPr>
          <w:noProof/>
        </w:rPr>
      </w:pPr>
      <w:r>
        <w:rPr>
          <w:noProof/>
        </w:rPr>
        <w:t>„л)</w:t>
      </w:r>
      <w:r>
        <w:rPr>
          <w:noProof/>
        </w:rPr>
        <w:tab/>
        <w:t>процедура за проверка дали, въз основа на подходящи и представителни извадки, регистрираните и въведени в употреба превозни средства отговарят на стойностите за емисиите на CO</w:t>
      </w:r>
      <w:r>
        <w:rPr>
          <w:noProof/>
          <w:vertAlign w:val="subscript"/>
        </w:rPr>
        <w:t>2</w:t>
      </w:r>
      <w:r>
        <w:rPr>
          <w:noProof/>
        </w:rPr>
        <w:t xml:space="preserve"> и за разхода на гориво, определени в съответствие с настоящия ре</w:t>
      </w:r>
      <w:r>
        <w:rPr>
          <w:noProof/>
        </w:rPr>
        <w:t xml:space="preserve">гламент и мерките за неговото прилагане.“ </w:t>
      </w:r>
    </w:p>
    <w:p w:rsidR="00185C77" w:rsidRDefault="00176197">
      <w:pPr>
        <w:pStyle w:val="Titrearticle"/>
        <w:rPr>
          <w:noProof/>
        </w:rPr>
      </w:pPr>
      <w:r>
        <w:rPr>
          <w:noProof/>
        </w:rPr>
        <w:t>Член 17</w:t>
      </w:r>
      <w:r>
        <w:rPr>
          <w:noProof/>
        </w:rPr>
        <w:br/>
        <w:t>Влизане в сила</w:t>
      </w:r>
    </w:p>
    <w:p w:rsidR="00185C77" w:rsidRDefault="00176197">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r>
        <w:rPr>
          <w:noProof/>
          <w:highlight w:val="magenta"/>
        </w:rPr>
        <w:t xml:space="preserve"> </w:t>
      </w:r>
    </w:p>
    <w:p w:rsidR="00185C77" w:rsidRDefault="00176197">
      <w:pPr>
        <w:pStyle w:val="Applicationdirecte"/>
        <w:keepNext/>
        <w:keepLines/>
        <w:rPr>
          <w:noProof/>
        </w:rPr>
      </w:pPr>
      <w:r>
        <w:rPr>
          <w:noProof/>
        </w:rPr>
        <w:t>Настоящият регламент е задължителен в своята цялост и се прилага п</w:t>
      </w:r>
      <w:r>
        <w:rPr>
          <w:noProof/>
        </w:rPr>
        <w:t>ряко във всички държави членки.</w:t>
      </w:r>
    </w:p>
    <w:p w:rsidR="00185C77" w:rsidRDefault="00176197" w:rsidP="00176197">
      <w:pPr>
        <w:pStyle w:val="Fait"/>
        <w:rPr>
          <w:noProof/>
        </w:rPr>
      </w:pPr>
      <w:r w:rsidRPr="00176197">
        <w:t xml:space="preserve">Съставено в Брюксел на </w:t>
      </w:r>
      <w:r w:rsidRPr="00176197">
        <w:rPr>
          <w:rStyle w:val="Marker"/>
        </w:rPr>
        <w:t>[…]</w:t>
      </w:r>
      <w:r w:rsidRPr="00176197">
        <w:t xml:space="preserve"> година.</w:t>
      </w:r>
    </w:p>
    <w:p w:rsidR="00185C77" w:rsidRDefault="00176197">
      <w:pPr>
        <w:pStyle w:val="Institutionquisigne"/>
        <w:rPr>
          <w:noProof/>
        </w:rPr>
      </w:pPr>
      <w:r>
        <w:rPr>
          <w:noProof/>
        </w:rPr>
        <w:t>За Европейския парламент</w:t>
      </w:r>
      <w:r>
        <w:rPr>
          <w:noProof/>
        </w:rPr>
        <w:tab/>
        <w:t>За Съвета</w:t>
      </w:r>
    </w:p>
    <w:p w:rsidR="00185C77" w:rsidRDefault="00176197">
      <w:pPr>
        <w:pStyle w:val="Personnequisigne"/>
        <w:rPr>
          <w:noProof/>
        </w:rPr>
      </w:pPr>
      <w:r>
        <w:rPr>
          <w:noProof/>
        </w:rPr>
        <w:t>Председател</w:t>
      </w:r>
      <w:r>
        <w:rPr>
          <w:noProof/>
        </w:rPr>
        <w:tab/>
        <w:t>Председател</w:t>
      </w:r>
    </w:p>
    <w:p w:rsidR="00185C77" w:rsidRDefault="00185C77">
      <w:pPr>
        <w:rPr>
          <w:noProof/>
        </w:rPr>
        <w:sectPr w:rsidR="00185C77" w:rsidSect="00176197">
          <w:pgSz w:w="11907" w:h="16839"/>
          <w:pgMar w:top="1134" w:right="1417" w:bottom="1134" w:left="1417" w:header="709" w:footer="709" w:gutter="0"/>
          <w:cols w:space="708"/>
          <w:docGrid w:linePitch="360"/>
        </w:sectPr>
      </w:pPr>
    </w:p>
    <w:p w:rsidR="00185C77" w:rsidRDefault="00176197">
      <w:pPr>
        <w:pStyle w:val="Fichefinanciretitre"/>
        <w:rPr>
          <w:noProof/>
        </w:rPr>
      </w:pPr>
      <w:r>
        <w:rPr>
          <w:noProof/>
        </w:rPr>
        <w:t>ЗАКОНОДАТЕЛНА ФИНАНСОВА ОБОСНОВКА</w:t>
      </w:r>
    </w:p>
    <w:p w:rsidR="00185C77" w:rsidRDefault="00176197">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РАМКА НА ПРЕДЛОЖЕНИЕТО/ИНИЦИАТИВАТА </w:t>
      </w:r>
    </w:p>
    <w:p w:rsidR="00185C77" w:rsidRDefault="00176197">
      <w:pPr>
        <w:keepNext/>
        <w:tabs>
          <w:tab w:val="left" w:pos="850"/>
        </w:tabs>
        <w:ind w:left="850" w:hanging="850"/>
        <w:outlineLvl w:val="1"/>
        <w:rPr>
          <w:noProof/>
        </w:rPr>
      </w:pPr>
      <w:r>
        <w:rPr>
          <w:noProof/>
        </w:rPr>
        <w:tab/>
        <w:t>1.1.</w:t>
      </w:r>
      <w:r>
        <w:rPr>
          <w:noProof/>
        </w:rPr>
        <w:tab/>
      </w:r>
      <w:r>
        <w:rPr>
          <w:noProof/>
        </w:rPr>
        <w:t xml:space="preserve">Наименование на предложението/инициативата </w:t>
      </w:r>
    </w:p>
    <w:p w:rsidR="00185C77" w:rsidRDefault="00176197">
      <w:pPr>
        <w:keepNext/>
        <w:tabs>
          <w:tab w:val="left" w:pos="850"/>
        </w:tabs>
        <w:ind w:left="850" w:hanging="850"/>
        <w:outlineLvl w:val="1"/>
        <w:rPr>
          <w:noProof/>
        </w:rPr>
      </w:pPr>
      <w:r>
        <w:rPr>
          <w:noProof/>
        </w:rPr>
        <w:tab/>
        <w:t>1.2.</w:t>
      </w:r>
      <w:r>
        <w:rPr>
          <w:noProof/>
        </w:rPr>
        <w:tab/>
        <w:t>Съответни области на политиката в структурата на УД/БД</w:t>
      </w:r>
    </w:p>
    <w:p w:rsidR="00185C77" w:rsidRDefault="00176197">
      <w:pPr>
        <w:keepNext/>
        <w:tabs>
          <w:tab w:val="left" w:pos="850"/>
        </w:tabs>
        <w:ind w:left="850" w:hanging="850"/>
        <w:outlineLvl w:val="1"/>
        <w:rPr>
          <w:noProof/>
        </w:rPr>
      </w:pPr>
      <w:r>
        <w:rPr>
          <w:noProof/>
        </w:rPr>
        <w:tab/>
        <w:t>1.3.</w:t>
      </w:r>
      <w:r>
        <w:rPr>
          <w:noProof/>
        </w:rPr>
        <w:tab/>
        <w:t xml:space="preserve">Естество на предложението/инициативата </w:t>
      </w:r>
    </w:p>
    <w:p w:rsidR="00185C77" w:rsidRDefault="00176197">
      <w:pPr>
        <w:keepNext/>
        <w:tabs>
          <w:tab w:val="left" w:pos="850"/>
        </w:tabs>
        <w:ind w:left="850" w:hanging="850"/>
        <w:outlineLvl w:val="1"/>
        <w:rPr>
          <w:noProof/>
        </w:rPr>
      </w:pPr>
      <w:r>
        <w:rPr>
          <w:noProof/>
        </w:rPr>
        <w:tab/>
        <w:t>1.4.</w:t>
      </w:r>
      <w:r>
        <w:rPr>
          <w:noProof/>
        </w:rPr>
        <w:tab/>
        <w:t xml:space="preserve">Цели </w:t>
      </w:r>
    </w:p>
    <w:p w:rsidR="00185C77" w:rsidRDefault="00176197">
      <w:pPr>
        <w:keepNext/>
        <w:tabs>
          <w:tab w:val="left" w:pos="850"/>
        </w:tabs>
        <w:ind w:left="850" w:hanging="850"/>
        <w:outlineLvl w:val="1"/>
        <w:rPr>
          <w:noProof/>
        </w:rPr>
      </w:pPr>
      <w:r>
        <w:rPr>
          <w:noProof/>
        </w:rPr>
        <w:tab/>
        <w:t>1.5.</w:t>
      </w:r>
      <w:r>
        <w:rPr>
          <w:noProof/>
        </w:rPr>
        <w:tab/>
        <w:t xml:space="preserve">Мотиви за предложението/инициативата </w:t>
      </w:r>
    </w:p>
    <w:p w:rsidR="00185C77" w:rsidRDefault="00176197">
      <w:pPr>
        <w:keepNext/>
        <w:tabs>
          <w:tab w:val="left" w:pos="850"/>
        </w:tabs>
        <w:ind w:left="850" w:hanging="850"/>
        <w:outlineLvl w:val="1"/>
        <w:rPr>
          <w:noProof/>
        </w:rPr>
      </w:pPr>
      <w:r>
        <w:rPr>
          <w:noProof/>
        </w:rPr>
        <w:tab/>
        <w:t>1.6.</w:t>
      </w:r>
      <w:r>
        <w:rPr>
          <w:noProof/>
        </w:rPr>
        <w:tab/>
        <w:t xml:space="preserve">Срок на действие и финансово отражение </w:t>
      </w:r>
    </w:p>
    <w:p w:rsidR="00185C77" w:rsidRDefault="00176197">
      <w:pPr>
        <w:keepNext/>
        <w:tabs>
          <w:tab w:val="left" w:pos="850"/>
        </w:tabs>
        <w:ind w:left="850" w:hanging="850"/>
        <w:outlineLvl w:val="1"/>
        <w:rPr>
          <w:noProof/>
        </w:rPr>
      </w:pPr>
      <w:r>
        <w:rPr>
          <w:noProof/>
        </w:rPr>
        <w:tab/>
        <w:t>1.</w:t>
      </w:r>
      <w:r>
        <w:rPr>
          <w:noProof/>
        </w:rPr>
        <w:t>7.</w:t>
      </w:r>
      <w:r>
        <w:rPr>
          <w:noProof/>
        </w:rPr>
        <w:tab/>
        <w:t xml:space="preserve">Предвидени методи на управление </w:t>
      </w:r>
    </w:p>
    <w:p w:rsidR="00185C77" w:rsidRDefault="00176197">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МЕРКИ ЗА УПРАВЛЕНИЕ </w:t>
      </w:r>
    </w:p>
    <w:p w:rsidR="00185C77" w:rsidRDefault="00176197">
      <w:pPr>
        <w:keepNext/>
        <w:tabs>
          <w:tab w:val="left" w:pos="850"/>
        </w:tabs>
        <w:ind w:left="850" w:hanging="850"/>
        <w:outlineLvl w:val="1"/>
        <w:rPr>
          <w:noProof/>
        </w:rPr>
      </w:pPr>
      <w:r>
        <w:rPr>
          <w:noProof/>
        </w:rPr>
        <w:tab/>
        <w:t>2.1.</w:t>
      </w:r>
      <w:r>
        <w:rPr>
          <w:noProof/>
        </w:rPr>
        <w:tab/>
        <w:t xml:space="preserve">Правила за мониторинг и докладване </w:t>
      </w:r>
    </w:p>
    <w:p w:rsidR="00185C77" w:rsidRDefault="00176197">
      <w:pPr>
        <w:keepNext/>
        <w:tabs>
          <w:tab w:val="left" w:pos="850"/>
        </w:tabs>
        <w:ind w:left="850" w:hanging="850"/>
        <w:outlineLvl w:val="1"/>
        <w:rPr>
          <w:noProof/>
        </w:rPr>
      </w:pPr>
      <w:r>
        <w:rPr>
          <w:noProof/>
        </w:rPr>
        <w:tab/>
        <w:t>2.2.</w:t>
      </w:r>
      <w:r>
        <w:rPr>
          <w:noProof/>
        </w:rPr>
        <w:tab/>
        <w:t xml:space="preserve">Система за управление и контрол </w:t>
      </w:r>
    </w:p>
    <w:p w:rsidR="00185C77" w:rsidRDefault="00176197">
      <w:pPr>
        <w:keepNext/>
        <w:tabs>
          <w:tab w:val="left" w:pos="850"/>
        </w:tabs>
        <w:ind w:left="850" w:hanging="850"/>
        <w:outlineLvl w:val="1"/>
        <w:rPr>
          <w:noProof/>
        </w:rPr>
      </w:pPr>
      <w:r>
        <w:rPr>
          <w:noProof/>
        </w:rPr>
        <w:tab/>
        <w:t>2.3.</w:t>
      </w:r>
      <w:r>
        <w:rPr>
          <w:noProof/>
        </w:rPr>
        <w:tab/>
        <w:t xml:space="preserve">Мерки за предотвратяване на измами и нередности </w:t>
      </w:r>
    </w:p>
    <w:p w:rsidR="00185C77" w:rsidRDefault="00176197">
      <w:pPr>
        <w:keepNext/>
        <w:tabs>
          <w:tab w:val="left" w:pos="850"/>
        </w:tabs>
        <w:spacing w:before="360"/>
        <w:ind w:left="850" w:hanging="850"/>
        <w:outlineLvl w:val="0"/>
        <w:rPr>
          <w:b/>
          <w:smallCaps/>
          <w:noProof/>
        </w:rPr>
      </w:pPr>
      <w:r>
        <w:rPr>
          <w:b/>
          <w:smallCaps/>
          <w:noProof/>
        </w:rPr>
        <w:t>3.</w:t>
      </w:r>
      <w:r>
        <w:rPr>
          <w:noProof/>
        </w:rPr>
        <w:tab/>
      </w:r>
      <w:r>
        <w:rPr>
          <w:b/>
          <w:smallCaps/>
          <w:noProof/>
        </w:rPr>
        <w:t>ОЧАКВАНО ФИНАНСОВО ОТРАЖЕНИЕ НА ПРЕДЛОЖЕНИЕТО/ИНИЦИАТИВАТ</w:t>
      </w:r>
      <w:r>
        <w:rPr>
          <w:b/>
          <w:smallCaps/>
          <w:noProof/>
        </w:rPr>
        <w:t xml:space="preserve">А </w:t>
      </w:r>
    </w:p>
    <w:p w:rsidR="00185C77" w:rsidRDefault="00176197">
      <w:pPr>
        <w:keepNext/>
        <w:tabs>
          <w:tab w:val="left" w:pos="850"/>
        </w:tabs>
        <w:ind w:left="850" w:hanging="850"/>
        <w:outlineLvl w:val="1"/>
        <w:rPr>
          <w:noProof/>
        </w:rPr>
      </w:pPr>
      <w:r>
        <w:rPr>
          <w:noProof/>
        </w:rPr>
        <w:tab/>
        <w:t>3.1.</w:t>
      </w:r>
      <w:r>
        <w:rPr>
          <w:noProof/>
        </w:rPr>
        <w:tab/>
        <w:t xml:space="preserve">Съответни функции от многогодишната финансова рамка и разходни бюджетни редове </w:t>
      </w:r>
    </w:p>
    <w:p w:rsidR="00185C77" w:rsidRDefault="00176197">
      <w:pPr>
        <w:keepNext/>
        <w:tabs>
          <w:tab w:val="left" w:pos="850"/>
        </w:tabs>
        <w:ind w:left="850" w:hanging="850"/>
        <w:outlineLvl w:val="1"/>
        <w:rPr>
          <w:b/>
          <w:noProof/>
        </w:rPr>
      </w:pPr>
      <w:r>
        <w:rPr>
          <w:noProof/>
        </w:rPr>
        <w:tab/>
        <w:t>3.2.</w:t>
      </w:r>
      <w:r>
        <w:rPr>
          <w:noProof/>
        </w:rPr>
        <w:tab/>
        <w:t>Очаквано отражение върху разходите</w:t>
      </w:r>
      <w:r>
        <w:rPr>
          <w:b/>
          <w:noProof/>
        </w:rPr>
        <w:t xml:space="preserve"> </w:t>
      </w:r>
    </w:p>
    <w:p w:rsidR="00185C77" w:rsidRDefault="00176197">
      <w:pPr>
        <w:keepNext/>
        <w:tabs>
          <w:tab w:val="left" w:pos="850"/>
        </w:tabs>
        <w:ind w:left="850" w:hanging="850"/>
        <w:outlineLvl w:val="2"/>
        <w:rPr>
          <w:i/>
          <w:noProof/>
        </w:rPr>
      </w:pPr>
      <w:r>
        <w:rPr>
          <w:noProof/>
        </w:rPr>
        <w:tab/>
      </w:r>
      <w:r>
        <w:rPr>
          <w:i/>
          <w:noProof/>
        </w:rPr>
        <w:t>3.2.1.</w:t>
      </w:r>
      <w:r>
        <w:rPr>
          <w:noProof/>
        </w:rPr>
        <w:tab/>
      </w:r>
      <w:r>
        <w:rPr>
          <w:i/>
          <w:noProof/>
        </w:rPr>
        <w:t xml:space="preserve">Обобщение на очакваното отражение върху разходите </w:t>
      </w:r>
    </w:p>
    <w:p w:rsidR="00185C77" w:rsidRDefault="00176197">
      <w:pPr>
        <w:keepNext/>
        <w:tabs>
          <w:tab w:val="left" w:pos="850"/>
        </w:tabs>
        <w:ind w:left="850" w:hanging="850"/>
        <w:outlineLvl w:val="2"/>
        <w:rPr>
          <w:i/>
          <w:noProof/>
        </w:rPr>
      </w:pPr>
      <w:r>
        <w:rPr>
          <w:noProof/>
        </w:rPr>
        <w:tab/>
      </w:r>
      <w:r>
        <w:rPr>
          <w:i/>
          <w:noProof/>
        </w:rPr>
        <w:t>3.2.2.</w:t>
      </w:r>
      <w:r>
        <w:rPr>
          <w:noProof/>
        </w:rPr>
        <w:tab/>
      </w:r>
      <w:r>
        <w:rPr>
          <w:i/>
          <w:noProof/>
        </w:rPr>
        <w:t xml:space="preserve">Очаквано отражение върху бюджетните кредити за оперативни </w:t>
      </w:r>
      <w:r>
        <w:rPr>
          <w:i/>
          <w:noProof/>
        </w:rPr>
        <w:t xml:space="preserve">разходи </w:t>
      </w:r>
    </w:p>
    <w:p w:rsidR="00185C77" w:rsidRDefault="00176197">
      <w:pPr>
        <w:keepNext/>
        <w:tabs>
          <w:tab w:val="left" w:pos="850"/>
        </w:tabs>
        <w:ind w:left="850" w:hanging="850"/>
        <w:outlineLvl w:val="2"/>
        <w:rPr>
          <w:i/>
          <w:noProof/>
        </w:rPr>
      </w:pPr>
      <w:r>
        <w:rPr>
          <w:noProof/>
        </w:rPr>
        <w:tab/>
      </w:r>
      <w:r>
        <w:rPr>
          <w:i/>
          <w:noProof/>
        </w:rPr>
        <w:t>3.2.3.</w:t>
      </w:r>
      <w:r>
        <w:rPr>
          <w:noProof/>
        </w:rPr>
        <w:tab/>
      </w:r>
      <w:r>
        <w:rPr>
          <w:i/>
          <w:noProof/>
        </w:rPr>
        <w:t>Очаквано отражение върху бюджетните кредити за административни разходи</w:t>
      </w:r>
    </w:p>
    <w:p w:rsidR="00185C77" w:rsidRDefault="00176197">
      <w:pPr>
        <w:keepNext/>
        <w:tabs>
          <w:tab w:val="left" w:pos="850"/>
        </w:tabs>
        <w:ind w:left="850" w:hanging="850"/>
        <w:outlineLvl w:val="2"/>
        <w:rPr>
          <w:i/>
          <w:noProof/>
        </w:rPr>
      </w:pPr>
      <w:r>
        <w:rPr>
          <w:noProof/>
        </w:rPr>
        <w:tab/>
      </w:r>
      <w:r>
        <w:rPr>
          <w:i/>
          <w:noProof/>
        </w:rPr>
        <w:t>3.2.4.</w:t>
      </w:r>
      <w:r>
        <w:rPr>
          <w:noProof/>
        </w:rPr>
        <w:tab/>
      </w:r>
      <w:r>
        <w:rPr>
          <w:i/>
          <w:noProof/>
        </w:rPr>
        <w:t>Съвместимост с настоящата многогодишна финансова рамка</w:t>
      </w:r>
    </w:p>
    <w:p w:rsidR="00185C77" w:rsidRDefault="00176197">
      <w:pPr>
        <w:keepNext/>
        <w:tabs>
          <w:tab w:val="left" w:pos="850"/>
        </w:tabs>
        <w:ind w:left="850" w:hanging="850"/>
        <w:outlineLvl w:val="2"/>
        <w:rPr>
          <w:i/>
          <w:noProof/>
        </w:rPr>
      </w:pPr>
      <w:r>
        <w:rPr>
          <w:noProof/>
        </w:rPr>
        <w:tab/>
      </w:r>
      <w:r>
        <w:rPr>
          <w:i/>
          <w:noProof/>
        </w:rPr>
        <w:t>3.2.5.</w:t>
      </w:r>
      <w:r>
        <w:rPr>
          <w:noProof/>
        </w:rPr>
        <w:tab/>
      </w:r>
      <w:r>
        <w:rPr>
          <w:i/>
          <w:noProof/>
        </w:rPr>
        <w:t xml:space="preserve">Участие на трети страни във финансирането </w:t>
      </w:r>
    </w:p>
    <w:p w:rsidR="00185C77" w:rsidRDefault="00176197">
      <w:pPr>
        <w:keepNext/>
        <w:tabs>
          <w:tab w:val="left" w:pos="850"/>
        </w:tabs>
        <w:ind w:left="850" w:hanging="850"/>
        <w:jc w:val="left"/>
        <w:outlineLvl w:val="1"/>
        <w:rPr>
          <w:noProof/>
        </w:rPr>
        <w:sectPr w:rsidR="00185C77" w:rsidSect="00176197">
          <w:pgSz w:w="11907" w:h="16840" w:code="9"/>
          <w:pgMar w:top="1134" w:right="1418" w:bottom="1134" w:left="1418" w:header="709" w:footer="709" w:gutter="0"/>
          <w:cols w:space="708"/>
          <w:docGrid w:linePitch="360"/>
        </w:sectPr>
      </w:pPr>
      <w:r>
        <w:rPr>
          <w:noProof/>
        </w:rPr>
        <w:tab/>
        <w:t>3.3.</w:t>
      </w:r>
      <w:r>
        <w:rPr>
          <w:noProof/>
        </w:rPr>
        <w:tab/>
        <w:t xml:space="preserve">Очаквано отражение върху </w:t>
      </w:r>
      <w:r>
        <w:rPr>
          <w:noProof/>
        </w:rPr>
        <w:t>приходите</w:t>
      </w:r>
    </w:p>
    <w:p w:rsidR="00185C77" w:rsidRDefault="00176197">
      <w:pPr>
        <w:jc w:val="center"/>
        <w:rPr>
          <w:noProof/>
        </w:rPr>
      </w:pPr>
      <w:r>
        <w:rPr>
          <w:b/>
          <w:noProof/>
          <w:u w:val="single"/>
        </w:rPr>
        <w:t>ЗАКОНОДАТЕЛНА ФИНАНСОВА ОБОСНОВКА</w:t>
      </w:r>
    </w:p>
    <w:p w:rsidR="00185C77" w:rsidRDefault="00176197">
      <w:pPr>
        <w:pStyle w:val="ManualHeading1"/>
        <w:rPr>
          <w:noProof/>
        </w:rPr>
      </w:pPr>
      <w:r>
        <w:rPr>
          <w:noProof/>
        </w:rPr>
        <w:t>1.</w:t>
      </w:r>
      <w:r>
        <w:rPr>
          <w:noProof/>
        </w:rPr>
        <w:tab/>
        <w:t xml:space="preserve">РАМКА НА ПРЕДЛОЖЕНИЕТО/ИНИЦИАТИВАТА </w:t>
      </w:r>
    </w:p>
    <w:p w:rsidR="00185C77" w:rsidRDefault="00176197">
      <w:pPr>
        <w:pStyle w:val="ManualHeading2"/>
        <w:rPr>
          <w:noProof/>
        </w:rPr>
      </w:pPr>
      <w:r>
        <w:rPr>
          <w:noProof/>
        </w:rPr>
        <w:t>1.1.</w:t>
      </w:r>
      <w:r>
        <w:rPr>
          <w:noProof/>
        </w:rPr>
        <w:tab/>
        <w:t xml:space="preserve">Наименование на предложението/инициативата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Регламент на Европейския парламент и на Съвета за определяне на стандарти за емисиите на CO</w:t>
      </w:r>
      <w:r>
        <w:rPr>
          <w:noProof/>
          <w:vertAlign w:val="subscript"/>
        </w:rPr>
        <w:t xml:space="preserve">2 </w:t>
      </w:r>
      <w:r>
        <w:rPr>
          <w:noProof/>
        </w:rPr>
        <w:t xml:space="preserve"> от нови тежкотоварни превозни средства</w:t>
      </w:r>
    </w:p>
    <w:p w:rsidR="00185C77" w:rsidRDefault="00176197">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31"/>
      </w:r>
      <w:r>
        <w:rPr>
          <w:i/>
          <w:noProof/>
        </w:rPr>
        <w:t xml:space="preserve">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34: Действия в областта на климата</w:t>
      </w:r>
    </w:p>
    <w:p w:rsidR="00185C77" w:rsidRDefault="00176197">
      <w:pPr>
        <w:pStyle w:val="ManualHeading2"/>
        <w:rPr>
          <w:noProof/>
          <w:szCs w:val="24"/>
        </w:rPr>
      </w:pPr>
      <w:r>
        <w:rPr>
          <w:noProof/>
        </w:rPr>
        <w:t>1.3.</w:t>
      </w:r>
      <w:r>
        <w:rPr>
          <w:noProof/>
        </w:rPr>
        <w:tab/>
        <w:t xml:space="preserve">Естество на предложението/инициативата </w:t>
      </w:r>
    </w:p>
    <w:p w:rsidR="00185C77" w:rsidRDefault="00176197">
      <w:pPr>
        <w:ind w:left="850"/>
        <w:rPr>
          <w:b/>
          <w:noProof/>
          <w:sz w:val="22"/>
        </w:rPr>
      </w:pPr>
      <w:r>
        <w:rPr>
          <w:noProof/>
          <w:sz w:val="22"/>
        </w:rPr>
        <w:sym w:font="Wingdings" w:char="F0FE"/>
      </w:r>
      <w:r>
        <w:rPr>
          <w:b/>
          <w:i/>
          <w:noProof/>
          <w:sz w:val="22"/>
        </w:rPr>
        <w:t xml:space="preserve"> </w:t>
      </w:r>
      <w:r>
        <w:rPr>
          <w:noProof/>
        </w:rPr>
        <w:t xml:space="preserve"> Предложението/инициативата е във връзка с </w:t>
      </w:r>
      <w:r>
        <w:rPr>
          <w:b/>
          <w:noProof/>
        </w:rPr>
        <w:t>нова дейност</w:t>
      </w:r>
      <w:r>
        <w:rPr>
          <w:b/>
          <w:noProof/>
          <w:sz w:val="22"/>
        </w:rPr>
        <w:t xml:space="preserve"> </w:t>
      </w:r>
    </w:p>
    <w:p w:rsidR="00185C77" w:rsidRDefault="00176197">
      <w:pPr>
        <w:ind w:left="850"/>
        <w:rPr>
          <w:noProof/>
          <w:sz w:val="22"/>
        </w:rPr>
      </w:pPr>
      <w:r>
        <w:rPr>
          <w:noProof/>
          <w:sz w:val="22"/>
        </w:rPr>
        <w:sym w:font="Wingdings" w:char="F0A8"/>
      </w:r>
      <w:r>
        <w:rPr>
          <w:i/>
          <w:noProof/>
          <w:sz w:val="22"/>
        </w:rPr>
        <w:t xml:space="preserve"> </w:t>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32"/>
      </w:r>
      <w:r>
        <w:rPr>
          <w:noProof/>
          <w:sz w:val="22"/>
        </w:rPr>
        <w:t xml:space="preserve"> </w:t>
      </w:r>
    </w:p>
    <w:p w:rsidR="00185C77" w:rsidRDefault="00176197">
      <w:pPr>
        <w:ind w:left="850"/>
        <w:rPr>
          <w:noProof/>
          <w:sz w:val="22"/>
        </w:rPr>
      </w:pPr>
      <w:r>
        <w:rPr>
          <w:noProof/>
          <w:sz w:val="22"/>
        </w:rPr>
        <w:sym w:font="Wingdings" w:char="F0A8"/>
      </w:r>
      <w:r>
        <w:rPr>
          <w:i/>
          <w:noProof/>
          <w:sz w:val="22"/>
        </w:rPr>
        <w:t xml:space="preserve"> </w:t>
      </w:r>
      <w:r>
        <w:rPr>
          <w:noProof/>
        </w:rPr>
        <w:t xml:space="preserve"> Предложението/инициативата е във връзка с </w:t>
      </w:r>
      <w:r>
        <w:rPr>
          <w:b/>
          <w:noProof/>
        </w:rPr>
        <w:t>продължаване на съществуваща дейност</w:t>
      </w:r>
      <w:r>
        <w:rPr>
          <w:noProof/>
          <w:sz w:val="22"/>
        </w:rPr>
        <w:t xml:space="preserve"> </w:t>
      </w:r>
    </w:p>
    <w:p w:rsidR="00185C77" w:rsidRDefault="00176197">
      <w:pPr>
        <w:ind w:left="850"/>
        <w:rPr>
          <w:noProof/>
        </w:rPr>
      </w:pPr>
      <w:r>
        <w:rPr>
          <w:noProof/>
          <w:sz w:val="22"/>
        </w:rPr>
        <w:sym w:font="Wingdings" w:char="F0A8"/>
      </w:r>
      <w:r>
        <w:rPr>
          <w:i/>
          <w:noProof/>
          <w:sz w:val="22"/>
        </w:rPr>
        <w:t xml:space="preserve"> </w:t>
      </w:r>
      <w:r>
        <w:rPr>
          <w:noProof/>
        </w:rPr>
        <w:t xml:space="preserve"> Предложението/инициативата е във връзка с </w:t>
      </w:r>
      <w:r>
        <w:rPr>
          <w:b/>
          <w:noProof/>
        </w:rPr>
        <w:t>дейност, пренасочена към нов</w:t>
      </w:r>
      <w:r>
        <w:rPr>
          <w:b/>
          <w:noProof/>
        </w:rPr>
        <w:t>а дейност</w:t>
      </w:r>
      <w:r>
        <w:rPr>
          <w:noProof/>
        </w:rPr>
        <w:t xml:space="preserve"> </w:t>
      </w:r>
    </w:p>
    <w:p w:rsidR="00185C77" w:rsidRDefault="00176197">
      <w:pPr>
        <w:pStyle w:val="ManualHeading2"/>
        <w:rPr>
          <w:noProof/>
          <w:szCs w:val="24"/>
        </w:rPr>
      </w:pPr>
      <w:r>
        <w:rPr>
          <w:noProof/>
        </w:rPr>
        <w:t>1.4.</w:t>
      </w:r>
      <w:r>
        <w:rPr>
          <w:noProof/>
        </w:rPr>
        <w:tab/>
        <w:t>Цели</w:t>
      </w:r>
    </w:p>
    <w:p w:rsidR="00185C77" w:rsidRDefault="00176197">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Предложението е основна законодателна мярка в третия пакет „Европа в движение“. То допринася за изпълнението на приета</w:t>
      </w:r>
      <w:r>
        <w:rPr>
          <w:noProof/>
        </w:rPr>
        <w:t>та от Комисията през 2016 г. Европейска стратегия за мобилност с ниски емисии и съпътстващия я план за действие за повишаване на горивната ефективност и намаляване на емисиите от тежкотоварни превозни средства, т.е. товарни автомобили и градски и междуград</w:t>
      </w:r>
      <w:r>
        <w:rPr>
          <w:noProof/>
        </w:rPr>
        <w:t xml:space="preserve">ски автобуси.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Предложението допринася за постигането на поетия от Съюза ангажимент за намаляване на вътрешните емисии до 2030 г. най-малко с 40 %  в сравнение с 1990 г.</w:t>
      </w:r>
    </w:p>
    <w:p w:rsidR="00185C77" w:rsidRDefault="00185C77">
      <w:pPr>
        <w:pBdr>
          <w:top w:val="single" w:sz="4" w:space="1" w:color="auto"/>
          <w:left w:val="single" w:sz="4" w:space="4" w:color="auto"/>
          <w:bottom w:val="single" w:sz="4" w:space="1" w:color="auto"/>
          <w:right w:val="single" w:sz="4" w:space="4" w:color="auto"/>
        </w:pBdr>
        <w:ind w:left="850"/>
        <w:rPr>
          <w:noProof/>
        </w:rPr>
      </w:pPr>
    </w:p>
    <w:p w:rsidR="00185C77" w:rsidRDefault="00176197">
      <w:pPr>
        <w:pStyle w:val="ManualHeading3"/>
        <w:rPr>
          <w:noProof/>
          <w:szCs w:val="24"/>
        </w:rPr>
      </w:pPr>
      <w:r>
        <w:rPr>
          <w:noProof/>
        </w:rPr>
        <w:t>1.4.2.</w:t>
      </w:r>
      <w:r>
        <w:rPr>
          <w:noProof/>
        </w:rPr>
        <w:tab/>
        <w:t xml:space="preserve">Конкретни цели и съответни дейности във връзка с УД/БД </w:t>
      </w:r>
    </w:p>
    <w:p w:rsidR="00185C77" w:rsidRDefault="00176197">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3…</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По-</w:t>
      </w:r>
      <w:r>
        <w:rPr>
          <w:noProof/>
        </w:rPr>
        <w:t>нататъшна декарбонизация на транспортния отрасъл в Съюза чрез разработване и прилагане на хармонизирани политики (в сътрудничество с други генерални дирекции, като ГД „Мобилност и транспорт“, ГД „Вътрешен пазар, промишленост, предприемачество и МСП“, ...).</w:t>
      </w:r>
    </w:p>
    <w:p w:rsidR="00185C77" w:rsidRDefault="00176197">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Дейност във връзка с БД 34 02 — Действия в областта на климата на равнището на Съюза и на международно равнище</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Дейност във връзка с БД 07 02 — Политика в областта на околната среда на равнището на Съюза и на междунаро</w:t>
      </w:r>
      <w:r>
        <w:rPr>
          <w:noProof/>
        </w:rPr>
        <w:t>дно равнище</w:t>
      </w:r>
    </w:p>
    <w:p w:rsidR="00185C77" w:rsidRDefault="00176197">
      <w:pPr>
        <w:pStyle w:val="ManualHeading3"/>
        <w:rPr>
          <w:noProof/>
          <w:szCs w:val="24"/>
        </w:rPr>
      </w:pPr>
      <w:r>
        <w:rPr>
          <w:noProof/>
        </w:rPr>
        <w:br w:type="page"/>
        <w:t>1.4.3.</w:t>
      </w:r>
      <w:r>
        <w:rPr>
          <w:noProof/>
        </w:rPr>
        <w:tab/>
        <w:t>Очаквани резултати и отражение</w:t>
      </w:r>
    </w:p>
    <w:p w:rsidR="00185C77" w:rsidRDefault="00176197">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С предложението ще бъдат определени стандарти за емисиите на CO</w:t>
      </w:r>
      <w:r>
        <w:rPr>
          <w:noProof/>
          <w:vertAlign w:val="subscript"/>
        </w:rPr>
        <w:t>2</w:t>
      </w:r>
      <w:r>
        <w:rPr>
          <w:noProof/>
        </w:rPr>
        <w:t xml:space="preserve"> за новите тежкотоварни превозни средства, които се пускат на пазара на Съюза.</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Предложението:</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ще спомогне за намаляване на емисиите на CO</w:t>
      </w:r>
      <w:r>
        <w:rPr>
          <w:noProof/>
          <w:vertAlign w:val="subscript"/>
        </w:rPr>
        <w:t>2</w:t>
      </w:r>
      <w:r>
        <w:rPr>
          <w:noProof/>
        </w:rPr>
        <w:t xml:space="preserve"> от тежкотоварните превозни средства;</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ще намали оперативните разходи за стопанските субекти от транспортния отрасъ</w:t>
      </w:r>
      <w:r>
        <w:rPr>
          <w:noProof/>
        </w:rPr>
        <w:t xml:space="preserve">л и/или разходите за транспорт на товари за потребителите;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ще помогне на европейската промишленост за производство на тежкотоварни превозни средства да запази водещите си позиции в областта на технологиите и иновациите.</w:t>
      </w:r>
    </w:p>
    <w:p w:rsidR="00185C77" w:rsidRDefault="00176197">
      <w:pPr>
        <w:pStyle w:val="ManualHeading3"/>
        <w:rPr>
          <w:noProof/>
          <w:szCs w:val="24"/>
        </w:rPr>
      </w:pPr>
      <w:r>
        <w:rPr>
          <w:noProof/>
        </w:rPr>
        <w:t>1.4.4.</w:t>
      </w:r>
      <w:r>
        <w:rPr>
          <w:noProof/>
        </w:rPr>
        <w:tab/>
        <w:t xml:space="preserve">Показатели за резултатите </w:t>
      </w:r>
      <w:r>
        <w:rPr>
          <w:noProof/>
        </w:rPr>
        <w:t xml:space="preserve">и за отражението </w:t>
      </w:r>
    </w:p>
    <w:p w:rsidR="00185C77" w:rsidRDefault="00176197">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Показател 1: Средни годишни емисии на CO</w:t>
      </w:r>
      <w:r>
        <w:rPr>
          <w:noProof/>
          <w:vertAlign w:val="subscript"/>
        </w:rPr>
        <w:t>2</w:t>
      </w:r>
      <w:r>
        <w:rPr>
          <w:noProof/>
        </w:rPr>
        <w:t xml:space="preserve"> и разход на гориво от нови тежкотоварни превозни средства, регистрирани в Съюза съгласно зак</w:t>
      </w:r>
      <w:r>
        <w:rPr>
          <w:noProof/>
        </w:rPr>
        <w:t>онодателството за сертифициране, по класове превозни средства, производители и държави членки.</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Показател 2: Повишаване на иновациите, измерено по нови патенти за европейски производители на тежкотоварни превозни средства, свързани с технологии за горивна е</w:t>
      </w:r>
      <w:r>
        <w:rPr>
          <w:noProof/>
        </w:rPr>
        <w:t>фективност и превозни средства с нулеви или ниски емисии.</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Показател 3: Заетост, като показателят ще се следи въз основа на публично достъпните статистически данни на Евростат относно заетостта в Съюза по сектори.</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Показател 4: Мониторинг на качеството на въ</w:t>
      </w:r>
      <w:r>
        <w:rPr>
          <w:noProof/>
        </w:rPr>
        <w:t>здуха с данни за замърсителите на въздуха, отчитани от Европейската агенция за околната среда в базата данни AirBase</w:t>
      </w:r>
      <w:r>
        <w:rPr>
          <w:rStyle w:val="FootnoteReference"/>
          <w:noProof/>
        </w:rPr>
        <w:footnoteReference w:id="33"/>
      </w:r>
      <w:r>
        <w:rPr>
          <w:noProof/>
        </w:rPr>
        <w:t>.</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Показател 5: Повишаването на енергийната сигурност ще се следи въз основа на статистически данни на Евростат за вноса на горива, в т.ч. т</w:t>
      </w:r>
      <w:r>
        <w:rPr>
          <w:noProof/>
        </w:rPr>
        <w:t>ранспортни горива.</w:t>
      </w:r>
    </w:p>
    <w:p w:rsidR="00185C77" w:rsidRDefault="00176197">
      <w:pPr>
        <w:pStyle w:val="ManualHeading2"/>
        <w:rPr>
          <w:noProof/>
          <w:szCs w:val="24"/>
        </w:rPr>
      </w:pPr>
      <w:r>
        <w:rPr>
          <w:noProof/>
        </w:rPr>
        <w:t>1.5.</w:t>
      </w:r>
      <w:r>
        <w:rPr>
          <w:noProof/>
        </w:rPr>
        <w:tab/>
        <w:t xml:space="preserve">Мотиви за предложението/инициативата </w:t>
      </w:r>
    </w:p>
    <w:p w:rsidR="00185C77" w:rsidRDefault="00176197">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xml:space="preserve">Производителите на регистрирани в Съюза нови тежкотоварни превозни средства ще трябва да: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изпълняват заложе</w:t>
      </w:r>
      <w:r>
        <w:rPr>
          <w:noProof/>
        </w:rPr>
        <w:t>ните цели за специфичните емисии на CO</w:t>
      </w:r>
      <w:r>
        <w:rPr>
          <w:noProof/>
          <w:vertAlign w:val="subscript"/>
        </w:rPr>
        <w:t>2</w:t>
      </w:r>
      <w:r>
        <w:rPr>
          <w:noProof/>
        </w:rPr>
        <w:t>;</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докладват на Комисията данни за разхода на гориво в реални условия, който ще се измерва с помощта на стандартизирани устройства;</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провеждат изпитвания за съответствие в експлоатация, резултатите от които се докла</w:t>
      </w:r>
      <w:r>
        <w:rPr>
          <w:noProof/>
        </w:rPr>
        <w:t xml:space="preserve">дват на Комисията. </w:t>
      </w:r>
    </w:p>
    <w:p w:rsidR="00185C77" w:rsidRDefault="00185C77">
      <w:pPr>
        <w:pBdr>
          <w:top w:val="single" w:sz="4" w:space="1" w:color="auto"/>
          <w:left w:val="single" w:sz="4" w:space="4" w:color="auto"/>
          <w:bottom w:val="single" w:sz="4" w:space="1" w:color="auto"/>
          <w:right w:val="single" w:sz="4" w:space="4" w:color="auto"/>
        </w:pBdr>
        <w:ind w:left="850"/>
        <w:rPr>
          <w:noProof/>
        </w:rPr>
      </w:pPr>
    </w:p>
    <w:p w:rsidR="00185C77" w:rsidRDefault="00176197">
      <w:pPr>
        <w:pStyle w:val="ManualHeading3"/>
        <w:rPr>
          <w:noProof/>
          <w:szCs w:val="24"/>
        </w:rPr>
      </w:pPr>
      <w:r>
        <w:rPr>
          <w:noProof/>
        </w:rPr>
        <w:t>1.5.2.</w:t>
      </w:r>
      <w:r>
        <w:rPr>
          <w:noProof/>
        </w:rPr>
        <w:tab/>
        <w:t>Добавена стойност от намесата на ЕС</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Пазарът за нови тежкотоварни превозни средства и пазарът за транспортни услуги обхващат цялата територия на ЕС и са неразделна част от единния пазар. Определянето на стандарти за емисиите на р</w:t>
      </w:r>
      <w:r>
        <w:rPr>
          <w:noProof/>
        </w:rPr>
        <w:t xml:space="preserve">авнището на Съюза не само ще предотврати разпокъсване на пазара и нарушения на конкуренцията, но и икономически е по-ефективно, отколкото предприемането на действия от отделните държави членки.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За да направи необходимите мащабни капиталовложения за оптима</w:t>
      </w:r>
      <w:r>
        <w:rPr>
          <w:noProof/>
        </w:rPr>
        <w:t>лни икономии на гориво за новите превозни средства — и в още по-голяма степен за да осъществи прехода към нови първични източници на енергия — автомобилната промишленост се нуждае от възможно най-голяма сигурност на нормативната уредба. Стандартите осигуря</w:t>
      </w:r>
      <w:r>
        <w:rPr>
          <w:noProof/>
        </w:rPr>
        <w:t>ват такава сигурност за дългосрочно планиране и могат да се прилагат еднакво ефикасно и с еднаква степен на сигурност на равнището на държавите членки.</w:t>
      </w:r>
    </w:p>
    <w:p w:rsidR="00185C77" w:rsidRDefault="00176197">
      <w:pPr>
        <w:pStyle w:val="ManualHeading3"/>
        <w:rPr>
          <w:noProof/>
          <w:szCs w:val="24"/>
        </w:rPr>
      </w:pPr>
      <w:r>
        <w:rPr>
          <w:noProof/>
        </w:rPr>
        <w:t>1.5.3.</w:t>
      </w:r>
      <w:r>
        <w:rPr>
          <w:noProof/>
        </w:rPr>
        <w:tab/>
        <w:t>Изводи от подобен опит в миналото</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Задължителните стандарти на ЕС за емисиите на CO</w:t>
      </w:r>
      <w:r>
        <w:rPr>
          <w:noProof/>
          <w:vertAlign w:val="subscript"/>
        </w:rPr>
        <w:t>2</w:t>
      </w:r>
      <w:r>
        <w:rPr>
          <w:noProof/>
        </w:rPr>
        <w:t xml:space="preserve"> от лекотоварните превозни средства (леки и лекотоварни автомобили) доведоха до по-голяма горивна ефективност и понижиха емисиите на CO</w:t>
      </w:r>
      <w:r>
        <w:rPr>
          <w:noProof/>
          <w:vertAlign w:val="subscript"/>
        </w:rPr>
        <w:t>2</w:t>
      </w:r>
      <w:r>
        <w:rPr>
          <w:noProof/>
        </w:rPr>
        <w:t xml:space="preserve">.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Според изводите от оценката на действащите регламенти законодателството е все така актуално, до голяма степен е съгла</w:t>
      </w:r>
      <w:r>
        <w:rPr>
          <w:noProof/>
        </w:rPr>
        <w:t>сувано и съществено е намалило емисиите, като при постигането на заложените цели се е оказало икономически по-изгодно от първоначалните предвиждания.</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Предлаганите стандарти за емисиите на CO</w:t>
      </w:r>
      <w:r>
        <w:rPr>
          <w:noProof/>
          <w:vertAlign w:val="subscript"/>
        </w:rPr>
        <w:t>2</w:t>
      </w:r>
      <w:r>
        <w:rPr>
          <w:noProof/>
        </w:rPr>
        <w:t xml:space="preserve"> за нови тежкотоварни превозни средства са съобразени с поуките, </w:t>
      </w:r>
      <w:r>
        <w:rPr>
          <w:noProof/>
        </w:rPr>
        <w:t>извлечени от прилагането на стандарти за емисиите от лекотоварните превозни средства. Както при леките и лекотоварните автомобили, предвидени са няколко гъвкави решения с цел да се осигури икономически ефективно прилагане на стандартите. Специфичните харак</w:t>
      </w:r>
      <w:r>
        <w:rPr>
          <w:noProof/>
        </w:rPr>
        <w:t>теристики на тежкотоварните превозни средства обаче налагат въвеждането на някои нови елементи при разработването на стандарти за емисиите на CO</w:t>
      </w:r>
      <w:r>
        <w:rPr>
          <w:noProof/>
          <w:vertAlign w:val="subscript"/>
        </w:rPr>
        <w:t>2</w:t>
      </w:r>
      <w:r>
        <w:rPr>
          <w:noProof/>
        </w:rPr>
        <w:t xml:space="preserve"> в отрасъла. </w:t>
      </w:r>
    </w:p>
    <w:p w:rsidR="00185C77" w:rsidRDefault="00176197">
      <w:pPr>
        <w:pStyle w:val="ManualHeading3"/>
        <w:rPr>
          <w:noProof/>
          <w:szCs w:val="24"/>
        </w:rPr>
      </w:pPr>
      <w:r>
        <w:rPr>
          <w:noProof/>
        </w:rPr>
        <w:t>1.5.4.</w:t>
      </w:r>
      <w:r>
        <w:rPr>
          <w:noProof/>
        </w:rPr>
        <w:tab/>
        <w:t>Съгласуваност и евентуална синергия с други актове</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Предложението е съгласувано със съществ</w:t>
      </w:r>
      <w:r>
        <w:rPr>
          <w:noProof/>
        </w:rPr>
        <w:t>уващите политики на ЕС в областта на мобилността, включващи мерки като системата на ЕС за одобрение на типа, Регламента за сертифициране</w:t>
      </w:r>
      <w:r>
        <w:rPr>
          <w:rStyle w:val="FootnoteReference"/>
          <w:noProof/>
        </w:rPr>
        <w:footnoteReference w:id="34"/>
      </w:r>
      <w:r>
        <w:rPr>
          <w:noProof/>
        </w:rPr>
        <w:t>, Регламента за мониторинга и докладването</w:t>
      </w:r>
      <w:r>
        <w:rPr>
          <w:rStyle w:val="FootnoteReference"/>
          <w:noProof/>
        </w:rPr>
        <w:footnoteReference w:id="35"/>
      </w:r>
      <w:r>
        <w:rPr>
          <w:noProof/>
        </w:rPr>
        <w:t>, Директива „Евровинетка“</w:t>
      </w:r>
      <w:r>
        <w:rPr>
          <w:rStyle w:val="FootnoteReference"/>
          <w:noProof/>
        </w:rPr>
        <w:footnoteReference w:id="36"/>
      </w:r>
      <w:r>
        <w:rPr>
          <w:noProof/>
        </w:rPr>
        <w:t xml:space="preserve">, Директивата относно максимално допустимите маси </w:t>
      </w:r>
      <w:r>
        <w:rPr>
          <w:noProof/>
        </w:rPr>
        <w:t>и размери</w:t>
      </w:r>
      <w:r>
        <w:rPr>
          <w:rStyle w:val="FootnoteReference"/>
          <w:noProof/>
        </w:rPr>
        <w:footnoteReference w:id="37"/>
      </w:r>
      <w:r>
        <w:rPr>
          <w:noProof/>
        </w:rPr>
        <w:t>, Директивата за екологично чисти превозни средства</w:t>
      </w:r>
      <w:r>
        <w:rPr>
          <w:rStyle w:val="FootnoteReference"/>
          <w:noProof/>
        </w:rPr>
        <w:footnoteReference w:id="38"/>
      </w:r>
      <w:r>
        <w:rPr>
          <w:noProof/>
        </w:rPr>
        <w:t xml:space="preserve">, Директивата за качеството на горивата.  </w:t>
      </w:r>
    </w:p>
    <w:p w:rsidR="00185C77" w:rsidRDefault="00176197">
      <w:pPr>
        <w:pStyle w:val="ManualHeading2"/>
        <w:rPr>
          <w:noProof/>
          <w:szCs w:val="24"/>
        </w:rPr>
      </w:pPr>
      <w:r>
        <w:rPr>
          <w:noProof/>
        </w:rPr>
        <w:br w:type="page"/>
        <w:t>1.6.</w:t>
      </w:r>
      <w:r>
        <w:rPr>
          <w:noProof/>
        </w:rPr>
        <w:tab/>
        <w:t xml:space="preserve">Срок на действие и финансово отражение </w:t>
      </w:r>
    </w:p>
    <w:p w:rsidR="00185C77" w:rsidRDefault="00176197">
      <w:pPr>
        <w:ind w:left="850"/>
        <w:rPr>
          <w:noProof/>
        </w:rPr>
      </w:pPr>
      <w:r>
        <w:rPr>
          <w:noProof/>
        </w:rPr>
        <w:sym w:font="Wingdings" w:char="F0A8"/>
      </w:r>
      <w:r>
        <w:rPr>
          <w:b/>
          <w:i/>
          <w:noProof/>
        </w:rPr>
        <w:t xml:space="preserve"> </w:t>
      </w:r>
      <w:r>
        <w:rPr>
          <w:noProof/>
        </w:rPr>
        <w:t xml:space="preserve"> Предложение/инициатива с </w:t>
      </w:r>
      <w:r>
        <w:rPr>
          <w:b/>
          <w:noProof/>
        </w:rPr>
        <w:t xml:space="preserve">ограничен срок на действие </w:t>
      </w:r>
    </w:p>
    <w:p w:rsidR="00185C77" w:rsidRDefault="00176197">
      <w:pPr>
        <w:pStyle w:val="ListDash2"/>
        <w:rPr>
          <w:noProof/>
        </w:rPr>
      </w:pPr>
      <w:r>
        <w:rPr>
          <w:noProof/>
        </w:rPr>
        <w:sym w:font="Wingdings" w:char="F0A8"/>
      </w:r>
      <w:r>
        <w:rPr>
          <w:noProof/>
        </w:rPr>
        <w:tab/>
      </w:r>
      <w:r>
        <w:rPr>
          <w:noProof/>
        </w:rPr>
        <w:t xml:space="preserve">Предложение/инициатива в сила от [ДД/ММ]ГГГГ до [ДД/ММ]ГГГГ </w:t>
      </w:r>
    </w:p>
    <w:p w:rsidR="00185C77" w:rsidRDefault="00176197">
      <w:pPr>
        <w:pStyle w:val="ListDash2"/>
        <w:rPr>
          <w:noProof/>
        </w:rPr>
      </w:pPr>
      <w:r>
        <w:rPr>
          <w:noProof/>
        </w:rPr>
        <w:sym w:font="Wingdings" w:char="F0A8"/>
      </w:r>
      <w:r>
        <w:rPr>
          <w:noProof/>
        </w:rPr>
        <w:tab/>
        <w:t xml:space="preserve">Финансово отражение от ГГГГ до ГГГГ </w:t>
      </w:r>
    </w:p>
    <w:p w:rsidR="00185C77" w:rsidRDefault="00176197">
      <w:pPr>
        <w:ind w:left="850"/>
        <w:rPr>
          <w:noProof/>
        </w:rPr>
      </w:pPr>
      <w:r>
        <w:rPr>
          <w:noProof/>
        </w:rPr>
        <w:sym w:font="Wingdings" w:char="F0FE"/>
      </w:r>
      <w:r>
        <w:rPr>
          <w:noProof/>
        </w:rPr>
        <w:t xml:space="preserve"> Предложение/инициатива с </w:t>
      </w:r>
      <w:r>
        <w:rPr>
          <w:b/>
          <w:noProof/>
        </w:rPr>
        <w:t>неограничен срок на действие</w:t>
      </w:r>
    </w:p>
    <w:p w:rsidR="00185C77" w:rsidRDefault="00176197">
      <w:pPr>
        <w:pStyle w:val="ListDash2"/>
        <w:rPr>
          <w:noProof/>
        </w:rPr>
      </w:pPr>
      <w:r>
        <w:rPr>
          <w:noProof/>
        </w:rPr>
        <w:t>Изпълнение с период на започване на дейност от 2019 г. с неограничена продължителност,</w:t>
      </w:r>
    </w:p>
    <w:p w:rsidR="00185C77" w:rsidRDefault="00176197">
      <w:pPr>
        <w:pStyle w:val="ListDash2"/>
        <w:rPr>
          <w:noProof/>
        </w:rPr>
      </w:pPr>
      <w:r>
        <w:rPr>
          <w:noProof/>
        </w:rPr>
        <w:t xml:space="preserve">последван от </w:t>
      </w:r>
      <w:r>
        <w:rPr>
          <w:noProof/>
        </w:rPr>
        <w:t>функциониране с пълен капацитет.</w:t>
      </w:r>
    </w:p>
    <w:p w:rsidR="00185C77" w:rsidRDefault="00176197">
      <w:pPr>
        <w:pStyle w:val="ManualHeading2"/>
        <w:rPr>
          <w:noProof/>
          <w:szCs w:val="24"/>
        </w:rPr>
      </w:pPr>
      <w:r>
        <w:rPr>
          <w:noProof/>
        </w:rPr>
        <w:t>1.7.</w:t>
      </w:r>
      <w:r>
        <w:rPr>
          <w:noProof/>
        </w:rPr>
        <w:tab/>
        <w:t>Предвидени методи на управление</w:t>
      </w:r>
      <w:r>
        <w:rPr>
          <w:rStyle w:val="FootnoteReference"/>
          <w:noProof/>
        </w:rPr>
        <w:footnoteReference w:id="39"/>
      </w:r>
      <w:r>
        <w:rPr>
          <w:noProof/>
          <w:vertAlign w:val="superscript"/>
        </w:rPr>
        <w:t xml:space="preserve"> </w:t>
      </w:r>
    </w:p>
    <w:p w:rsidR="00185C77" w:rsidRDefault="00176197">
      <w:pPr>
        <w:ind w:left="850"/>
        <w:rPr>
          <w:noProof/>
        </w:rPr>
      </w:pPr>
      <w:r>
        <w:rPr>
          <w:noProof/>
        </w:rPr>
        <w:sym w:font="Wingdings" w:char="F0FE"/>
      </w:r>
      <w:r>
        <w:rPr>
          <w:i/>
          <w:noProof/>
        </w:rPr>
        <w:t xml:space="preserve"> </w:t>
      </w:r>
      <w:r>
        <w:rPr>
          <w:noProof/>
        </w:rPr>
        <w:t xml:space="preserve"> </w:t>
      </w:r>
      <w:r>
        <w:rPr>
          <w:b/>
          <w:noProof/>
        </w:rPr>
        <w:t>Пряко управление</w:t>
      </w:r>
      <w:r>
        <w:rPr>
          <w:noProof/>
        </w:rPr>
        <w:t xml:space="preserve"> от Комисията</w:t>
      </w:r>
    </w:p>
    <w:p w:rsidR="00185C77" w:rsidRDefault="00176197">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rsidR="00185C77" w:rsidRDefault="00176197">
      <w:pPr>
        <w:pStyle w:val="ListDash2"/>
        <w:rPr>
          <w:noProof/>
        </w:rPr>
      </w:pPr>
      <w:r>
        <w:rPr>
          <w:noProof/>
        </w:rPr>
        <w:sym w:font="Wingdings" w:char="F0A8"/>
      </w:r>
      <w:r>
        <w:rPr>
          <w:noProof/>
        </w:rPr>
        <w:tab/>
        <w:t xml:space="preserve">от изпълнителните агенции </w:t>
      </w:r>
    </w:p>
    <w:p w:rsidR="00185C77" w:rsidRDefault="00176197">
      <w:pPr>
        <w:ind w:left="850"/>
        <w:rPr>
          <w:noProof/>
        </w:rPr>
      </w:pPr>
      <w:r>
        <w:rPr>
          <w:noProof/>
        </w:rPr>
        <w:sym w:font="Wingdings" w:char="F0A8"/>
      </w:r>
      <w:r>
        <w:rPr>
          <w:b/>
          <w:i/>
          <w:noProof/>
        </w:rPr>
        <w:t xml:space="preserve"> </w:t>
      </w:r>
      <w:r>
        <w:rPr>
          <w:noProof/>
        </w:rPr>
        <w:t xml:space="preserve"> </w:t>
      </w:r>
      <w:r>
        <w:rPr>
          <w:b/>
          <w:noProof/>
        </w:rPr>
        <w:t>Споделено управление</w:t>
      </w:r>
      <w:r>
        <w:rPr>
          <w:noProof/>
        </w:rPr>
        <w:t xml:space="preserve"> с държавите-членки </w:t>
      </w:r>
    </w:p>
    <w:p w:rsidR="00185C77" w:rsidRDefault="00176197">
      <w:pPr>
        <w:ind w:left="850"/>
        <w:rPr>
          <w:noProof/>
        </w:rPr>
      </w:pPr>
      <w:r>
        <w:rPr>
          <w:noProof/>
        </w:rPr>
        <w:sym w:font="Wingdings" w:char="F0A8"/>
      </w:r>
      <w:r>
        <w:rPr>
          <w:i/>
          <w:noProof/>
        </w:rPr>
        <w:t xml:space="preserve"> </w:t>
      </w:r>
      <w:r>
        <w:rPr>
          <w:noProof/>
        </w:rPr>
        <w:t xml:space="preserve"> </w:t>
      </w:r>
      <w:r>
        <w:rPr>
          <w:b/>
          <w:noProof/>
        </w:rPr>
        <w:t>Непряко управление</w:t>
      </w:r>
      <w:r>
        <w:rPr>
          <w:noProof/>
        </w:rPr>
        <w:t xml:space="preserve"> чрез делегиране на задачи по изпълнението на бюджета на:</w:t>
      </w:r>
    </w:p>
    <w:p w:rsidR="00185C77" w:rsidRDefault="00176197">
      <w:pPr>
        <w:pStyle w:val="ListDash2"/>
        <w:rPr>
          <w:noProof/>
        </w:rPr>
      </w:pPr>
      <w:r>
        <w:rPr>
          <w:noProof/>
        </w:rPr>
        <w:sym w:font="Wingdings" w:char="F0A8"/>
      </w:r>
      <w:r>
        <w:rPr>
          <w:noProof/>
        </w:rPr>
        <w:t xml:space="preserve"> трети държави или на определените от тях органи;</w:t>
      </w:r>
    </w:p>
    <w:p w:rsidR="00185C77" w:rsidRDefault="00176197">
      <w:pPr>
        <w:pStyle w:val="ListDash2"/>
        <w:rPr>
          <w:noProof/>
        </w:rPr>
      </w:pPr>
      <w:r>
        <w:rPr>
          <w:noProof/>
        </w:rPr>
        <w:sym w:font="Wingdings" w:char="F0A8"/>
      </w:r>
      <w:r>
        <w:rPr>
          <w:noProof/>
        </w:rPr>
        <w:t xml:space="preserve"> международни организации и техните агенции (да се уточни);</w:t>
      </w:r>
    </w:p>
    <w:p w:rsidR="00185C77" w:rsidRDefault="00176197">
      <w:pPr>
        <w:pStyle w:val="ListDash2"/>
        <w:rPr>
          <w:noProof/>
        </w:rPr>
      </w:pPr>
      <w:r>
        <w:rPr>
          <w:noProof/>
        </w:rPr>
        <w:sym w:font="Wingdings" w:char="F0A8"/>
      </w:r>
      <w:r>
        <w:rPr>
          <w:noProof/>
        </w:rPr>
        <w:t xml:space="preserve"> ЕИБ и Европейския инвестиционен фонд;</w:t>
      </w:r>
    </w:p>
    <w:p w:rsidR="00185C77" w:rsidRDefault="00176197">
      <w:pPr>
        <w:pStyle w:val="ListDash2"/>
        <w:rPr>
          <w:noProof/>
        </w:rPr>
      </w:pPr>
      <w:r>
        <w:rPr>
          <w:noProof/>
        </w:rPr>
        <w:sym w:font="Wingdings" w:char="F0A8"/>
      </w:r>
      <w:r>
        <w:rPr>
          <w:noProof/>
        </w:rPr>
        <w:t xml:space="preserve"> органите, посочени в член</w:t>
      </w:r>
      <w:r>
        <w:rPr>
          <w:noProof/>
        </w:rPr>
        <w:t>ове 208 и 209 от Финансовия регламент;</w:t>
      </w:r>
    </w:p>
    <w:p w:rsidR="00185C77" w:rsidRDefault="00176197">
      <w:pPr>
        <w:pStyle w:val="ListDash2"/>
        <w:rPr>
          <w:noProof/>
        </w:rPr>
      </w:pPr>
      <w:r>
        <w:rPr>
          <w:noProof/>
        </w:rPr>
        <w:sym w:font="Wingdings" w:char="F0A8"/>
      </w:r>
      <w:r>
        <w:rPr>
          <w:noProof/>
        </w:rPr>
        <w:t xml:space="preserve"> публичноправни органи;</w:t>
      </w:r>
    </w:p>
    <w:p w:rsidR="00185C77" w:rsidRDefault="00176197">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185C77" w:rsidRDefault="00176197">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185C77" w:rsidRDefault="00176197">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185C77" w:rsidRDefault="00176197">
      <w:pPr>
        <w:pStyle w:val="ListDash2"/>
        <w:rPr>
          <w:i/>
          <w:noProof/>
          <w:sz w:val="18"/>
          <w:u w:val="single"/>
        </w:rPr>
      </w:pPr>
      <w:r>
        <w:rPr>
          <w:i/>
          <w:noProof/>
          <w:sz w:val="18"/>
        </w:rPr>
        <w:t>Ако е посочен повече от един метод на управление, пояснете в частта „Забележки“.</w:t>
      </w:r>
    </w:p>
    <w:p w:rsidR="00185C77" w:rsidRDefault="00176197">
      <w:pPr>
        <w:rPr>
          <w:noProof/>
        </w:rPr>
      </w:pPr>
      <w:r>
        <w:rPr>
          <w:noProof/>
        </w:rPr>
        <w:t xml:space="preserve">Забележки </w:t>
      </w:r>
    </w:p>
    <w:p w:rsidR="00185C77" w:rsidRDefault="00185C77">
      <w:pPr>
        <w:rPr>
          <w:noProof/>
        </w:rPr>
        <w:sectPr w:rsidR="00185C77" w:rsidSect="00176197">
          <w:pgSz w:w="11907" w:h="16840" w:code="9"/>
          <w:pgMar w:top="1134" w:right="1418" w:bottom="1134" w:left="1418" w:header="709" w:footer="709" w:gutter="0"/>
          <w:cols w:space="708"/>
          <w:docGrid w:linePitch="360"/>
        </w:sectPr>
      </w:pPr>
    </w:p>
    <w:p w:rsidR="00185C77" w:rsidRDefault="00176197">
      <w:pPr>
        <w:pStyle w:val="ManualHeading1"/>
        <w:rPr>
          <w:noProof/>
          <w:szCs w:val="24"/>
        </w:rPr>
      </w:pPr>
      <w:r>
        <w:rPr>
          <w:noProof/>
        </w:rPr>
        <w:t>2.</w:t>
      </w:r>
      <w:r>
        <w:rPr>
          <w:noProof/>
        </w:rPr>
        <w:tab/>
        <w:t xml:space="preserve">МЕРКИ ЗА УПРАВЛЕНИЕ </w:t>
      </w:r>
    </w:p>
    <w:p w:rsidR="00185C77" w:rsidRDefault="00176197">
      <w:pPr>
        <w:pStyle w:val="ManualHeading2"/>
        <w:rPr>
          <w:noProof/>
        </w:rPr>
      </w:pPr>
      <w:r>
        <w:rPr>
          <w:noProof/>
        </w:rPr>
        <w:t>2.1.</w:t>
      </w:r>
      <w:r>
        <w:rPr>
          <w:noProof/>
        </w:rPr>
        <w:tab/>
        <w:t xml:space="preserve">Правила за мониторинг и докладване </w:t>
      </w:r>
    </w:p>
    <w:p w:rsidR="00185C77" w:rsidRDefault="00176197">
      <w:pPr>
        <w:ind w:left="850"/>
        <w:rPr>
          <w:i/>
          <w:noProof/>
          <w:sz w:val="20"/>
          <w:u w:val="single"/>
        </w:rPr>
      </w:pPr>
      <w:r>
        <w:rPr>
          <w:i/>
          <w:noProof/>
          <w:sz w:val="20"/>
        </w:rPr>
        <w:t>Да се посочат честотата и условията.</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Реалното отражение на законодателството ще се следи и оценява с набор показатели, съобразени с конкретните цели на политиката, ко</w:t>
      </w:r>
      <w:r>
        <w:rPr>
          <w:noProof/>
        </w:rPr>
        <w:t>ито трябва да бъдат постигнати (вж. подробно представяне на показателите в точка 1.4.4 по-горе).</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Предвиденият през 2022 г. междинен преглед на законодателството ще даде възможност на Комисията да оцени ефективността му и ако е целесъобразно, да предложи пр</w:t>
      </w:r>
      <w:r>
        <w:rPr>
          <w:noProof/>
        </w:rPr>
        <w:t>омени.</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В съответствие с предложения Регламент за мониторинг и докладване на данни за емисиите на CO</w:t>
      </w:r>
      <w:r>
        <w:rPr>
          <w:noProof/>
          <w:vertAlign w:val="subscript"/>
        </w:rPr>
        <w:t>2</w:t>
      </w:r>
      <w:r>
        <w:rPr>
          <w:noProof/>
        </w:rPr>
        <w:t xml:space="preserve"> от тежкотоварните превозни средства Комисията ще събира данни за емисиите на CO</w:t>
      </w:r>
      <w:r>
        <w:rPr>
          <w:noProof/>
          <w:vertAlign w:val="subscript"/>
        </w:rPr>
        <w:t>2</w:t>
      </w:r>
      <w:r>
        <w:rPr>
          <w:noProof/>
        </w:rPr>
        <w:t xml:space="preserve"> и за разхода на гориво от резултатите, получени при процедурата за сертифи</w:t>
      </w:r>
      <w:r>
        <w:rPr>
          <w:noProof/>
        </w:rPr>
        <w:t xml:space="preserve">циране. По този начин мониторингът е тясно обвързан с процеса на сертификация и с работата и управлението на симулационния инструмент VECTO.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В предложението за стандарти за емисиите на CO</w:t>
      </w:r>
      <w:r>
        <w:rPr>
          <w:noProof/>
          <w:vertAlign w:val="subscript"/>
        </w:rPr>
        <w:t>2</w:t>
      </w:r>
      <w:r>
        <w:rPr>
          <w:noProof/>
        </w:rPr>
        <w:t xml:space="preserve"> са включени още две мерки за мониторинг, допълващи Регламента за м</w:t>
      </w:r>
      <w:r>
        <w:rPr>
          <w:noProof/>
        </w:rPr>
        <w:t>ониторинг и докладване на данни за емисиите на CO</w:t>
      </w:r>
      <w:r>
        <w:rPr>
          <w:noProof/>
          <w:vertAlign w:val="subscript"/>
        </w:rPr>
        <w:t>2</w:t>
      </w:r>
      <w:r>
        <w:rPr>
          <w:noProof/>
        </w:rPr>
        <w:t xml:space="preserve"> от тежкотоварните превозни средства</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1. събиране, публикуване и мониторинг на данните за разхода на гориво в реални условия, докладвани от производителите с помощта на задължителни стандартизирани устройва;</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xml:space="preserve">2. въвеждане на изпитвания за съответствие в експлоатация и задължение да се съобщават отклонения от стойностите за одобряване на типа, за които ще се прилага механизъм за корекция.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Тези допълнителни мерки ще заздравят процеса на мониторинг и ще гарантир</w:t>
      </w:r>
      <w:r>
        <w:rPr>
          <w:noProof/>
        </w:rPr>
        <w:t>ат ефикасността на предложената законодателна инициатива.</w:t>
      </w:r>
    </w:p>
    <w:p w:rsidR="00185C77" w:rsidRDefault="00176197">
      <w:pPr>
        <w:pStyle w:val="ManualHeading2"/>
        <w:rPr>
          <w:noProof/>
          <w:szCs w:val="24"/>
        </w:rPr>
      </w:pPr>
      <w:r>
        <w:rPr>
          <w:noProof/>
        </w:rPr>
        <w:t>2.2.</w:t>
      </w:r>
      <w:r>
        <w:rPr>
          <w:noProof/>
        </w:rPr>
        <w:tab/>
        <w:t xml:space="preserve">Система за управление и контрол </w:t>
      </w:r>
    </w:p>
    <w:p w:rsidR="00185C77" w:rsidRDefault="00176197">
      <w:pPr>
        <w:pStyle w:val="ManualHeading3"/>
        <w:rPr>
          <w:noProof/>
        </w:rPr>
      </w:pPr>
      <w:r>
        <w:rPr>
          <w:noProof/>
        </w:rPr>
        <w:t>2.2.1.</w:t>
      </w:r>
      <w:r>
        <w:rPr>
          <w:noProof/>
        </w:rPr>
        <w:tab/>
        <w:t xml:space="preserve">Установени рискове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Ефикасният мониторинг зависи от добрия процес на сертификация и от надеждни данни за емисиите с помощта на инструмента VECTO, използв</w:t>
      </w:r>
      <w:r>
        <w:rPr>
          <w:noProof/>
        </w:rPr>
        <w:t>ан за целите на Регламента за мониторинг и докладване на данни за емисиите на CO</w:t>
      </w:r>
      <w:r>
        <w:rPr>
          <w:noProof/>
          <w:vertAlign w:val="subscript"/>
        </w:rPr>
        <w:t>2</w:t>
      </w:r>
      <w:r>
        <w:rPr>
          <w:noProof/>
        </w:rPr>
        <w:t xml:space="preserve"> от тежкотоварните превозни средства.</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xml:space="preserve">Рискът от неточни данни за емисиите или закъснения при представянето на доклади от производителите или държавите членки по Регламента за </w:t>
      </w:r>
      <w:r>
        <w:rPr>
          <w:noProof/>
        </w:rPr>
        <w:t>мониторинг и докладване на данни за емисиите на CO</w:t>
      </w:r>
      <w:r>
        <w:rPr>
          <w:noProof/>
          <w:vertAlign w:val="subscript"/>
        </w:rPr>
        <w:t>2</w:t>
      </w:r>
      <w:r>
        <w:rPr>
          <w:noProof/>
        </w:rPr>
        <w:t xml:space="preserve"> от тежкотоварните превозни средства може да предизвика затруднения за прилагането на стандартите за емисиите на CO</w:t>
      </w:r>
      <w:r>
        <w:rPr>
          <w:noProof/>
          <w:vertAlign w:val="subscript"/>
        </w:rPr>
        <w:t>2</w:t>
      </w:r>
      <w:r>
        <w:rPr>
          <w:noProof/>
        </w:rPr>
        <w:t xml:space="preserve">. </w:t>
      </w:r>
    </w:p>
    <w:p w:rsidR="00185C77" w:rsidRDefault="00176197">
      <w:pPr>
        <w:pStyle w:val="ManualHeading3"/>
        <w:rPr>
          <w:noProof/>
          <w:szCs w:val="24"/>
        </w:rPr>
      </w:pPr>
      <w:r>
        <w:rPr>
          <w:noProof/>
        </w:rPr>
        <w:t>2.2.2.</w:t>
      </w:r>
      <w:r>
        <w:rPr>
          <w:noProof/>
        </w:rPr>
        <w:tab/>
        <w:t>Информация за структурата на системата за вътрешен контрол</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 xml:space="preserve">Предвидените методи </w:t>
      </w:r>
      <w:r>
        <w:rPr>
          <w:noProof/>
        </w:rPr>
        <w:t>за контрол са определени във Финансовия регламент и в правилата за неговото прилагане.</w:t>
      </w:r>
    </w:p>
    <w:p w:rsidR="00185C77" w:rsidRDefault="00176197">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rPr>
        <w:t>Не е приложимо.</w:t>
      </w:r>
    </w:p>
    <w:p w:rsidR="00185C77" w:rsidRDefault="00176197">
      <w:pPr>
        <w:pStyle w:val="ManualHeading2"/>
        <w:rPr>
          <w:noProof/>
          <w:szCs w:val="24"/>
        </w:rPr>
      </w:pPr>
      <w:r>
        <w:rPr>
          <w:noProof/>
        </w:rPr>
        <w:t>2.3.</w:t>
      </w:r>
      <w:r>
        <w:rPr>
          <w:noProof/>
        </w:rPr>
        <w:tab/>
        <w:t xml:space="preserve">Мерки за предотвратяване на измами и нередности </w:t>
      </w:r>
    </w:p>
    <w:p w:rsidR="00185C77" w:rsidRDefault="00176197">
      <w:pPr>
        <w:ind w:left="850"/>
        <w:rPr>
          <w:i/>
          <w:noProof/>
          <w:sz w:val="20"/>
        </w:rPr>
      </w:pPr>
      <w:r>
        <w:rPr>
          <w:i/>
          <w:noProof/>
          <w:sz w:val="20"/>
        </w:rPr>
        <w:t xml:space="preserve">Да се посочат </w:t>
      </w:r>
      <w:r>
        <w:rPr>
          <w:i/>
          <w:noProof/>
          <w:sz w:val="20"/>
        </w:rPr>
        <w:t>съществуващите или планираните мерки за превенция и защита.</w:t>
      </w:r>
    </w:p>
    <w:p w:rsidR="00185C77" w:rsidRDefault="00176197">
      <w:pPr>
        <w:pBdr>
          <w:top w:val="single" w:sz="4" w:space="1" w:color="auto"/>
          <w:left w:val="single" w:sz="4" w:space="4" w:color="auto"/>
          <w:bottom w:val="single" w:sz="4" w:space="1" w:color="auto"/>
          <w:right w:val="single" w:sz="4" w:space="4" w:color="auto"/>
        </w:pBdr>
        <w:ind w:left="850"/>
        <w:rPr>
          <w:noProof/>
        </w:rPr>
        <w:sectPr w:rsidR="00185C77" w:rsidSect="00176197">
          <w:pgSz w:w="11907" w:h="16840" w:code="9"/>
          <w:pgMar w:top="1134" w:right="1418" w:bottom="1134" w:left="1418" w:header="709" w:footer="709" w:gutter="0"/>
          <w:cols w:space="708"/>
          <w:docGrid w:linePitch="360"/>
        </w:sectPr>
      </w:pPr>
      <w:r>
        <w:rPr>
          <w:noProof/>
        </w:rPr>
        <w:t>Успоредно с прилагането на Финансовия регламент за предотвратяване на измами и нередности в предложението се предвиждат финансови санкции за неизпълнение на целите за специф</w:t>
      </w:r>
      <w:r>
        <w:rPr>
          <w:noProof/>
        </w:rPr>
        <w:t>ични емисии на CO</w:t>
      </w:r>
      <w:r>
        <w:rPr>
          <w:noProof/>
          <w:vertAlign w:val="subscript"/>
        </w:rPr>
        <w:t>2</w:t>
      </w:r>
      <w:r>
        <w:rPr>
          <w:noProof/>
        </w:rPr>
        <w:t>. Освен това, както бе обяснено в точка 2.1 по-горе, в предложението се предвиждат мониторинг на разхода на гориво в реални условия и изпитвания за съответствие при експлоатация, както и механизъм за корекция в случай на значително отклон</w:t>
      </w:r>
      <w:r>
        <w:rPr>
          <w:noProof/>
        </w:rPr>
        <w:t xml:space="preserve">ение между данните в реални условия и данните за одобряване на типа. Тези мерки ще осигурят ефикасността на предложението и ще сведат до минимум риска от нередности. </w:t>
      </w:r>
    </w:p>
    <w:p w:rsidR="00185C77" w:rsidRDefault="00176197">
      <w:pPr>
        <w:pStyle w:val="ManualHeading1"/>
        <w:rPr>
          <w:noProof/>
          <w:szCs w:val="24"/>
        </w:rPr>
      </w:pPr>
      <w:r>
        <w:rPr>
          <w:noProof/>
        </w:rPr>
        <w:t>3.</w:t>
      </w:r>
      <w:r>
        <w:rPr>
          <w:noProof/>
        </w:rPr>
        <w:tab/>
        <w:t xml:space="preserve">ОЧАКВАНО ФИНАНСОВО ОТРАЖЕНИЕ НА ПРЕДЛОЖЕНИЕТО/ИНИЦИАТИВАТА </w:t>
      </w:r>
    </w:p>
    <w:p w:rsidR="00185C77" w:rsidRDefault="00176197">
      <w:pPr>
        <w:pStyle w:val="ManualHeading2"/>
        <w:rPr>
          <w:noProof/>
        </w:rPr>
      </w:pPr>
      <w:r>
        <w:rPr>
          <w:noProof/>
        </w:rPr>
        <w:t>3.1.</w:t>
      </w:r>
      <w:r>
        <w:rPr>
          <w:noProof/>
        </w:rPr>
        <w:tab/>
      </w:r>
      <w:r>
        <w:rPr>
          <w:noProof/>
        </w:rPr>
        <w:t xml:space="preserve">Съответни функции от многогодишната финансова рамка и разходни бюджетни редове </w:t>
      </w:r>
    </w:p>
    <w:p w:rsidR="00185C77" w:rsidRDefault="00176197">
      <w:pPr>
        <w:pStyle w:val="ListBullet1"/>
        <w:rPr>
          <w:noProof/>
        </w:rPr>
      </w:pPr>
      <w:r>
        <w:rPr>
          <w:noProof/>
        </w:rPr>
        <w:t xml:space="preserve">Съществуващи бюджетни редове </w:t>
      </w:r>
    </w:p>
    <w:p w:rsidR="00185C77" w:rsidRDefault="00176197">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85C77">
        <w:tc>
          <w:tcPr>
            <w:tcW w:w="1080" w:type="dxa"/>
            <w:vMerge w:val="restart"/>
            <w:vAlign w:val="center"/>
          </w:tcPr>
          <w:p w:rsidR="00185C77" w:rsidRDefault="00176197">
            <w:pPr>
              <w:spacing w:before="60" w:after="60"/>
              <w:jc w:val="center"/>
              <w:rPr>
                <w:noProof/>
                <w:sz w:val="22"/>
              </w:rPr>
            </w:pPr>
            <w:r>
              <w:rPr>
                <w:noProof/>
                <w:sz w:val="18"/>
              </w:rPr>
              <w:t>Функция от многогодишната финансова рамка</w:t>
            </w:r>
          </w:p>
        </w:tc>
        <w:tc>
          <w:tcPr>
            <w:tcW w:w="3960" w:type="dxa"/>
            <w:vAlign w:val="center"/>
          </w:tcPr>
          <w:p w:rsidR="00185C77" w:rsidRDefault="00176197">
            <w:pPr>
              <w:spacing w:before="60" w:after="60"/>
              <w:jc w:val="center"/>
              <w:rPr>
                <w:noProof/>
                <w:sz w:val="22"/>
              </w:rPr>
            </w:pPr>
            <w:r>
              <w:rPr>
                <w:noProof/>
                <w:sz w:val="20"/>
              </w:rPr>
              <w:t>Бюджетен ред</w:t>
            </w:r>
          </w:p>
        </w:tc>
        <w:tc>
          <w:tcPr>
            <w:tcW w:w="1080" w:type="dxa"/>
            <w:vAlign w:val="center"/>
          </w:tcPr>
          <w:p w:rsidR="00185C77" w:rsidRDefault="00176197">
            <w:pPr>
              <w:spacing w:before="60" w:after="60"/>
              <w:jc w:val="center"/>
              <w:rPr>
                <w:noProof/>
                <w:sz w:val="22"/>
              </w:rPr>
            </w:pPr>
            <w:r>
              <w:rPr>
                <w:noProof/>
                <w:sz w:val="18"/>
              </w:rPr>
              <w:t>Вид наразход</w:t>
            </w:r>
            <w:r>
              <w:rPr>
                <w:noProof/>
                <w:sz w:val="18"/>
              </w:rPr>
              <w:t>а</w:t>
            </w:r>
          </w:p>
        </w:tc>
        <w:tc>
          <w:tcPr>
            <w:tcW w:w="4440" w:type="dxa"/>
            <w:gridSpan w:val="4"/>
            <w:vAlign w:val="center"/>
          </w:tcPr>
          <w:p w:rsidR="00185C77" w:rsidRDefault="00176197">
            <w:pPr>
              <w:spacing w:before="60" w:after="60"/>
              <w:jc w:val="center"/>
              <w:rPr>
                <w:noProof/>
                <w:sz w:val="22"/>
              </w:rPr>
            </w:pPr>
            <w:r>
              <w:rPr>
                <w:noProof/>
                <w:sz w:val="20"/>
              </w:rPr>
              <w:t xml:space="preserve">Вноска </w:t>
            </w:r>
          </w:p>
        </w:tc>
      </w:tr>
      <w:tr w:rsidR="00185C77">
        <w:tc>
          <w:tcPr>
            <w:tcW w:w="1080" w:type="dxa"/>
            <w:vMerge/>
            <w:vAlign w:val="center"/>
          </w:tcPr>
          <w:p w:rsidR="00185C77" w:rsidRDefault="00185C77">
            <w:pPr>
              <w:jc w:val="center"/>
              <w:rPr>
                <w:noProof/>
                <w:sz w:val="22"/>
              </w:rPr>
            </w:pPr>
          </w:p>
        </w:tc>
        <w:tc>
          <w:tcPr>
            <w:tcW w:w="3960" w:type="dxa"/>
            <w:vAlign w:val="center"/>
          </w:tcPr>
          <w:p w:rsidR="00185C77" w:rsidRDefault="00176197">
            <w:pPr>
              <w:rPr>
                <w:noProof/>
                <w:sz w:val="22"/>
              </w:rPr>
            </w:pPr>
            <w:r>
              <w:rPr>
                <w:noProof/>
                <w:sz w:val="20"/>
              </w:rPr>
              <w:t xml:space="preserve">Номер </w:t>
            </w:r>
            <w:r>
              <w:rPr>
                <w:noProof/>
                <w:sz w:val="22"/>
              </w:rPr>
              <w:br/>
            </w:r>
            <w:r>
              <w:rPr>
                <w:noProof/>
                <w:color w:val="0000FF"/>
                <w:sz w:val="22"/>
              </w:rPr>
              <w:t>[2]</w:t>
            </w:r>
            <w:r>
              <w:rPr>
                <w:noProof/>
                <w:sz w:val="20"/>
              </w:rPr>
              <w:t>[Функция — Природни ресурси ………………………...……………]</w:t>
            </w:r>
          </w:p>
        </w:tc>
        <w:tc>
          <w:tcPr>
            <w:tcW w:w="1080" w:type="dxa"/>
            <w:vAlign w:val="center"/>
          </w:tcPr>
          <w:p w:rsidR="00185C77" w:rsidRDefault="00176197">
            <w:pPr>
              <w:jc w:val="center"/>
              <w:rPr>
                <w:noProof/>
                <w:sz w:val="22"/>
              </w:rPr>
            </w:pPr>
            <w:r>
              <w:rPr>
                <w:noProof/>
                <w:sz w:val="18"/>
              </w:rPr>
              <w:t>Многогод./едногод.</w:t>
            </w:r>
            <w:r>
              <w:rPr>
                <w:rStyle w:val="FootnoteReference"/>
                <w:noProof/>
              </w:rPr>
              <w:footnoteReference w:id="40"/>
            </w:r>
          </w:p>
        </w:tc>
        <w:tc>
          <w:tcPr>
            <w:tcW w:w="956" w:type="dxa"/>
            <w:vAlign w:val="center"/>
          </w:tcPr>
          <w:p w:rsidR="00185C77" w:rsidRDefault="00176197">
            <w:pPr>
              <w:jc w:val="center"/>
              <w:rPr>
                <w:noProof/>
                <w:sz w:val="22"/>
              </w:rPr>
            </w:pPr>
            <w:r>
              <w:rPr>
                <w:noProof/>
                <w:sz w:val="18"/>
              </w:rPr>
              <w:t>от държави от ЕАСТ</w:t>
            </w:r>
            <w:r>
              <w:rPr>
                <w:rStyle w:val="FootnoteReference"/>
                <w:noProof/>
              </w:rPr>
              <w:footnoteReference w:id="41"/>
            </w:r>
          </w:p>
          <w:p w:rsidR="00185C77" w:rsidRDefault="00185C77">
            <w:pPr>
              <w:spacing w:before="0" w:after="0"/>
              <w:jc w:val="center"/>
              <w:rPr>
                <w:b/>
                <w:noProof/>
                <w:sz w:val="18"/>
              </w:rPr>
            </w:pPr>
          </w:p>
        </w:tc>
        <w:tc>
          <w:tcPr>
            <w:tcW w:w="1080" w:type="dxa"/>
            <w:vAlign w:val="center"/>
          </w:tcPr>
          <w:p w:rsidR="00185C77" w:rsidRDefault="00176197">
            <w:pPr>
              <w:jc w:val="center"/>
              <w:rPr>
                <w:noProof/>
                <w:sz w:val="22"/>
              </w:rPr>
            </w:pPr>
            <w:r>
              <w:rPr>
                <w:noProof/>
                <w:sz w:val="18"/>
              </w:rPr>
              <w:t>от държави кандидатки</w:t>
            </w:r>
            <w:r>
              <w:rPr>
                <w:rStyle w:val="FootnoteReference"/>
                <w:noProof/>
              </w:rPr>
              <w:footnoteReference w:id="42"/>
            </w:r>
          </w:p>
          <w:p w:rsidR="00185C77" w:rsidRDefault="00185C77">
            <w:pPr>
              <w:spacing w:before="0" w:after="0"/>
              <w:jc w:val="center"/>
              <w:rPr>
                <w:noProof/>
                <w:sz w:val="18"/>
              </w:rPr>
            </w:pPr>
          </w:p>
        </w:tc>
        <w:tc>
          <w:tcPr>
            <w:tcW w:w="956" w:type="dxa"/>
            <w:vAlign w:val="center"/>
          </w:tcPr>
          <w:p w:rsidR="00185C77" w:rsidRDefault="00176197">
            <w:pPr>
              <w:jc w:val="center"/>
              <w:rPr>
                <w:noProof/>
                <w:sz w:val="18"/>
              </w:rPr>
            </w:pPr>
            <w:r>
              <w:rPr>
                <w:noProof/>
                <w:sz w:val="18"/>
              </w:rPr>
              <w:t>от трети държави</w:t>
            </w:r>
          </w:p>
        </w:tc>
        <w:tc>
          <w:tcPr>
            <w:tcW w:w="1448" w:type="dxa"/>
            <w:vAlign w:val="center"/>
          </w:tcPr>
          <w:p w:rsidR="00185C77" w:rsidRDefault="00176197">
            <w:pPr>
              <w:jc w:val="center"/>
              <w:rPr>
                <w:noProof/>
                <w:sz w:val="22"/>
              </w:rPr>
            </w:pPr>
            <w:r>
              <w:rPr>
                <w:noProof/>
                <w:sz w:val="16"/>
              </w:rPr>
              <w:t xml:space="preserve">по смисъла на член 21, параграф 2, буква б) от Финансовия регламент </w:t>
            </w:r>
          </w:p>
        </w:tc>
      </w:tr>
      <w:tr w:rsidR="00185C77">
        <w:tc>
          <w:tcPr>
            <w:tcW w:w="1080" w:type="dxa"/>
            <w:vAlign w:val="center"/>
          </w:tcPr>
          <w:p w:rsidR="00185C77" w:rsidRDefault="00176197">
            <w:pPr>
              <w:jc w:val="center"/>
              <w:rPr>
                <w:noProof/>
                <w:color w:val="0000FF"/>
                <w:sz w:val="22"/>
              </w:rPr>
            </w:pPr>
            <w:r>
              <w:rPr>
                <w:noProof/>
                <w:color w:val="0000FF"/>
                <w:sz w:val="22"/>
              </w:rPr>
              <w:t>2</w:t>
            </w:r>
          </w:p>
        </w:tc>
        <w:tc>
          <w:tcPr>
            <w:tcW w:w="3960" w:type="dxa"/>
            <w:vAlign w:val="center"/>
          </w:tcPr>
          <w:p w:rsidR="00185C77" w:rsidRDefault="00176197">
            <w:pPr>
              <w:spacing w:after="60"/>
              <w:rPr>
                <w:noProof/>
                <w:sz w:val="22"/>
              </w:rPr>
            </w:pPr>
            <w:r>
              <w:rPr>
                <w:noProof/>
                <w:sz w:val="22"/>
              </w:rPr>
              <w:t>34 02 01:  Намаляване на емисиите</w:t>
            </w:r>
            <w:r>
              <w:rPr>
                <w:noProof/>
                <w:sz w:val="22"/>
              </w:rPr>
              <w:t xml:space="preserve"> на парникови газове (смекчаване)</w:t>
            </w:r>
          </w:p>
          <w:p w:rsidR="00185C77" w:rsidRDefault="00185C77">
            <w:pPr>
              <w:spacing w:after="60"/>
              <w:rPr>
                <w:noProof/>
                <w:sz w:val="22"/>
              </w:rPr>
            </w:pPr>
          </w:p>
        </w:tc>
        <w:tc>
          <w:tcPr>
            <w:tcW w:w="1080" w:type="dxa"/>
            <w:vAlign w:val="center"/>
          </w:tcPr>
          <w:p w:rsidR="00185C77" w:rsidRDefault="00176197">
            <w:pPr>
              <w:jc w:val="center"/>
              <w:rPr>
                <w:noProof/>
                <w:color w:val="0000FF"/>
                <w:sz w:val="22"/>
              </w:rPr>
            </w:pPr>
            <w:r>
              <w:rPr>
                <w:noProof/>
                <w:sz w:val="22"/>
              </w:rPr>
              <w:t>Многогод.</w:t>
            </w:r>
          </w:p>
        </w:tc>
        <w:tc>
          <w:tcPr>
            <w:tcW w:w="956" w:type="dxa"/>
            <w:vAlign w:val="center"/>
          </w:tcPr>
          <w:p w:rsidR="00185C77" w:rsidRDefault="00176197">
            <w:pPr>
              <w:jc w:val="center"/>
              <w:rPr>
                <w:noProof/>
                <w:sz w:val="22"/>
              </w:rPr>
            </w:pPr>
            <w:r>
              <w:rPr>
                <w:noProof/>
                <w:sz w:val="22"/>
              </w:rPr>
              <w:t>НЕ</w:t>
            </w:r>
          </w:p>
        </w:tc>
        <w:tc>
          <w:tcPr>
            <w:tcW w:w="1080" w:type="dxa"/>
            <w:vAlign w:val="center"/>
          </w:tcPr>
          <w:p w:rsidR="00185C77" w:rsidRDefault="00176197">
            <w:pPr>
              <w:jc w:val="center"/>
              <w:rPr>
                <w:noProof/>
                <w:sz w:val="22"/>
              </w:rPr>
            </w:pPr>
            <w:r>
              <w:rPr>
                <w:noProof/>
                <w:sz w:val="22"/>
              </w:rPr>
              <w:t>НЕ</w:t>
            </w:r>
          </w:p>
        </w:tc>
        <w:tc>
          <w:tcPr>
            <w:tcW w:w="956" w:type="dxa"/>
            <w:vAlign w:val="center"/>
          </w:tcPr>
          <w:p w:rsidR="00185C77" w:rsidRDefault="00176197">
            <w:pPr>
              <w:jc w:val="center"/>
              <w:rPr>
                <w:noProof/>
                <w:sz w:val="22"/>
              </w:rPr>
            </w:pPr>
            <w:r>
              <w:rPr>
                <w:noProof/>
                <w:sz w:val="22"/>
              </w:rPr>
              <w:t>НЕ</w:t>
            </w:r>
          </w:p>
        </w:tc>
        <w:tc>
          <w:tcPr>
            <w:tcW w:w="1448" w:type="dxa"/>
            <w:vAlign w:val="center"/>
          </w:tcPr>
          <w:p w:rsidR="00185C77" w:rsidRDefault="00176197">
            <w:pPr>
              <w:jc w:val="center"/>
              <w:rPr>
                <w:noProof/>
                <w:sz w:val="22"/>
              </w:rPr>
            </w:pPr>
            <w:r>
              <w:rPr>
                <w:noProof/>
                <w:sz w:val="22"/>
              </w:rPr>
              <w:t>НЕ</w:t>
            </w:r>
          </w:p>
        </w:tc>
      </w:tr>
    </w:tbl>
    <w:p w:rsidR="00185C77" w:rsidRDefault="00176197">
      <w:pPr>
        <w:pStyle w:val="ListBullet1"/>
        <w:rPr>
          <w:noProof/>
        </w:rPr>
      </w:pPr>
      <w:r>
        <w:rPr>
          <w:noProof/>
        </w:rPr>
        <w:t xml:space="preserve">Поискани нови бюджетни редове </w:t>
      </w:r>
    </w:p>
    <w:p w:rsidR="00185C77" w:rsidRDefault="00176197">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85C77">
        <w:tc>
          <w:tcPr>
            <w:tcW w:w="1080" w:type="dxa"/>
            <w:vMerge w:val="restart"/>
            <w:vAlign w:val="center"/>
          </w:tcPr>
          <w:p w:rsidR="00185C77" w:rsidRDefault="00176197">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rsidR="00185C77" w:rsidRDefault="00176197">
            <w:pPr>
              <w:spacing w:before="60" w:after="60"/>
              <w:jc w:val="center"/>
              <w:rPr>
                <w:noProof/>
                <w:sz w:val="22"/>
              </w:rPr>
            </w:pPr>
            <w:r>
              <w:rPr>
                <w:noProof/>
                <w:sz w:val="20"/>
              </w:rPr>
              <w:t>Бюджетен ред</w:t>
            </w:r>
          </w:p>
        </w:tc>
        <w:tc>
          <w:tcPr>
            <w:tcW w:w="1080" w:type="dxa"/>
            <w:vAlign w:val="center"/>
          </w:tcPr>
          <w:p w:rsidR="00185C77" w:rsidRDefault="00176197">
            <w:pPr>
              <w:spacing w:before="60" w:after="60"/>
              <w:jc w:val="center"/>
              <w:rPr>
                <w:noProof/>
                <w:sz w:val="22"/>
              </w:rPr>
            </w:pPr>
            <w:r>
              <w:rPr>
                <w:noProof/>
                <w:sz w:val="18"/>
              </w:rPr>
              <w:t>Вид наразхода</w:t>
            </w:r>
          </w:p>
        </w:tc>
        <w:tc>
          <w:tcPr>
            <w:tcW w:w="4440" w:type="dxa"/>
            <w:gridSpan w:val="4"/>
            <w:vAlign w:val="center"/>
          </w:tcPr>
          <w:p w:rsidR="00185C77" w:rsidRDefault="00176197">
            <w:pPr>
              <w:spacing w:before="60" w:after="60"/>
              <w:jc w:val="center"/>
              <w:rPr>
                <w:noProof/>
                <w:sz w:val="22"/>
              </w:rPr>
            </w:pPr>
            <w:r>
              <w:rPr>
                <w:noProof/>
                <w:sz w:val="20"/>
              </w:rPr>
              <w:t xml:space="preserve">Вноска </w:t>
            </w:r>
          </w:p>
        </w:tc>
      </w:tr>
      <w:tr w:rsidR="00185C77">
        <w:tc>
          <w:tcPr>
            <w:tcW w:w="1080" w:type="dxa"/>
            <w:vMerge/>
            <w:vAlign w:val="center"/>
          </w:tcPr>
          <w:p w:rsidR="00185C77" w:rsidRDefault="00185C77">
            <w:pPr>
              <w:jc w:val="center"/>
              <w:rPr>
                <w:noProof/>
                <w:sz w:val="22"/>
              </w:rPr>
            </w:pPr>
          </w:p>
        </w:tc>
        <w:tc>
          <w:tcPr>
            <w:tcW w:w="3960" w:type="dxa"/>
            <w:vAlign w:val="center"/>
          </w:tcPr>
          <w:p w:rsidR="00185C77" w:rsidRDefault="00176197">
            <w:pPr>
              <w:rPr>
                <w:noProof/>
                <w:sz w:val="22"/>
              </w:rPr>
            </w:pPr>
            <w:r>
              <w:rPr>
                <w:noProof/>
                <w:sz w:val="20"/>
              </w:rPr>
              <w:t xml:space="preserve">Номер </w:t>
            </w:r>
            <w:r>
              <w:rPr>
                <w:noProof/>
                <w:sz w:val="22"/>
              </w:rPr>
              <w:br/>
            </w:r>
            <w:r>
              <w:rPr>
                <w:noProof/>
                <w:color w:val="0000FF"/>
                <w:sz w:val="22"/>
              </w:rPr>
              <w:t>[…]</w:t>
            </w:r>
            <w:r>
              <w:rPr>
                <w:noProof/>
                <w:sz w:val="20"/>
              </w:rPr>
              <w:t>[Функция………………………………………]</w:t>
            </w:r>
          </w:p>
        </w:tc>
        <w:tc>
          <w:tcPr>
            <w:tcW w:w="1080" w:type="dxa"/>
            <w:vAlign w:val="center"/>
          </w:tcPr>
          <w:p w:rsidR="00185C77" w:rsidRDefault="00176197">
            <w:pPr>
              <w:jc w:val="center"/>
              <w:rPr>
                <w:noProof/>
                <w:sz w:val="22"/>
              </w:rPr>
            </w:pPr>
            <w:r>
              <w:rPr>
                <w:noProof/>
                <w:sz w:val="18"/>
              </w:rPr>
              <w:t>Многогод./едногод.</w:t>
            </w:r>
          </w:p>
        </w:tc>
        <w:tc>
          <w:tcPr>
            <w:tcW w:w="956" w:type="dxa"/>
            <w:vAlign w:val="center"/>
          </w:tcPr>
          <w:p w:rsidR="00185C77" w:rsidRDefault="00176197">
            <w:pPr>
              <w:jc w:val="center"/>
              <w:rPr>
                <w:noProof/>
                <w:sz w:val="18"/>
              </w:rPr>
            </w:pPr>
            <w:r>
              <w:rPr>
                <w:noProof/>
                <w:sz w:val="18"/>
              </w:rPr>
              <w:t>от държави от ЕАСТ</w:t>
            </w:r>
          </w:p>
        </w:tc>
        <w:tc>
          <w:tcPr>
            <w:tcW w:w="1080" w:type="dxa"/>
            <w:vAlign w:val="center"/>
          </w:tcPr>
          <w:p w:rsidR="00185C77" w:rsidRDefault="00176197">
            <w:pPr>
              <w:jc w:val="center"/>
              <w:rPr>
                <w:noProof/>
                <w:sz w:val="18"/>
              </w:rPr>
            </w:pPr>
            <w:r>
              <w:rPr>
                <w:noProof/>
                <w:sz w:val="18"/>
              </w:rPr>
              <w:t>от държави кандидатки</w:t>
            </w:r>
          </w:p>
        </w:tc>
        <w:tc>
          <w:tcPr>
            <w:tcW w:w="956" w:type="dxa"/>
            <w:vAlign w:val="center"/>
          </w:tcPr>
          <w:p w:rsidR="00185C77" w:rsidRDefault="00176197">
            <w:pPr>
              <w:jc w:val="center"/>
              <w:rPr>
                <w:noProof/>
                <w:sz w:val="18"/>
              </w:rPr>
            </w:pPr>
            <w:r>
              <w:rPr>
                <w:noProof/>
                <w:sz w:val="18"/>
              </w:rPr>
              <w:t>от трети държави</w:t>
            </w:r>
          </w:p>
        </w:tc>
        <w:tc>
          <w:tcPr>
            <w:tcW w:w="1448" w:type="dxa"/>
            <w:vAlign w:val="center"/>
          </w:tcPr>
          <w:p w:rsidR="00185C77" w:rsidRDefault="00176197">
            <w:pPr>
              <w:jc w:val="center"/>
              <w:rPr>
                <w:noProof/>
                <w:sz w:val="22"/>
              </w:rPr>
            </w:pPr>
            <w:r>
              <w:rPr>
                <w:noProof/>
                <w:sz w:val="16"/>
              </w:rPr>
              <w:t xml:space="preserve">по смисъла на член 21, параграф 2, буква б) от Финансовия регламент </w:t>
            </w:r>
          </w:p>
        </w:tc>
      </w:tr>
      <w:tr w:rsidR="00185C77">
        <w:tc>
          <w:tcPr>
            <w:tcW w:w="1080" w:type="dxa"/>
            <w:vAlign w:val="center"/>
          </w:tcPr>
          <w:p w:rsidR="00185C77" w:rsidRDefault="00185C77">
            <w:pPr>
              <w:jc w:val="center"/>
              <w:rPr>
                <w:noProof/>
                <w:color w:val="0000FF"/>
                <w:sz w:val="22"/>
              </w:rPr>
            </w:pPr>
          </w:p>
        </w:tc>
        <w:tc>
          <w:tcPr>
            <w:tcW w:w="3960" w:type="dxa"/>
            <w:vAlign w:val="center"/>
          </w:tcPr>
          <w:p w:rsidR="00185C77" w:rsidRDefault="00176197">
            <w:pPr>
              <w:spacing w:before="60"/>
              <w:rPr>
                <w:noProof/>
                <w:sz w:val="22"/>
              </w:rPr>
            </w:pPr>
            <w:r>
              <w:rPr>
                <w:noProof/>
                <w:color w:val="0000FF"/>
                <w:sz w:val="22"/>
              </w:rPr>
              <w:t>[…]</w:t>
            </w:r>
            <w:r>
              <w:rPr>
                <w:noProof/>
                <w:sz w:val="22"/>
              </w:rPr>
              <w:t>[XX.ГГ.ГГ.ГГ]</w:t>
            </w:r>
          </w:p>
          <w:p w:rsidR="00185C77" w:rsidRDefault="00185C77">
            <w:pPr>
              <w:spacing w:after="60"/>
              <w:rPr>
                <w:noProof/>
                <w:color w:val="0000FF"/>
                <w:sz w:val="22"/>
              </w:rPr>
            </w:pPr>
          </w:p>
        </w:tc>
        <w:tc>
          <w:tcPr>
            <w:tcW w:w="1080" w:type="dxa"/>
            <w:vAlign w:val="center"/>
          </w:tcPr>
          <w:p w:rsidR="00185C77" w:rsidRDefault="00185C77">
            <w:pPr>
              <w:jc w:val="center"/>
              <w:rPr>
                <w:noProof/>
                <w:color w:val="0000FF"/>
                <w:sz w:val="22"/>
              </w:rPr>
            </w:pPr>
          </w:p>
        </w:tc>
        <w:tc>
          <w:tcPr>
            <w:tcW w:w="956" w:type="dxa"/>
            <w:vAlign w:val="center"/>
          </w:tcPr>
          <w:p w:rsidR="00185C77" w:rsidRDefault="00176197">
            <w:pPr>
              <w:jc w:val="center"/>
              <w:rPr>
                <w:noProof/>
                <w:sz w:val="22"/>
              </w:rPr>
            </w:pPr>
            <w:r>
              <w:rPr>
                <w:noProof/>
                <w:sz w:val="22"/>
              </w:rPr>
              <w:t>ДА/НЕ</w:t>
            </w:r>
          </w:p>
        </w:tc>
        <w:tc>
          <w:tcPr>
            <w:tcW w:w="1080" w:type="dxa"/>
            <w:vAlign w:val="center"/>
          </w:tcPr>
          <w:p w:rsidR="00185C77" w:rsidRDefault="00176197">
            <w:pPr>
              <w:jc w:val="center"/>
              <w:rPr>
                <w:noProof/>
                <w:color w:val="0000FF"/>
                <w:sz w:val="18"/>
              </w:rPr>
            </w:pPr>
            <w:r>
              <w:rPr>
                <w:noProof/>
                <w:sz w:val="22"/>
              </w:rPr>
              <w:t>ДА/НЕ</w:t>
            </w:r>
          </w:p>
        </w:tc>
        <w:tc>
          <w:tcPr>
            <w:tcW w:w="956" w:type="dxa"/>
            <w:vAlign w:val="center"/>
          </w:tcPr>
          <w:p w:rsidR="00185C77" w:rsidRDefault="00176197">
            <w:pPr>
              <w:jc w:val="center"/>
              <w:rPr>
                <w:noProof/>
                <w:color w:val="0000FF"/>
                <w:sz w:val="18"/>
              </w:rPr>
            </w:pPr>
            <w:r>
              <w:rPr>
                <w:noProof/>
                <w:sz w:val="22"/>
              </w:rPr>
              <w:t>ДА/НЕ</w:t>
            </w:r>
          </w:p>
        </w:tc>
        <w:tc>
          <w:tcPr>
            <w:tcW w:w="1448" w:type="dxa"/>
            <w:vAlign w:val="center"/>
          </w:tcPr>
          <w:p w:rsidR="00185C77" w:rsidRDefault="00176197">
            <w:pPr>
              <w:jc w:val="center"/>
              <w:rPr>
                <w:noProof/>
                <w:sz w:val="22"/>
              </w:rPr>
            </w:pPr>
            <w:r>
              <w:rPr>
                <w:noProof/>
                <w:sz w:val="22"/>
              </w:rPr>
              <w:t>ДА/НЕ</w:t>
            </w:r>
          </w:p>
        </w:tc>
      </w:tr>
    </w:tbl>
    <w:p w:rsidR="00185C77" w:rsidRDefault="00185C77">
      <w:pPr>
        <w:rPr>
          <w:noProof/>
        </w:rPr>
        <w:sectPr w:rsidR="00185C77" w:rsidSect="00176197">
          <w:pgSz w:w="11907" w:h="16840" w:code="1"/>
          <w:pgMar w:top="1134" w:right="1418" w:bottom="1134" w:left="1418" w:header="709" w:footer="709" w:gutter="0"/>
          <w:cols w:space="708"/>
          <w:docGrid w:linePitch="360"/>
        </w:sectPr>
      </w:pPr>
    </w:p>
    <w:p w:rsidR="00185C77" w:rsidRDefault="00176197">
      <w:pPr>
        <w:pStyle w:val="ManualHeading2"/>
        <w:rPr>
          <w:noProof/>
          <w:szCs w:val="24"/>
        </w:rPr>
      </w:pPr>
      <w:r>
        <w:rPr>
          <w:noProof/>
        </w:rPr>
        <w:t>3.2.</w:t>
      </w:r>
      <w:r>
        <w:rPr>
          <w:noProof/>
        </w:rPr>
        <w:tab/>
      </w:r>
      <w:r>
        <w:rPr>
          <w:noProof/>
        </w:rPr>
        <w:t xml:space="preserve">Очаквано отражение върху разходите </w:t>
      </w:r>
    </w:p>
    <w:p w:rsidR="00185C77" w:rsidRDefault="00176197">
      <w:pPr>
        <w:ind w:left="850"/>
        <w:rPr>
          <w:noProof/>
        </w:rPr>
      </w:pPr>
      <w:r>
        <w:rPr>
          <w:noProof/>
          <w:highlight w:val="lightGray"/>
        </w:rPr>
        <w:t xml:space="preserve">[За попълването на тази част трябва да се използва </w:t>
      </w:r>
      <w:hyperlink r:id="rId18">
        <w:r>
          <w:rPr>
            <w:b/>
            <w:noProof/>
            <w:color w:val="0000FF"/>
            <w:highlight w:val="lightGray"/>
            <w:u w:val="single"/>
          </w:rPr>
          <w:t>таблицата за бюджетни данни с административен характер</w:t>
        </w:r>
      </w:hyperlink>
      <w:r>
        <w:rPr>
          <w:noProof/>
          <w:highlight w:val="lightGray"/>
        </w:rPr>
        <w:t xml:space="preserve"> (вторият документ в приложението към настоящата финансова обосновка), която трябва да се качи в CISNET  за провеждането на вътрешни консултации между службите.]</w:t>
      </w:r>
    </w:p>
    <w:p w:rsidR="00185C77" w:rsidRDefault="00176197">
      <w:pPr>
        <w:pStyle w:val="ManualHeading3"/>
        <w:rPr>
          <w:noProof/>
          <w:u w:val="single"/>
        </w:rPr>
      </w:pPr>
      <w:r>
        <w:rPr>
          <w:noProof/>
        </w:rPr>
        <w:t>3.2.1.</w:t>
      </w:r>
      <w:r>
        <w:rPr>
          <w:noProof/>
        </w:rPr>
        <w:tab/>
        <w:t xml:space="preserve">Обобщение на очакваното отражение върху разходите </w:t>
      </w:r>
    </w:p>
    <w:p w:rsidR="00185C77" w:rsidRDefault="00176197">
      <w:pPr>
        <w:jc w:val="right"/>
        <w:rPr>
          <w:noProof/>
          <w:sz w:val="20"/>
        </w:rPr>
      </w:pPr>
      <w:r>
        <w:rPr>
          <w:noProof/>
          <w:sz w:val="20"/>
        </w:rPr>
        <w:t>млн. евро (до третия знак след десет</w:t>
      </w:r>
      <w:r>
        <w:rPr>
          <w:noProof/>
          <w:sz w:val="20"/>
        </w:rPr>
        <w:t>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85C77">
        <w:trPr>
          <w:jc w:val="center"/>
        </w:trPr>
        <w:tc>
          <w:tcPr>
            <w:tcW w:w="4744" w:type="dxa"/>
            <w:shd w:val="thinDiagStripe" w:color="C0C0C0" w:fill="auto"/>
            <w:vAlign w:val="center"/>
          </w:tcPr>
          <w:p w:rsidR="00185C77" w:rsidRDefault="00176197">
            <w:pPr>
              <w:spacing w:before="60" w:after="60"/>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rsidR="00185C77" w:rsidRDefault="00176197">
            <w:pPr>
              <w:spacing w:before="60" w:after="60"/>
              <w:jc w:val="center"/>
              <w:rPr>
                <w:noProof/>
                <w:sz w:val="22"/>
              </w:rPr>
            </w:pPr>
            <w:r>
              <w:rPr>
                <w:noProof/>
                <w:sz w:val="22"/>
              </w:rPr>
              <w:t>Номер 2</w:t>
            </w:r>
          </w:p>
        </w:tc>
        <w:tc>
          <w:tcPr>
            <w:tcW w:w="7817" w:type="dxa"/>
            <w:vAlign w:val="center"/>
          </w:tcPr>
          <w:p w:rsidR="00185C77" w:rsidRDefault="00176197">
            <w:pPr>
              <w:spacing w:before="60" w:after="60"/>
              <w:rPr>
                <w:noProof/>
                <w:sz w:val="22"/>
              </w:rPr>
            </w:pPr>
            <w:r>
              <w:rPr>
                <w:noProof/>
                <w:color w:val="0000FF"/>
                <w:sz w:val="22"/>
              </w:rPr>
              <w:t xml:space="preserve">Устойчив растеж Природни ресурси </w:t>
            </w:r>
          </w:p>
        </w:tc>
      </w:tr>
    </w:tbl>
    <w:p w:rsidR="00185C77" w:rsidRDefault="00185C77">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185C77">
        <w:tc>
          <w:tcPr>
            <w:tcW w:w="3960" w:type="dxa"/>
            <w:vAlign w:val="center"/>
          </w:tcPr>
          <w:p w:rsidR="00185C77" w:rsidRDefault="00176197">
            <w:pPr>
              <w:jc w:val="center"/>
              <w:rPr>
                <w:noProof/>
                <w:sz w:val="22"/>
              </w:rPr>
            </w:pPr>
            <w:r>
              <w:rPr>
                <w:noProof/>
                <w:sz w:val="22"/>
              </w:rPr>
              <w:t>Европейска комисия</w:t>
            </w:r>
            <w:r>
              <w:rPr>
                <w:rStyle w:val="FootnoteReference"/>
                <w:noProof/>
              </w:rPr>
              <w:footnoteReference w:id="43"/>
            </w:r>
          </w:p>
        </w:tc>
        <w:tc>
          <w:tcPr>
            <w:tcW w:w="1560" w:type="dxa"/>
            <w:gridSpan w:val="2"/>
          </w:tcPr>
          <w:p w:rsidR="00185C77" w:rsidRDefault="00185C77">
            <w:pPr>
              <w:rPr>
                <w:noProof/>
                <w:sz w:val="20"/>
              </w:rPr>
            </w:pPr>
          </w:p>
        </w:tc>
        <w:tc>
          <w:tcPr>
            <w:tcW w:w="534" w:type="dxa"/>
          </w:tcPr>
          <w:p w:rsidR="00185C77" w:rsidRDefault="00185C77">
            <w:pPr>
              <w:jc w:val="center"/>
              <w:rPr>
                <w:noProof/>
                <w:sz w:val="20"/>
              </w:rPr>
            </w:pPr>
          </w:p>
        </w:tc>
        <w:tc>
          <w:tcPr>
            <w:tcW w:w="868" w:type="dxa"/>
            <w:vAlign w:val="center"/>
          </w:tcPr>
          <w:p w:rsidR="00185C77" w:rsidRDefault="00176197">
            <w:pPr>
              <w:jc w:val="center"/>
              <w:rPr>
                <w:noProof/>
                <w:sz w:val="20"/>
              </w:rPr>
            </w:pPr>
            <w:r>
              <w:rPr>
                <w:noProof/>
                <w:sz w:val="20"/>
              </w:rPr>
              <w:t>Година</w:t>
            </w:r>
            <w:r>
              <w:rPr>
                <w:b/>
                <w:noProof/>
                <w:sz w:val="20"/>
              </w:rPr>
              <w:t>2019 г.</w:t>
            </w:r>
            <w:r>
              <w:rPr>
                <w:rStyle w:val="FootnoteReference"/>
                <w:noProof/>
              </w:rPr>
              <w:footnoteReference w:id="44"/>
            </w:r>
          </w:p>
        </w:tc>
        <w:tc>
          <w:tcPr>
            <w:tcW w:w="868" w:type="dxa"/>
            <w:vAlign w:val="center"/>
          </w:tcPr>
          <w:p w:rsidR="00185C77" w:rsidRDefault="00176197">
            <w:pPr>
              <w:jc w:val="center"/>
              <w:rPr>
                <w:noProof/>
                <w:sz w:val="20"/>
              </w:rPr>
            </w:pPr>
            <w:r>
              <w:rPr>
                <w:noProof/>
                <w:sz w:val="20"/>
              </w:rPr>
              <w:t>Година</w:t>
            </w:r>
            <w:r>
              <w:rPr>
                <w:b/>
                <w:noProof/>
                <w:sz w:val="20"/>
              </w:rPr>
              <w:t>2020</w:t>
            </w:r>
          </w:p>
        </w:tc>
        <w:tc>
          <w:tcPr>
            <w:tcW w:w="868" w:type="dxa"/>
            <w:vAlign w:val="center"/>
          </w:tcPr>
          <w:p w:rsidR="00185C77" w:rsidRDefault="00176197">
            <w:pPr>
              <w:jc w:val="center"/>
              <w:rPr>
                <w:noProof/>
                <w:sz w:val="20"/>
              </w:rPr>
            </w:pPr>
            <w:r>
              <w:rPr>
                <w:noProof/>
                <w:sz w:val="20"/>
              </w:rPr>
              <w:t>Година</w:t>
            </w:r>
            <w:r>
              <w:rPr>
                <w:b/>
                <w:noProof/>
                <w:sz w:val="20"/>
              </w:rPr>
              <w:t>N+2</w:t>
            </w:r>
          </w:p>
        </w:tc>
        <w:tc>
          <w:tcPr>
            <w:tcW w:w="868" w:type="dxa"/>
            <w:vAlign w:val="center"/>
          </w:tcPr>
          <w:p w:rsidR="00185C77" w:rsidRDefault="00176197">
            <w:pPr>
              <w:jc w:val="center"/>
              <w:rPr>
                <w:noProof/>
                <w:sz w:val="20"/>
              </w:rPr>
            </w:pPr>
            <w:r>
              <w:rPr>
                <w:noProof/>
                <w:sz w:val="20"/>
              </w:rPr>
              <w:t>Година</w:t>
            </w:r>
            <w:r>
              <w:rPr>
                <w:b/>
                <w:noProof/>
                <w:sz w:val="20"/>
              </w:rPr>
              <w:t>N+3</w:t>
            </w:r>
          </w:p>
        </w:tc>
        <w:tc>
          <w:tcPr>
            <w:tcW w:w="2604" w:type="dxa"/>
            <w:gridSpan w:val="3"/>
            <w:vAlign w:val="center"/>
          </w:tcPr>
          <w:p w:rsidR="00185C77" w:rsidRDefault="00176197">
            <w:pPr>
              <w:jc w:val="center"/>
              <w:rPr>
                <w:b/>
                <w:noProof/>
                <w:sz w:val="18"/>
              </w:rPr>
            </w:pPr>
            <w:r>
              <w:rPr>
                <w:noProof/>
                <w:sz w:val="18"/>
              </w:rPr>
              <w:t xml:space="preserve">… да се добавят толкова години, колкото е необходимо, за да се обхване </w:t>
            </w:r>
            <w:r>
              <w:rPr>
                <w:noProof/>
                <w:sz w:val="18"/>
              </w:rPr>
              <w:t>продължителността на отражението (вж. точка 1.6)</w:t>
            </w:r>
          </w:p>
        </w:tc>
        <w:tc>
          <w:tcPr>
            <w:tcW w:w="1777" w:type="dxa"/>
            <w:vAlign w:val="center"/>
          </w:tcPr>
          <w:p w:rsidR="00185C77" w:rsidRDefault="00176197">
            <w:pPr>
              <w:jc w:val="center"/>
              <w:rPr>
                <w:b/>
                <w:noProof/>
                <w:sz w:val="20"/>
              </w:rPr>
            </w:pPr>
            <w:r>
              <w:rPr>
                <w:b/>
                <w:noProof/>
                <w:sz w:val="20"/>
              </w:rPr>
              <w:t>ОБЩО</w:t>
            </w:r>
          </w:p>
          <w:p w:rsidR="00185C77" w:rsidRDefault="00176197">
            <w:pPr>
              <w:jc w:val="center"/>
              <w:rPr>
                <w:b/>
                <w:noProof/>
                <w:sz w:val="20"/>
              </w:rPr>
            </w:pPr>
            <w:r>
              <w:rPr>
                <w:b/>
                <w:noProof/>
                <w:sz w:val="20"/>
              </w:rPr>
              <w:t>2019 — 2020 г.</w:t>
            </w:r>
          </w:p>
        </w:tc>
      </w:tr>
      <w:tr w:rsidR="00185C77">
        <w:trPr>
          <w:trHeight w:val="213"/>
        </w:trPr>
        <w:tc>
          <w:tcPr>
            <w:tcW w:w="6054" w:type="dxa"/>
            <w:gridSpan w:val="4"/>
            <w:vAlign w:val="center"/>
          </w:tcPr>
          <w:p w:rsidR="00185C77" w:rsidRDefault="00176197">
            <w:pPr>
              <w:spacing w:before="20" w:after="20"/>
              <w:rPr>
                <w:noProof/>
                <w:sz w:val="21"/>
              </w:rPr>
            </w:pPr>
            <w:r>
              <w:rPr>
                <w:noProof/>
                <w:sz w:val="21"/>
              </w:rPr>
              <w:sym w:font="Wingdings" w:char="F09F"/>
            </w:r>
            <w:r>
              <w:rPr>
                <w:noProof/>
              </w:rPr>
              <w:t xml:space="preserve"> </w:t>
            </w:r>
            <w:r>
              <w:rPr>
                <w:noProof/>
                <w:sz w:val="21"/>
              </w:rPr>
              <w:t>Бюджетни кредити за оперативни разходи</w:t>
            </w:r>
          </w:p>
        </w:tc>
        <w:tc>
          <w:tcPr>
            <w:tcW w:w="868" w:type="dxa"/>
            <w:vAlign w:val="center"/>
          </w:tcPr>
          <w:p w:rsidR="00185C77" w:rsidRDefault="00185C77">
            <w:pPr>
              <w:rPr>
                <w:noProof/>
                <w:sz w:val="20"/>
              </w:rPr>
            </w:pPr>
          </w:p>
        </w:tc>
        <w:tc>
          <w:tcPr>
            <w:tcW w:w="868" w:type="dxa"/>
            <w:vAlign w:val="center"/>
          </w:tcPr>
          <w:p w:rsidR="00185C77" w:rsidRDefault="00185C77">
            <w:pPr>
              <w:rPr>
                <w:noProof/>
                <w:sz w:val="20"/>
              </w:rPr>
            </w:pPr>
          </w:p>
        </w:tc>
        <w:tc>
          <w:tcPr>
            <w:tcW w:w="868" w:type="dxa"/>
            <w:vAlign w:val="center"/>
          </w:tcPr>
          <w:p w:rsidR="00185C77" w:rsidRDefault="00185C77">
            <w:pPr>
              <w:rPr>
                <w:noProof/>
                <w:sz w:val="20"/>
              </w:rPr>
            </w:pPr>
          </w:p>
        </w:tc>
        <w:tc>
          <w:tcPr>
            <w:tcW w:w="868" w:type="dxa"/>
            <w:vAlign w:val="center"/>
          </w:tcPr>
          <w:p w:rsidR="00185C77" w:rsidRDefault="00185C77">
            <w:pPr>
              <w:rPr>
                <w:noProof/>
                <w:sz w:val="20"/>
              </w:rPr>
            </w:pPr>
          </w:p>
        </w:tc>
        <w:tc>
          <w:tcPr>
            <w:tcW w:w="868" w:type="dxa"/>
            <w:vAlign w:val="center"/>
          </w:tcPr>
          <w:p w:rsidR="00185C77" w:rsidRDefault="00185C77">
            <w:pPr>
              <w:rPr>
                <w:noProof/>
                <w:sz w:val="20"/>
              </w:rPr>
            </w:pPr>
          </w:p>
        </w:tc>
        <w:tc>
          <w:tcPr>
            <w:tcW w:w="868" w:type="dxa"/>
            <w:vAlign w:val="center"/>
          </w:tcPr>
          <w:p w:rsidR="00185C77" w:rsidRDefault="00185C77">
            <w:pPr>
              <w:rPr>
                <w:noProof/>
                <w:sz w:val="20"/>
              </w:rPr>
            </w:pPr>
          </w:p>
        </w:tc>
        <w:tc>
          <w:tcPr>
            <w:tcW w:w="868" w:type="dxa"/>
            <w:vAlign w:val="center"/>
          </w:tcPr>
          <w:p w:rsidR="00185C77" w:rsidRDefault="00185C77">
            <w:pPr>
              <w:rPr>
                <w:b/>
                <w:noProof/>
                <w:sz w:val="20"/>
              </w:rPr>
            </w:pPr>
          </w:p>
        </w:tc>
        <w:tc>
          <w:tcPr>
            <w:tcW w:w="1777" w:type="dxa"/>
            <w:vAlign w:val="center"/>
          </w:tcPr>
          <w:p w:rsidR="00185C77" w:rsidRDefault="00185C77">
            <w:pPr>
              <w:rPr>
                <w:b/>
                <w:noProof/>
                <w:sz w:val="20"/>
              </w:rPr>
            </w:pPr>
          </w:p>
        </w:tc>
      </w:tr>
      <w:tr w:rsidR="00185C77">
        <w:trPr>
          <w:trHeight w:val="277"/>
        </w:trPr>
        <w:tc>
          <w:tcPr>
            <w:tcW w:w="3960" w:type="dxa"/>
            <w:vMerge w:val="restart"/>
            <w:vAlign w:val="center"/>
          </w:tcPr>
          <w:p w:rsidR="00185C77" w:rsidRDefault="00176197">
            <w:pPr>
              <w:rPr>
                <w:noProof/>
                <w:sz w:val="22"/>
              </w:rPr>
            </w:pPr>
            <w:r>
              <w:rPr>
                <w:noProof/>
                <w:sz w:val="20"/>
              </w:rPr>
              <w:t>34.02.01</w:t>
            </w:r>
          </w:p>
        </w:tc>
        <w:tc>
          <w:tcPr>
            <w:tcW w:w="1440" w:type="dxa"/>
            <w:vAlign w:val="center"/>
          </w:tcPr>
          <w:p w:rsidR="00185C77" w:rsidRDefault="00176197">
            <w:pPr>
              <w:spacing w:before="20" w:after="20"/>
              <w:rPr>
                <w:noProof/>
                <w:sz w:val="18"/>
              </w:rPr>
            </w:pPr>
            <w:r>
              <w:rPr>
                <w:noProof/>
                <w:sz w:val="18"/>
              </w:rPr>
              <w:t>Поети задължения</w:t>
            </w:r>
          </w:p>
        </w:tc>
        <w:tc>
          <w:tcPr>
            <w:tcW w:w="654" w:type="dxa"/>
            <w:gridSpan w:val="2"/>
            <w:vAlign w:val="center"/>
          </w:tcPr>
          <w:p w:rsidR="00185C77" w:rsidRDefault="00176197">
            <w:pPr>
              <w:spacing w:before="20" w:after="20"/>
              <w:jc w:val="center"/>
              <w:rPr>
                <w:noProof/>
                <w:sz w:val="14"/>
              </w:rPr>
            </w:pPr>
            <w:r>
              <w:rPr>
                <w:noProof/>
                <w:sz w:val="14"/>
              </w:rPr>
              <w:t>(1)</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r w:rsidR="00185C77">
        <w:tc>
          <w:tcPr>
            <w:tcW w:w="3960" w:type="dxa"/>
            <w:vMerge/>
          </w:tcPr>
          <w:p w:rsidR="00185C77" w:rsidRDefault="00185C77">
            <w:pPr>
              <w:jc w:val="center"/>
              <w:rPr>
                <w:noProof/>
                <w:sz w:val="20"/>
              </w:rPr>
            </w:pPr>
          </w:p>
        </w:tc>
        <w:tc>
          <w:tcPr>
            <w:tcW w:w="1440" w:type="dxa"/>
            <w:vAlign w:val="center"/>
          </w:tcPr>
          <w:p w:rsidR="00185C77" w:rsidRDefault="00176197">
            <w:pPr>
              <w:spacing w:before="20" w:after="20"/>
              <w:rPr>
                <w:noProof/>
                <w:sz w:val="18"/>
              </w:rPr>
            </w:pPr>
            <w:r>
              <w:rPr>
                <w:noProof/>
                <w:sz w:val="18"/>
              </w:rPr>
              <w:t>Плащания</w:t>
            </w:r>
          </w:p>
        </w:tc>
        <w:tc>
          <w:tcPr>
            <w:tcW w:w="654" w:type="dxa"/>
            <w:gridSpan w:val="2"/>
            <w:vAlign w:val="center"/>
          </w:tcPr>
          <w:p w:rsidR="00185C77" w:rsidRDefault="00176197">
            <w:pPr>
              <w:spacing w:before="20" w:after="20"/>
              <w:jc w:val="center"/>
              <w:rPr>
                <w:noProof/>
                <w:sz w:val="14"/>
              </w:rPr>
            </w:pPr>
            <w:r>
              <w:rPr>
                <w:noProof/>
                <w:sz w:val="14"/>
              </w:rPr>
              <w:t>(2)</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r w:rsidR="00185C77">
        <w:tc>
          <w:tcPr>
            <w:tcW w:w="3960" w:type="dxa"/>
            <w:vMerge w:val="restart"/>
            <w:vAlign w:val="center"/>
          </w:tcPr>
          <w:p w:rsidR="00185C77" w:rsidRDefault="00176197">
            <w:pPr>
              <w:rPr>
                <w:noProof/>
                <w:sz w:val="22"/>
              </w:rPr>
            </w:pPr>
            <w:r>
              <w:rPr>
                <w:noProof/>
                <w:sz w:val="20"/>
              </w:rPr>
              <w:t>Номер на бюджетния ред</w:t>
            </w:r>
          </w:p>
        </w:tc>
        <w:tc>
          <w:tcPr>
            <w:tcW w:w="1440" w:type="dxa"/>
            <w:vAlign w:val="center"/>
          </w:tcPr>
          <w:p w:rsidR="00185C77" w:rsidRDefault="00176197">
            <w:pPr>
              <w:spacing w:before="20" w:after="20"/>
              <w:rPr>
                <w:noProof/>
                <w:sz w:val="18"/>
              </w:rPr>
            </w:pPr>
            <w:r>
              <w:rPr>
                <w:noProof/>
                <w:sz w:val="18"/>
              </w:rPr>
              <w:t>Поети задължения</w:t>
            </w:r>
          </w:p>
        </w:tc>
        <w:tc>
          <w:tcPr>
            <w:tcW w:w="654" w:type="dxa"/>
            <w:gridSpan w:val="2"/>
            <w:vAlign w:val="center"/>
          </w:tcPr>
          <w:p w:rsidR="00185C77" w:rsidRDefault="00176197">
            <w:pPr>
              <w:spacing w:before="20" w:after="20"/>
              <w:jc w:val="center"/>
              <w:rPr>
                <w:noProof/>
                <w:sz w:val="14"/>
              </w:rPr>
            </w:pPr>
            <w:r>
              <w:rPr>
                <w:noProof/>
                <w:sz w:val="14"/>
              </w:rPr>
              <w:t>(1а)</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85C77">
            <w:pPr>
              <w:spacing w:before="20" w:after="20"/>
              <w:jc w:val="right"/>
              <w:rPr>
                <w:b/>
                <w:noProof/>
                <w:sz w:val="20"/>
              </w:rPr>
            </w:pPr>
          </w:p>
        </w:tc>
      </w:tr>
      <w:tr w:rsidR="00185C77">
        <w:tc>
          <w:tcPr>
            <w:tcW w:w="3960" w:type="dxa"/>
            <w:vMerge/>
          </w:tcPr>
          <w:p w:rsidR="00185C77" w:rsidRDefault="00185C77">
            <w:pPr>
              <w:jc w:val="center"/>
              <w:rPr>
                <w:noProof/>
                <w:sz w:val="20"/>
              </w:rPr>
            </w:pPr>
          </w:p>
        </w:tc>
        <w:tc>
          <w:tcPr>
            <w:tcW w:w="1440" w:type="dxa"/>
            <w:vAlign w:val="center"/>
          </w:tcPr>
          <w:p w:rsidR="00185C77" w:rsidRDefault="00176197">
            <w:pPr>
              <w:spacing w:before="20" w:after="20"/>
              <w:rPr>
                <w:noProof/>
                <w:sz w:val="18"/>
              </w:rPr>
            </w:pPr>
            <w:r>
              <w:rPr>
                <w:noProof/>
                <w:sz w:val="18"/>
              </w:rPr>
              <w:t>Плащания</w:t>
            </w:r>
          </w:p>
        </w:tc>
        <w:tc>
          <w:tcPr>
            <w:tcW w:w="654" w:type="dxa"/>
            <w:gridSpan w:val="2"/>
            <w:vAlign w:val="center"/>
          </w:tcPr>
          <w:p w:rsidR="00185C77" w:rsidRDefault="00176197">
            <w:pPr>
              <w:spacing w:before="20" w:after="20"/>
              <w:jc w:val="center"/>
              <w:rPr>
                <w:noProof/>
                <w:sz w:val="14"/>
              </w:rPr>
            </w:pPr>
            <w:r>
              <w:rPr>
                <w:noProof/>
                <w:sz w:val="14"/>
              </w:rPr>
              <w:t>(2а)</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85C77">
            <w:pPr>
              <w:spacing w:before="20" w:after="20"/>
              <w:jc w:val="right"/>
              <w:rPr>
                <w:b/>
                <w:noProof/>
                <w:sz w:val="20"/>
              </w:rPr>
            </w:pPr>
          </w:p>
        </w:tc>
      </w:tr>
      <w:tr w:rsidR="00185C77">
        <w:trPr>
          <w:trHeight w:val="231"/>
        </w:trPr>
        <w:tc>
          <w:tcPr>
            <w:tcW w:w="6054" w:type="dxa"/>
            <w:gridSpan w:val="4"/>
            <w:vAlign w:val="center"/>
          </w:tcPr>
          <w:p w:rsidR="00185C77" w:rsidRDefault="00176197">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45"/>
            </w:r>
            <w:r>
              <w:rPr>
                <w:noProof/>
                <w:sz w:val="21"/>
              </w:rPr>
              <w:t xml:space="preserve"> </w:t>
            </w:r>
          </w:p>
          <w:p w:rsidR="00185C77" w:rsidRDefault="00185C77">
            <w:pPr>
              <w:spacing w:before="0" w:after="0"/>
              <w:rPr>
                <w:noProof/>
                <w:sz w:val="22"/>
              </w:rPr>
            </w:pPr>
          </w:p>
        </w:tc>
        <w:tc>
          <w:tcPr>
            <w:tcW w:w="868" w:type="dxa"/>
            <w:vAlign w:val="center"/>
          </w:tcPr>
          <w:p w:rsidR="00185C77" w:rsidRDefault="00185C77">
            <w:pPr>
              <w:rPr>
                <w:b/>
                <w:noProof/>
                <w:sz w:val="20"/>
              </w:rPr>
            </w:pPr>
          </w:p>
        </w:tc>
        <w:tc>
          <w:tcPr>
            <w:tcW w:w="868" w:type="dxa"/>
            <w:vAlign w:val="center"/>
          </w:tcPr>
          <w:p w:rsidR="00185C77" w:rsidRDefault="00185C77">
            <w:pPr>
              <w:rPr>
                <w:b/>
                <w:noProof/>
                <w:sz w:val="20"/>
              </w:rPr>
            </w:pPr>
          </w:p>
        </w:tc>
        <w:tc>
          <w:tcPr>
            <w:tcW w:w="868" w:type="dxa"/>
            <w:vAlign w:val="center"/>
          </w:tcPr>
          <w:p w:rsidR="00185C77" w:rsidRDefault="00185C77">
            <w:pPr>
              <w:rPr>
                <w:b/>
                <w:noProof/>
                <w:sz w:val="20"/>
              </w:rPr>
            </w:pPr>
          </w:p>
        </w:tc>
        <w:tc>
          <w:tcPr>
            <w:tcW w:w="868" w:type="dxa"/>
            <w:vAlign w:val="center"/>
          </w:tcPr>
          <w:p w:rsidR="00185C77" w:rsidRDefault="00185C77">
            <w:pPr>
              <w:rPr>
                <w:b/>
                <w:noProof/>
                <w:sz w:val="20"/>
              </w:rPr>
            </w:pPr>
          </w:p>
        </w:tc>
        <w:tc>
          <w:tcPr>
            <w:tcW w:w="868" w:type="dxa"/>
            <w:vAlign w:val="center"/>
          </w:tcPr>
          <w:p w:rsidR="00185C77" w:rsidRDefault="00185C77">
            <w:pPr>
              <w:rPr>
                <w:b/>
                <w:noProof/>
                <w:sz w:val="20"/>
              </w:rPr>
            </w:pPr>
          </w:p>
        </w:tc>
        <w:tc>
          <w:tcPr>
            <w:tcW w:w="868" w:type="dxa"/>
            <w:vAlign w:val="center"/>
          </w:tcPr>
          <w:p w:rsidR="00185C77" w:rsidRDefault="00185C77">
            <w:pPr>
              <w:rPr>
                <w:b/>
                <w:noProof/>
                <w:sz w:val="20"/>
              </w:rPr>
            </w:pPr>
          </w:p>
        </w:tc>
        <w:tc>
          <w:tcPr>
            <w:tcW w:w="868" w:type="dxa"/>
            <w:vAlign w:val="center"/>
          </w:tcPr>
          <w:p w:rsidR="00185C77" w:rsidRDefault="00185C77">
            <w:pPr>
              <w:rPr>
                <w:b/>
                <w:noProof/>
                <w:sz w:val="20"/>
              </w:rPr>
            </w:pPr>
          </w:p>
        </w:tc>
        <w:tc>
          <w:tcPr>
            <w:tcW w:w="1777" w:type="dxa"/>
            <w:vAlign w:val="center"/>
          </w:tcPr>
          <w:p w:rsidR="00185C77" w:rsidRDefault="00185C77">
            <w:pPr>
              <w:rPr>
                <w:b/>
                <w:noProof/>
                <w:sz w:val="20"/>
              </w:rPr>
            </w:pPr>
          </w:p>
        </w:tc>
      </w:tr>
      <w:tr w:rsidR="00185C77">
        <w:trPr>
          <w:trHeight w:val="319"/>
        </w:trPr>
        <w:tc>
          <w:tcPr>
            <w:tcW w:w="3960" w:type="dxa"/>
            <w:vAlign w:val="center"/>
          </w:tcPr>
          <w:p w:rsidR="00185C77" w:rsidRDefault="00176197">
            <w:pPr>
              <w:spacing w:before="60" w:after="60"/>
              <w:rPr>
                <w:noProof/>
                <w:sz w:val="22"/>
              </w:rPr>
            </w:pPr>
            <w:r>
              <w:rPr>
                <w:noProof/>
                <w:sz w:val="20"/>
              </w:rPr>
              <w:t>Номер на бюджетния ред</w:t>
            </w:r>
          </w:p>
        </w:tc>
        <w:tc>
          <w:tcPr>
            <w:tcW w:w="1440" w:type="dxa"/>
            <w:vAlign w:val="center"/>
          </w:tcPr>
          <w:p w:rsidR="00185C77" w:rsidRDefault="00185C77">
            <w:pPr>
              <w:spacing w:before="40" w:after="40"/>
              <w:jc w:val="right"/>
              <w:rPr>
                <w:noProof/>
                <w:sz w:val="18"/>
              </w:rPr>
            </w:pPr>
          </w:p>
        </w:tc>
        <w:tc>
          <w:tcPr>
            <w:tcW w:w="654" w:type="dxa"/>
            <w:gridSpan w:val="2"/>
            <w:vAlign w:val="center"/>
          </w:tcPr>
          <w:p w:rsidR="00185C77" w:rsidRDefault="00176197">
            <w:pPr>
              <w:spacing w:before="40" w:after="40"/>
              <w:jc w:val="center"/>
              <w:rPr>
                <w:noProof/>
                <w:sz w:val="14"/>
              </w:rPr>
            </w:pPr>
            <w:r>
              <w:rPr>
                <w:noProof/>
                <w:sz w:val="14"/>
              </w:rPr>
              <w:t>(3)</w:t>
            </w:r>
          </w:p>
        </w:tc>
        <w:tc>
          <w:tcPr>
            <w:tcW w:w="868" w:type="dxa"/>
            <w:vAlign w:val="center"/>
          </w:tcPr>
          <w:p w:rsidR="00185C77" w:rsidRDefault="00185C77">
            <w:pPr>
              <w:spacing w:before="40" w:after="40"/>
              <w:jc w:val="right"/>
              <w:rPr>
                <w:b/>
                <w:noProof/>
                <w:sz w:val="20"/>
              </w:rPr>
            </w:pPr>
          </w:p>
        </w:tc>
        <w:tc>
          <w:tcPr>
            <w:tcW w:w="868" w:type="dxa"/>
            <w:vAlign w:val="center"/>
          </w:tcPr>
          <w:p w:rsidR="00185C77" w:rsidRDefault="00185C77">
            <w:pPr>
              <w:spacing w:before="40" w:after="40"/>
              <w:jc w:val="right"/>
              <w:rPr>
                <w:b/>
                <w:noProof/>
                <w:sz w:val="20"/>
              </w:rPr>
            </w:pPr>
          </w:p>
        </w:tc>
        <w:tc>
          <w:tcPr>
            <w:tcW w:w="868" w:type="dxa"/>
            <w:vAlign w:val="center"/>
          </w:tcPr>
          <w:p w:rsidR="00185C77" w:rsidRDefault="00185C77">
            <w:pPr>
              <w:spacing w:before="40" w:after="40"/>
              <w:jc w:val="right"/>
              <w:rPr>
                <w:b/>
                <w:noProof/>
                <w:sz w:val="20"/>
              </w:rPr>
            </w:pPr>
          </w:p>
        </w:tc>
        <w:tc>
          <w:tcPr>
            <w:tcW w:w="868" w:type="dxa"/>
            <w:vAlign w:val="center"/>
          </w:tcPr>
          <w:p w:rsidR="00185C77" w:rsidRDefault="00185C77">
            <w:pPr>
              <w:spacing w:before="40" w:after="40"/>
              <w:jc w:val="right"/>
              <w:rPr>
                <w:b/>
                <w:noProof/>
                <w:sz w:val="20"/>
              </w:rPr>
            </w:pPr>
          </w:p>
        </w:tc>
        <w:tc>
          <w:tcPr>
            <w:tcW w:w="868" w:type="dxa"/>
            <w:vAlign w:val="center"/>
          </w:tcPr>
          <w:p w:rsidR="00185C77" w:rsidRDefault="00185C77">
            <w:pPr>
              <w:spacing w:before="40" w:after="40"/>
              <w:jc w:val="right"/>
              <w:rPr>
                <w:b/>
                <w:noProof/>
                <w:sz w:val="20"/>
              </w:rPr>
            </w:pPr>
          </w:p>
        </w:tc>
        <w:tc>
          <w:tcPr>
            <w:tcW w:w="868" w:type="dxa"/>
            <w:vAlign w:val="center"/>
          </w:tcPr>
          <w:p w:rsidR="00185C77" w:rsidRDefault="00185C77">
            <w:pPr>
              <w:spacing w:before="40" w:after="40"/>
              <w:jc w:val="right"/>
              <w:rPr>
                <w:b/>
                <w:noProof/>
                <w:sz w:val="20"/>
              </w:rPr>
            </w:pPr>
          </w:p>
        </w:tc>
        <w:tc>
          <w:tcPr>
            <w:tcW w:w="868" w:type="dxa"/>
            <w:vAlign w:val="center"/>
          </w:tcPr>
          <w:p w:rsidR="00185C77" w:rsidRDefault="00185C77">
            <w:pPr>
              <w:spacing w:before="40" w:after="40"/>
              <w:jc w:val="right"/>
              <w:rPr>
                <w:b/>
                <w:noProof/>
                <w:sz w:val="20"/>
              </w:rPr>
            </w:pPr>
          </w:p>
        </w:tc>
        <w:tc>
          <w:tcPr>
            <w:tcW w:w="1777" w:type="dxa"/>
            <w:vAlign w:val="center"/>
          </w:tcPr>
          <w:p w:rsidR="00185C77" w:rsidRDefault="00185C77">
            <w:pPr>
              <w:spacing w:before="40" w:after="40"/>
              <w:jc w:val="right"/>
              <w:rPr>
                <w:b/>
                <w:noProof/>
                <w:sz w:val="20"/>
              </w:rPr>
            </w:pPr>
          </w:p>
        </w:tc>
      </w:tr>
      <w:tr w:rsidR="00185C77">
        <w:tc>
          <w:tcPr>
            <w:tcW w:w="3960" w:type="dxa"/>
            <w:vMerge w:val="restart"/>
            <w:vAlign w:val="center"/>
          </w:tcPr>
          <w:p w:rsidR="00185C77" w:rsidRDefault="00176197">
            <w:pPr>
              <w:jc w:val="center"/>
              <w:rPr>
                <w:b/>
                <w:noProof/>
                <w:sz w:val="22"/>
              </w:rPr>
            </w:pPr>
            <w:r>
              <w:rPr>
                <w:b/>
                <w:noProof/>
              </w:rPr>
              <w:t>ОБЩО бюджетни кредити</w:t>
            </w:r>
            <w:r>
              <w:rPr>
                <w:noProof/>
                <w:sz w:val="22"/>
              </w:rPr>
              <w:br/>
            </w:r>
            <w:r>
              <w:rPr>
                <w:b/>
                <w:noProof/>
                <w:sz w:val="22"/>
              </w:rPr>
              <w:t>за Европейската комисия</w:t>
            </w:r>
          </w:p>
        </w:tc>
        <w:tc>
          <w:tcPr>
            <w:tcW w:w="1440" w:type="dxa"/>
            <w:vAlign w:val="center"/>
          </w:tcPr>
          <w:p w:rsidR="00185C77" w:rsidRDefault="00176197">
            <w:pPr>
              <w:rPr>
                <w:noProof/>
                <w:sz w:val="18"/>
              </w:rPr>
            </w:pPr>
            <w:r>
              <w:rPr>
                <w:noProof/>
                <w:sz w:val="18"/>
              </w:rPr>
              <w:t>Поети задължения</w:t>
            </w:r>
          </w:p>
        </w:tc>
        <w:tc>
          <w:tcPr>
            <w:tcW w:w="654" w:type="dxa"/>
            <w:gridSpan w:val="2"/>
            <w:vAlign w:val="center"/>
          </w:tcPr>
          <w:p w:rsidR="00185C77" w:rsidRDefault="00176197">
            <w:pPr>
              <w:jc w:val="center"/>
              <w:rPr>
                <w:noProof/>
                <w:sz w:val="14"/>
              </w:rPr>
            </w:pPr>
            <w:r>
              <w:rPr>
                <w:noProof/>
                <w:sz w:val="14"/>
              </w:rPr>
              <w:t>=1+1a +3</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r w:rsidR="00185C77">
        <w:tc>
          <w:tcPr>
            <w:tcW w:w="3960" w:type="dxa"/>
            <w:vMerge/>
          </w:tcPr>
          <w:p w:rsidR="00185C77" w:rsidRDefault="00185C77">
            <w:pPr>
              <w:rPr>
                <w:noProof/>
                <w:sz w:val="20"/>
              </w:rPr>
            </w:pPr>
          </w:p>
        </w:tc>
        <w:tc>
          <w:tcPr>
            <w:tcW w:w="1440" w:type="dxa"/>
            <w:vAlign w:val="center"/>
          </w:tcPr>
          <w:p w:rsidR="00185C77" w:rsidRDefault="00176197">
            <w:pPr>
              <w:rPr>
                <w:noProof/>
                <w:sz w:val="18"/>
              </w:rPr>
            </w:pPr>
            <w:r>
              <w:rPr>
                <w:noProof/>
                <w:sz w:val="18"/>
              </w:rPr>
              <w:t>Плащания</w:t>
            </w:r>
          </w:p>
        </w:tc>
        <w:tc>
          <w:tcPr>
            <w:tcW w:w="654" w:type="dxa"/>
            <w:gridSpan w:val="2"/>
            <w:vAlign w:val="center"/>
          </w:tcPr>
          <w:p w:rsidR="00185C77" w:rsidRDefault="00176197">
            <w:pPr>
              <w:jc w:val="center"/>
              <w:rPr>
                <w:noProof/>
                <w:sz w:val="14"/>
              </w:rPr>
            </w:pPr>
            <w:r>
              <w:rPr>
                <w:noProof/>
                <w:sz w:val="14"/>
              </w:rPr>
              <w:t>=2+2а</w:t>
            </w:r>
          </w:p>
          <w:p w:rsidR="00185C77" w:rsidRDefault="00176197">
            <w:pPr>
              <w:jc w:val="center"/>
              <w:rPr>
                <w:noProof/>
                <w:sz w:val="14"/>
              </w:rPr>
            </w:pPr>
            <w:r>
              <w:rPr>
                <w:noProof/>
                <w:sz w:val="14"/>
              </w:rPr>
              <w:t>+3</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bl>
    <w:p w:rsidR="00185C77" w:rsidRDefault="00176197">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85C77">
        <w:trPr>
          <w:trHeight w:val="277"/>
        </w:trPr>
        <w:tc>
          <w:tcPr>
            <w:tcW w:w="3960" w:type="dxa"/>
            <w:vMerge w:val="restart"/>
            <w:vAlign w:val="center"/>
          </w:tcPr>
          <w:p w:rsidR="00185C77" w:rsidRDefault="00176197">
            <w:pPr>
              <w:spacing w:before="20" w:after="20"/>
              <w:rPr>
                <w:noProof/>
                <w:sz w:val="22"/>
              </w:rPr>
            </w:pPr>
            <w:r>
              <w:rPr>
                <w:noProof/>
              </w:rPr>
              <w:br w:type="page"/>
            </w:r>
            <w:r>
              <w:rPr>
                <w:noProof/>
                <w:sz w:val="21"/>
              </w:rPr>
              <w:sym w:font="Wingdings" w:char="F09F"/>
            </w:r>
            <w:r>
              <w:rPr>
                <w:noProof/>
              </w:rPr>
              <w:t xml:space="preserve"> </w:t>
            </w:r>
            <w:r>
              <w:rPr>
                <w:noProof/>
                <w:sz w:val="21"/>
              </w:rPr>
              <w:t>ОБЩО бюджетни кредити за оперативни разходи</w:t>
            </w:r>
          </w:p>
        </w:tc>
        <w:tc>
          <w:tcPr>
            <w:tcW w:w="1440" w:type="dxa"/>
            <w:vAlign w:val="center"/>
          </w:tcPr>
          <w:p w:rsidR="00185C77" w:rsidRDefault="00176197">
            <w:pPr>
              <w:spacing w:beforeLines="20" w:before="48" w:afterLines="20" w:after="48"/>
              <w:rPr>
                <w:noProof/>
                <w:sz w:val="18"/>
              </w:rPr>
            </w:pPr>
            <w:r>
              <w:rPr>
                <w:noProof/>
                <w:sz w:val="18"/>
              </w:rPr>
              <w:t>Поети задължения</w:t>
            </w:r>
          </w:p>
        </w:tc>
        <w:tc>
          <w:tcPr>
            <w:tcW w:w="654" w:type="dxa"/>
            <w:vAlign w:val="center"/>
          </w:tcPr>
          <w:p w:rsidR="00185C77" w:rsidRDefault="00176197">
            <w:pPr>
              <w:spacing w:beforeLines="20" w:before="48" w:afterLines="20" w:after="48"/>
              <w:jc w:val="center"/>
              <w:rPr>
                <w:noProof/>
                <w:sz w:val="14"/>
              </w:rPr>
            </w:pPr>
            <w:r>
              <w:rPr>
                <w:noProof/>
                <w:sz w:val="14"/>
              </w:rPr>
              <w:t>(4)</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tcPr>
          <w:p w:rsidR="00185C77" w:rsidRDefault="00185C77">
            <w:pPr>
              <w:spacing w:before="20" w:after="20"/>
              <w:jc w:val="right"/>
              <w:rPr>
                <w:noProof/>
                <w:sz w:val="20"/>
              </w:rPr>
            </w:pPr>
          </w:p>
        </w:tc>
        <w:tc>
          <w:tcPr>
            <w:tcW w:w="868" w:type="dxa"/>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r w:rsidR="00185C77">
        <w:tc>
          <w:tcPr>
            <w:tcW w:w="3960" w:type="dxa"/>
            <w:vMerge/>
          </w:tcPr>
          <w:p w:rsidR="00185C77" w:rsidRDefault="00185C77">
            <w:pPr>
              <w:jc w:val="center"/>
              <w:rPr>
                <w:noProof/>
                <w:sz w:val="20"/>
              </w:rPr>
            </w:pPr>
          </w:p>
        </w:tc>
        <w:tc>
          <w:tcPr>
            <w:tcW w:w="1440" w:type="dxa"/>
            <w:vAlign w:val="center"/>
          </w:tcPr>
          <w:p w:rsidR="00185C77" w:rsidRDefault="00176197">
            <w:pPr>
              <w:spacing w:beforeLines="20" w:before="48" w:afterLines="20" w:after="48"/>
              <w:rPr>
                <w:noProof/>
                <w:sz w:val="18"/>
              </w:rPr>
            </w:pPr>
            <w:r>
              <w:rPr>
                <w:noProof/>
                <w:sz w:val="18"/>
              </w:rPr>
              <w:t>Плащания</w:t>
            </w:r>
          </w:p>
        </w:tc>
        <w:tc>
          <w:tcPr>
            <w:tcW w:w="654" w:type="dxa"/>
            <w:vAlign w:val="center"/>
          </w:tcPr>
          <w:p w:rsidR="00185C77" w:rsidRDefault="00176197">
            <w:pPr>
              <w:spacing w:beforeLines="20" w:before="48" w:afterLines="20" w:after="48"/>
              <w:jc w:val="center"/>
              <w:rPr>
                <w:noProof/>
                <w:sz w:val="14"/>
              </w:rPr>
            </w:pPr>
            <w:r>
              <w:rPr>
                <w:noProof/>
                <w:sz w:val="14"/>
              </w:rPr>
              <w:t>(5)</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tcPr>
          <w:p w:rsidR="00185C77" w:rsidRDefault="00185C77">
            <w:pPr>
              <w:spacing w:before="20" w:after="20"/>
              <w:jc w:val="right"/>
              <w:rPr>
                <w:noProof/>
                <w:sz w:val="20"/>
              </w:rPr>
            </w:pPr>
          </w:p>
        </w:tc>
        <w:tc>
          <w:tcPr>
            <w:tcW w:w="868" w:type="dxa"/>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r w:rsidR="00185C77">
        <w:trPr>
          <w:trHeight w:val="533"/>
        </w:trPr>
        <w:tc>
          <w:tcPr>
            <w:tcW w:w="5400" w:type="dxa"/>
            <w:gridSpan w:val="2"/>
            <w:vAlign w:val="center"/>
          </w:tcPr>
          <w:p w:rsidR="00185C77" w:rsidRDefault="00176197">
            <w:pPr>
              <w:spacing w:beforeLines="20" w:before="48" w:afterLines="20" w:after="48"/>
              <w:rPr>
                <w:noProof/>
                <w:sz w:val="22"/>
              </w:rPr>
            </w:pPr>
            <w:r>
              <w:rPr>
                <w:noProof/>
                <w:sz w:val="21"/>
              </w:rPr>
              <w:sym w:font="Wingdings" w:char="F09F"/>
            </w:r>
            <w:r>
              <w:rPr>
                <w:noProof/>
              </w:rPr>
              <w:t xml:space="preserve"> </w:t>
            </w:r>
            <w:r>
              <w:rPr>
                <w:noProof/>
                <w:sz w:val="21"/>
              </w:rPr>
              <w:t xml:space="preserve">ОБЩО бюджетни кредити за административни разходи, финансирани от </w:t>
            </w:r>
            <w:r>
              <w:rPr>
                <w:noProof/>
                <w:sz w:val="21"/>
              </w:rPr>
              <w:t>пакета за определени програми</w:t>
            </w:r>
          </w:p>
        </w:tc>
        <w:tc>
          <w:tcPr>
            <w:tcW w:w="654" w:type="dxa"/>
            <w:vAlign w:val="center"/>
          </w:tcPr>
          <w:p w:rsidR="00185C77" w:rsidRDefault="00176197">
            <w:pPr>
              <w:spacing w:beforeLines="20" w:before="48" w:afterLines="20" w:after="48"/>
              <w:jc w:val="center"/>
              <w:rPr>
                <w:noProof/>
                <w:sz w:val="14"/>
              </w:rPr>
            </w:pPr>
            <w:r>
              <w:rPr>
                <w:noProof/>
                <w:sz w:val="14"/>
              </w:rPr>
              <w:t>(6)</w:t>
            </w: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85C77">
            <w:pPr>
              <w:spacing w:before="20" w:after="20"/>
              <w:jc w:val="right"/>
              <w:rPr>
                <w:b/>
                <w:noProof/>
                <w:sz w:val="20"/>
              </w:rPr>
            </w:pPr>
          </w:p>
        </w:tc>
      </w:tr>
      <w:tr w:rsidR="00185C77">
        <w:tc>
          <w:tcPr>
            <w:tcW w:w="3960" w:type="dxa"/>
            <w:vMerge w:val="restart"/>
            <w:shd w:val="thinDiagStripe" w:color="C0C0C0" w:fill="auto"/>
            <w:vAlign w:val="center"/>
          </w:tcPr>
          <w:p w:rsidR="00185C77" w:rsidRDefault="00176197">
            <w:pPr>
              <w:jc w:val="center"/>
              <w:rPr>
                <w:b/>
                <w:noProof/>
                <w:sz w:val="22"/>
              </w:rPr>
            </w:pPr>
            <w:r>
              <w:rPr>
                <w:b/>
                <w:noProof/>
              </w:rPr>
              <w:t>ОБЩО бюджетни кредити</w:t>
            </w:r>
            <w:r>
              <w:rPr>
                <w:noProof/>
                <w:sz w:val="22"/>
              </w:rPr>
              <w:br/>
            </w:r>
            <w:r>
              <w:rPr>
                <w:b/>
                <w:noProof/>
                <w:sz w:val="22"/>
              </w:rPr>
              <w:t>за ФУНКЦИЯ 2</w:t>
            </w:r>
            <w:r>
              <w:rPr>
                <w:noProof/>
                <w:sz w:val="22"/>
              </w:rPr>
              <w:br/>
              <w:t>от многогодишната финансова рамка</w:t>
            </w:r>
          </w:p>
        </w:tc>
        <w:tc>
          <w:tcPr>
            <w:tcW w:w="1440" w:type="dxa"/>
            <w:vAlign w:val="center"/>
          </w:tcPr>
          <w:p w:rsidR="00185C77" w:rsidRDefault="00176197">
            <w:pPr>
              <w:rPr>
                <w:noProof/>
                <w:sz w:val="18"/>
              </w:rPr>
            </w:pPr>
            <w:r>
              <w:rPr>
                <w:noProof/>
                <w:sz w:val="18"/>
              </w:rPr>
              <w:t>Поети задължения</w:t>
            </w:r>
          </w:p>
        </w:tc>
        <w:tc>
          <w:tcPr>
            <w:tcW w:w="654" w:type="dxa"/>
            <w:vAlign w:val="center"/>
          </w:tcPr>
          <w:p w:rsidR="00185C77" w:rsidRDefault="00176197">
            <w:pPr>
              <w:jc w:val="center"/>
              <w:rPr>
                <w:noProof/>
                <w:sz w:val="14"/>
              </w:rPr>
            </w:pPr>
            <w:r>
              <w:rPr>
                <w:noProof/>
                <w:sz w:val="14"/>
              </w:rPr>
              <w:t>=4+ 6</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tcPr>
          <w:p w:rsidR="00185C77" w:rsidRDefault="00185C77">
            <w:pPr>
              <w:spacing w:before="20" w:after="20"/>
              <w:jc w:val="right"/>
              <w:rPr>
                <w:noProof/>
                <w:sz w:val="20"/>
              </w:rPr>
            </w:pPr>
          </w:p>
        </w:tc>
        <w:tc>
          <w:tcPr>
            <w:tcW w:w="868" w:type="dxa"/>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r w:rsidR="00185C77">
        <w:tc>
          <w:tcPr>
            <w:tcW w:w="3960" w:type="dxa"/>
            <w:vMerge/>
            <w:shd w:val="thinDiagStripe" w:color="C0C0C0" w:fill="auto"/>
          </w:tcPr>
          <w:p w:rsidR="00185C77" w:rsidRDefault="00185C77">
            <w:pPr>
              <w:rPr>
                <w:noProof/>
                <w:sz w:val="20"/>
              </w:rPr>
            </w:pPr>
          </w:p>
        </w:tc>
        <w:tc>
          <w:tcPr>
            <w:tcW w:w="1440" w:type="dxa"/>
            <w:vAlign w:val="center"/>
          </w:tcPr>
          <w:p w:rsidR="00185C77" w:rsidRDefault="00176197">
            <w:pPr>
              <w:rPr>
                <w:noProof/>
                <w:sz w:val="18"/>
              </w:rPr>
            </w:pPr>
            <w:r>
              <w:rPr>
                <w:noProof/>
                <w:sz w:val="18"/>
              </w:rPr>
              <w:t>Плащания</w:t>
            </w:r>
          </w:p>
        </w:tc>
        <w:tc>
          <w:tcPr>
            <w:tcW w:w="654" w:type="dxa"/>
            <w:vAlign w:val="center"/>
          </w:tcPr>
          <w:p w:rsidR="00185C77" w:rsidRDefault="00176197">
            <w:pPr>
              <w:jc w:val="center"/>
              <w:rPr>
                <w:noProof/>
                <w:sz w:val="14"/>
              </w:rPr>
            </w:pPr>
            <w:r>
              <w:rPr>
                <w:noProof/>
                <w:sz w:val="14"/>
              </w:rPr>
              <w:t>=5+ 6</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tcPr>
          <w:p w:rsidR="00185C77" w:rsidRDefault="00185C77">
            <w:pPr>
              <w:spacing w:before="20" w:after="20"/>
              <w:jc w:val="right"/>
              <w:rPr>
                <w:noProof/>
                <w:sz w:val="20"/>
              </w:rPr>
            </w:pPr>
          </w:p>
        </w:tc>
        <w:tc>
          <w:tcPr>
            <w:tcW w:w="868" w:type="dxa"/>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bl>
    <w:p w:rsidR="00185C77" w:rsidRDefault="00176197">
      <w:pPr>
        <w:spacing w:after="40"/>
        <w:rPr>
          <w:b/>
          <w:noProof/>
          <w:sz w:val="22"/>
          <w:u w:val="single"/>
        </w:rPr>
      </w:pPr>
      <w:r>
        <w:rPr>
          <w:b/>
          <w:noProof/>
          <w:sz w:val="22"/>
          <w:u w:val="single"/>
        </w:rPr>
        <w:t>Ако предложението/инициативата има отражение върху повече</w:t>
      </w:r>
      <w:r>
        <w:rPr>
          <w:b/>
          <w:noProof/>
          <w:sz w:val="22"/>
          <w:u w:val="single"/>
        </w:rPr>
        <w:t xml:space="preserve">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85C77">
        <w:trPr>
          <w:trHeight w:val="277"/>
        </w:trPr>
        <w:tc>
          <w:tcPr>
            <w:tcW w:w="3960" w:type="dxa"/>
            <w:vMerge w:val="restart"/>
            <w:tcBorders>
              <w:top w:val="single" w:sz="4" w:space="0" w:color="FF0000"/>
              <w:left w:val="single" w:sz="4" w:space="0" w:color="auto"/>
              <w:bottom w:val="single" w:sz="4" w:space="0" w:color="FF0000"/>
            </w:tcBorders>
            <w:vAlign w:val="center"/>
          </w:tcPr>
          <w:p w:rsidR="00185C77" w:rsidRDefault="00176197">
            <w:pPr>
              <w:spacing w:before="20" w:after="20"/>
              <w:rPr>
                <w:noProof/>
                <w:sz w:val="22"/>
              </w:rPr>
            </w:pPr>
            <w:r>
              <w:rPr>
                <w:noProof/>
                <w:sz w:val="21"/>
              </w:rPr>
              <w:sym w:font="Wingdings" w:char="F09F"/>
            </w:r>
            <w:r>
              <w:rPr>
                <w:noProof/>
              </w:rPr>
              <w:t xml:space="preserve"> </w:t>
            </w:r>
            <w:r>
              <w:rPr>
                <w:noProof/>
                <w:sz w:val="21"/>
              </w:rPr>
              <w:t>ОБЩО бюджетни кредити за оперативни разходи</w:t>
            </w:r>
          </w:p>
        </w:tc>
        <w:tc>
          <w:tcPr>
            <w:tcW w:w="1440" w:type="dxa"/>
            <w:tcBorders>
              <w:top w:val="single" w:sz="4" w:space="0" w:color="FF0000"/>
            </w:tcBorders>
            <w:vAlign w:val="center"/>
          </w:tcPr>
          <w:p w:rsidR="00185C77" w:rsidRDefault="00176197">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185C77" w:rsidRDefault="00176197">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185C77" w:rsidRDefault="00185C77">
            <w:pPr>
              <w:spacing w:before="20" w:after="20"/>
              <w:jc w:val="right"/>
              <w:rPr>
                <w:noProof/>
                <w:sz w:val="20"/>
              </w:rPr>
            </w:pPr>
          </w:p>
        </w:tc>
        <w:tc>
          <w:tcPr>
            <w:tcW w:w="868" w:type="dxa"/>
            <w:tcBorders>
              <w:top w:val="single" w:sz="4" w:space="0" w:color="FF0000"/>
            </w:tcBorders>
            <w:vAlign w:val="center"/>
          </w:tcPr>
          <w:p w:rsidR="00185C77" w:rsidRDefault="00185C77">
            <w:pPr>
              <w:spacing w:before="20" w:after="20"/>
              <w:jc w:val="right"/>
              <w:rPr>
                <w:noProof/>
                <w:sz w:val="20"/>
              </w:rPr>
            </w:pPr>
          </w:p>
        </w:tc>
        <w:tc>
          <w:tcPr>
            <w:tcW w:w="868" w:type="dxa"/>
            <w:tcBorders>
              <w:top w:val="single" w:sz="4" w:space="0" w:color="FF0000"/>
            </w:tcBorders>
            <w:vAlign w:val="center"/>
          </w:tcPr>
          <w:p w:rsidR="00185C77" w:rsidRDefault="00185C77">
            <w:pPr>
              <w:spacing w:before="20" w:after="20"/>
              <w:jc w:val="right"/>
              <w:rPr>
                <w:noProof/>
                <w:sz w:val="20"/>
              </w:rPr>
            </w:pPr>
          </w:p>
        </w:tc>
        <w:tc>
          <w:tcPr>
            <w:tcW w:w="868" w:type="dxa"/>
            <w:tcBorders>
              <w:top w:val="single" w:sz="4" w:space="0" w:color="FF0000"/>
            </w:tcBorders>
            <w:vAlign w:val="center"/>
          </w:tcPr>
          <w:p w:rsidR="00185C77" w:rsidRDefault="00185C77">
            <w:pPr>
              <w:spacing w:before="20" w:after="20"/>
              <w:jc w:val="right"/>
              <w:rPr>
                <w:noProof/>
                <w:sz w:val="20"/>
              </w:rPr>
            </w:pPr>
          </w:p>
        </w:tc>
        <w:tc>
          <w:tcPr>
            <w:tcW w:w="868" w:type="dxa"/>
            <w:tcBorders>
              <w:top w:val="single" w:sz="4" w:space="0" w:color="FF0000"/>
            </w:tcBorders>
            <w:vAlign w:val="center"/>
          </w:tcPr>
          <w:p w:rsidR="00185C77" w:rsidRDefault="00185C77">
            <w:pPr>
              <w:spacing w:before="20" w:after="20"/>
              <w:jc w:val="right"/>
              <w:rPr>
                <w:noProof/>
                <w:sz w:val="20"/>
              </w:rPr>
            </w:pPr>
          </w:p>
        </w:tc>
        <w:tc>
          <w:tcPr>
            <w:tcW w:w="868" w:type="dxa"/>
            <w:tcBorders>
              <w:top w:val="single" w:sz="4" w:space="0" w:color="FF0000"/>
            </w:tcBorders>
            <w:vAlign w:val="center"/>
          </w:tcPr>
          <w:p w:rsidR="00185C77" w:rsidRDefault="00185C77">
            <w:pPr>
              <w:spacing w:before="20" w:after="20"/>
              <w:jc w:val="right"/>
              <w:rPr>
                <w:noProof/>
                <w:sz w:val="20"/>
              </w:rPr>
            </w:pPr>
          </w:p>
        </w:tc>
        <w:tc>
          <w:tcPr>
            <w:tcW w:w="868" w:type="dxa"/>
            <w:tcBorders>
              <w:top w:val="single" w:sz="4" w:space="0" w:color="FF0000"/>
            </w:tcBorders>
            <w:vAlign w:val="center"/>
          </w:tcPr>
          <w:p w:rsidR="00185C77" w:rsidRDefault="00185C77">
            <w:pPr>
              <w:spacing w:before="20" w:after="20"/>
              <w:jc w:val="right"/>
              <w:rPr>
                <w:b/>
                <w:noProof/>
                <w:sz w:val="20"/>
              </w:rPr>
            </w:pPr>
          </w:p>
        </w:tc>
        <w:tc>
          <w:tcPr>
            <w:tcW w:w="1777" w:type="dxa"/>
            <w:tcBorders>
              <w:top w:val="single" w:sz="4" w:space="0" w:color="FF0000"/>
              <w:right w:val="single" w:sz="4" w:space="0" w:color="auto"/>
            </w:tcBorders>
            <w:vAlign w:val="center"/>
          </w:tcPr>
          <w:p w:rsidR="00185C77" w:rsidRDefault="00185C77">
            <w:pPr>
              <w:spacing w:before="20" w:after="20"/>
              <w:jc w:val="right"/>
              <w:rPr>
                <w:b/>
                <w:noProof/>
                <w:sz w:val="20"/>
              </w:rPr>
            </w:pPr>
          </w:p>
        </w:tc>
      </w:tr>
      <w:tr w:rsidR="00185C77">
        <w:tc>
          <w:tcPr>
            <w:tcW w:w="3960" w:type="dxa"/>
            <w:vMerge/>
            <w:tcBorders>
              <w:top w:val="single" w:sz="4" w:space="0" w:color="FF0000"/>
              <w:left w:val="single" w:sz="4" w:space="0" w:color="auto"/>
              <w:bottom w:val="single" w:sz="4" w:space="0" w:color="FF0000"/>
            </w:tcBorders>
          </w:tcPr>
          <w:p w:rsidR="00185C77" w:rsidRDefault="00185C77">
            <w:pPr>
              <w:jc w:val="center"/>
              <w:rPr>
                <w:noProof/>
                <w:sz w:val="20"/>
              </w:rPr>
            </w:pPr>
          </w:p>
        </w:tc>
        <w:tc>
          <w:tcPr>
            <w:tcW w:w="1440" w:type="dxa"/>
            <w:vAlign w:val="center"/>
          </w:tcPr>
          <w:p w:rsidR="00185C77" w:rsidRDefault="00176197">
            <w:pPr>
              <w:spacing w:beforeLines="20" w:before="48" w:afterLines="20" w:after="48"/>
              <w:rPr>
                <w:noProof/>
                <w:sz w:val="18"/>
              </w:rPr>
            </w:pPr>
            <w:r>
              <w:rPr>
                <w:noProof/>
                <w:sz w:val="18"/>
              </w:rPr>
              <w:t>Плащания</w:t>
            </w:r>
          </w:p>
        </w:tc>
        <w:tc>
          <w:tcPr>
            <w:tcW w:w="654" w:type="dxa"/>
            <w:vAlign w:val="center"/>
          </w:tcPr>
          <w:p w:rsidR="00185C77" w:rsidRDefault="00176197">
            <w:pPr>
              <w:spacing w:beforeLines="20" w:before="48" w:afterLines="20" w:after="48"/>
              <w:jc w:val="center"/>
              <w:rPr>
                <w:noProof/>
                <w:sz w:val="14"/>
              </w:rPr>
            </w:pPr>
            <w:r>
              <w:rPr>
                <w:noProof/>
                <w:sz w:val="14"/>
              </w:rPr>
              <w:t>(5)</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tcBorders>
              <w:right w:val="single" w:sz="4" w:space="0" w:color="auto"/>
            </w:tcBorders>
            <w:vAlign w:val="center"/>
          </w:tcPr>
          <w:p w:rsidR="00185C77" w:rsidRDefault="00185C77">
            <w:pPr>
              <w:spacing w:before="20" w:after="20"/>
              <w:jc w:val="right"/>
              <w:rPr>
                <w:b/>
                <w:noProof/>
                <w:sz w:val="20"/>
              </w:rPr>
            </w:pPr>
          </w:p>
        </w:tc>
      </w:tr>
      <w:tr w:rsidR="00185C77">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185C77" w:rsidRDefault="00176197">
            <w:pPr>
              <w:spacing w:beforeLines="20" w:before="48" w:afterLines="20" w:after="48"/>
              <w:rPr>
                <w:noProof/>
                <w:sz w:val="22"/>
              </w:rPr>
            </w:pPr>
            <w:r>
              <w:rPr>
                <w:noProof/>
                <w:sz w:val="21"/>
              </w:rPr>
              <w:sym w:font="Wingdings" w:char="F09F"/>
            </w:r>
            <w:r>
              <w:rPr>
                <w:noProof/>
              </w:rPr>
              <w:t xml:space="preserve"> </w:t>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rsidR="00185C77" w:rsidRDefault="00176197">
            <w:pPr>
              <w:spacing w:beforeLines="20" w:before="48" w:afterLines="20" w:after="48"/>
              <w:jc w:val="center"/>
              <w:rPr>
                <w:noProof/>
                <w:sz w:val="14"/>
              </w:rPr>
            </w:pPr>
            <w:r>
              <w:rPr>
                <w:noProof/>
                <w:sz w:val="14"/>
              </w:rPr>
              <w:t>(6)</w:t>
            </w: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85C77">
            <w:pPr>
              <w:spacing w:before="20" w:after="20"/>
              <w:jc w:val="right"/>
              <w:rPr>
                <w:b/>
                <w:noProof/>
                <w:sz w:val="20"/>
              </w:rPr>
            </w:pPr>
          </w:p>
        </w:tc>
      </w:tr>
      <w:tr w:rsidR="00185C77">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185C77" w:rsidRDefault="00176197">
            <w:pPr>
              <w:jc w:val="center"/>
              <w:rPr>
                <w:b/>
                <w:noProof/>
                <w:sz w:val="22"/>
              </w:rPr>
            </w:pPr>
            <w:r>
              <w:rPr>
                <w:b/>
                <w:noProof/>
              </w:rPr>
              <w:t>ОБЩО бюджетни кредити</w:t>
            </w:r>
            <w:r>
              <w:rPr>
                <w:noProof/>
                <w:sz w:val="22"/>
              </w:rPr>
              <w:br/>
            </w:r>
            <w:r>
              <w:rPr>
                <w:b/>
                <w:noProof/>
                <w:sz w:val="22"/>
              </w:rPr>
              <w:t xml:space="preserve">за </w:t>
            </w:r>
            <w:r>
              <w:rPr>
                <w:b/>
                <w:noProof/>
                <w:sz w:val="22"/>
              </w:rPr>
              <w:t>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rsidR="00185C77" w:rsidRDefault="00176197">
            <w:pPr>
              <w:rPr>
                <w:noProof/>
                <w:sz w:val="18"/>
              </w:rPr>
            </w:pPr>
            <w:r>
              <w:rPr>
                <w:noProof/>
                <w:sz w:val="18"/>
              </w:rPr>
              <w:t>Поети задължения</w:t>
            </w:r>
          </w:p>
        </w:tc>
        <w:tc>
          <w:tcPr>
            <w:tcW w:w="654" w:type="dxa"/>
            <w:vAlign w:val="center"/>
          </w:tcPr>
          <w:p w:rsidR="00185C77" w:rsidRDefault="00176197">
            <w:pPr>
              <w:jc w:val="center"/>
              <w:rPr>
                <w:noProof/>
                <w:sz w:val="14"/>
              </w:rPr>
            </w:pPr>
            <w:r>
              <w:rPr>
                <w:noProof/>
                <w:sz w:val="14"/>
              </w:rPr>
              <w:t>=4+ 6</w:t>
            </w:r>
          </w:p>
        </w:tc>
        <w:tc>
          <w:tcPr>
            <w:tcW w:w="868" w:type="dxa"/>
            <w:vAlign w:val="center"/>
          </w:tcPr>
          <w:p w:rsidR="00185C77" w:rsidRDefault="00176197">
            <w:pPr>
              <w:spacing w:before="20" w:after="20"/>
              <w:jc w:val="right"/>
              <w:rPr>
                <w:noProof/>
                <w:sz w:val="20"/>
              </w:rPr>
            </w:pPr>
            <w:r>
              <w:rPr>
                <w:noProof/>
                <w:sz w:val="20"/>
              </w:rPr>
              <w:t>0,500</w:t>
            </w:r>
          </w:p>
        </w:tc>
        <w:tc>
          <w:tcPr>
            <w:tcW w:w="868" w:type="dxa"/>
            <w:vAlign w:val="center"/>
          </w:tcPr>
          <w:p w:rsidR="00185C77" w:rsidRDefault="00176197">
            <w:pPr>
              <w:spacing w:before="20" w:after="20"/>
              <w:jc w:val="right"/>
              <w:rPr>
                <w:noProof/>
                <w:sz w:val="20"/>
              </w:rPr>
            </w:pPr>
            <w:r>
              <w:rPr>
                <w:noProof/>
                <w:sz w:val="20"/>
              </w:rPr>
              <w:t>0,500</w:t>
            </w:r>
          </w:p>
        </w:tc>
        <w:tc>
          <w:tcPr>
            <w:tcW w:w="868" w:type="dxa"/>
          </w:tcPr>
          <w:p w:rsidR="00185C77" w:rsidRDefault="00185C77">
            <w:pPr>
              <w:spacing w:before="20" w:after="20"/>
              <w:rPr>
                <w:noProof/>
                <w:sz w:val="20"/>
              </w:rPr>
            </w:pPr>
          </w:p>
        </w:tc>
        <w:tc>
          <w:tcPr>
            <w:tcW w:w="868" w:type="dxa"/>
          </w:tcPr>
          <w:p w:rsidR="00185C77" w:rsidRDefault="00185C77">
            <w:pPr>
              <w:spacing w:before="20" w:after="20"/>
              <w:jc w:val="center"/>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r w:rsidR="00185C77">
        <w:tc>
          <w:tcPr>
            <w:tcW w:w="3960" w:type="dxa"/>
            <w:vMerge/>
            <w:tcBorders>
              <w:top w:val="single" w:sz="4" w:space="0" w:color="FF0000"/>
              <w:left w:val="single" w:sz="4" w:space="0" w:color="auto"/>
              <w:bottom w:val="single" w:sz="4" w:space="0" w:color="FF0000"/>
            </w:tcBorders>
            <w:shd w:val="thinDiagStripe" w:color="C0C0C0" w:fill="auto"/>
          </w:tcPr>
          <w:p w:rsidR="00185C77" w:rsidRDefault="00185C77">
            <w:pPr>
              <w:rPr>
                <w:noProof/>
                <w:sz w:val="20"/>
              </w:rPr>
            </w:pPr>
          </w:p>
        </w:tc>
        <w:tc>
          <w:tcPr>
            <w:tcW w:w="1440" w:type="dxa"/>
            <w:tcBorders>
              <w:bottom w:val="single" w:sz="4" w:space="0" w:color="FF0000"/>
            </w:tcBorders>
            <w:vAlign w:val="center"/>
          </w:tcPr>
          <w:p w:rsidR="00185C77" w:rsidRDefault="00176197">
            <w:pPr>
              <w:rPr>
                <w:noProof/>
                <w:sz w:val="18"/>
              </w:rPr>
            </w:pPr>
            <w:r>
              <w:rPr>
                <w:noProof/>
                <w:sz w:val="18"/>
              </w:rPr>
              <w:t>Плащания</w:t>
            </w:r>
          </w:p>
        </w:tc>
        <w:tc>
          <w:tcPr>
            <w:tcW w:w="654" w:type="dxa"/>
            <w:tcBorders>
              <w:bottom w:val="single" w:sz="4" w:space="0" w:color="FF0000"/>
            </w:tcBorders>
            <w:vAlign w:val="center"/>
          </w:tcPr>
          <w:p w:rsidR="00185C77" w:rsidRDefault="00176197">
            <w:pPr>
              <w:jc w:val="center"/>
              <w:rPr>
                <w:noProof/>
                <w:sz w:val="14"/>
              </w:rPr>
            </w:pPr>
            <w:r>
              <w:rPr>
                <w:noProof/>
                <w:sz w:val="14"/>
              </w:rPr>
              <w:t>=5+ 6</w:t>
            </w:r>
          </w:p>
        </w:tc>
        <w:tc>
          <w:tcPr>
            <w:tcW w:w="868" w:type="dxa"/>
            <w:tcBorders>
              <w:bottom w:val="single" w:sz="4" w:space="0" w:color="FF0000"/>
            </w:tcBorders>
            <w:vAlign w:val="center"/>
          </w:tcPr>
          <w:p w:rsidR="00185C77" w:rsidRDefault="00176197">
            <w:pPr>
              <w:spacing w:before="20" w:after="20"/>
              <w:jc w:val="right"/>
              <w:rPr>
                <w:noProof/>
                <w:sz w:val="20"/>
              </w:rPr>
            </w:pPr>
            <w:r>
              <w:rPr>
                <w:noProof/>
                <w:sz w:val="20"/>
              </w:rPr>
              <w:t>0,500</w:t>
            </w:r>
          </w:p>
        </w:tc>
        <w:tc>
          <w:tcPr>
            <w:tcW w:w="868" w:type="dxa"/>
            <w:tcBorders>
              <w:bottom w:val="single" w:sz="4" w:space="0" w:color="FF0000"/>
            </w:tcBorders>
            <w:vAlign w:val="center"/>
          </w:tcPr>
          <w:p w:rsidR="00185C77" w:rsidRDefault="00176197">
            <w:pPr>
              <w:spacing w:before="20" w:after="20"/>
              <w:jc w:val="right"/>
              <w:rPr>
                <w:noProof/>
                <w:sz w:val="20"/>
              </w:rPr>
            </w:pPr>
            <w:r>
              <w:rPr>
                <w:noProof/>
                <w:sz w:val="20"/>
              </w:rPr>
              <w:t>0,500</w:t>
            </w:r>
          </w:p>
        </w:tc>
        <w:tc>
          <w:tcPr>
            <w:tcW w:w="868" w:type="dxa"/>
            <w:tcBorders>
              <w:bottom w:val="single" w:sz="4" w:space="0" w:color="FF0000"/>
            </w:tcBorders>
          </w:tcPr>
          <w:p w:rsidR="00185C77" w:rsidRDefault="00185C77">
            <w:pPr>
              <w:spacing w:before="20" w:after="20"/>
              <w:jc w:val="right"/>
              <w:rPr>
                <w:noProof/>
                <w:sz w:val="20"/>
              </w:rPr>
            </w:pPr>
          </w:p>
        </w:tc>
        <w:tc>
          <w:tcPr>
            <w:tcW w:w="868" w:type="dxa"/>
            <w:tcBorders>
              <w:bottom w:val="single" w:sz="4" w:space="0" w:color="FF0000"/>
            </w:tcBorders>
          </w:tcPr>
          <w:p w:rsidR="00185C77" w:rsidRDefault="00185C77">
            <w:pPr>
              <w:spacing w:before="20" w:after="20"/>
              <w:jc w:val="right"/>
              <w:rPr>
                <w:noProof/>
                <w:sz w:val="20"/>
              </w:rPr>
            </w:pPr>
          </w:p>
        </w:tc>
        <w:tc>
          <w:tcPr>
            <w:tcW w:w="868" w:type="dxa"/>
            <w:tcBorders>
              <w:bottom w:val="single" w:sz="4" w:space="0" w:color="FF0000"/>
            </w:tcBorders>
            <w:vAlign w:val="center"/>
          </w:tcPr>
          <w:p w:rsidR="00185C77" w:rsidRDefault="00185C77">
            <w:pPr>
              <w:spacing w:before="20" w:after="20"/>
              <w:jc w:val="right"/>
              <w:rPr>
                <w:noProof/>
                <w:sz w:val="20"/>
              </w:rPr>
            </w:pPr>
          </w:p>
        </w:tc>
        <w:tc>
          <w:tcPr>
            <w:tcW w:w="868" w:type="dxa"/>
            <w:tcBorders>
              <w:bottom w:val="single" w:sz="4" w:space="0" w:color="FF0000"/>
            </w:tcBorders>
            <w:vAlign w:val="center"/>
          </w:tcPr>
          <w:p w:rsidR="00185C77" w:rsidRDefault="00185C77">
            <w:pPr>
              <w:spacing w:before="20" w:after="20"/>
              <w:jc w:val="right"/>
              <w:rPr>
                <w:noProof/>
                <w:sz w:val="20"/>
              </w:rPr>
            </w:pPr>
          </w:p>
        </w:tc>
        <w:tc>
          <w:tcPr>
            <w:tcW w:w="868" w:type="dxa"/>
            <w:tcBorders>
              <w:bottom w:val="single" w:sz="4" w:space="0" w:color="FF0000"/>
            </w:tcBorders>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1,000</w:t>
            </w:r>
          </w:p>
        </w:tc>
      </w:tr>
    </w:tbl>
    <w:p w:rsidR="00185C77" w:rsidRDefault="00185C77">
      <w:pPr>
        <w:rPr>
          <w:noProof/>
        </w:rPr>
      </w:pPr>
    </w:p>
    <w:p w:rsidR="00185C77" w:rsidRDefault="00176197">
      <w:pPr>
        <w:rPr>
          <w:noProof/>
        </w:rPr>
      </w:pPr>
      <w:r>
        <w:rPr>
          <w:noProof/>
        </w:rPr>
        <w:t xml:space="preserve">Поисканите бюджетни кредити за оперативни разходи по функция 2 ще бъдат предоставени от наличния </w:t>
      </w:r>
      <w:r>
        <w:rPr>
          <w:noProof/>
        </w:rPr>
        <w:t>пакет по програма LIFE (за подпрограмата за действия в областта на климата).</w:t>
      </w:r>
    </w:p>
    <w:p w:rsidR="00185C77" w:rsidRDefault="00185C77">
      <w:pPr>
        <w:rPr>
          <w:noProof/>
        </w:rPr>
      </w:pPr>
    </w:p>
    <w:p w:rsidR="00185C77" w:rsidRDefault="00185C77">
      <w:pPr>
        <w:rPr>
          <w:noProof/>
        </w:rPr>
      </w:pPr>
    </w:p>
    <w:p w:rsidR="00185C77" w:rsidRDefault="00185C7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85C77">
        <w:tc>
          <w:tcPr>
            <w:tcW w:w="4744" w:type="dxa"/>
            <w:shd w:val="thinDiagStripe" w:color="C0C0C0" w:fill="auto"/>
            <w:vAlign w:val="center"/>
          </w:tcPr>
          <w:p w:rsidR="00185C77" w:rsidRDefault="00176197">
            <w:pPr>
              <w:spacing w:before="60" w:after="60"/>
              <w:jc w:val="center"/>
              <w:rPr>
                <w:b/>
                <w:noProof/>
                <w:sz w:val="22"/>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185C77" w:rsidRDefault="00176197">
            <w:pPr>
              <w:spacing w:before="60" w:after="60"/>
              <w:jc w:val="center"/>
              <w:rPr>
                <w:noProof/>
                <w:sz w:val="22"/>
              </w:rPr>
            </w:pPr>
            <w:r>
              <w:rPr>
                <w:b/>
                <w:noProof/>
                <w:sz w:val="22"/>
              </w:rPr>
              <w:t>5</w:t>
            </w:r>
          </w:p>
        </w:tc>
        <w:tc>
          <w:tcPr>
            <w:tcW w:w="7817" w:type="dxa"/>
            <w:vAlign w:val="center"/>
          </w:tcPr>
          <w:p w:rsidR="00185C77" w:rsidRDefault="00176197">
            <w:pPr>
              <w:spacing w:before="60" w:after="60"/>
              <w:rPr>
                <w:noProof/>
                <w:sz w:val="22"/>
              </w:rPr>
            </w:pPr>
            <w:r>
              <w:rPr>
                <w:noProof/>
                <w:sz w:val="22"/>
              </w:rPr>
              <w:t>„Административни разходи“</w:t>
            </w:r>
          </w:p>
        </w:tc>
      </w:tr>
    </w:tbl>
    <w:p w:rsidR="00185C77" w:rsidRDefault="00176197">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85C77">
        <w:tc>
          <w:tcPr>
            <w:tcW w:w="3960" w:type="dxa"/>
            <w:tcBorders>
              <w:top w:val="nil"/>
              <w:left w:val="nil"/>
              <w:right w:val="nil"/>
            </w:tcBorders>
            <w:vAlign w:val="center"/>
          </w:tcPr>
          <w:p w:rsidR="00185C77" w:rsidRDefault="00185C77">
            <w:pPr>
              <w:jc w:val="center"/>
              <w:rPr>
                <w:noProof/>
                <w:sz w:val="22"/>
              </w:rPr>
            </w:pPr>
          </w:p>
        </w:tc>
        <w:tc>
          <w:tcPr>
            <w:tcW w:w="1560" w:type="dxa"/>
            <w:tcBorders>
              <w:top w:val="nil"/>
              <w:left w:val="nil"/>
              <w:right w:val="nil"/>
            </w:tcBorders>
          </w:tcPr>
          <w:p w:rsidR="00185C77" w:rsidRDefault="00185C77">
            <w:pPr>
              <w:rPr>
                <w:noProof/>
                <w:sz w:val="20"/>
              </w:rPr>
            </w:pPr>
          </w:p>
        </w:tc>
        <w:tc>
          <w:tcPr>
            <w:tcW w:w="534" w:type="dxa"/>
            <w:tcBorders>
              <w:top w:val="nil"/>
              <w:left w:val="nil"/>
            </w:tcBorders>
          </w:tcPr>
          <w:p w:rsidR="00185C77" w:rsidRDefault="00185C77">
            <w:pPr>
              <w:jc w:val="center"/>
              <w:rPr>
                <w:noProof/>
                <w:sz w:val="20"/>
              </w:rPr>
            </w:pPr>
          </w:p>
        </w:tc>
        <w:tc>
          <w:tcPr>
            <w:tcW w:w="868" w:type="dxa"/>
            <w:vAlign w:val="center"/>
          </w:tcPr>
          <w:p w:rsidR="00185C77" w:rsidRDefault="00176197">
            <w:pPr>
              <w:jc w:val="center"/>
              <w:rPr>
                <w:noProof/>
                <w:sz w:val="20"/>
              </w:rPr>
            </w:pPr>
            <w:r>
              <w:rPr>
                <w:noProof/>
                <w:sz w:val="20"/>
              </w:rPr>
              <w:t>Година</w:t>
            </w:r>
            <w:r>
              <w:rPr>
                <w:b/>
                <w:noProof/>
                <w:sz w:val="20"/>
              </w:rPr>
              <w:t>2019</w:t>
            </w:r>
          </w:p>
        </w:tc>
        <w:tc>
          <w:tcPr>
            <w:tcW w:w="868" w:type="dxa"/>
            <w:vAlign w:val="center"/>
          </w:tcPr>
          <w:p w:rsidR="00185C77" w:rsidRDefault="00176197">
            <w:pPr>
              <w:jc w:val="center"/>
              <w:rPr>
                <w:noProof/>
                <w:sz w:val="22"/>
              </w:rPr>
            </w:pPr>
            <w:r>
              <w:rPr>
                <w:noProof/>
                <w:sz w:val="20"/>
              </w:rPr>
              <w:t>Година</w:t>
            </w:r>
          </w:p>
          <w:p w:rsidR="00185C77" w:rsidRDefault="00176197">
            <w:pPr>
              <w:jc w:val="center"/>
              <w:rPr>
                <w:noProof/>
                <w:sz w:val="20"/>
              </w:rPr>
            </w:pPr>
            <w:r>
              <w:rPr>
                <w:b/>
                <w:noProof/>
                <w:sz w:val="20"/>
              </w:rPr>
              <w:t>2020</w:t>
            </w:r>
          </w:p>
        </w:tc>
        <w:tc>
          <w:tcPr>
            <w:tcW w:w="868" w:type="dxa"/>
            <w:vAlign w:val="center"/>
          </w:tcPr>
          <w:p w:rsidR="00185C77" w:rsidRDefault="00176197">
            <w:pPr>
              <w:jc w:val="center"/>
              <w:rPr>
                <w:noProof/>
                <w:sz w:val="20"/>
              </w:rPr>
            </w:pPr>
            <w:r>
              <w:rPr>
                <w:noProof/>
                <w:sz w:val="20"/>
              </w:rPr>
              <w:t>Година</w:t>
            </w:r>
            <w:r>
              <w:rPr>
                <w:b/>
                <w:noProof/>
                <w:sz w:val="20"/>
              </w:rPr>
              <w:t>N+2</w:t>
            </w:r>
          </w:p>
        </w:tc>
        <w:tc>
          <w:tcPr>
            <w:tcW w:w="868" w:type="dxa"/>
            <w:vAlign w:val="center"/>
          </w:tcPr>
          <w:p w:rsidR="00185C77" w:rsidRDefault="00176197">
            <w:pPr>
              <w:jc w:val="center"/>
              <w:rPr>
                <w:noProof/>
                <w:sz w:val="20"/>
              </w:rPr>
            </w:pPr>
            <w:r>
              <w:rPr>
                <w:noProof/>
                <w:sz w:val="20"/>
              </w:rPr>
              <w:t>Година</w:t>
            </w:r>
            <w:r>
              <w:rPr>
                <w:b/>
                <w:noProof/>
                <w:sz w:val="20"/>
              </w:rPr>
              <w:t>N+3</w:t>
            </w:r>
          </w:p>
        </w:tc>
        <w:tc>
          <w:tcPr>
            <w:tcW w:w="2604" w:type="dxa"/>
            <w:gridSpan w:val="3"/>
            <w:vAlign w:val="center"/>
          </w:tcPr>
          <w:p w:rsidR="00185C77" w:rsidRDefault="00176197">
            <w:pPr>
              <w:jc w:val="center"/>
              <w:rPr>
                <w:b/>
                <w:noProof/>
                <w:sz w:val="18"/>
              </w:rPr>
            </w:pPr>
            <w:r>
              <w:rPr>
                <w:noProof/>
                <w:sz w:val="18"/>
              </w:rPr>
              <w:t xml:space="preserve">… 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185C77" w:rsidRDefault="00176197">
            <w:pPr>
              <w:jc w:val="center"/>
              <w:rPr>
                <w:b/>
                <w:noProof/>
                <w:sz w:val="20"/>
              </w:rPr>
            </w:pPr>
            <w:r>
              <w:rPr>
                <w:b/>
                <w:noProof/>
                <w:sz w:val="20"/>
              </w:rPr>
              <w:t>ОБЩО</w:t>
            </w:r>
          </w:p>
          <w:p w:rsidR="00185C77" w:rsidRDefault="00176197">
            <w:pPr>
              <w:jc w:val="center"/>
              <w:rPr>
                <w:b/>
                <w:noProof/>
                <w:sz w:val="20"/>
              </w:rPr>
            </w:pPr>
            <w:r>
              <w:rPr>
                <w:b/>
                <w:noProof/>
                <w:sz w:val="20"/>
              </w:rPr>
              <w:t>2019 — 2020 г.</w:t>
            </w:r>
          </w:p>
        </w:tc>
      </w:tr>
      <w:tr w:rsidR="00185C77">
        <w:trPr>
          <w:gridAfter w:val="10"/>
          <w:wAfter w:w="9947" w:type="dxa"/>
        </w:trPr>
        <w:tc>
          <w:tcPr>
            <w:tcW w:w="3960" w:type="dxa"/>
            <w:vAlign w:val="center"/>
          </w:tcPr>
          <w:p w:rsidR="00185C77" w:rsidRDefault="00176197">
            <w:pPr>
              <w:spacing w:before="60" w:after="60"/>
              <w:jc w:val="center"/>
              <w:rPr>
                <w:noProof/>
                <w:sz w:val="22"/>
              </w:rPr>
            </w:pPr>
            <w:r>
              <w:rPr>
                <w:noProof/>
                <w:sz w:val="22"/>
              </w:rPr>
              <w:t>Европейска комисия</w:t>
            </w:r>
          </w:p>
        </w:tc>
      </w:tr>
      <w:tr w:rsidR="00185C77">
        <w:trPr>
          <w:trHeight w:val="313"/>
        </w:trPr>
        <w:tc>
          <w:tcPr>
            <w:tcW w:w="6054" w:type="dxa"/>
            <w:gridSpan w:val="3"/>
            <w:vAlign w:val="center"/>
          </w:tcPr>
          <w:p w:rsidR="00185C77" w:rsidRDefault="00176197">
            <w:pPr>
              <w:spacing w:before="20" w:after="20"/>
              <w:rPr>
                <w:noProof/>
                <w:sz w:val="22"/>
              </w:rPr>
            </w:pPr>
            <w:r>
              <w:rPr>
                <w:noProof/>
                <w:sz w:val="22"/>
              </w:rPr>
              <w:sym w:font="Wingdings" w:char="F09F"/>
            </w:r>
            <w:r>
              <w:rPr>
                <w:noProof/>
              </w:rPr>
              <w:t xml:space="preserve"> </w:t>
            </w:r>
            <w:r>
              <w:rPr>
                <w:noProof/>
                <w:sz w:val="22"/>
              </w:rPr>
              <w:t>Човешки ресурси</w:t>
            </w:r>
          </w:p>
        </w:tc>
        <w:tc>
          <w:tcPr>
            <w:tcW w:w="868" w:type="dxa"/>
            <w:vAlign w:val="center"/>
          </w:tcPr>
          <w:p w:rsidR="00185C77" w:rsidRDefault="00176197">
            <w:pPr>
              <w:spacing w:before="20" w:after="20"/>
              <w:jc w:val="right"/>
              <w:rPr>
                <w:noProof/>
                <w:sz w:val="20"/>
              </w:rPr>
            </w:pPr>
            <w:r>
              <w:rPr>
                <w:noProof/>
                <w:sz w:val="20"/>
              </w:rPr>
              <w:t>0,429</w:t>
            </w:r>
          </w:p>
        </w:tc>
        <w:tc>
          <w:tcPr>
            <w:tcW w:w="868" w:type="dxa"/>
            <w:vAlign w:val="center"/>
          </w:tcPr>
          <w:p w:rsidR="00185C77" w:rsidRDefault="00176197">
            <w:pPr>
              <w:spacing w:before="20" w:after="20"/>
              <w:jc w:val="right"/>
              <w:rPr>
                <w:noProof/>
                <w:sz w:val="20"/>
              </w:rPr>
            </w:pPr>
            <w:r>
              <w:rPr>
                <w:noProof/>
                <w:sz w:val="20"/>
              </w:rPr>
              <w:t>0,429</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0,858</w:t>
            </w:r>
          </w:p>
        </w:tc>
      </w:tr>
      <w:tr w:rsidR="00185C77">
        <w:trPr>
          <w:trHeight w:val="351"/>
        </w:trPr>
        <w:tc>
          <w:tcPr>
            <w:tcW w:w="6054" w:type="dxa"/>
            <w:gridSpan w:val="3"/>
            <w:vAlign w:val="center"/>
          </w:tcPr>
          <w:p w:rsidR="00185C77" w:rsidRDefault="00176197">
            <w:pPr>
              <w:spacing w:before="20" w:after="20"/>
              <w:rPr>
                <w:noProof/>
                <w:sz w:val="22"/>
              </w:rPr>
            </w:pPr>
            <w:r>
              <w:rPr>
                <w:noProof/>
                <w:sz w:val="22"/>
              </w:rPr>
              <w:sym w:font="Wingdings" w:char="F09F"/>
            </w:r>
            <w:r>
              <w:rPr>
                <w:noProof/>
              </w:rPr>
              <w:t xml:space="preserve"> </w:t>
            </w:r>
            <w:r>
              <w:rPr>
                <w:noProof/>
                <w:sz w:val="22"/>
              </w:rPr>
              <w:t>Други административни разходи</w:t>
            </w:r>
          </w:p>
        </w:tc>
        <w:tc>
          <w:tcPr>
            <w:tcW w:w="868" w:type="dxa"/>
            <w:vAlign w:val="center"/>
          </w:tcPr>
          <w:p w:rsidR="00185C77" w:rsidRDefault="00176197">
            <w:pPr>
              <w:spacing w:before="20" w:after="20"/>
              <w:jc w:val="right"/>
              <w:rPr>
                <w:noProof/>
                <w:sz w:val="20"/>
              </w:rPr>
            </w:pPr>
            <w:r>
              <w:rPr>
                <w:noProof/>
                <w:sz w:val="20"/>
              </w:rPr>
              <w:t>0,015</w:t>
            </w:r>
          </w:p>
        </w:tc>
        <w:tc>
          <w:tcPr>
            <w:tcW w:w="868" w:type="dxa"/>
            <w:vAlign w:val="center"/>
          </w:tcPr>
          <w:p w:rsidR="00185C77" w:rsidRDefault="00176197">
            <w:pPr>
              <w:spacing w:before="20" w:after="20"/>
              <w:jc w:val="right"/>
              <w:rPr>
                <w:noProof/>
                <w:sz w:val="20"/>
              </w:rPr>
            </w:pPr>
            <w:r>
              <w:rPr>
                <w:noProof/>
                <w:sz w:val="20"/>
              </w:rPr>
              <w:t>0,015</w:t>
            </w:r>
          </w:p>
        </w:tc>
        <w:tc>
          <w:tcPr>
            <w:tcW w:w="868" w:type="dxa"/>
          </w:tcPr>
          <w:p w:rsidR="00185C77" w:rsidRDefault="00185C77">
            <w:pPr>
              <w:spacing w:before="20" w:after="20"/>
              <w:jc w:val="right"/>
              <w:rPr>
                <w:b/>
                <w:noProof/>
                <w:sz w:val="20"/>
              </w:rPr>
            </w:pPr>
          </w:p>
        </w:tc>
        <w:tc>
          <w:tcPr>
            <w:tcW w:w="868" w:type="dxa"/>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0,030</w:t>
            </w:r>
          </w:p>
        </w:tc>
      </w:tr>
      <w:tr w:rsidR="00185C77">
        <w:tc>
          <w:tcPr>
            <w:tcW w:w="3960" w:type="dxa"/>
            <w:vAlign w:val="center"/>
          </w:tcPr>
          <w:p w:rsidR="00185C77" w:rsidRDefault="00176197">
            <w:pPr>
              <w:jc w:val="center"/>
              <w:rPr>
                <w:b/>
                <w:noProof/>
                <w:sz w:val="22"/>
              </w:rPr>
            </w:pPr>
            <w:r>
              <w:rPr>
                <w:b/>
                <w:noProof/>
                <w:sz w:val="22"/>
              </w:rPr>
              <w:t>ОБЩО за Европейската комисия</w:t>
            </w:r>
          </w:p>
        </w:tc>
        <w:tc>
          <w:tcPr>
            <w:tcW w:w="2094" w:type="dxa"/>
            <w:gridSpan w:val="2"/>
            <w:vAlign w:val="center"/>
          </w:tcPr>
          <w:p w:rsidR="00185C77" w:rsidRDefault="00176197">
            <w:pPr>
              <w:rPr>
                <w:noProof/>
                <w:sz w:val="14"/>
              </w:rPr>
            </w:pPr>
            <w:r>
              <w:rPr>
                <w:noProof/>
                <w:sz w:val="18"/>
              </w:rPr>
              <w:t xml:space="preserve">Бюджетни кредити </w:t>
            </w:r>
          </w:p>
        </w:tc>
        <w:tc>
          <w:tcPr>
            <w:tcW w:w="868" w:type="dxa"/>
            <w:vAlign w:val="center"/>
          </w:tcPr>
          <w:p w:rsidR="00185C77" w:rsidRDefault="00176197">
            <w:pPr>
              <w:spacing w:before="60" w:after="60"/>
              <w:jc w:val="right"/>
              <w:rPr>
                <w:noProof/>
                <w:sz w:val="20"/>
              </w:rPr>
            </w:pPr>
            <w:r>
              <w:rPr>
                <w:noProof/>
                <w:sz w:val="20"/>
              </w:rPr>
              <w:t>0,444</w:t>
            </w:r>
          </w:p>
        </w:tc>
        <w:tc>
          <w:tcPr>
            <w:tcW w:w="868" w:type="dxa"/>
            <w:vAlign w:val="center"/>
          </w:tcPr>
          <w:p w:rsidR="00185C77" w:rsidRDefault="00176197">
            <w:pPr>
              <w:spacing w:before="20" w:after="20"/>
              <w:jc w:val="right"/>
              <w:rPr>
                <w:noProof/>
                <w:sz w:val="20"/>
              </w:rPr>
            </w:pPr>
            <w:r>
              <w:rPr>
                <w:noProof/>
                <w:sz w:val="20"/>
              </w:rPr>
              <w:t>0,444</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0,888</w:t>
            </w:r>
          </w:p>
        </w:tc>
      </w:tr>
    </w:tbl>
    <w:p w:rsidR="00185C77" w:rsidRDefault="00185C7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185C77">
        <w:tc>
          <w:tcPr>
            <w:tcW w:w="3960" w:type="dxa"/>
            <w:shd w:val="thinDiagStripe" w:color="C0C0C0" w:fill="auto"/>
            <w:vAlign w:val="center"/>
          </w:tcPr>
          <w:p w:rsidR="00185C77" w:rsidRDefault="00176197">
            <w:pPr>
              <w:jc w:val="center"/>
              <w:rPr>
                <w:b/>
                <w:noProof/>
                <w:sz w:val="22"/>
              </w:rPr>
            </w:pPr>
            <w:r>
              <w:rPr>
                <w:b/>
                <w:noProof/>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185C77" w:rsidRDefault="00176197">
            <w:pPr>
              <w:spacing w:before="40" w:after="40"/>
              <w:rPr>
                <w:noProof/>
                <w:sz w:val="22"/>
              </w:rPr>
            </w:pPr>
            <w:r>
              <w:rPr>
                <w:noProof/>
                <w:sz w:val="18"/>
              </w:rPr>
              <w:t>(Общо поети задължения = Общо плащания)</w:t>
            </w:r>
          </w:p>
        </w:tc>
        <w:tc>
          <w:tcPr>
            <w:tcW w:w="868" w:type="dxa"/>
            <w:vAlign w:val="center"/>
          </w:tcPr>
          <w:p w:rsidR="00185C77" w:rsidRDefault="00176197">
            <w:pPr>
              <w:spacing w:before="20" w:after="20"/>
              <w:jc w:val="right"/>
              <w:rPr>
                <w:noProof/>
                <w:sz w:val="20"/>
              </w:rPr>
            </w:pPr>
            <w:r>
              <w:rPr>
                <w:noProof/>
                <w:sz w:val="20"/>
              </w:rPr>
              <w:t>0,444</w:t>
            </w:r>
          </w:p>
        </w:tc>
        <w:tc>
          <w:tcPr>
            <w:tcW w:w="868" w:type="dxa"/>
            <w:vAlign w:val="center"/>
          </w:tcPr>
          <w:p w:rsidR="00185C77" w:rsidRDefault="00176197">
            <w:pPr>
              <w:spacing w:before="20" w:after="20"/>
              <w:jc w:val="right"/>
              <w:rPr>
                <w:noProof/>
                <w:sz w:val="20"/>
              </w:rPr>
            </w:pPr>
            <w:r>
              <w:rPr>
                <w:noProof/>
                <w:sz w:val="20"/>
              </w:rPr>
              <w:t>0,444</w:t>
            </w: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noProof/>
                <w:sz w:val="20"/>
              </w:rPr>
            </w:pPr>
          </w:p>
        </w:tc>
        <w:tc>
          <w:tcPr>
            <w:tcW w:w="868" w:type="dxa"/>
            <w:vAlign w:val="center"/>
          </w:tcPr>
          <w:p w:rsidR="00185C77" w:rsidRDefault="00185C77">
            <w:pPr>
              <w:spacing w:before="20" w:after="20"/>
              <w:jc w:val="right"/>
              <w:rPr>
                <w:b/>
                <w:noProof/>
                <w:sz w:val="20"/>
              </w:rPr>
            </w:pPr>
          </w:p>
        </w:tc>
        <w:tc>
          <w:tcPr>
            <w:tcW w:w="1777" w:type="dxa"/>
            <w:vAlign w:val="center"/>
          </w:tcPr>
          <w:p w:rsidR="00185C77" w:rsidRDefault="00176197">
            <w:pPr>
              <w:spacing w:before="20" w:after="20"/>
              <w:jc w:val="right"/>
              <w:rPr>
                <w:b/>
                <w:noProof/>
                <w:sz w:val="20"/>
              </w:rPr>
            </w:pPr>
            <w:r>
              <w:rPr>
                <w:b/>
                <w:noProof/>
                <w:sz w:val="20"/>
              </w:rPr>
              <w:t>0,888</w:t>
            </w:r>
          </w:p>
        </w:tc>
      </w:tr>
    </w:tbl>
    <w:p w:rsidR="00185C77" w:rsidRDefault="00176197">
      <w:pPr>
        <w:jc w:val="right"/>
        <w:rPr>
          <w:noProof/>
          <w:sz w:val="20"/>
        </w:rPr>
      </w:pPr>
      <w:r>
        <w:rPr>
          <w:noProof/>
          <w:sz w:val="20"/>
        </w:rPr>
        <w:t xml:space="preserve">млн. евро (до третия знак след десетичната </w:t>
      </w:r>
      <w:r>
        <w:rPr>
          <w:noProof/>
          <w:sz w:val="20"/>
        </w:rPr>
        <w:t>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85C77">
        <w:tc>
          <w:tcPr>
            <w:tcW w:w="3960" w:type="dxa"/>
            <w:tcBorders>
              <w:top w:val="nil"/>
              <w:left w:val="nil"/>
              <w:right w:val="nil"/>
            </w:tcBorders>
            <w:vAlign w:val="center"/>
          </w:tcPr>
          <w:p w:rsidR="00185C77" w:rsidRDefault="00185C77">
            <w:pPr>
              <w:jc w:val="center"/>
              <w:rPr>
                <w:noProof/>
                <w:sz w:val="22"/>
              </w:rPr>
            </w:pPr>
          </w:p>
        </w:tc>
        <w:tc>
          <w:tcPr>
            <w:tcW w:w="1560" w:type="dxa"/>
            <w:tcBorders>
              <w:top w:val="nil"/>
              <w:left w:val="nil"/>
              <w:right w:val="nil"/>
            </w:tcBorders>
          </w:tcPr>
          <w:p w:rsidR="00185C77" w:rsidRDefault="00185C77">
            <w:pPr>
              <w:rPr>
                <w:noProof/>
                <w:sz w:val="20"/>
              </w:rPr>
            </w:pPr>
          </w:p>
        </w:tc>
        <w:tc>
          <w:tcPr>
            <w:tcW w:w="534" w:type="dxa"/>
            <w:tcBorders>
              <w:top w:val="nil"/>
              <w:left w:val="nil"/>
            </w:tcBorders>
          </w:tcPr>
          <w:p w:rsidR="00185C77" w:rsidRDefault="00185C77">
            <w:pPr>
              <w:jc w:val="center"/>
              <w:rPr>
                <w:noProof/>
                <w:sz w:val="20"/>
              </w:rPr>
            </w:pPr>
          </w:p>
        </w:tc>
        <w:tc>
          <w:tcPr>
            <w:tcW w:w="868" w:type="dxa"/>
            <w:vAlign w:val="center"/>
          </w:tcPr>
          <w:p w:rsidR="00185C77" w:rsidRDefault="00176197">
            <w:pPr>
              <w:jc w:val="center"/>
              <w:rPr>
                <w:noProof/>
                <w:sz w:val="20"/>
              </w:rPr>
            </w:pPr>
            <w:r>
              <w:rPr>
                <w:noProof/>
                <w:sz w:val="20"/>
              </w:rPr>
              <w:t>Година</w:t>
            </w:r>
            <w:r>
              <w:rPr>
                <w:b/>
                <w:noProof/>
                <w:sz w:val="20"/>
              </w:rPr>
              <w:t>2019 г.</w:t>
            </w:r>
            <w:r>
              <w:rPr>
                <w:rStyle w:val="FootnoteReference"/>
                <w:noProof/>
              </w:rPr>
              <w:footnoteReference w:id="46"/>
            </w:r>
          </w:p>
        </w:tc>
        <w:tc>
          <w:tcPr>
            <w:tcW w:w="868" w:type="dxa"/>
            <w:vAlign w:val="center"/>
          </w:tcPr>
          <w:p w:rsidR="00185C77" w:rsidRDefault="00176197">
            <w:pPr>
              <w:jc w:val="center"/>
              <w:rPr>
                <w:noProof/>
                <w:sz w:val="20"/>
              </w:rPr>
            </w:pPr>
            <w:r>
              <w:rPr>
                <w:noProof/>
                <w:sz w:val="20"/>
              </w:rPr>
              <w:t>Година</w:t>
            </w:r>
            <w:r>
              <w:rPr>
                <w:b/>
                <w:noProof/>
                <w:sz w:val="20"/>
              </w:rPr>
              <w:t>2020</w:t>
            </w:r>
          </w:p>
        </w:tc>
        <w:tc>
          <w:tcPr>
            <w:tcW w:w="868" w:type="dxa"/>
            <w:vAlign w:val="center"/>
          </w:tcPr>
          <w:p w:rsidR="00185C77" w:rsidRDefault="00176197">
            <w:pPr>
              <w:jc w:val="center"/>
              <w:rPr>
                <w:noProof/>
                <w:sz w:val="20"/>
              </w:rPr>
            </w:pPr>
            <w:r>
              <w:rPr>
                <w:noProof/>
                <w:sz w:val="20"/>
              </w:rPr>
              <w:t>Година</w:t>
            </w:r>
            <w:r>
              <w:rPr>
                <w:b/>
                <w:noProof/>
                <w:sz w:val="20"/>
              </w:rPr>
              <w:t>N+2</w:t>
            </w:r>
          </w:p>
        </w:tc>
        <w:tc>
          <w:tcPr>
            <w:tcW w:w="868" w:type="dxa"/>
            <w:vAlign w:val="center"/>
          </w:tcPr>
          <w:p w:rsidR="00185C77" w:rsidRDefault="00176197">
            <w:pPr>
              <w:jc w:val="center"/>
              <w:rPr>
                <w:noProof/>
                <w:sz w:val="20"/>
              </w:rPr>
            </w:pPr>
            <w:r>
              <w:rPr>
                <w:noProof/>
                <w:sz w:val="20"/>
              </w:rPr>
              <w:t>Година</w:t>
            </w:r>
            <w:r>
              <w:rPr>
                <w:b/>
                <w:noProof/>
                <w:sz w:val="20"/>
              </w:rPr>
              <w:t>N+3</w:t>
            </w:r>
          </w:p>
        </w:tc>
        <w:tc>
          <w:tcPr>
            <w:tcW w:w="2604" w:type="dxa"/>
            <w:gridSpan w:val="3"/>
            <w:vAlign w:val="center"/>
          </w:tcPr>
          <w:p w:rsidR="00185C77" w:rsidRDefault="00176197">
            <w:pPr>
              <w:jc w:val="center"/>
              <w:rPr>
                <w:b/>
                <w:noProof/>
                <w:sz w:val="18"/>
              </w:rPr>
            </w:pPr>
            <w:r>
              <w:rPr>
                <w:noProof/>
                <w:sz w:val="18"/>
              </w:rPr>
              <w:t>… 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185C77" w:rsidRDefault="00176197">
            <w:pPr>
              <w:jc w:val="center"/>
              <w:rPr>
                <w:b/>
                <w:noProof/>
                <w:sz w:val="20"/>
              </w:rPr>
            </w:pPr>
            <w:r>
              <w:rPr>
                <w:b/>
                <w:noProof/>
                <w:sz w:val="20"/>
              </w:rPr>
              <w:t>ОБЩО</w:t>
            </w:r>
          </w:p>
          <w:p w:rsidR="00185C77" w:rsidRDefault="00176197">
            <w:pPr>
              <w:jc w:val="center"/>
              <w:rPr>
                <w:b/>
                <w:noProof/>
                <w:sz w:val="20"/>
              </w:rPr>
            </w:pPr>
            <w:r>
              <w:rPr>
                <w:b/>
                <w:noProof/>
                <w:sz w:val="20"/>
              </w:rPr>
              <w:t>2019 — 2020 г.</w:t>
            </w:r>
          </w:p>
        </w:tc>
      </w:tr>
      <w:tr w:rsidR="00185C77">
        <w:tc>
          <w:tcPr>
            <w:tcW w:w="3960" w:type="dxa"/>
            <w:vMerge w:val="restart"/>
            <w:shd w:val="clear" w:color="auto" w:fill="C0C0C0"/>
            <w:vAlign w:val="center"/>
          </w:tcPr>
          <w:p w:rsidR="00185C77" w:rsidRDefault="00176197">
            <w:pPr>
              <w:jc w:val="center"/>
              <w:rPr>
                <w:b/>
                <w:noProof/>
                <w:sz w:val="22"/>
              </w:rPr>
            </w:pPr>
            <w:r>
              <w:rPr>
                <w:b/>
                <w:noProof/>
              </w:rPr>
              <w:t>ОБЩО бюджетни кредити</w:t>
            </w:r>
            <w:r>
              <w:rPr>
                <w:noProof/>
                <w:sz w:val="22"/>
              </w:rPr>
              <w:br/>
            </w:r>
            <w:r>
              <w:rPr>
                <w:b/>
                <w:noProof/>
                <w:sz w:val="22"/>
              </w:rPr>
              <w:t>за ФУНКЦИИ 1—5</w:t>
            </w:r>
            <w:r>
              <w:rPr>
                <w:noProof/>
                <w:sz w:val="22"/>
              </w:rPr>
              <w:br/>
              <w:t xml:space="preserve">от многогодишната </w:t>
            </w:r>
            <w:r>
              <w:rPr>
                <w:noProof/>
                <w:sz w:val="22"/>
              </w:rPr>
              <w:t>финансова рамка</w:t>
            </w:r>
            <w:r>
              <w:rPr>
                <w:b/>
                <w:noProof/>
                <w:sz w:val="22"/>
              </w:rPr>
              <w:t xml:space="preserve"> </w:t>
            </w:r>
          </w:p>
        </w:tc>
        <w:tc>
          <w:tcPr>
            <w:tcW w:w="2094" w:type="dxa"/>
            <w:gridSpan w:val="2"/>
            <w:vAlign w:val="center"/>
          </w:tcPr>
          <w:p w:rsidR="00185C77" w:rsidRDefault="00176197">
            <w:pPr>
              <w:rPr>
                <w:noProof/>
                <w:sz w:val="14"/>
              </w:rPr>
            </w:pPr>
            <w:r>
              <w:rPr>
                <w:noProof/>
                <w:sz w:val="18"/>
              </w:rPr>
              <w:t>Поети задължения</w:t>
            </w:r>
          </w:p>
        </w:tc>
        <w:tc>
          <w:tcPr>
            <w:tcW w:w="868" w:type="dxa"/>
            <w:vAlign w:val="center"/>
          </w:tcPr>
          <w:p w:rsidR="00185C77" w:rsidRDefault="00176197">
            <w:pPr>
              <w:spacing w:before="60" w:after="60"/>
              <w:jc w:val="right"/>
              <w:rPr>
                <w:noProof/>
                <w:sz w:val="20"/>
              </w:rPr>
            </w:pPr>
            <w:r>
              <w:rPr>
                <w:noProof/>
                <w:sz w:val="20"/>
              </w:rPr>
              <w:t>0,944</w:t>
            </w:r>
          </w:p>
        </w:tc>
        <w:tc>
          <w:tcPr>
            <w:tcW w:w="868" w:type="dxa"/>
            <w:vAlign w:val="center"/>
          </w:tcPr>
          <w:p w:rsidR="00185C77" w:rsidRDefault="00176197">
            <w:pPr>
              <w:spacing w:before="60" w:after="60"/>
              <w:jc w:val="right"/>
              <w:rPr>
                <w:noProof/>
                <w:sz w:val="20"/>
              </w:rPr>
            </w:pPr>
            <w:r>
              <w:rPr>
                <w:noProof/>
                <w:sz w:val="20"/>
              </w:rPr>
              <w:t>0,944</w:t>
            </w:r>
          </w:p>
        </w:tc>
        <w:tc>
          <w:tcPr>
            <w:tcW w:w="868" w:type="dxa"/>
            <w:vAlign w:val="center"/>
          </w:tcPr>
          <w:p w:rsidR="00185C77" w:rsidRDefault="00185C77">
            <w:pPr>
              <w:spacing w:before="60" w:after="60"/>
              <w:jc w:val="right"/>
              <w:rPr>
                <w:noProof/>
                <w:sz w:val="20"/>
              </w:rPr>
            </w:pPr>
          </w:p>
        </w:tc>
        <w:tc>
          <w:tcPr>
            <w:tcW w:w="868" w:type="dxa"/>
            <w:vAlign w:val="center"/>
          </w:tcPr>
          <w:p w:rsidR="00185C77" w:rsidRDefault="00185C77">
            <w:pPr>
              <w:spacing w:before="60" w:after="60"/>
              <w:jc w:val="right"/>
              <w:rPr>
                <w:noProof/>
                <w:sz w:val="20"/>
              </w:rPr>
            </w:pPr>
          </w:p>
        </w:tc>
        <w:tc>
          <w:tcPr>
            <w:tcW w:w="868" w:type="dxa"/>
            <w:vAlign w:val="center"/>
          </w:tcPr>
          <w:p w:rsidR="00185C77" w:rsidRDefault="00185C77">
            <w:pPr>
              <w:spacing w:before="60" w:after="60"/>
              <w:jc w:val="right"/>
              <w:rPr>
                <w:noProof/>
                <w:sz w:val="20"/>
              </w:rPr>
            </w:pPr>
          </w:p>
        </w:tc>
        <w:tc>
          <w:tcPr>
            <w:tcW w:w="868" w:type="dxa"/>
            <w:vAlign w:val="center"/>
          </w:tcPr>
          <w:p w:rsidR="00185C77" w:rsidRDefault="00185C77">
            <w:pPr>
              <w:spacing w:before="60" w:after="60"/>
              <w:jc w:val="right"/>
              <w:rPr>
                <w:noProof/>
                <w:sz w:val="20"/>
              </w:rPr>
            </w:pPr>
          </w:p>
        </w:tc>
        <w:tc>
          <w:tcPr>
            <w:tcW w:w="868" w:type="dxa"/>
            <w:vAlign w:val="center"/>
          </w:tcPr>
          <w:p w:rsidR="00185C77" w:rsidRDefault="00185C77">
            <w:pPr>
              <w:spacing w:before="60" w:after="60"/>
              <w:jc w:val="right"/>
              <w:rPr>
                <w:b/>
                <w:noProof/>
                <w:sz w:val="20"/>
              </w:rPr>
            </w:pPr>
          </w:p>
        </w:tc>
        <w:tc>
          <w:tcPr>
            <w:tcW w:w="1777" w:type="dxa"/>
            <w:vAlign w:val="center"/>
          </w:tcPr>
          <w:p w:rsidR="00185C77" w:rsidRDefault="00176197">
            <w:pPr>
              <w:spacing w:before="60" w:after="60"/>
              <w:jc w:val="right"/>
              <w:rPr>
                <w:b/>
                <w:noProof/>
                <w:sz w:val="20"/>
              </w:rPr>
            </w:pPr>
            <w:r>
              <w:rPr>
                <w:b/>
                <w:noProof/>
                <w:sz w:val="20"/>
              </w:rPr>
              <w:t>1,888</w:t>
            </w:r>
          </w:p>
        </w:tc>
      </w:tr>
      <w:tr w:rsidR="00185C77">
        <w:tc>
          <w:tcPr>
            <w:tcW w:w="3960" w:type="dxa"/>
            <w:vMerge/>
            <w:shd w:val="clear" w:color="auto" w:fill="C0C0C0"/>
          </w:tcPr>
          <w:p w:rsidR="00185C77" w:rsidRDefault="00185C77">
            <w:pPr>
              <w:rPr>
                <w:noProof/>
                <w:sz w:val="20"/>
              </w:rPr>
            </w:pPr>
          </w:p>
        </w:tc>
        <w:tc>
          <w:tcPr>
            <w:tcW w:w="2094" w:type="dxa"/>
            <w:gridSpan w:val="2"/>
            <w:vAlign w:val="center"/>
          </w:tcPr>
          <w:p w:rsidR="00185C77" w:rsidRDefault="00176197">
            <w:pPr>
              <w:rPr>
                <w:noProof/>
                <w:sz w:val="14"/>
              </w:rPr>
            </w:pPr>
            <w:r>
              <w:rPr>
                <w:noProof/>
                <w:sz w:val="18"/>
              </w:rPr>
              <w:t>Плащания</w:t>
            </w:r>
          </w:p>
        </w:tc>
        <w:tc>
          <w:tcPr>
            <w:tcW w:w="868" w:type="dxa"/>
            <w:vAlign w:val="center"/>
          </w:tcPr>
          <w:p w:rsidR="00185C77" w:rsidRDefault="00176197">
            <w:pPr>
              <w:spacing w:before="60" w:after="60"/>
              <w:jc w:val="right"/>
              <w:rPr>
                <w:noProof/>
                <w:sz w:val="20"/>
              </w:rPr>
            </w:pPr>
            <w:r>
              <w:rPr>
                <w:noProof/>
                <w:sz w:val="20"/>
              </w:rPr>
              <w:t>0,944</w:t>
            </w:r>
          </w:p>
        </w:tc>
        <w:tc>
          <w:tcPr>
            <w:tcW w:w="868" w:type="dxa"/>
            <w:vAlign w:val="center"/>
          </w:tcPr>
          <w:p w:rsidR="00185C77" w:rsidRDefault="00176197">
            <w:pPr>
              <w:spacing w:before="60" w:after="60"/>
              <w:jc w:val="right"/>
              <w:rPr>
                <w:noProof/>
                <w:sz w:val="20"/>
              </w:rPr>
            </w:pPr>
            <w:r>
              <w:rPr>
                <w:noProof/>
                <w:sz w:val="20"/>
              </w:rPr>
              <w:t>0,944</w:t>
            </w:r>
          </w:p>
        </w:tc>
        <w:tc>
          <w:tcPr>
            <w:tcW w:w="868" w:type="dxa"/>
            <w:vAlign w:val="center"/>
          </w:tcPr>
          <w:p w:rsidR="00185C77" w:rsidRDefault="00185C77">
            <w:pPr>
              <w:spacing w:before="60" w:after="60"/>
              <w:jc w:val="right"/>
              <w:rPr>
                <w:noProof/>
                <w:sz w:val="20"/>
              </w:rPr>
            </w:pPr>
          </w:p>
        </w:tc>
        <w:tc>
          <w:tcPr>
            <w:tcW w:w="868" w:type="dxa"/>
            <w:vAlign w:val="center"/>
          </w:tcPr>
          <w:p w:rsidR="00185C77" w:rsidRDefault="00185C77">
            <w:pPr>
              <w:spacing w:before="60" w:after="60"/>
              <w:jc w:val="right"/>
              <w:rPr>
                <w:noProof/>
                <w:sz w:val="20"/>
              </w:rPr>
            </w:pPr>
          </w:p>
        </w:tc>
        <w:tc>
          <w:tcPr>
            <w:tcW w:w="868" w:type="dxa"/>
            <w:vAlign w:val="center"/>
          </w:tcPr>
          <w:p w:rsidR="00185C77" w:rsidRDefault="00185C77">
            <w:pPr>
              <w:spacing w:before="60" w:after="60"/>
              <w:jc w:val="right"/>
              <w:rPr>
                <w:noProof/>
                <w:sz w:val="20"/>
              </w:rPr>
            </w:pPr>
          </w:p>
        </w:tc>
        <w:tc>
          <w:tcPr>
            <w:tcW w:w="868" w:type="dxa"/>
            <w:vAlign w:val="center"/>
          </w:tcPr>
          <w:p w:rsidR="00185C77" w:rsidRDefault="00185C77">
            <w:pPr>
              <w:spacing w:before="60" w:after="60"/>
              <w:jc w:val="right"/>
              <w:rPr>
                <w:noProof/>
                <w:sz w:val="20"/>
              </w:rPr>
            </w:pPr>
          </w:p>
        </w:tc>
        <w:tc>
          <w:tcPr>
            <w:tcW w:w="868" w:type="dxa"/>
            <w:vAlign w:val="center"/>
          </w:tcPr>
          <w:p w:rsidR="00185C77" w:rsidRDefault="00185C77">
            <w:pPr>
              <w:spacing w:before="60" w:after="60"/>
              <w:jc w:val="right"/>
              <w:rPr>
                <w:b/>
                <w:noProof/>
                <w:sz w:val="20"/>
              </w:rPr>
            </w:pPr>
          </w:p>
        </w:tc>
        <w:tc>
          <w:tcPr>
            <w:tcW w:w="1777" w:type="dxa"/>
            <w:vAlign w:val="center"/>
          </w:tcPr>
          <w:p w:rsidR="00185C77" w:rsidRDefault="00176197">
            <w:pPr>
              <w:spacing w:before="60" w:after="60"/>
              <w:jc w:val="right"/>
              <w:rPr>
                <w:b/>
                <w:noProof/>
                <w:sz w:val="20"/>
              </w:rPr>
            </w:pPr>
            <w:r>
              <w:rPr>
                <w:b/>
                <w:noProof/>
                <w:sz w:val="20"/>
              </w:rPr>
              <w:t>1,888</w:t>
            </w:r>
          </w:p>
        </w:tc>
      </w:tr>
    </w:tbl>
    <w:p w:rsidR="00185C77" w:rsidRDefault="00185C77">
      <w:pPr>
        <w:rPr>
          <w:noProof/>
        </w:rPr>
        <w:sectPr w:rsidR="00185C77" w:rsidSect="00176197">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185C77" w:rsidRDefault="00176197">
      <w:pPr>
        <w:pStyle w:val="ManualHeading3"/>
        <w:rPr>
          <w:noProof/>
          <w:szCs w:val="24"/>
        </w:rPr>
      </w:pPr>
      <w:r>
        <w:rPr>
          <w:noProof/>
        </w:rPr>
        <w:t>3.2.2.</w:t>
      </w:r>
      <w:r>
        <w:rPr>
          <w:noProof/>
        </w:rPr>
        <w:tab/>
        <w:t xml:space="preserve">Очаквано отражение върху бюджетните кредити за оперативни разходи </w:t>
      </w:r>
    </w:p>
    <w:p w:rsidR="00185C77" w:rsidRDefault="00176197">
      <w:pPr>
        <w:pStyle w:val="ListDash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оперативни разходи </w:t>
      </w:r>
    </w:p>
    <w:p w:rsidR="00185C77" w:rsidRDefault="00176197">
      <w:pPr>
        <w:pStyle w:val="ListDash1"/>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p w:rsidR="00185C77" w:rsidRDefault="00176197">
      <w:pPr>
        <w:jc w:val="right"/>
        <w:rPr>
          <w:noProof/>
          <w:sz w:val="20"/>
        </w:rPr>
      </w:pPr>
      <w:r>
        <w:rPr>
          <w:noProof/>
          <w:sz w:val="20"/>
        </w:rPr>
        <w:t>Бюджетни кредити за поети задължения в млн. ев</w:t>
      </w:r>
      <w:r>
        <w:rPr>
          <w:noProof/>
          <w:sz w:val="20"/>
        </w:rPr>
        <w:t>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931"/>
        <w:gridCol w:w="709"/>
        <w:gridCol w:w="425"/>
        <w:gridCol w:w="709"/>
        <w:gridCol w:w="411"/>
        <w:gridCol w:w="720"/>
        <w:gridCol w:w="720"/>
        <w:gridCol w:w="720"/>
        <w:gridCol w:w="900"/>
        <w:gridCol w:w="51"/>
        <w:gridCol w:w="669"/>
        <w:gridCol w:w="540"/>
        <w:gridCol w:w="648"/>
        <w:gridCol w:w="432"/>
        <w:gridCol w:w="720"/>
        <w:gridCol w:w="540"/>
        <w:gridCol w:w="720"/>
        <w:gridCol w:w="720"/>
        <w:gridCol w:w="900"/>
      </w:tblGrid>
      <w:tr w:rsidR="00185C77">
        <w:trPr>
          <w:jc w:val="center"/>
        </w:trPr>
        <w:tc>
          <w:tcPr>
            <w:tcW w:w="1423" w:type="dxa"/>
            <w:vMerge w:val="restart"/>
            <w:vAlign w:val="center"/>
          </w:tcPr>
          <w:p w:rsidR="00185C77" w:rsidRDefault="00176197">
            <w:pPr>
              <w:ind w:right="-29"/>
              <w:jc w:val="center"/>
              <w:rPr>
                <w:b/>
                <w:noProof/>
                <w:sz w:val="18"/>
                <w:szCs w:val="18"/>
              </w:rPr>
            </w:pPr>
            <w:r>
              <w:rPr>
                <w:b/>
                <w:noProof/>
                <w:sz w:val="18"/>
              </w:rPr>
              <w:t xml:space="preserve">Да се посочат целите и резултатите </w:t>
            </w:r>
          </w:p>
          <w:p w:rsidR="00185C77" w:rsidRDefault="00185C77">
            <w:pPr>
              <w:ind w:right="-29"/>
              <w:jc w:val="center"/>
              <w:rPr>
                <w:b/>
                <w:noProof/>
                <w:sz w:val="18"/>
                <w:szCs w:val="18"/>
              </w:rPr>
            </w:pPr>
          </w:p>
          <w:p w:rsidR="00185C77" w:rsidRDefault="00176197">
            <w:pPr>
              <w:ind w:right="-29"/>
              <w:jc w:val="center"/>
              <w:rPr>
                <w:noProof/>
                <w:sz w:val="18"/>
                <w:szCs w:val="18"/>
              </w:rPr>
            </w:pPr>
            <w:r>
              <w:rPr>
                <w:noProof/>
                <w:sz w:val="18"/>
              </w:rPr>
              <w:sym w:font="Wingdings" w:char="F0F2"/>
            </w:r>
          </w:p>
        </w:tc>
        <w:tc>
          <w:tcPr>
            <w:tcW w:w="931" w:type="dxa"/>
            <w:vAlign w:val="center"/>
          </w:tcPr>
          <w:p w:rsidR="00185C77" w:rsidRDefault="00185C77">
            <w:pPr>
              <w:ind w:right="-29"/>
              <w:jc w:val="center"/>
              <w:rPr>
                <w:noProof/>
                <w:sz w:val="18"/>
                <w:szCs w:val="18"/>
              </w:rPr>
            </w:pPr>
          </w:p>
        </w:tc>
        <w:tc>
          <w:tcPr>
            <w:tcW w:w="709" w:type="dxa"/>
            <w:vAlign w:val="center"/>
          </w:tcPr>
          <w:p w:rsidR="00185C77" w:rsidRDefault="00185C77">
            <w:pPr>
              <w:ind w:right="-29"/>
              <w:jc w:val="center"/>
              <w:rPr>
                <w:noProof/>
                <w:sz w:val="18"/>
                <w:szCs w:val="18"/>
              </w:rPr>
            </w:pPr>
          </w:p>
        </w:tc>
        <w:tc>
          <w:tcPr>
            <w:tcW w:w="1134" w:type="dxa"/>
            <w:gridSpan w:val="2"/>
            <w:tcBorders>
              <w:left w:val="nil"/>
            </w:tcBorders>
            <w:vAlign w:val="center"/>
          </w:tcPr>
          <w:p w:rsidR="00185C77" w:rsidRDefault="00176197">
            <w:pPr>
              <w:spacing w:before="0" w:after="0"/>
              <w:ind w:right="-28"/>
              <w:jc w:val="center"/>
              <w:rPr>
                <w:noProof/>
                <w:sz w:val="18"/>
              </w:rPr>
            </w:pPr>
            <w:r>
              <w:rPr>
                <w:noProof/>
                <w:sz w:val="18"/>
              </w:rPr>
              <w:t>Година</w:t>
            </w:r>
          </w:p>
          <w:p w:rsidR="00185C77" w:rsidRDefault="00176197">
            <w:pPr>
              <w:spacing w:before="0" w:after="0"/>
              <w:ind w:right="-28"/>
              <w:jc w:val="center"/>
              <w:rPr>
                <w:noProof/>
                <w:sz w:val="18"/>
              </w:rPr>
            </w:pPr>
            <w:r>
              <w:rPr>
                <w:b/>
                <w:noProof/>
                <w:sz w:val="18"/>
              </w:rPr>
              <w:t>2019</w:t>
            </w:r>
          </w:p>
        </w:tc>
        <w:tc>
          <w:tcPr>
            <w:tcW w:w="1131" w:type="dxa"/>
            <w:gridSpan w:val="2"/>
            <w:vAlign w:val="center"/>
          </w:tcPr>
          <w:p w:rsidR="00185C77" w:rsidRDefault="00176197">
            <w:pPr>
              <w:ind w:right="-29"/>
              <w:jc w:val="center"/>
              <w:rPr>
                <w:noProof/>
                <w:sz w:val="18"/>
                <w:szCs w:val="18"/>
              </w:rPr>
            </w:pPr>
            <w:r>
              <w:rPr>
                <w:noProof/>
                <w:sz w:val="18"/>
              </w:rPr>
              <w:t>Година</w:t>
            </w:r>
            <w:r>
              <w:rPr>
                <w:b/>
                <w:noProof/>
                <w:sz w:val="18"/>
              </w:rPr>
              <w:t>2020</w:t>
            </w:r>
          </w:p>
        </w:tc>
        <w:tc>
          <w:tcPr>
            <w:tcW w:w="1440" w:type="dxa"/>
            <w:gridSpan w:val="2"/>
            <w:vAlign w:val="center"/>
          </w:tcPr>
          <w:p w:rsidR="00185C77" w:rsidRDefault="00176197">
            <w:pPr>
              <w:ind w:right="-29"/>
              <w:jc w:val="center"/>
              <w:rPr>
                <w:noProof/>
                <w:sz w:val="18"/>
                <w:szCs w:val="18"/>
              </w:rPr>
            </w:pPr>
            <w:r>
              <w:rPr>
                <w:noProof/>
                <w:sz w:val="18"/>
              </w:rPr>
              <w:t>Година</w:t>
            </w:r>
            <w:r>
              <w:rPr>
                <w:b/>
                <w:noProof/>
                <w:sz w:val="18"/>
              </w:rPr>
              <w:t>N+2</w:t>
            </w:r>
          </w:p>
        </w:tc>
        <w:tc>
          <w:tcPr>
            <w:tcW w:w="1620" w:type="dxa"/>
            <w:gridSpan w:val="3"/>
            <w:vAlign w:val="center"/>
          </w:tcPr>
          <w:p w:rsidR="00185C77" w:rsidRDefault="00176197">
            <w:pPr>
              <w:ind w:right="-29"/>
              <w:jc w:val="center"/>
              <w:rPr>
                <w:noProof/>
                <w:sz w:val="18"/>
                <w:szCs w:val="18"/>
              </w:rPr>
            </w:pPr>
            <w:r>
              <w:rPr>
                <w:noProof/>
                <w:sz w:val="18"/>
              </w:rPr>
              <w:t>Година</w:t>
            </w:r>
            <w:r>
              <w:rPr>
                <w:b/>
                <w:noProof/>
                <w:sz w:val="18"/>
              </w:rPr>
              <w:t>N+3</w:t>
            </w:r>
          </w:p>
        </w:tc>
        <w:tc>
          <w:tcPr>
            <w:tcW w:w="3600" w:type="dxa"/>
            <w:gridSpan w:val="6"/>
            <w:vAlign w:val="center"/>
          </w:tcPr>
          <w:p w:rsidR="00185C77" w:rsidRDefault="00176197">
            <w:pPr>
              <w:jc w:val="center"/>
              <w:rPr>
                <w:noProof/>
                <w:sz w:val="18"/>
                <w:szCs w:val="18"/>
              </w:rPr>
            </w:pPr>
            <w:r>
              <w:rPr>
                <w:noProof/>
                <w:sz w:val="18"/>
              </w:rPr>
              <w:t>… 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185C77" w:rsidRDefault="00176197">
            <w:pPr>
              <w:ind w:right="-29"/>
              <w:jc w:val="center"/>
              <w:rPr>
                <w:b/>
                <w:noProof/>
                <w:sz w:val="18"/>
              </w:rPr>
            </w:pPr>
            <w:r>
              <w:rPr>
                <w:b/>
                <w:noProof/>
                <w:sz w:val="18"/>
              </w:rPr>
              <w:t>ОБЩО</w:t>
            </w:r>
          </w:p>
          <w:p w:rsidR="00185C77" w:rsidRDefault="00176197">
            <w:pPr>
              <w:ind w:right="-29"/>
              <w:jc w:val="center"/>
              <w:rPr>
                <w:noProof/>
                <w:sz w:val="18"/>
                <w:szCs w:val="18"/>
              </w:rPr>
            </w:pPr>
            <w:r>
              <w:rPr>
                <w:b/>
                <w:noProof/>
                <w:sz w:val="18"/>
              </w:rPr>
              <w:t>2019 — 2020 г.</w:t>
            </w:r>
          </w:p>
        </w:tc>
      </w:tr>
      <w:tr w:rsidR="00185C77">
        <w:trPr>
          <w:jc w:val="center"/>
        </w:trPr>
        <w:tc>
          <w:tcPr>
            <w:tcW w:w="1423" w:type="dxa"/>
            <w:vMerge/>
            <w:vAlign w:val="center"/>
          </w:tcPr>
          <w:p w:rsidR="00185C77" w:rsidRDefault="00185C77">
            <w:pPr>
              <w:ind w:right="-29"/>
              <w:jc w:val="center"/>
              <w:rPr>
                <w:noProof/>
                <w:sz w:val="18"/>
                <w:szCs w:val="18"/>
              </w:rPr>
            </w:pPr>
          </w:p>
        </w:tc>
        <w:tc>
          <w:tcPr>
            <w:tcW w:w="12185" w:type="dxa"/>
            <w:gridSpan w:val="19"/>
            <w:vAlign w:val="center"/>
          </w:tcPr>
          <w:p w:rsidR="00185C77" w:rsidRDefault="00176197">
            <w:pPr>
              <w:spacing w:before="60" w:after="60"/>
              <w:ind w:right="-29"/>
              <w:jc w:val="center"/>
              <w:rPr>
                <w:noProof/>
                <w:sz w:val="18"/>
                <w:szCs w:val="18"/>
              </w:rPr>
            </w:pPr>
            <w:r>
              <w:rPr>
                <w:b/>
                <w:noProof/>
                <w:sz w:val="18"/>
              </w:rPr>
              <w:t>РЕЗУЛТАТИ</w:t>
            </w:r>
          </w:p>
        </w:tc>
      </w:tr>
      <w:tr w:rsidR="00185C77">
        <w:trPr>
          <w:cantSplit/>
          <w:trHeight w:val="1134"/>
          <w:jc w:val="center"/>
        </w:trPr>
        <w:tc>
          <w:tcPr>
            <w:tcW w:w="1423" w:type="dxa"/>
            <w:vMerge/>
            <w:vAlign w:val="center"/>
          </w:tcPr>
          <w:p w:rsidR="00185C77" w:rsidRDefault="00185C77">
            <w:pPr>
              <w:rPr>
                <w:noProof/>
                <w:sz w:val="18"/>
                <w:szCs w:val="18"/>
              </w:rPr>
            </w:pPr>
          </w:p>
        </w:tc>
        <w:tc>
          <w:tcPr>
            <w:tcW w:w="931" w:type="dxa"/>
            <w:vAlign w:val="center"/>
          </w:tcPr>
          <w:p w:rsidR="00185C77" w:rsidRDefault="00176197">
            <w:pPr>
              <w:jc w:val="center"/>
              <w:rPr>
                <w:noProof/>
                <w:sz w:val="18"/>
                <w:szCs w:val="18"/>
              </w:rPr>
            </w:pPr>
            <w:r>
              <w:rPr>
                <w:noProof/>
                <w:sz w:val="18"/>
              </w:rPr>
              <w:t>Вид</w:t>
            </w:r>
            <w:r>
              <w:rPr>
                <w:rStyle w:val="FootnoteReference"/>
                <w:noProof/>
              </w:rPr>
              <w:footnoteReference w:id="47"/>
            </w:r>
          </w:p>
          <w:p w:rsidR="00185C77" w:rsidRDefault="00185C77">
            <w:pPr>
              <w:spacing w:before="0" w:after="0"/>
              <w:jc w:val="center"/>
              <w:rPr>
                <w:noProof/>
                <w:sz w:val="18"/>
                <w:szCs w:val="18"/>
              </w:rPr>
            </w:pPr>
          </w:p>
        </w:tc>
        <w:tc>
          <w:tcPr>
            <w:tcW w:w="709" w:type="dxa"/>
            <w:vAlign w:val="center"/>
          </w:tcPr>
          <w:p w:rsidR="00185C77" w:rsidRDefault="00176197">
            <w:pPr>
              <w:jc w:val="center"/>
              <w:rPr>
                <w:noProof/>
                <w:sz w:val="18"/>
                <w:szCs w:val="18"/>
              </w:rPr>
            </w:pPr>
            <w:r>
              <w:rPr>
                <w:noProof/>
                <w:sz w:val="18"/>
              </w:rPr>
              <w:t>Среден разход</w:t>
            </w:r>
          </w:p>
        </w:tc>
        <w:tc>
          <w:tcPr>
            <w:tcW w:w="425" w:type="dxa"/>
            <w:tcBorders>
              <w:left w:val="nil"/>
              <w:right w:val="dashSmallGap" w:sz="4" w:space="0" w:color="auto"/>
            </w:tcBorders>
            <w:shd w:val="pct10" w:color="auto" w:fill="auto"/>
            <w:textDirection w:val="btLr"/>
            <w:vAlign w:val="center"/>
          </w:tcPr>
          <w:p w:rsidR="00185C77" w:rsidRDefault="00176197">
            <w:pPr>
              <w:ind w:left="113" w:right="113"/>
              <w:jc w:val="center"/>
              <w:rPr>
                <w:noProof/>
                <w:sz w:val="18"/>
                <w:szCs w:val="18"/>
              </w:rPr>
            </w:pPr>
            <w:r>
              <w:rPr>
                <w:noProof/>
                <w:sz w:val="18"/>
              </w:rPr>
              <w:t>Брой</w:t>
            </w:r>
          </w:p>
        </w:tc>
        <w:tc>
          <w:tcPr>
            <w:tcW w:w="709" w:type="dxa"/>
            <w:tcBorders>
              <w:left w:val="dashSmallGap" w:sz="4" w:space="0" w:color="auto"/>
            </w:tcBorders>
            <w:shd w:val="pct10" w:color="auto" w:fill="auto"/>
            <w:vAlign w:val="center"/>
          </w:tcPr>
          <w:p w:rsidR="00185C77" w:rsidRDefault="00176197">
            <w:pPr>
              <w:jc w:val="center"/>
              <w:rPr>
                <w:noProof/>
                <w:sz w:val="18"/>
                <w:szCs w:val="18"/>
              </w:rPr>
            </w:pPr>
            <w:r>
              <w:rPr>
                <w:noProof/>
                <w:sz w:val="18"/>
              </w:rPr>
              <w:t>Разходи</w:t>
            </w:r>
          </w:p>
        </w:tc>
        <w:tc>
          <w:tcPr>
            <w:tcW w:w="411" w:type="dxa"/>
            <w:tcBorders>
              <w:right w:val="dashSmallGap" w:sz="4" w:space="0" w:color="auto"/>
            </w:tcBorders>
            <w:shd w:val="pct10" w:color="auto" w:fill="auto"/>
            <w:textDirection w:val="btLr"/>
            <w:vAlign w:val="center"/>
          </w:tcPr>
          <w:p w:rsidR="00185C77" w:rsidRDefault="0017619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85C77" w:rsidRDefault="00176197">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185C77" w:rsidRDefault="0017619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85C77" w:rsidRDefault="00176197">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185C77" w:rsidRDefault="00176197">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185C77" w:rsidRDefault="00176197">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185C77" w:rsidRDefault="00176197">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185C77" w:rsidRDefault="00176197">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185C77" w:rsidRDefault="0017619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85C77" w:rsidRDefault="00176197">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185C77" w:rsidRDefault="0017619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85C77" w:rsidRDefault="00176197">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185C77" w:rsidRDefault="00176197">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185C77" w:rsidRDefault="00176197">
            <w:pPr>
              <w:jc w:val="center"/>
              <w:rPr>
                <w:noProof/>
                <w:sz w:val="18"/>
                <w:szCs w:val="18"/>
              </w:rPr>
            </w:pPr>
            <w:r>
              <w:rPr>
                <w:noProof/>
                <w:sz w:val="18"/>
              </w:rPr>
              <w:t>Общо разходи</w:t>
            </w:r>
          </w:p>
        </w:tc>
      </w:tr>
      <w:tr w:rsidR="00185C77">
        <w:trPr>
          <w:jc w:val="center"/>
        </w:trPr>
        <w:tc>
          <w:tcPr>
            <w:tcW w:w="3063" w:type="dxa"/>
            <w:gridSpan w:val="3"/>
            <w:vAlign w:val="center"/>
          </w:tcPr>
          <w:p w:rsidR="00185C77" w:rsidRDefault="00176197">
            <w:pPr>
              <w:spacing w:before="60" w:after="60"/>
              <w:ind w:right="-29"/>
              <w:jc w:val="center"/>
              <w:rPr>
                <w:noProof/>
                <w:sz w:val="18"/>
                <w:szCs w:val="18"/>
              </w:rPr>
            </w:pPr>
            <w:r>
              <w:rPr>
                <w:noProof/>
                <w:sz w:val="18"/>
              </w:rPr>
              <w:t>КОНКРЕТНА ЦЕЛ № 3…</w:t>
            </w:r>
            <w:r>
              <w:rPr>
                <w:rStyle w:val="FootnoteReference"/>
                <w:noProof/>
              </w:rPr>
              <w:footnoteReference w:id="48"/>
            </w:r>
          </w:p>
        </w:tc>
        <w:tc>
          <w:tcPr>
            <w:tcW w:w="425" w:type="dxa"/>
            <w:tcBorders>
              <w:top w:val="nil"/>
              <w:left w:val="nil"/>
              <w:bottom w:val="nil"/>
              <w:right w:val="nil"/>
            </w:tcBorders>
          </w:tcPr>
          <w:p w:rsidR="00185C77" w:rsidRDefault="00185C77">
            <w:pPr>
              <w:spacing w:before="60" w:after="60"/>
              <w:ind w:right="-29"/>
              <w:jc w:val="center"/>
              <w:rPr>
                <w:noProof/>
                <w:sz w:val="18"/>
                <w:szCs w:val="18"/>
              </w:rPr>
            </w:pPr>
          </w:p>
        </w:tc>
        <w:tc>
          <w:tcPr>
            <w:tcW w:w="709" w:type="dxa"/>
            <w:tcBorders>
              <w:top w:val="nil"/>
              <w:left w:val="nil"/>
              <w:bottom w:val="nil"/>
              <w:right w:val="nil"/>
            </w:tcBorders>
          </w:tcPr>
          <w:p w:rsidR="00185C77" w:rsidRDefault="00185C77">
            <w:pPr>
              <w:spacing w:before="60" w:after="60"/>
              <w:ind w:right="-29"/>
              <w:jc w:val="center"/>
              <w:rPr>
                <w:noProof/>
                <w:sz w:val="18"/>
                <w:szCs w:val="18"/>
              </w:rPr>
            </w:pPr>
          </w:p>
        </w:tc>
        <w:tc>
          <w:tcPr>
            <w:tcW w:w="411"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90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gridSpan w:val="2"/>
            <w:tcBorders>
              <w:top w:val="nil"/>
              <w:left w:val="nil"/>
              <w:bottom w:val="nil"/>
              <w:right w:val="nil"/>
            </w:tcBorders>
          </w:tcPr>
          <w:p w:rsidR="00185C77" w:rsidRDefault="00185C77">
            <w:pPr>
              <w:spacing w:before="60" w:after="60"/>
              <w:ind w:right="-29"/>
              <w:jc w:val="center"/>
              <w:rPr>
                <w:noProof/>
                <w:sz w:val="18"/>
                <w:szCs w:val="18"/>
              </w:rPr>
            </w:pPr>
          </w:p>
        </w:tc>
        <w:tc>
          <w:tcPr>
            <w:tcW w:w="540" w:type="dxa"/>
            <w:tcBorders>
              <w:top w:val="nil"/>
              <w:left w:val="nil"/>
              <w:bottom w:val="nil"/>
              <w:right w:val="nil"/>
            </w:tcBorders>
          </w:tcPr>
          <w:p w:rsidR="00185C77" w:rsidRDefault="00185C77">
            <w:pPr>
              <w:spacing w:before="60" w:after="60"/>
              <w:ind w:right="-29"/>
              <w:jc w:val="center"/>
              <w:rPr>
                <w:noProof/>
                <w:sz w:val="18"/>
                <w:szCs w:val="18"/>
              </w:rPr>
            </w:pPr>
          </w:p>
        </w:tc>
        <w:tc>
          <w:tcPr>
            <w:tcW w:w="648" w:type="dxa"/>
            <w:tcBorders>
              <w:top w:val="nil"/>
              <w:left w:val="nil"/>
              <w:bottom w:val="nil"/>
              <w:right w:val="nil"/>
            </w:tcBorders>
          </w:tcPr>
          <w:p w:rsidR="00185C77" w:rsidRDefault="00185C77">
            <w:pPr>
              <w:spacing w:before="60" w:after="60"/>
              <w:ind w:right="-29"/>
              <w:jc w:val="center"/>
              <w:rPr>
                <w:noProof/>
                <w:sz w:val="18"/>
                <w:szCs w:val="18"/>
              </w:rPr>
            </w:pPr>
          </w:p>
        </w:tc>
        <w:tc>
          <w:tcPr>
            <w:tcW w:w="432"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54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900" w:type="dxa"/>
            <w:tcBorders>
              <w:top w:val="nil"/>
              <w:left w:val="nil"/>
              <w:bottom w:val="nil"/>
              <w:right w:val="nil"/>
            </w:tcBorders>
          </w:tcPr>
          <w:p w:rsidR="00185C77" w:rsidRDefault="00185C77">
            <w:pPr>
              <w:spacing w:before="60" w:after="60"/>
              <w:ind w:right="-29"/>
              <w:jc w:val="center"/>
              <w:rPr>
                <w:noProof/>
                <w:sz w:val="18"/>
                <w:szCs w:val="18"/>
              </w:rPr>
            </w:pPr>
          </w:p>
        </w:tc>
      </w:tr>
      <w:tr w:rsidR="00185C77">
        <w:trPr>
          <w:trHeight w:hRule="exact" w:val="675"/>
          <w:jc w:val="center"/>
        </w:trPr>
        <w:tc>
          <w:tcPr>
            <w:tcW w:w="1423" w:type="dxa"/>
          </w:tcPr>
          <w:p w:rsidR="00185C77" w:rsidRDefault="00176197">
            <w:pPr>
              <w:ind w:right="-29"/>
              <w:jc w:val="center"/>
              <w:rPr>
                <w:noProof/>
                <w:sz w:val="18"/>
                <w:szCs w:val="18"/>
              </w:rPr>
            </w:pPr>
            <w:r>
              <w:rPr>
                <w:noProof/>
                <w:sz w:val="18"/>
              </w:rPr>
              <w:t>- Резултат</w:t>
            </w:r>
          </w:p>
        </w:tc>
        <w:tc>
          <w:tcPr>
            <w:tcW w:w="931" w:type="dxa"/>
          </w:tcPr>
          <w:p w:rsidR="00185C77" w:rsidRDefault="00176197">
            <w:pPr>
              <w:ind w:right="-29"/>
              <w:jc w:val="center"/>
              <w:rPr>
                <w:noProof/>
                <w:sz w:val="18"/>
                <w:szCs w:val="18"/>
              </w:rPr>
            </w:pPr>
            <w:r>
              <w:rPr>
                <w:noProof/>
                <w:sz w:val="18"/>
              </w:rPr>
              <w:t>Служба</w:t>
            </w:r>
          </w:p>
          <w:p w:rsidR="00185C77" w:rsidRDefault="00176197">
            <w:pPr>
              <w:ind w:right="-29"/>
              <w:jc w:val="center"/>
              <w:rPr>
                <w:noProof/>
                <w:sz w:val="18"/>
                <w:szCs w:val="18"/>
              </w:rPr>
            </w:pPr>
            <w:r>
              <w:rPr>
                <w:noProof/>
                <w:sz w:val="18"/>
              </w:rPr>
              <w:t xml:space="preserve">Договор </w:t>
            </w:r>
          </w:p>
        </w:tc>
        <w:tc>
          <w:tcPr>
            <w:tcW w:w="709" w:type="dxa"/>
          </w:tcPr>
          <w:p w:rsidR="00185C77" w:rsidRDefault="00176197">
            <w:pPr>
              <w:ind w:right="-29"/>
              <w:jc w:val="center"/>
              <w:rPr>
                <w:noProof/>
                <w:sz w:val="18"/>
                <w:szCs w:val="18"/>
              </w:rPr>
            </w:pPr>
            <w:r>
              <w:rPr>
                <w:noProof/>
                <w:sz w:val="18"/>
              </w:rPr>
              <w:t>0,500</w:t>
            </w:r>
          </w:p>
        </w:tc>
        <w:tc>
          <w:tcPr>
            <w:tcW w:w="425" w:type="dxa"/>
            <w:tcBorders>
              <w:right w:val="dashSmallGap" w:sz="4" w:space="0" w:color="auto"/>
            </w:tcBorders>
          </w:tcPr>
          <w:p w:rsidR="00185C77" w:rsidRDefault="00176197">
            <w:pPr>
              <w:ind w:right="-29"/>
              <w:jc w:val="center"/>
              <w:rPr>
                <w:noProof/>
                <w:sz w:val="18"/>
                <w:szCs w:val="18"/>
              </w:rPr>
            </w:pPr>
            <w:r>
              <w:rPr>
                <w:noProof/>
                <w:sz w:val="18"/>
              </w:rPr>
              <w:t>1</w:t>
            </w:r>
          </w:p>
        </w:tc>
        <w:tc>
          <w:tcPr>
            <w:tcW w:w="709" w:type="dxa"/>
            <w:tcBorders>
              <w:left w:val="dashSmallGap" w:sz="4" w:space="0" w:color="auto"/>
            </w:tcBorders>
          </w:tcPr>
          <w:p w:rsidR="00185C77" w:rsidRDefault="00185C77">
            <w:pPr>
              <w:ind w:right="-29"/>
              <w:jc w:val="center"/>
              <w:rPr>
                <w:noProof/>
                <w:sz w:val="18"/>
                <w:szCs w:val="18"/>
              </w:rPr>
            </w:pPr>
          </w:p>
        </w:tc>
        <w:tc>
          <w:tcPr>
            <w:tcW w:w="411" w:type="dxa"/>
            <w:tcBorders>
              <w:right w:val="dashSmallGap" w:sz="4" w:space="0" w:color="auto"/>
            </w:tcBorders>
          </w:tcPr>
          <w:p w:rsidR="00185C77" w:rsidRDefault="00176197">
            <w:pPr>
              <w:ind w:right="-29"/>
              <w:jc w:val="center"/>
              <w:rPr>
                <w:noProof/>
                <w:sz w:val="18"/>
                <w:szCs w:val="18"/>
              </w:rPr>
            </w:pPr>
            <w:r>
              <w:rPr>
                <w:noProof/>
                <w:sz w:val="18"/>
              </w:rPr>
              <w:t>1</w:t>
            </w:r>
          </w:p>
        </w:tc>
        <w:tc>
          <w:tcPr>
            <w:tcW w:w="720" w:type="dxa"/>
            <w:tcBorders>
              <w:left w:val="dashSmallGap" w:sz="4" w:space="0" w:color="auto"/>
            </w:tcBorders>
          </w:tcPr>
          <w:p w:rsidR="00185C77" w:rsidRDefault="00176197">
            <w:pPr>
              <w:ind w:right="-29"/>
              <w:jc w:val="center"/>
              <w:rPr>
                <w:noProof/>
                <w:sz w:val="18"/>
                <w:szCs w:val="18"/>
              </w:rPr>
            </w:pPr>
            <w:r>
              <w:rPr>
                <w:noProof/>
                <w:sz w:val="18"/>
              </w:rPr>
              <w:t>0,500</w:t>
            </w:r>
          </w:p>
        </w:tc>
        <w:tc>
          <w:tcPr>
            <w:tcW w:w="720" w:type="dxa"/>
            <w:tcBorders>
              <w:right w:val="dashSmallGap" w:sz="4" w:space="0" w:color="auto"/>
            </w:tcBorders>
          </w:tcPr>
          <w:p w:rsidR="00185C77" w:rsidRDefault="00185C77">
            <w:pPr>
              <w:ind w:right="-29"/>
              <w:jc w:val="center"/>
              <w:rPr>
                <w:noProof/>
                <w:sz w:val="18"/>
                <w:szCs w:val="18"/>
              </w:rPr>
            </w:pPr>
          </w:p>
        </w:tc>
        <w:tc>
          <w:tcPr>
            <w:tcW w:w="720" w:type="dxa"/>
            <w:tcBorders>
              <w:left w:val="dashSmallGap" w:sz="4" w:space="0" w:color="auto"/>
            </w:tcBorders>
          </w:tcPr>
          <w:p w:rsidR="00185C77" w:rsidRDefault="00185C77">
            <w:pPr>
              <w:ind w:right="-29"/>
              <w:jc w:val="center"/>
              <w:rPr>
                <w:noProof/>
                <w:sz w:val="18"/>
                <w:szCs w:val="18"/>
              </w:rPr>
            </w:pPr>
          </w:p>
        </w:tc>
        <w:tc>
          <w:tcPr>
            <w:tcW w:w="900" w:type="dxa"/>
            <w:tcBorders>
              <w:right w:val="dashSmallGap" w:sz="4" w:space="0" w:color="auto"/>
            </w:tcBorders>
          </w:tcPr>
          <w:p w:rsidR="00185C77" w:rsidRDefault="00185C77">
            <w:pPr>
              <w:ind w:right="-29"/>
              <w:jc w:val="center"/>
              <w:rPr>
                <w:noProof/>
                <w:sz w:val="18"/>
                <w:szCs w:val="18"/>
              </w:rPr>
            </w:pPr>
          </w:p>
        </w:tc>
        <w:tc>
          <w:tcPr>
            <w:tcW w:w="720" w:type="dxa"/>
            <w:gridSpan w:val="2"/>
            <w:tcBorders>
              <w:left w:val="dashSmallGap" w:sz="4" w:space="0" w:color="auto"/>
            </w:tcBorders>
          </w:tcPr>
          <w:p w:rsidR="00185C77" w:rsidRDefault="00185C77">
            <w:pPr>
              <w:ind w:right="-29"/>
              <w:jc w:val="center"/>
              <w:rPr>
                <w:noProof/>
                <w:sz w:val="18"/>
                <w:szCs w:val="18"/>
              </w:rPr>
            </w:pPr>
          </w:p>
        </w:tc>
        <w:tc>
          <w:tcPr>
            <w:tcW w:w="540" w:type="dxa"/>
            <w:tcBorders>
              <w:right w:val="dashSmallGap" w:sz="4" w:space="0" w:color="auto"/>
            </w:tcBorders>
          </w:tcPr>
          <w:p w:rsidR="00185C77" w:rsidRDefault="00185C77">
            <w:pPr>
              <w:ind w:right="-29"/>
              <w:jc w:val="center"/>
              <w:rPr>
                <w:noProof/>
                <w:sz w:val="18"/>
                <w:szCs w:val="18"/>
              </w:rPr>
            </w:pPr>
          </w:p>
        </w:tc>
        <w:tc>
          <w:tcPr>
            <w:tcW w:w="648" w:type="dxa"/>
            <w:tcBorders>
              <w:left w:val="dashSmallGap" w:sz="4" w:space="0" w:color="auto"/>
            </w:tcBorders>
          </w:tcPr>
          <w:p w:rsidR="00185C77" w:rsidRDefault="00185C77">
            <w:pPr>
              <w:ind w:right="-29"/>
              <w:jc w:val="center"/>
              <w:rPr>
                <w:noProof/>
                <w:sz w:val="18"/>
                <w:szCs w:val="18"/>
              </w:rPr>
            </w:pPr>
          </w:p>
        </w:tc>
        <w:tc>
          <w:tcPr>
            <w:tcW w:w="432" w:type="dxa"/>
            <w:tcBorders>
              <w:right w:val="dashSmallGap" w:sz="4" w:space="0" w:color="auto"/>
            </w:tcBorders>
          </w:tcPr>
          <w:p w:rsidR="00185C77" w:rsidRDefault="00185C77">
            <w:pPr>
              <w:ind w:right="-29"/>
              <w:jc w:val="center"/>
              <w:rPr>
                <w:noProof/>
                <w:sz w:val="18"/>
                <w:szCs w:val="18"/>
              </w:rPr>
            </w:pPr>
          </w:p>
        </w:tc>
        <w:tc>
          <w:tcPr>
            <w:tcW w:w="720" w:type="dxa"/>
            <w:tcBorders>
              <w:left w:val="dashSmallGap" w:sz="4" w:space="0" w:color="auto"/>
            </w:tcBorders>
          </w:tcPr>
          <w:p w:rsidR="00185C77" w:rsidRDefault="00185C77">
            <w:pPr>
              <w:ind w:right="-29"/>
              <w:jc w:val="center"/>
              <w:rPr>
                <w:noProof/>
                <w:sz w:val="18"/>
                <w:szCs w:val="18"/>
              </w:rPr>
            </w:pPr>
          </w:p>
        </w:tc>
        <w:tc>
          <w:tcPr>
            <w:tcW w:w="540" w:type="dxa"/>
            <w:tcBorders>
              <w:right w:val="dashSmallGap" w:sz="4" w:space="0" w:color="auto"/>
            </w:tcBorders>
          </w:tcPr>
          <w:p w:rsidR="00185C77" w:rsidRDefault="00185C77">
            <w:pPr>
              <w:ind w:right="-29"/>
              <w:jc w:val="center"/>
              <w:rPr>
                <w:noProof/>
                <w:sz w:val="18"/>
                <w:szCs w:val="18"/>
              </w:rPr>
            </w:pPr>
          </w:p>
        </w:tc>
        <w:tc>
          <w:tcPr>
            <w:tcW w:w="720" w:type="dxa"/>
            <w:tcBorders>
              <w:left w:val="dashSmallGap" w:sz="4" w:space="0" w:color="auto"/>
            </w:tcBorders>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900" w:type="dxa"/>
          </w:tcPr>
          <w:p w:rsidR="00185C77" w:rsidRDefault="00176197">
            <w:pPr>
              <w:ind w:right="-29"/>
              <w:jc w:val="center"/>
              <w:rPr>
                <w:noProof/>
                <w:sz w:val="18"/>
                <w:szCs w:val="18"/>
              </w:rPr>
            </w:pPr>
            <w:r>
              <w:rPr>
                <w:noProof/>
                <w:sz w:val="18"/>
              </w:rPr>
              <w:t>1,000</w:t>
            </w:r>
          </w:p>
        </w:tc>
      </w:tr>
      <w:tr w:rsidR="00185C77">
        <w:trPr>
          <w:trHeight w:hRule="exact" w:val="369"/>
          <w:jc w:val="center"/>
        </w:trPr>
        <w:tc>
          <w:tcPr>
            <w:tcW w:w="1423" w:type="dxa"/>
          </w:tcPr>
          <w:p w:rsidR="00185C77" w:rsidRDefault="00176197">
            <w:pPr>
              <w:ind w:right="-29"/>
              <w:jc w:val="center"/>
              <w:rPr>
                <w:noProof/>
                <w:sz w:val="18"/>
                <w:szCs w:val="18"/>
              </w:rPr>
            </w:pPr>
            <w:r>
              <w:rPr>
                <w:noProof/>
                <w:sz w:val="18"/>
              </w:rPr>
              <w:t>- Резултат</w:t>
            </w:r>
          </w:p>
        </w:tc>
        <w:tc>
          <w:tcPr>
            <w:tcW w:w="931" w:type="dxa"/>
          </w:tcPr>
          <w:p w:rsidR="00185C77" w:rsidRDefault="00185C77">
            <w:pPr>
              <w:ind w:right="-29"/>
              <w:jc w:val="center"/>
              <w:rPr>
                <w:noProof/>
                <w:sz w:val="18"/>
                <w:szCs w:val="18"/>
              </w:rPr>
            </w:pPr>
          </w:p>
        </w:tc>
        <w:tc>
          <w:tcPr>
            <w:tcW w:w="709" w:type="dxa"/>
          </w:tcPr>
          <w:p w:rsidR="00185C77" w:rsidRDefault="00185C77">
            <w:pPr>
              <w:ind w:right="-29"/>
              <w:jc w:val="center"/>
              <w:rPr>
                <w:noProof/>
                <w:sz w:val="18"/>
                <w:szCs w:val="18"/>
              </w:rPr>
            </w:pPr>
          </w:p>
        </w:tc>
        <w:tc>
          <w:tcPr>
            <w:tcW w:w="425" w:type="dxa"/>
            <w:tcBorders>
              <w:right w:val="dashSmallGap" w:sz="4" w:space="0" w:color="auto"/>
            </w:tcBorders>
          </w:tcPr>
          <w:p w:rsidR="00185C77" w:rsidRDefault="00185C77">
            <w:pPr>
              <w:ind w:right="-29"/>
              <w:jc w:val="center"/>
              <w:rPr>
                <w:noProof/>
                <w:sz w:val="18"/>
                <w:szCs w:val="18"/>
              </w:rPr>
            </w:pPr>
          </w:p>
        </w:tc>
        <w:tc>
          <w:tcPr>
            <w:tcW w:w="709" w:type="dxa"/>
            <w:tcBorders>
              <w:left w:val="dashSmallGap" w:sz="4" w:space="0" w:color="auto"/>
            </w:tcBorders>
          </w:tcPr>
          <w:p w:rsidR="00185C77" w:rsidRDefault="00185C77">
            <w:pPr>
              <w:ind w:right="-29"/>
              <w:jc w:val="center"/>
              <w:rPr>
                <w:noProof/>
                <w:sz w:val="18"/>
                <w:szCs w:val="18"/>
              </w:rPr>
            </w:pPr>
          </w:p>
        </w:tc>
        <w:tc>
          <w:tcPr>
            <w:tcW w:w="411" w:type="dxa"/>
            <w:tcBorders>
              <w:right w:val="dashSmallGap" w:sz="4" w:space="0" w:color="auto"/>
            </w:tcBorders>
          </w:tcPr>
          <w:p w:rsidR="00185C77" w:rsidRDefault="00185C77">
            <w:pPr>
              <w:ind w:right="-29"/>
              <w:jc w:val="center"/>
              <w:rPr>
                <w:noProof/>
                <w:sz w:val="18"/>
                <w:szCs w:val="18"/>
              </w:rPr>
            </w:pPr>
          </w:p>
        </w:tc>
        <w:tc>
          <w:tcPr>
            <w:tcW w:w="720" w:type="dxa"/>
            <w:tcBorders>
              <w:left w:val="dashSmallGap" w:sz="4" w:space="0" w:color="auto"/>
            </w:tcBorders>
          </w:tcPr>
          <w:p w:rsidR="00185C77" w:rsidRDefault="00185C77">
            <w:pPr>
              <w:ind w:right="-29"/>
              <w:jc w:val="center"/>
              <w:rPr>
                <w:noProof/>
                <w:sz w:val="18"/>
                <w:szCs w:val="18"/>
              </w:rPr>
            </w:pPr>
          </w:p>
        </w:tc>
        <w:tc>
          <w:tcPr>
            <w:tcW w:w="720" w:type="dxa"/>
            <w:tcBorders>
              <w:right w:val="dashSmallGap" w:sz="4" w:space="0" w:color="auto"/>
            </w:tcBorders>
          </w:tcPr>
          <w:p w:rsidR="00185C77" w:rsidRDefault="00185C77">
            <w:pPr>
              <w:ind w:right="-29"/>
              <w:jc w:val="center"/>
              <w:rPr>
                <w:noProof/>
                <w:sz w:val="18"/>
                <w:szCs w:val="18"/>
              </w:rPr>
            </w:pPr>
          </w:p>
        </w:tc>
        <w:tc>
          <w:tcPr>
            <w:tcW w:w="720" w:type="dxa"/>
            <w:tcBorders>
              <w:left w:val="dashSmallGap" w:sz="4" w:space="0" w:color="auto"/>
            </w:tcBorders>
          </w:tcPr>
          <w:p w:rsidR="00185C77" w:rsidRDefault="00185C77">
            <w:pPr>
              <w:ind w:right="-29"/>
              <w:jc w:val="center"/>
              <w:rPr>
                <w:noProof/>
                <w:sz w:val="18"/>
                <w:szCs w:val="18"/>
              </w:rPr>
            </w:pPr>
          </w:p>
        </w:tc>
        <w:tc>
          <w:tcPr>
            <w:tcW w:w="900" w:type="dxa"/>
            <w:tcBorders>
              <w:right w:val="dashSmallGap" w:sz="4" w:space="0" w:color="auto"/>
            </w:tcBorders>
          </w:tcPr>
          <w:p w:rsidR="00185C77" w:rsidRDefault="00185C77">
            <w:pPr>
              <w:ind w:right="-29"/>
              <w:jc w:val="center"/>
              <w:rPr>
                <w:noProof/>
                <w:sz w:val="18"/>
                <w:szCs w:val="18"/>
              </w:rPr>
            </w:pPr>
          </w:p>
        </w:tc>
        <w:tc>
          <w:tcPr>
            <w:tcW w:w="720" w:type="dxa"/>
            <w:gridSpan w:val="2"/>
            <w:tcBorders>
              <w:left w:val="dashSmallGap" w:sz="4" w:space="0" w:color="auto"/>
            </w:tcBorders>
          </w:tcPr>
          <w:p w:rsidR="00185C77" w:rsidRDefault="00185C77">
            <w:pPr>
              <w:ind w:right="-29"/>
              <w:jc w:val="center"/>
              <w:rPr>
                <w:noProof/>
                <w:sz w:val="18"/>
                <w:szCs w:val="18"/>
              </w:rPr>
            </w:pPr>
          </w:p>
        </w:tc>
        <w:tc>
          <w:tcPr>
            <w:tcW w:w="540" w:type="dxa"/>
            <w:tcBorders>
              <w:right w:val="dashSmallGap" w:sz="4" w:space="0" w:color="auto"/>
            </w:tcBorders>
          </w:tcPr>
          <w:p w:rsidR="00185C77" w:rsidRDefault="00185C77">
            <w:pPr>
              <w:ind w:right="-29"/>
              <w:jc w:val="center"/>
              <w:rPr>
                <w:noProof/>
                <w:sz w:val="18"/>
                <w:szCs w:val="18"/>
              </w:rPr>
            </w:pPr>
          </w:p>
        </w:tc>
        <w:tc>
          <w:tcPr>
            <w:tcW w:w="648" w:type="dxa"/>
            <w:tcBorders>
              <w:left w:val="dashSmallGap" w:sz="4" w:space="0" w:color="auto"/>
            </w:tcBorders>
          </w:tcPr>
          <w:p w:rsidR="00185C77" w:rsidRDefault="00185C77">
            <w:pPr>
              <w:ind w:right="-29"/>
              <w:jc w:val="center"/>
              <w:rPr>
                <w:noProof/>
                <w:sz w:val="18"/>
                <w:szCs w:val="18"/>
              </w:rPr>
            </w:pPr>
          </w:p>
        </w:tc>
        <w:tc>
          <w:tcPr>
            <w:tcW w:w="432" w:type="dxa"/>
            <w:tcBorders>
              <w:right w:val="dashSmallGap" w:sz="4" w:space="0" w:color="auto"/>
            </w:tcBorders>
          </w:tcPr>
          <w:p w:rsidR="00185C77" w:rsidRDefault="00185C77">
            <w:pPr>
              <w:ind w:right="-29"/>
              <w:jc w:val="center"/>
              <w:rPr>
                <w:noProof/>
                <w:sz w:val="18"/>
                <w:szCs w:val="18"/>
              </w:rPr>
            </w:pPr>
          </w:p>
        </w:tc>
        <w:tc>
          <w:tcPr>
            <w:tcW w:w="720" w:type="dxa"/>
            <w:tcBorders>
              <w:left w:val="dashSmallGap" w:sz="4" w:space="0" w:color="auto"/>
            </w:tcBorders>
          </w:tcPr>
          <w:p w:rsidR="00185C77" w:rsidRDefault="00185C77">
            <w:pPr>
              <w:ind w:right="-29"/>
              <w:jc w:val="center"/>
              <w:rPr>
                <w:noProof/>
                <w:sz w:val="18"/>
                <w:szCs w:val="18"/>
              </w:rPr>
            </w:pPr>
          </w:p>
        </w:tc>
        <w:tc>
          <w:tcPr>
            <w:tcW w:w="540" w:type="dxa"/>
            <w:tcBorders>
              <w:right w:val="dashSmallGap" w:sz="4" w:space="0" w:color="auto"/>
            </w:tcBorders>
          </w:tcPr>
          <w:p w:rsidR="00185C77" w:rsidRDefault="00185C77">
            <w:pPr>
              <w:ind w:right="-29"/>
              <w:jc w:val="center"/>
              <w:rPr>
                <w:noProof/>
                <w:sz w:val="18"/>
                <w:szCs w:val="18"/>
              </w:rPr>
            </w:pPr>
          </w:p>
        </w:tc>
        <w:tc>
          <w:tcPr>
            <w:tcW w:w="720" w:type="dxa"/>
            <w:tcBorders>
              <w:left w:val="dashSmallGap" w:sz="4" w:space="0" w:color="auto"/>
            </w:tcBorders>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900" w:type="dxa"/>
          </w:tcPr>
          <w:p w:rsidR="00185C77" w:rsidRDefault="00185C77">
            <w:pPr>
              <w:ind w:right="-29"/>
              <w:jc w:val="center"/>
              <w:rPr>
                <w:noProof/>
                <w:sz w:val="18"/>
                <w:szCs w:val="18"/>
              </w:rPr>
            </w:pPr>
          </w:p>
        </w:tc>
      </w:tr>
      <w:tr w:rsidR="00185C77">
        <w:trPr>
          <w:trHeight w:hRule="exact" w:val="369"/>
          <w:jc w:val="center"/>
        </w:trPr>
        <w:tc>
          <w:tcPr>
            <w:tcW w:w="1423" w:type="dxa"/>
          </w:tcPr>
          <w:p w:rsidR="00185C77" w:rsidRDefault="00176197">
            <w:pPr>
              <w:ind w:right="-29"/>
              <w:jc w:val="center"/>
              <w:rPr>
                <w:noProof/>
                <w:sz w:val="18"/>
                <w:szCs w:val="18"/>
              </w:rPr>
            </w:pPr>
            <w:r>
              <w:rPr>
                <w:noProof/>
                <w:sz w:val="18"/>
              </w:rPr>
              <w:t>- Резултат</w:t>
            </w:r>
          </w:p>
        </w:tc>
        <w:tc>
          <w:tcPr>
            <w:tcW w:w="931" w:type="dxa"/>
          </w:tcPr>
          <w:p w:rsidR="00185C77" w:rsidRDefault="00185C77">
            <w:pPr>
              <w:ind w:right="-29"/>
              <w:jc w:val="center"/>
              <w:rPr>
                <w:noProof/>
                <w:sz w:val="18"/>
                <w:szCs w:val="18"/>
              </w:rPr>
            </w:pPr>
          </w:p>
        </w:tc>
        <w:tc>
          <w:tcPr>
            <w:tcW w:w="709" w:type="dxa"/>
          </w:tcPr>
          <w:p w:rsidR="00185C77" w:rsidRDefault="00185C77">
            <w:pPr>
              <w:ind w:right="-29"/>
              <w:jc w:val="center"/>
              <w:rPr>
                <w:noProof/>
                <w:sz w:val="18"/>
                <w:szCs w:val="18"/>
              </w:rPr>
            </w:pPr>
          </w:p>
        </w:tc>
        <w:tc>
          <w:tcPr>
            <w:tcW w:w="425" w:type="dxa"/>
          </w:tcPr>
          <w:p w:rsidR="00185C77" w:rsidRDefault="00185C77">
            <w:pPr>
              <w:ind w:right="-29"/>
              <w:jc w:val="center"/>
              <w:rPr>
                <w:noProof/>
                <w:sz w:val="18"/>
                <w:szCs w:val="18"/>
              </w:rPr>
            </w:pPr>
          </w:p>
        </w:tc>
        <w:tc>
          <w:tcPr>
            <w:tcW w:w="709" w:type="dxa"/>
          </w:tcPr>
          <w:p w:rsidR="00185C77" w:rsidRDefault="00185C77">
            <w:pPr>
              <w:ind w:right="-29"/>
              <w:jc w:val="center"/>
              <w:rPr>
                <w:noProof/>
                <w:sz w:val="18"/>
                <w:szCs w:val="18"/>
              </w:rPr>
            </w:pPr>
          </w:p>
        </w:tc>
        <w:tc>
          <w:tcPr>
            <w:tcW w:w="411"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900" w:type="dxa"/>
          </w:tcPr>
          <w:p w:rsidR="00185C77" w:rsidRDefault="00185C77">
            <w:pPr>
              <w:ind w:right="-29"/>
              <w:jc w:val="center"/>
              <w:rPr>
                <w:noProof/>
                <w:sz w:val="18"/>
                <w:szCs w:val="18"/>
              </w:rPr>
            </w:pPr>
          </w:p>
        </w:tc>
        <w:tc>
          <w:tcPr>
            <w:tcW w:w="720" w:type="dxa"/>
            <w:gridSpan w:val="2"/>
          </w:tcPr>
          <w:p w:rsidR="00185C77" w:rsidRDefault="00185C77">
            <w:pPr>
              <w:ind w:right="-29"/>
              <w:jc w:val="center"/>
              <w:rPr>
                <w:noProof/>
                <w:sz w:val="18"/>
                <w:szCs w:val="18"/>
              </w:rPr>
            </w:pPr>
          </w:p>
        </w:tc>
        <w:tc>
          <w:tcPr>
            <w:tcW w:w="540" w:type="dxa"/>
          </w:tcPr>
          <w:p w:rsidR="00185C77" w:rsidRDefault="00185C77">
            <w:pPr>
              <w:ind w:right="-29"/>
              <w:jc w:val="center"/>
              <w:rPr>
                <w:noProof/>
                <w:sz w:val="18"/>
                <w:szCs w:val="18"/>
              </w:rPr>
            </w:pPr>
          </w:p>
        </w:tc>
        <w:tc>
          <w:tcPr>
            <w:tcW w:w="648" w:type="dxa"/>
          </w:tcPr>
          <w:p w:rsidR="00185C77" w:rsidRDefault="00185C77">
            <w:pPr>
              <w:ind w:right="-29"/>
              <w:jc w:val="center"/>
              <w:rPr>
                <w:noProof/>
                <w:sz w:val="18"/>
                <w:szCs w:val="18"/>
              </w:rPr>
            </w:pPr>
          </w:p>
        </w:tc>
        <w:tc>
          <w:tcPr>
            <w:tcW w:w="432"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540"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900" w:type="dxa"/>
          </w:tcPr>
          <w:p w:rsidR="00185C77" w:rsidRDefault="00185C77">
            <w:pPr>
              <w:ind w:right="-29"/>
              <w:jc w:val="center"/>
              <w:rPr>
                <w:noProof/>
                <w:sz w:val="18"/>
                <w:szCs w:val="18"/>
              </w:rPr>
            </w:pPr>
          </w:p>
        </w:tc>
      </w:tr>
      <w:tr w:rsidR="00185C77">
        <w:trPr>
          <w:jc w:val="center"/>
        </w:trPr>
        <w:tc>
          <w:tcPr>
            <w:tcW w:w="3063" w:type="dxa"/>
            <w:gridSpan w:val="3"/>
            <w:tcBorders>
              <w:bottom w:val="single" w:sz="12" w:space="0" w:color="auto"/>
            </w:tcBorders>
            <w:vAlign w:val="center"/>
          </w:tcPr>
          <w:p w:rsidR="00185C77" w:rsidRDefault="00176197">
            <w:pPr>
              <w:ind w:right="-29"/>
              <w:jc w:val="center"/>
              <w:rPr>
                <w:noProof/>
                <w:sz w:val="18"/>
                <w:szCs w:val="18"/>
              </w:rPr>
            </w:pPr>
            <w:r>
              <w:rPr>
                <w:noProof/>
                <w:sz w:val="18"/>
              </w:rPr>
              <w:t>Междинен сбор за конкретна цел № 1</w:t>
            </w:r>
          </w:p>
        </w:tc>
        <w:tc>
          <w:tcPr>
            <w:tcW w:w="425" w:type="dxa"/>
            <w:tcBorders>
              <w:bottom w:val="single" w:sz="12" w:space="0" w:color="auto"/>
            </w:tcBorders>
          </w:tcPr>
          <w:p w:rsidR="00185C77" w:rsidRDefault="00185C77">
            <w:pPr>
              <w:ind w:right="-29"/>
              <w:jc w:val="center"/>
              <w:rPr>
                <w:noProof/>
                <w:sz w:val="18"/>
                <w:szCs w:val="18"/>
              </w:rPr>
            </w:pPr>
          </w:p>
        </w:tc>
        <w:tc>
          <w:tcPr>
            <w:tcW w:w="709" w:type="dxa"/>
            <w:tcBorders>
              <w:bottom w:val="single" w:sz="12" w:space="0" w:color="auto"/>
            </w:tcBorders>
          </w:tcPr>
          <w:p w:rsidR="00185C77" w:rsidRDefault="00185C77">
            <w:pPr>
              <w:ind w:right="-29"/>
              <w:jc w:val="center"/>
              <w:rPr>
                <w:noProof/>
                <w:sz w:val="18"/>
                <w:szCs w:val="18"/>
              </w:rPr>
            </w:pPr>
          </w:p>
        </w:tc>
        <w:tc>
          <w:tcPr>
            <w:tcW w:w="411"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900" w:type="dxa"/>
            <w:tcBorders>
              <w:bottom w:val="single" w:sz="12" w:space="0" w:color="auto"/>
            </w:tcBorders>
          </w:tcPr>
          <w:p w:rsidR="00185C77" w:rsidRDefault="00185C77">
            <w:pPr>
              <w:ind w:right="-29"/>
              <w:jc w:val="center"/>
              <w:rPr>
                <w:noProof/>
                <w:sz w:val="18"/>
                <w:szCs w:val="18"/>
              </w:rPr>
            </w:pPr>
          </w:p>
        </w:tc>
        <w:tc>
          <w:tcPr>
            <w:tcW w:w="720" w:type="dxa"/>
            <w:gridSpan w:val="2"/>
            <w:tcBorders>
              <w:bottom w:val="single" w:sz="12" w:space="0" w:color="auto"/>
            </w:tcBorders>
          </w:tcPr>
          <w:p w:rsidR="00185C77" w:rsidRDefault="00185C77">
            <w:pPr>
              <w:ind w:right="-29"/>
              <w:jc w:val="center"/>
              <w:rPr>
                <w:noProof/>
                <w:sz w:val="18"/>
                <w:szCs w:val="18"/>
              </w:rPr>
            </w:pPr>
          </w:p>
        </w:tc>
        <w:tc>
          <w:tcPr>
            <w:tcW w:w="540" w:type="dxa"/>
            <w:tcBorders>
              <w:bottom w:val="single" w:sz="12" w:space="0" w:color="auto"/>
            </w:tcBorders>
          </w:tcPr>
          <w:p w:rsidR="00185C77" w:rsidRDefault="00185C77">
            <w:pPr>
              <w:ind w:right="-29"/>
              <w:jc w:val="center"/>
              <w:rPr>
                <w:noProof/>
                <w:sz w:val="18"/>
                <w:szCs w:val="18"/>
              </w:rPr>
            </w:pPr>
          </w:p>
        </w:tc>
        <w:tc>
          <w:tcPr>
            <w:tcW w:w="648" w:type="dxa"/>
            <w:tcBorders>
              <w:bottom w:val="single" w:sz="12" w:space="0" w:color="auto"/>
            </w:tcBorders>
          </w:tcPr>
          <w:p w:rsidR="00185C77" w:rsidRDefault="00185C77">
            <w:pPr>
              <w:ind w:right="-29"/>
              <w:jc w:val="center"/>
              <w:rPr>
                <w:noProof/>
                <w:sz w:val="18"/>
                <w:szCs w:val="18"/>
              </w:rPr>
            </w:pPr>
          </w:p>
        </w:tc>
        <w:tc>
          <w:tcPr>
            <w:tcW w:w="432"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540"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900" w:type="dxa"/>
            <w:tcBorders>
              <w:bottom w:val="single" w:sz="12" w:space="0" w:color="auto"/>
            </w:tcBorders>
          </w:tcPr>
          <w:p w:rsidR="00185C77" w:rsidRDefault="00185C77">
            <w:pPr>
              <w:ind w:right="-29"/>
              <w:jc w:val="center"/>
              <w:rPr>
                <w:noProof/>
                <w:sz w:val="18"/>
                <w:szCs w:val="18"/>
              </w:rPr>
            </w:pPr>
          </w:p>
        </w:tc>
      </w:tr>
      <w:tr w:rsidR="00185C77">
        <w:trPr>
          <w:jc w:val="center"/>
        </w:trPr>
        <w:tc>
          <w:tcPr>
            <w:tcW w:w="3063" w:type="dxa"/>
            <w:gridSpan w:val="3"/>
            <w:vAlign w:val="center"/>
          </w:tcPr>
          <w:p w:rsidR="00185C77" w:rsidRDefault="00176197">
            <w:pPr>
              <w:spacing w:before="60" w:after="60"/>
              <w:ind w:right="-29"/>
              <w:jc w:val="center"/>
              <w:rPr>
                <w:noProof/>
                <w:sz w:val="18"/>
                <w:szCs w:val="18"/>
              </w:rPr>
            </w:pPr>
            <w:r>
              <w:rPr>
                <w:noProof/>
                <w:sz w:val="18"/>
              </w:rPr>
              <w:t>КОНКРЕТНА ЦЕЛ № 2…</w:t>
            </w:r>
          </w:p>
        </w:tc>
        <w:tc>
          <w:tcPr>
            <w:tcW w:w="425" w:type="dxa"/>
            <w:tcBorders>
              <w:top w:val="nil"/>
              <w:left w:val="nil"/>
              <w:bottom w:val="nil"/>
              <w:right w:val="nil"/>
            </w:tcBorders>
          </w:tcPr>
          <w:p w:rsidR="00185C77" w:rsidRDefault="00185C77">
            <w:pPr>
              <w:spacing w:before="60" w:after="60"/>
              <w:ind w:right="-29"/>
              <w:jc w:val="center"/>
              <w:rPr>
                <w:noProof/>
                <w:sz w:val="18"/>
                <w:szCs w:val="18"/>
              </w:rPr>
            </w:pPr>
          </w:p>
        </w:tc>
        <w:tc>
          <w:tcPr>
            <w:tcW w:w="709" w:type="dxa"/>
            <w:tcBorders>
              <w:top w:val="nil"/>
              <w:left w:val="nil"/>
              <w:bottom w:val="nil"/>
              <w:right w:val="nil"/>
            </w:tcBorders>
          </w:tcPr>
          <w:p w:rsidR="00185C77" w:rsidRDefault="00185C77">
            <w:pPr>
              <w:spacing w:before="60" w:after="60"/>
              <w:ind w:right="-29"/>
              <w:jc w:val="center"/>
              <w:rPr>
                <w:noProof/>
                <w:sz w:val="18"/>
                <w:szCs w:val="18"/>
              </w:rPr>
            </w:pPr>
          </w:p>
        </w:tc>
        <w:tc>
          <w:tcPr>
            <w:tcW w:w="411"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90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gridSpan w:val="2"/>
            <w:tcBorders>
              <w:top w:val="nil"/>
              <w:left w:val="nil"/>
              <w:bottom w:val="nil"/>
              <w:right w:val="nil"/>
            </w:tcBorders>
          </w:tcPr>
          <w:p w:rsidR="00185C77" w:rsidRDefault="00185C77">
            <w:pPr>
              <w:spacing w:before="60" w:after="60"/>
              <w:ind w:right="-29"/>
              <w:jc w:val="center"/>
              <w:rPr>
                <w:noProof/>
                <w:sz w:val="18"/>
                <w:szCs w:val="18"/>
              </w:rPr>
            </w:pPr>
          </w:p>
        </w:tc>
        <w:tc>
          <w:tcPr>
            <w:tcW w:w="540" w:type="dxa"/>
            <w:tcBorders>
              <w:top w:val="nil"/>
              <w:left w:val="nil"/>
              <w:bottom w:val="nil"/>
              <w:right w:val="nil"/>
            </w:tcBorders>
          </w:tcPr>
          <w:p w:rsidR="00185C77" w:rsidRDefault="00185C77">
            <w:pPr>
              <w:spacing w:before="60" w:after="60"/>
              <w:ind w:right="-29"/>
              <w:jc w:val="center"/>
              <w:rPr>
                <w:noProof/>
                <w:sz w:val="18"/>
                <w:szCs w:val="18"/>
              </w:rPr>
            </w:pPr>
          </w:p>
        </w:tc>
        <w:tc>
          <w:tcPr>
            <w:tcW w:w="648" w:type="dxa"/>
            <w:tcBorders>
              <w:top w:val="nil"/>
              <w:left w:val="nil"/>
              <w:bottom w:val="nil"/>
              <w:right w:val="nil"/>
            </w:tcBorders>
          </w:tcPr>
          <w:p w:rsidR="00185C77" w:rsidRDefault="00185C77">
            <w:pPr>
              <w:spacing w:before="60" w:after="60"/>
              <w:ind w:right="-29"/>
              <w:jc w:val="center"/>
              <w:rPr>
                <w:noProof/>
                <w:sz w:val="18"/>
                <w:szCs w:val="18"/>
              </w:rPr>
            </w:pPr>
          </w:p>
        </w:tc>
        <w:tc>
          <w:tcPr>
            <w:tcW w:w="432"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54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720" w:type="dxa"/>
            <w:tcBorders>
              <w:top w:val="nil"/>
              <w:left w:val="nil"/>
              <w:bottom w:val="nil"/>
              <w:right w:val="nil"/>
            </w:tcBorders>
          </w:tcPr>
          <w:p w:rsidR="00185C77" w:rsidRDefault="00185C77">
            <w:pPr>
              <w:spacing w:before="60" w:after="60"/>
              <w:ind w:right="-29"/>
              <w:jc w:val="center"/>
              <w:rPr>
                <w:noProof/>
                <w:sz w:val="18"/>
                <w:szCs w:val="18"/>
              </w:rPr>
            </w:pPr>
          </w:p>
        </w:tc>
        <w:tc>
          <w:tcPr>
            <w:tcW w:w="900" w:type="dxa"/>
            <w:tcBorders>
              <w:top w:val="nil"/>
              <w:left w:val="nil"/>
              <w:bottom w:val="nil"/>
              <w:right w:val="nil"/>
            </w:tcBorders>
          </w:tcPr>
          <w:p w:rsidR="00185C77" w:rsidRDefault="00185C77">
            <w:pPr>
              <w:spacing w:before="60" w:after="60"/>
              <w:ind w:right="-29"/>
              <w:jc w:val="center"/>
              <w:rPr>
                <w:noProof/>
                <w:sz w:val="18"/>
                <w:szCs w:val="18"/>
              </w:rPr>
            </w:pPr>
          </w:p>
        </w:tc>
      </w:tr>
      <w:tr w:rsidR="00185C77">
        <w:trPr>
          <w:trHeight w:hRule="exact" w:val="369"/>
          <w:jc w:val="center"/>
        </w:trPr>
        <w:tc>
          <w:tcPr>
            <w:tcW w:w="1423" w:type="dxa"/>
          </w:tcPr>
          <w:p w:rsidR="00185C77" w:rsidRDefault="00176197">
            <w:pPr>
              <w:ind w:right="-29"/>
              <w:jc w:val="center"/>
              <w:rPr>
                <w:noProof/>
                <w:sz w:val="18"/>
                <w:szCs w:val="18"/>
              </w:rPr>
            </w:pPr>
            <w:r>
              <w:rPr>
                <w:noProof/>
                <w:sz w:val="18"/>
              </w:rPr>
              <w:t>- Резултат</w:t>
            </w:r>
          </w:p>
        </w:tc>
        <w:tc>
          <w:tcPr>
            <w:tcW w:w="931" w:type="dxa"/>
          </w:tcPr>
          <w:p w:rsidR="00185C77" w:rsidRDefault="00185C77">
            <w:pPr>
              <w:ind w:right="-29"/>
              <w:jc w:val="center"/>
              <w:rPr>
                <w:noProof/>
                <w:sz w:val="18"/>
                <w:szCs w:val="18"/>
              </w:rPr>
            </w:pPr>
          </w:p>
        </w:tc>
        <w:tc>
          <w:tcPr>
            <w:tcW w:w="709" w:type="dxa"/>
          </w:tcPr>
          <w:p w:rsidR="00185C77" w:rsidRDefault="00185C77">
            <w:pPr>
              <w:ind w:right="-29"/>
              <w:jc w:val="center"/>
              <w:rPr>
                <w:noProof/>
                <w:sz w:val="18"/>
                <w:szCs w:val="18"/>
              </w:rPr>
            </w:pPr>
          </w:p>
        </w:tc>
        <w:tc>
          <w:tcPr>
            <w:tcW w:w="425" w:type="dxa"/>
          </w:tcPr>
          <w:p w:rsidR="00185C77" w:rsidRDefault="00185C77">
            <w:pPr>
              <w:ind w:right="-29"/>
              <w:jc w:val="center"/>
              <w:rPr>
                <w:noProof/>
                <w:sz w:val="18"/>
                <w:szCs w:val="18"/>
              </w:rPr>
            </w:pPr>
          </w:p>
        </w:tc>
        <w:tc>
          <w:tcPr>
            <w:tcW w:w="709" w:type="dxa"/>
          </w:tcPr>
          <w:p w:rsidR="00185C77" w:rsidRDefault="00185C77">
            <w:pPr>
              <w:ind w:right="-29"/>
              <w:jc w:val="center"/>
              <w:rPr>
                <w:noProof/>
                <w:sz w:val="18"/>
                <w:szCs w:val="18"/>
              </w:rPr>
            </w:pPr>
          </w:p>
        </w:tc>
        <w:tc>
          <w:tcPr>
            <w:tcW w:w="411"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900" w:type="dxa"/>
          </w:tcPr>
          <w:p w:rsidR="00185C77" w:rsidRDefault="00185C77">
            <w:pPr>
              <w:ind w:right="-29"/>
              <w:jc w:val="center"/>
              <w:rPr>
                <w:noProof/>
                <w:sz w:val="18"/>
                <w:szCs w:val="18"/>
              </w:rPr>
            </w:pPr>
          </w:p>
        </w:tc>
        <w:tc>
          <w:tcPr>
            <w:tcW w:w="720" w:type="dxa"/>
            <w:gridSpan w:val="2"/>
          </w:tcPr>
          <w:p w:rsidR="00185C77" w:rsidRDefault="00185C77">
            <w:pPr>
              <w:ind w:right="-29"/>
              <w:jc w:val="center"/>
              <w:rPr>
                <w:noProof/>
                <w:sz w:val="18"/>
                <w:szCs w:val="18"/>
              </w:rPr>
            </w:pPr>
          </w:p>
        </w:tc>
        <w:tc>
          <w:tcPr>
            <w:tcW w:w="540" w:type="dxa"/>
          </w:tcPr>
          <w:p w:rsidR="00185C77" w:rsidRDefault="00185C77">
            <w:pPr>
              <w:ind w:right="-29"/>
              <w:jc w:val="center"/>
              <w:rPr>
                <w:noProof/>
                <w:sz w:val="18"/>
                <w:szCs w:val="18"/>
              </w:rPr>
            </w:pPr>
          </w:p>
        </w:tc>
        <w:tc>
          <w:tcPr>
            <w:tcW w:w="648" w:type="dxa"/>
          </w:tcPr>
          <w:p w:rsidR="00185C77" w:rsidRDefault="00185C77">
            <w:pPr>
              <w:ind w:right="-29"/>
              <w:jc w:val="center"/>
              <w:rPr>
                <w:noProof/>
                <w:sz w:val="18"/>
                <w:szCs w:val="18"/>
              </w:rPr>
            </w:pPr>
          </w:p>
        </w:tc>
        <w:tc>
          <w:tcPr>
            <w:tcW w:w="432"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540"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720" w:type="dxa"/>
          </w:tcPr>
          <w:p w:rsidR="00185C77" w:rsidRDefault="00185C77">
            <w:pPr>
              <w:ind w:right="-29"/>
              <w:jc w:val="center"/>
              <w:rPr>
                <w:noProof/>
                <w:sz w:val="18"/>
                <w:szCs w:val="18"/>
              </w:rPr>
            </w:pPr>
          </w:p>
        </w:tc>
        <w:tc>
          <w:tcPr>
            <w:tcW w:w="900" w:type="dxa"/>
          </w:tcPr>
          <w:p w:rsidR="00185C77" w:rsidRDefault="00185C77">
            <w:pPr>
              <w:ind w:right="-29"/>
              <w:jc w:val="center"/>
              <w:rPr>
                <w:noProof/>
                <w:sz w:val="18"/>
                <w:szCs w:val="18"/>
              </w:rPr>
            </w:pPr>
          </w:p>
        </w:tc>
      </w:tr>
      <w:tr w:rsidR="00185C77">
        <w:trPr>
          <w:jc w:val="center"/>
        </w:trPr>
        <w:tc>
          <w:tcPr>
            <w:tcW w:w="3063" w:type="dxa"/>
            <w:gridSpan w:val="3"/>
            <w:tcBorders>
              <w:bottom w:val="single" w:sz="12" w:space="0" w:color="auto"/>
            </w:tcBorders>
            <w:vAlign w:val="center"/>
          </w:tcPr>
          <w:p w:rsidR="00185C77" w:rsidRDefault="00176197">
            <w:pPr>
              <w:jc w:val="center"/>
              <w:rPr>
                <w:noProof/>
                <w:sz w:val="18"/>
                <w:szCs w:val="18"/>
              </w:rPr>
            </w:pPr>
            <w:r>
              <w:rPr>
                <w:noProof/>
                <w:sz w:val="18"/>
              </w:rPr>
              <w:t>Междинен сбор за конкретна цел № 2</w:t>
            </w:r>
          </w:p>
        </w:tc>
        <w:tc>
          <w:tcPr>
            <w:tcW w:w="425" w:type="dxa"/>
            <w:tcBorders>
              <w:bottom w:val="single" w:sz="12" w:space="0" w:color="auto"/>
            </w:tcBorders>
          </w:tcPr>
          <w:p w:rsidR="00185C77" w:rsidRDefault="00185C77">
            <w:pPr>
              <w:ind w:right="-29"/>
              <w:jc w:val="center"/>
              <w:rPr>
                <w:noProof/>
                <w:sz w:val="18"/>
                <w:szCs w:val="18"/>
              </w:rPr>
            </w:pPr>
          </w:p>
        </w:tc>
        <w:tc>
          <w:tcPr>
            <w:tcW w:w="709" w:type="dxa"/>
            <w:tcBorders>
              <w:bottom w:val="single" w:sz="12" w:space="0" w:color="auto"/>
            </w:tcBorders>
          </w:tcPr>
          <w:p w:rsidR="00185C77" w:rsidRDefault="00185C77">
            <w:pPr>
              <w:ind w:right="-29"/>
              <w:jc w:val="center"/>
              <w:rPr>
                <w:noProof/>
                <w:sz w:val="18"/>
                <w:szCs w:val="18"/>
              </w:rPr>
            </w:pPr>
          </w:p>
        </w:tc>
        <w:tc>
          <w:tcPr>
            <w:tcW w:w="411"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951" w:type="dxa"/>
            <w:gridSpan w:val="2"/>
            <w:tcBorders>
              <w:bottom w:val="single" w:sz="12" w:space="0" w:color="auto"/>
            </w:tcBorders>
          </w:tcPr>
          <w:p w:rsidR="00185C77" w:rsidRDefault="00185C77">
            <w:pPr>
              <w:ind w:right="-29"/>
              <w:jc w:val="center"/>
              <w:rPr>
                <w:noProof/>
                <w:sz w:val="18"/>
                <w:szCs w:val="18"/>
              </w:rPr>
            </w:pPr>
          </w:p>
        </w:tc>
        <w:tc>
          <w:tcPr>
            <w:tcW w:w="669" w:type="dxa"/>
            <w:tcBorders>
              <w:bottom w:val="single" w:sz="12" w:space="0" w:color="auto"/>
            </w:tcBorders>
          </w:tcPr>
          <w:p w:rsidR="00185C77" w:rsidRDefault="00185C77">
            <w:pPr>
              <w:ind w:right="-29"/>
              <w:jc w:val="center"/>
              <w:rPr>
                <w:noProof/>
                <w:sz w:val="18"/>
                <w:szCs w:val="18"/>
              </w:rPr>
            </w:pPr>
          </w:p>
        </w:tc>
        <w:tc>
          <w:tcPr>
            <w:tcW w:w="540" w:type="dxa"/>
            <w:tcBorders>
              <w:bottom w:val="single" w:sz="12" w:space="0" w:color="auto"/>
            </w:tcBorders>
          </w:tcPr>
          <w:p w:rsidR="00185C77" w:rsidRDefault="00185C77">
            <w:pPr>
              <w:ind w:right="-29"/>
              <w:jc w:val="center"/>
              <w:rPr>
                <w:noProof/>
                <w:sz w:val="18"/>
                <w:szCs w:val="18"/>
              </w:rPr>
            </w:pPr>
          </w:p>
        </w:tc>
        <w:tc>
          <w:tcPr>
            <w:tcW w:w="648" w:type="dxa"/>
            <w:tcBorders>
              <w:bottom w:val="single" w:sz="12" w:space="0" w:color="auto"/>
            </w:tcBorders>
          </w:tcPr>
          <w:p w:rsidR="00185C77" w:rsidRDefault="00185C77">
            <w:pPr>
              <w:ind w:right="-29"/>
              <w:jc w:val="center"/>
              <w:rPr>
                <w:noProof/>
                <w:sz w:val="18"/>
                <w:szCs w:val="18"/>
              </w:rPr>
            </w:pPr>
          </w:p>
        </w:tc>
        <w:tc>
          <w:tcPr>
            <w:tcW w:w="432"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540"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720" w:type="dxa"/>
            <w:tcBorders>
              <w:bottom w:val="single" w:sz="12" w:space="0" w:color="auto"/>
            </w:tcBorders>
          </w:tcPr>
          <w:p w:rsidR="00185C77" w:rsidRDefault="00185C77">
            <w:pPr>
              <w:ind w:right="-29"/>
              <w:jc w:val="center"/>
              <w:rPr>
                <w:noProof/>
                <w:sz w:val="18"/>
                <w:szCs w:val="18"/>
              </w:rPr>
            </w:pPr>
          </w:p>
        </w:tc>
        <w:tc>
          <w:tcPr>
            <w:tcW w:w="900" w:type="dxa"/>
            <w:tcBorders>
              <w:bottom w:val="single" w:sz="12" w:space="0" w:color="auto"/>
            </w:tcBorders>
          </w:tcPr>
          <w:p w:rsidR="00185C77" w:rsidRDefault="00185C77">
            <w:pPr>
              <w:ind w:right="-29"/>
              <w:jc w:val="center"/>
              <w:rPr>
                <w:noProof/>
                <w:sz w:val="18"/>
                <w:szCs w:val="18"/>
              </w:rPr>
            </w:pPr>
          </w:p>
        </w:tc>
      </w:tr>
      <w:tr w:rsidR="00185C77">
        <w:trPr>
          <w:jc w:val="center"/>
        </w:trPr>
        <w:tc>
          <w:tcPr>
            <w:tcW w:w="3063" w:type="dxa"/>
            <w:gridSpan w:val="3"/>
            <w:tcBorders>
              <w:top w:val="single" w:sz="12" w:space="0" w:color="auto"/>
              <w:left w:val="single" w:sz="12" w:space="0" w:color="auto"/>
              <w:bottom w:val="single" w:sz="12" w:space="0" w:color="auto"/>
            </w:tcBorders>
            <w:vAlign w:val="center"/>
          </w:tcPr>
          <w:p w:rsidR="00185C77" w:rsidRDefault="00176197">
            <w:pPr>
              <w:ind w:right="-29"/>
              <w:jc w:val="center"/>
              <w:rPr>
                <w:noProof/>
                <w:sz w:val="18"/>
                <w:szCs w:val="18"/>
              </w:rPr>
            </w:pPr>
            <w:r>
              <w:rPr>
                <w:b/>
                <w:noProof/>
                <w:sz w:val="18"/>
              </w:rPr>
              <w:t>ОБЩО РАЗХОДИ</w:t>
            </w:r>
          </w:p>
        </w:tc>
        <w:tc>
          <w:tcPr>
            <w:tcW w:w="425" w:type="dxa"/>
            <w:tcBorders>
              <w:top w:val="single" w:sz="12" w:space="0" w:color="auto"/>
              <w:bottom w:val="single" w:sz="12" w:space="0" w:color="auto"/>
            </w:tcBorders>
          </w:tcPr>
          <w:p w:rsidR="00185C77" w:rsidRDefault="00176197">
            <w:pPr>
              <w:spacing w:before="180" w:after="180"/>
              <w:ind w:right="-29"/>
              <w:jc w:val="center"/>
              <w:rPr>
                <w:noProof/>
                <w:sz w:val="18"/>
                <w:szCs w:val="18"/>
              </w:rPr>
            </w:pPr>
            <w:r>
              <w:rPr>
                <w:noProof/>
                <w:sz w:val="18"/>
              </w:rPr>
              <w:t>1</w:t>
            </w:r>
          </w:p>
        </w:tc>
        <w:tc>
          <w:tcPr>
            <w:tcW w:w="709" w:type="dxa"/>
            <w:tcBorders>
              <w:top w:val="single" w:sz="12" w:space="0" w:color="auto"/>
              <w:bottom w:val="single" w:sz="12" w:space="0" w:color="auto"/>
            </w:tcBorders>
          </w:tcPr>
          <w:p w:rsidR="00185C77" w:rsidRDefault="00176197">
            <w:pPr>
              <w:spacing w:before="180" w:after="180"/>
              <w:ind w:right="-29"/>
              <w:jc w:val="center"/>
              <w:rPr>
                <w:noProof/>
                <w:sz w:val="18"/>
                <w:szCs w:val="18"/>
              </w:rPr>
            </w:pPr>
            <w:r>
              <w:rPr>
                <w:noProof/>
                <w:sz w:val="18"/>
              </w:rPr>
              <w:t>0,500</w:t>
            </w:r>
          </w:p>
        </w:tc>
        <w:tc>
          <w:tcPr>
            <w:tcW w:w="411" w:type="dxa"/>
            <w:tcBorders>
              <w:top w:val="single" w:sz="12" w:space="0" w:color="auto"/>
              <w:bottom w:val="single" w:sz="12" w:space="0" w:color="auto"/>
            </w:tcBorders>
          </w:tcPr>
          <w:p w:rsidR="00185C77" w:rsidRDefault="00176197">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185C77" w:rsidRDefault="00176197">
            <w:pPr>
              <w:spacing w:before="180" w:after="180"/>
              <w:ind w:right="-29"/>
              <w:jc w:val="center"/>
              <w:rPr>
                <w:noProof/>
                <w:sz w:val="18"/>
                <w:szCs w:val="18"/>
              </w:rPr>
            </w:pPr>
            <w:r>
              <w:rPr>
                <w:noProof/>
                <w:sz w:val="18"/>
              </w:rPr>
              <w:t>0,500</w:t>
            </w:r>
          </w:p>
        </w:tc>
        <w:tc>
          <w:tcPr>
            <w:tcW w:w="720"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720"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900"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540"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648"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432"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720"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540"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720"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720" w:type="dxa"/>
            <w:tcBorders>
              <w:top w:val="single" w:sz="12" w:space="0" w:color="auto"/>
              <w:bottom w:val="single" w:sz="12" w:space="0" w:color="auto"/>
            </w:tcBorders>
          </w:tcPr>
          <w:p w:rsidR="00185C77" w:rsidRDefault="00185C77">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85C77" w:rsidRDefault="00176197">
            <w:pPr>
              <w:spacing w:before="180" w:after="180"/>
              <w:ind w:right="-29"/>
              <w:jc w:val="center"/>
              <w:rPr>
                <w:noProof/>
                <w:sz w:val="18"/>
                <w:szCs w:val="18"/>
              </w:rPr>
            </w:pPr>
            <w:r>
              <w:rPr>
                <w:noProof/>
                <w:sz w:val="18"/>
              </w:rPr>
              <w:t>1,000</w:t>
            </w:r>
          </w:p>
        </w:tc>
      </w:tr>
    </w:tbl>
    <w:p w:rsidR="00185C77" w:rsidRDefault="00185C77">
      <w:pPr>
        <w:rPr>
          <w:noProof/>
        </w:rPr>
        <w:sectPr w:rsidR="00185C77" w:rsidSect="00176197">
          <w:pgSz w:w="16840" w:h="11907" w:orient="landscape" w:code="9"/>
          <w:pgMar w:top="1134" w:right="1418" w:bottom="567" w:left="1418" w:header="709" w:footer="709" w:gutter="0"/>
          <w:cols w:space="708"/>
          <w:docGrid w:linePitch="360"/>
        </w:sectPr>
      </w:pPr>
    </w:p>
    <w:p w:rsidR="00185C77" w:rsidRDefault="00176197">
      <w:pPr>
        <w:pStyle w:val="ManualHeading3"/>
        <w:rPr>
          <w:noProof/>
          <w:szCs w:val="24"/>
        </w:rPr>
      </w:pPr>
      <w:r>
        <w:rPr>
          <w:noProof/>
        </w:rPr>
        <w:t>3.2.3.</w:t>
      </w:r>
      <w:r>
        <w:rPr>
          <w:noProof/>
        </w:rPr>
        <w:tab/>
        <w:t>Очаквано отражение върху бюджетните кредити за административни разходи</w:t>
      </w:r>
    </w:p>
    <w:p w:rsidR="00185C77" w:rsidRDefault="00176197">
      <w:pPr>
        <w:pStyle w:val="ManualHeading4"/>
        <w:rPr>
          <w:noProof/>
        </w:rPr>
      </w:pPr>
      <w:r>
        <w:rPr>
          <w:noProof/>
        </w:rPr>
        <w:t>3.2.3.1.</w:t>
      </w:r>
      <w:r>
        <w:rPr>
          <w:noProof/>
        </w:rPr>
        <w:tab/>
        <w:t xml:space="preserve">Обобщение </w:t>
      </w:r>
    </w:p>
    <w:p w:rsidR="00185C77" w:rsidRDefault="00176197">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185C77" w:rsidRDefault="00176197">
      <w:pPr>
        <w:pStyle w:val="ListDash1"/>
        <w:rPr>
          <w:noProof/>
        </w:rPr>
      </w:pPr>
      <w:r>
        <w:rPr>
          <w:noProof/>
        </w:rPr>
        <w:sym w:font="Wingdings" w:char="F0FE"/>
      </w:r>
      <w:r>
        <w:rPr>
          <w:noProof/>
        </w:rPr>
        <w:tab/>
        <w:t>Предложението/инициативата нала</w:t>
      </w:r>
      <w:r>
        <w:rPr>
          <w:noProof/>
        </w:rPr>
        <w:t>га използване на бюджетни кредити за административни разходи съгласно обяснението по-долу:</w:t>
      </w:r>
    </w:p>
    <w:p w:rsidR="00185C77" w:rsidRDefault="00176197">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20"/>
        <w:gridCol w:w="1620"/>
        <w:gridCol w:w="1080"/>
      </w:tblGrid>
      <w:tr w:rsidR="00185C77">
        <w:trPr>
          <w:trHeight w:val="585"/>
        </w:trPr>
        <w:tc>
          <w:tcPr>
            <w:tcW w:w="1980" w:type="dxa"/>
          </w:tcPr>
          <w:p w:rsidR="00185C77" w:rsidRDefault="00185C77">
            <w:pPr>
              <w:spacing w:before="60" w:after="60" w:line="200" w:lineRule="exact"/>
              <w:rPr>
                <w:noProof/>
                <w:sz w:val="16"/>
                <w:szCs w:val="16"/>
              </w:rPr>
            </w:pPr>
          </w:p>
        </w:tc>
        <w:tc>
          <w:tcPr>
            <w:tcW w:w="1080" w:type="dxa"/>
            <w:vAlign w:val="center"/>
          </w:tcPr>
          <w:p w:rsidR="00185C77" w:rsidRDefault="00176197">
            <w:pPr>
              <w:spacing w:before="60" w:after="60" w:line="200" w:lineRule="exact"/>
              <w:jc w:val="center"/>
              <w:rPr>
                <w:noProof/>
                <w:sz w:val="16"/>
                <w:szCs w:val="16"/>
              </w:rPr>
            </w:pPr>
            <w:r>
              <w:rPr>
                <w:noProof/>
                <w:sz w:val="16"/>
              </w:rPr>
              <w:t>Година</w:t>
            </w:r>
            <w:r>
              <w:rPr>
                <w:b/>
                <w:noProof/>
                <w:sz w:val="16"/>
              </w:rPr>
              <w:t>2019</w:t>
            </w:r>
          </w:p>
        </w:tc>
        <w:tc>
          <w:tcPr>
            <w:tcW w:w="1080" w:type="dxa"/>
            <w:vAlign w:val="center"/>
          </w:tcPr>
          <w:p w:rsidR="00185C77" w:rsidRDefault="00176197">
            <w:pPr>
              <w:spacing w:before="60" w:after="60" w:line="200" w:lineRule="exact"/>
              <w:jc w:val="center"/>
              <w:rPr>
                <w:noProof/>
                <w:sz w:val="16"/>
                <w:szCs w:val="16"/>
              </w:rPr>
            </w:pPr>
            <w:r>
              <w:rPr>
                <w:noProof/>
                <w:sz w:val="16"/>
              </w:rPr>
              <w:t>Година</w:t>
            </w:r>
            <w:r>
              <w:rPr>
                <w:b/>
                <w:noProof/>
                <w:sz w:val="16"/>
              </w:rPr>
              <w:t>2020</w:t>
            </w:r>
          </w:p>
        </w:tc>
        <w:tc>
          <w:tcPr>
            <w:tcW w:w="1080" w:type="dxa"/>
            <w:vAlign w:val="center"/>
          </w:tcPr>
          <w:p w:rsidR="00185C77" w:rsidRDefault="00176197">
            <w:pPr>
              <w:spacing w:before="60" w:after="60" w:line="200" w:lineRule="exact"/>
              <w:jc w:val="center"/>
              <w:rPr>
                <w:noProof/>
                <w:sz w:val="16"/>
                <w:szCs w:val="16"/>
              </w:rPr>
            </w:pPr>
            <w:r>
              <w:rPr>
                <w:noProof/>
                <w:sz w:val="16"/>
              </w:rPr>
              <w:t>Година</w:t>
            </w:r>
            <w:r>
              <w:rPr>
                <w:b/>
                <w:noProof/>
                <w:sz w:val="16"/>
              </w:rPr>
              <w:t>2022</w:t>
            </w:r>
          </w:p>
        </w:tc>
        <w:tc>
          <w:tcPr>
            <w:tcW w:w="1080" w:type="dxa"/>
            <w:vAlign w:val="center"/>
          </w:tcPr>
          <w:p w:rsidR="00185C77" w:rsidRDefault="00176197">
            <w:pPr>
              <w:spacing w:before="60" w:after="60" w:line="200" w:lineRule="exact"/>
              <w:jc w:val="center"/>
              <w:rPr>
                <w:noProof/>
                <w:sz w:val="16"/>
                <w:szCs w:val="16"/>
              </w:rPr>
            </w:pPr>
            <w:r>
              <w:rPr>
                <w:noProof/>
                <w:sz w:val="16"/>
              </w:rPr>
              <w:t>Година</w:t>
            </w:r>
            <w:r>
              <w:rPr>
                <w:b/>
                <w:noProof/>
                <w:sz w:val="16"/>
              </w:rPr>
              <w:t>2023</w:t>
            </w:r>
          </w:p>
        </w:tc>
        <w:tc>
          <w:tcPr>
            <w:tcW w:w="1620" w:type="dxa"/>
            <w:vAlign w:val="center"/>
          </w:tcPr>
          <w:p w:rsidR="00185C77" w:rsidRDefault="00176197">
            <w:pPr>
              <w:spacing w:line="200" w:lineRule="exact"/>
              <w:jc w:val="center"/>
              <w:rPr>
                <w:b/>
                <w:noProof/>
                <w:sz w:val="16"/>
                <w:szCs w:val="16"/>
              </w:rPr>
            </w:pPr>
            <w:r>
              <w:rPr>
                <w:noProof/>
                <w:sz w:val="16"/>
              </w:rPr>
              <w:t xml:space="preserve">… да се добавят толкова години, колкото е необходимо, за да се </w:t>
            </w:r>
            <w:r>
              <w:rPr>
                <w:noProof/>
                <w:sz w:val="16"/>
              </w:rPr>
              <w:t>обхване продължителността на отражението (вж. точка 1.6)</w:t>
            </w:r>
          </w:p>
        </w:tc>
        <w:tc>
          <w:tcPr>
            <w:tcW w:w="1620" w:type="dxa"/>
            <w:vAlign w:val="center"/>
          </w:tcPr>
          <w:p w:rsidR="00185C77" w:rsidRDefault="00185C77">
            <w:pPr>
              <w:spacing w:line="200" w:lineRule="exact"/>
              <w:jc w:val="center"/>
              <w:rPr>
                <w:b/>
                <w:noProof/>
                <w:sz w:val="16"/>
                <w:szCs w:val="16"/>
              </w:rPr>
            </w:pPr>
          </w:p>
        </w:tc>
        <w:tc>
          <w:tcPr>
            <w:tcW w:w="1080" w:type="dxa"/>
            <w:vAlign w:val="center"/>
          </w:tcPr>
          <w:p w:rsidR="00185C77" w:rsidRDefault="00176197">
            <w:pPr>
              <w:spacing w:before="60" w:after="60" w:line="200" w:lineRule="exact"/>
              <w:jc w:val="center"/>
              <w:rPr>
                <w:b/>
                <w:noProof/>
                <w:sz w:val="16"/>
                <w:szCs w:val="16"/>
              </w:rPr>
            </w:pPr>
            <w:r>
              <w:rPr>
                <w:b/>
                <w:noProof/>
                <w:sz w:val="16"/>
              </w:rPr>
              <w:t>ОБЩО</w:t>
            </w:r>
          </w:p>
        </w:tc>
      </w:tr>
    </w:tbl>
    <w:p w:rsidR="00185C77" w:rsidRDefault="00185C7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85C77">
        <w:trPr>
          <w:trHeight w:val="585"/>
        </w:trPr>
        <w:tc>
          <w:tcPr>
            <w:tcW w:w="1980" w:type="dxa"/>
            <w:shd w:val="clear" w:color="auto" w:fill="CCCCCC"/>
            <w:vAlign w:val="center"/>
          </w:tcPr>
          <w:p w:rsidR="00185C77" w:rsidRDefault="00176197">
            <w:pPr>
              <w:spacing w:before="60" w:after="60" w:line="200" w:lineRule="exact"/>
              <w:jc w:val="center"/>
              <w:rPr>
                <w:b/>
                <w:noProof/>
                <w:sz w:val="16"/>
                <w:szCs w:val="16"/>
              </w:rPr>
            </w:pPr>
            <w:r>
              <w:rPr>
                <w:b/>
                <w:noProof/>
                <w:sz w:val="16"/>
              </w:rPr>
              <w:t>ФУНКЦИЯ 5от многогодишната финансова рамка</w:t>
            </w: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b/>
                <w:noProof/>
                <w:sz w:val="16"/>
                <w:szCs w:val="16"/>
              </w:rPr>
            </w:pPr>
          </w:p>
        </w:tc>
        <w:tc>
          <w:tcPr>
            <w:tcW w:w="1080" w:type="dxa"/>
            <w:vAlign w:val="center"/>
          </w:tcPr>
          <w:p w:rsidR="00185C77" w:rsidRDefault="00185C77">
            <w:pPr>
              <w:spacing w:before="60" w:after="60" w:line="200" w:lineRule="exact"/>
              <w:jc w:val="right"/>
              <w:rPr>
                <w:b/>
                <w:noProof/>
                <w:sz w:val="16"/>
                <w:szCs w:val="16"/>
              </w:rPr>
            </w:pPr>
          </w:p>
        </w:tc>
      </w:tr>
      <w:tr w:rsidR="00185C77">
        <w:trPr>
          <w:trHeight w:val="585"/>
        </w:trPr>
        <w:tc>
          <w:tcPr>
            <w:tcW w:w="1980" w:type="dxa"/>
            <w:vAlign w:val="center"/>
          </w:tcPr>
          <w:p w:rsidR="00185C77" w:rsidRDefault="00176197">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185C77" w:rsidRDefault="00176197">
            <w:pPr>
              <w:spacing w:before="60" w:after="60" w:line="200" w:lineRule="exact"/>
              <w:jc w:val="right"/>
              <w:rPr>
                <w:noProof/>
                <w:sz w:val="16"/>
                <w:szCs w:val="16"/>
              </w:rPr>
            </w:pPr>
            <w:r>
              <w:rPr>
                <w:noProof/>
                <w:sz w:val="16"/>
              </w:rPr>
              <w:t>0,429</w:t>
            </w:r>
          </w:p>
        </w:tc>
        <w:tc>
          <w:tcPr>
            <w:tcW w:w="1080" w:type="dxa"/>
            <w:vAlign w:val="center"/>
          </w:tcPr>
          <w:p w:rsidR="00185C77" w:rsidRDefault="00176197">
            <w:pPr>
              <w:spacing w:before="60" w:after="60" w:line="200" w:lineRule="exact"/>
              <w:jc w:val="right"/>
              <w:rPr>
                <w:noProof/>
                <w:sz w:val="16"/>
                <w:szCs w:val="16"/>
              </w:rPr>
            </w:pPr>
            <w:r>
              <w:rPr>
                <w:noProof/>
                <w:sz w:val="16"/>
              </w:rPr>
              <w:t>0,429</w:t>
            </w: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b/>
                <w:noProof/>
                <w:sz w:val="16"/>
                <w:szCs w:val="16"/>
              </w:rPr>
            </w:pPr>
          </w:p>
        </w:tc>
        <w:tc>
          <w:tcPr>
            <w:tcW w:w="1080" w:type="dxa"/>
            <w:vAlign w:val="center"/>
          </w:tcPr>
          <w:p w:rsidR="00185C77" w:rsidRDefault="00176197">
            <w:pPr>
              <w:spacing w:before="60" w:after="60" w:line="200" w:lineRule="exact"/>
              <w:jc w:val="right"/>
              <w:rPr>
                <w:b/>
                <w:noProof/>
                <w:sz w:val="16"/>
                <w:szCs w:val="16"/>
              </w:rPr>
            </w:pPr>
            <w:r>
              <w:rPr>
                <w:b/>
                <w:noProof/>
                <w:sz w:val="16"/>
              </w:rPr>
              <w:t>0,858</w:t>
            </w:r>
          </w:p>
        </w:tc>
      </w:tr>
      <w:tr w:rsidR="00185C77">
        <w:trPr>
          <w:trHeight w:val="585"/>
        </w:trPr>
        <w:tc>
          <w:tcPr>
            <w:tcW w:w="1980" w:type="dxa"/>
            <w:vAlign w:val="center"/>
          </w:tcPr>
          <w:p w:rsidR="00185C77" w:rsidRDefault="00176197">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185C77" w:rsidRDefault="00176197">
            <w:pPr>
              <w:spacing w:before="60" w:after="60" w:line="200" w:lineRule="exact"/>
              <w:jc w:val="right"/>
              <w:rPr>
                <w:noProof/>
                <w:sz w:val="16"/>
                <w:szCs w:val="16"/>
              </w:rPr>
            </w:pPr>
            <w:r>
              <w:rPr>
                <w:noProof/>
                <w:sz w:val="16"/>
              </w:rPr>
              <w:t>0,015</w:t>
            </w:r>
          </w:p>
        </w:tc>
        <w:tc>
          <w:tcPr>
            <w:tcW w:w="1080" w:type="dxa"/>
            <w:vAlign w:val="center"/>
          </w:tcPr>
          <w:p w:rsidR="00185C77" w:rsidRDefault="00176197">
            <w:pPr>
              <w:spacing w:before="60" w:after="60" w:line="200" w:lineRule="exact"/>
              <w:jc w:val="right"/>
              <w:rPr>
                <w:noProof/>
                <w:sz w:val="16"/>
                <w:szCs w:val="16"/>
              </w:rPr>
            </w:pPr>
            <w:r>
              <w:rPr>
                <w:noProof/>
                <w:sz w:val="16"/>
              </w:rPr>
              <w:t>0,015</w:t>
            </w:r>
          </w:p>
        </w:tc>
        <w:tc>
          <w:tcPr>
            <w:tcW w:w="1080" w:type="dxa"/>
            <w:vAlign w:val="center"/>
          </w:tcPr>
          <w:p w:rsidR="00185C77" w:rsidRDefault="00185C77">
            <w:pPr>
              <w:spacing w:before="60" w:after="60" w:line="200" w:lineRule="exac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b/>
                <w:noProof/>
                <w:sz w:val="16"/>
                <w:szCs w:val="16"/>
              </w:rPr>
            </w:pPr>
          </w:p>
        </w:tc>
        <w:tc>
          <w:tcPr>
            <w:tcW w:w="1080" w:type="dxa"/>
            <w:vAlign w:val="center"/>
          </w:tcPr>
          <w:p w:rsidR="00185C77" w:rsidRDefault="00176197">
            <w:pPr>
              <w:spacing w:before="60" w:after="60" w:line="200" w:lineRule="exact"/>
              <w:jc w:val="right"/>
              <w:rPr>
                <w:b/>
                <w:noProof/>
                <w:sz w:val="16"/>
                <w:szCs w:val="16"/>
              </w:rPr>
            </w:pPr>
            <w:r>
              <w:rPr>
                <w:b/>
                <w:noProof/>
                <w:sz w:val="16"/>
              </w:rPr>
              <w:t>0,030</w:t>
            </w:r>
          </w:p>
        </w:tc>
      </w:tr>
      <w:tr w:rsidR="00185C77">
        <w:trPr>
          <w:trHeight w:val="585"/>
        </w:trPr>
        <w:tc>
          <w:tcPr>
            <w:tcW w:w="1980" w:type="dxa"/>
            <w:shd w:val="clear" w:color="auto" w:fill="CCCCCC"/>
            <w:vAlign w:val="center"/>
          </w:tcPr>
          <w:p w:rsidR="00185C77" w:rsidRDefault="00176197">
            <w:pPr>
              <w:spacing w:before="60" w:after="60" w:line="200" w:lineRule="exact"/>
              <w:jc w:val="center"/>
              <w:rPr>
                <w:b/>
                <w:noProof/>
                <w:sz w:val="16"/>
                <w:szCs w:val="16"/>
              </w:rPr>
            </w:pPr>
            <w:r>
              <w:rPr>
                <w:b/>
                <w:noProof/>
                <w:sz w:val="16"/>
              </w:rPr>
              <w:t xml:space="preserve">Междинен сбор за ФУНКЦИЯ 5от многогодишната финансова рамка </w:t>
            </w:r>
          </w:p>
        </w:tc>
        <w:tc>
          <w:tcPr>
            <w:tcW w:w="1080" w:type="dxa"/>
            <w:vAlign w:val="center"/>
          </w:tcPr>
          <w:p w:rsidR="00185C77" w:rsidRDefault="00176197">
            <w:pPr>
              <w:spacing w:before="60" w:after="60" w:line="200" w:lineRule="exact"/>
              <w:jc w:val="right"/>
              <w:rPr>
                <w:noProof/>
                <w:sz w:val="16"/>
                <w:szCs w:val="16"/>
              </w:rPr>
            </w:pPr>
            <w:r>
              <w:rPr>
                <w:noProof/>
                <w:sz w:val="16"/>
              </w:rPr>
              <w:t>0,444</w:t>
            </w:r>
          </w:p>
        </w:tc>
        <w:tc>
          <w:tcPr>
            <w:tcW w:w="1080" w:type="dxa"/>
            <w:vAlign w:val="center"/>
          </w:tcPr>
          <w:p w:rsidR="00185C77" w:rsidRDefault="00176197">
            <w:pPr>
              <w:spacing w:before="60" w:after="60" w:line="200" w:lineRule="exact"/>
              <w:jc w:val="right"/>
              <w:rPr>
                <w:noProof/>
                <w:sz w:val="16"/>
                <w:szCs w:val="16"/>
              </w:rPr>
            </w:pPr>
            <w:r>
              <w:rPr>
                <w:noProof/>
                <w:sz w:val="16"/>
              </w:rPr>
              <w:t>0,444</w:t>
            </w: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b/>
                <w:noProof/>
                <w:sz w:val="16"/>
                <w:szCs w:val="16"/>
              </w:rPr>
            </w:pPr>
          </w:p>
        </w:tc>
        <w:tc>
          <w:tcPr>
            <w:tcW w:w="1080" w:type="dxa"/>
            <w:vAlign w:val="center"/>
          </w:tcPr>
          <w:p w:rsidR="00185C77" w:rsidRDefault="00176197">
            <w:pPr>
              <w:spacing w:before="60" w:after="60" w:line="200" w:lineRule="exact"/>
              <w:jc w:val="right"/>
              <w:rPr>
                <w:b/>
                <w:noProof/>
                <w:sz w:val="16"/>
                <w:szCs w:val="16"/>
              </w:rPr>
            </w:pPr>
            <w:r>
              <w:rPr>
                <w:b/>
                <w:noProof/>
                <w:sz w:val="16"/>
              </w:rPr>
              <w:t>0,888</w:t>
            </w:r>
          </w:p>
        </w:tc>
      </w:tr>
    </w:tbl>
    <w:p w:rsidR="00185C77" w:rsidRDefault="00185C7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85C77">
        <w:trPr>
          <w:trHeight w:val="585"/>
        </w:trPr>
        <w:tc>
          <w:tcPr>
            <w:tcW w:w="1980" w:type="dxa"/>
            <w:shd w:val="clear" w:color="auto" w:fill="CCCCCC"/>
            <w:vAlign w:val="center"/>
          </w:tcPr>
          <w:p w:rsidR="00185C77" w:rsidRDefault="00176197">
            <w:pPr>
              <w:spacing w:before="60" w:after="60" w:line="200" w:lineRule="exact"/>
              <w:jc w:val="center"/>
              <w:rPr>
                <w:noProof/>
                <w:sz w:val="16"/>
                <w:szCs w:val="16"/>
              </w:rPr>
            </w:pPr>
            <w:r>
              <w:rPr>
                <w:b/>
                <w:noProof/>
                <w:sz w:val="16"/>
              </w:rPr>
              <w:t>извън ФУНКЦИЯ 5</w:t>
            </w:r>
            <w:r>
              <w:rPr>
                <w:rStyle w:val="FootnoteReference"/>
                <w:noProof/>
              </w:rPr>
              <w:footnoteReference w:id="49"/>
            </w:r>
            <w:r>
              <w:rPr>
                <w:b/>
                <w:noProof/>
                <w:sz w:val="16"/>
              </w:rPr>
              <w:t xml:space="preserve">от многогодишната финансова рамка </w:t>
            </w:r>
          </w:p>
          <w:p w:rsidR="00185C77" w:rsidRDefault="00185C77">
            <w:pPr>
              <w:spacing w:before="0" w:after="0" w:line="200" w:lineRule="exact"/>
              <w:jc w:val="center"/>
              <w:rPr>
                <w:b/>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b/>
                <w:noProof/>
                <w:sz w:val="16"/>
                <w:szCs w:val="16"/>
              </w:rPr>
            </w:pPr>
          </w:p>
        </w:tc>
        <w:tc>
          <w:tcPr>
            <w:tcW w:w="1080" w:type="dxa"/>
            <w:vAlign w:val="center"/>
          </w:tcPr>
          <w:p w:rsidR="00185C77" w:rsidRDefault="00185C77">
            <w:pPr>
              <w:spacing w:before="60" w:after="60" w:line="200" w:lineRule="exact"/>
              <w:jc w:val="right"/>
              <w:rPr>
                <w:b/>
                <w:noProof/>
                <w:sz w:val="16"/>
                <w:szCs w:val="16"/>
              </w:rPr>
            </w:pPr>
          </w:p>
        </w:tc>
      </w:tr>
      <w:tr w:rsidR="00185C77">
        <w:trPr>
          <w:trHeight w:val="585"/>
        </w:trPr>
        <w:tc>
          <w:tcPr>
            <w:tcW w:w="1980" w:type="dxa"/>
            <w:vAlign w:val="center"/>
          </w:tcPr>
          <w:p w:rsidR="00185C77" w:rsidRDefault="00176197">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185C77" w:rsidRDefault="00176197">
            <w:pPr>
              <w:spacing w:before="60" w:after="60" w:line="200" w:lineRule="exact"/>
              <w:jc w:val="right"/>
              <w:rPr>
                <w:noProof/>
                <w:sz w:val="16"/>
                <w:szCs w:val="16"/>
              </w:rPr>
            </w:pPr>
            <w:r>
              <w:rPr>
                <w:noProof/>
                <w:sz w:val="16"/>
              </w:rPr>
              <w:t>0</w:t>
            </w:r>
          </w:p>
        </w:tc>
        <w:tc>
          <w:tcPr>
            <w:tcW w:w="1080" w:type="dxa"/>
            <w:vAlign w:val="center"/>
          </w:tcPr>
          <w:p w:rsidR="00185C77" w:rsidRDefault="00176197">
            <w:pPr>
              <w:spacing w:before="60" w:after="60" w:line="200" w:lineRule="exact"/>
              <w:jc w:val="right"/>
              <w:rPr>
                <w:noProof/>
                <w:sz w:val="16"/>
                <w:szCs w:val="16"/>
              </w:rPr>
            </w:pPr>
            <w:r>
              <w:rPr>
                <w:noProof/>
                <w:sz w:val="16"/>
              </w:rPr>
              <w:t>0</w:t>
            </w: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b/>
                <w:noProof/>
                <w:sz w:val="16"/>
                <w:szCs w:val="16"/>
              </w:rPr>
            </w:pPr>
          </w:p>
        </w:tc>
        <w:tc>
          <w:tcPr>
            <w:tcW w:w="1080" w:type="dxa"/>
            <w:vAlign w:val="center"/>
          </w:tcPr>
          <w:p w:rsidR="00185C77" w:rsidRDefault="00176197">
            <w:pPr>
              <w:spacing w:before="60" w:after="60" w:line="200" w:lineRule="exact"/>
              <w:jc w:val="right"/>
              <w:rPr>
                <w:b/>
                <w:noProof/>
                <w:sz w:val="16"/>
                <w:szCs w:val="16"/>
              </w:rPr>
            </w:pPr>
            <w:r>
              <w:rPr>
                <w:b/>
                <w:noProof/>
                <w:sz w:val="16"/>
              </w:rPr>
              <w:t>0</w:t>
            </w:r>
          </w:p>
        </w:tc>
      </w:tr>
      <w:tr w:rsidR="00185C77">
        <w:trPr>
          <w:trHeight w:val="585"/>
        </w:trPr>
        <w:tc>
          <w:tcPr>
            <w:tcW w:w="1980" w:type="dxa"/>
            <w:vAlign w:val="center"/>
          </w:tcPr>
          <w:p w:rsidR="00185C77" w:rsidRDefault="00176197">
            <w:pPr>
              <w:spacing w:before="60" w:after="60" w:line="200" w:lineRule="exact"/>
              <w:ind w:left="72"/>
              <w:jc w:val="left"/>
              <w:rPr>
                <w:noProof/>
                <w:sz w:val="16"/>
                <w:szCs w:val="16"/>
              </w:rPr>
            </w:pPr>
            <w:r>
              <w:rPr>
                <w:noProof/>
                <w:sz w:val="16"/>
              </w:rPr>
              <w:t>Други разходис административен характер</w:t>
            </w:r>
          </w:p>
        </w:tc>
        <w:tc>
          <w:tcPr>
            <w:tcW w:w="1080" w:type="dxa"/>
            <w:vAlign w:val="center"/>
          </w:tcPr>
          <w:p w:rsidR="00185C77" w:rsidRDefault="00176197">
            <w:pPr>
              <w:spacing w:before="60" w:after="60" w:line="200" w:lineRule="exact"/>
              <w:jc w:val="right"/>
              <w:rPr>
                <w:noProof/>
                <w:sz w:val="16"/>
                <w:szCs w:val="16"/>
              </w:rPr>
            </w:pPr>
            <w:r>
              <w:rPr>
                <w:noProof/>
                <w:sz w:val="16"/>
              </w:rPr>
              <w:t>0</w:t>
            </w:r>
          </w:p>
        </w:tc>
        <w:tc>
          <w:tcPr>
            <w:tcW w:w="1080" w:type="dxa"/>
            <w:vAlign w:val="center"/>
          </w:tcPr>
          <w:p w:rsidR="00185C77" w:rsidRDefault="00176197">
            <w:pPr>
              <w:spacing w:before="60" w:after="60" w:line="200" w:lineRule="exact"/>
              <w:jc w:val="right"/>
              <w:rPr>
                <w:noProof/>
                <w:sz w:val="16"/>
                <w:szCs w:val="16"/>
              </w:rPr>
            </w:pPr>
            <w:r>
              <w:rPr>
                <w:noProof/>
                <w:sz w:val="16"/>
              </w:rPr>
              <w:t>0</w:t>
            </w: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b/>
                <w:noProof/>
                <w:sz w:val="16"/>
                <w:szCs w:val="16"/>
              </w:rPr>
            </w:pPr>
          </w:p>
        </w:tc>
        <w:tc>
          <w:tcPr>
            <w:tcW w:w="1080" w:type="dxa"/>
            <w:vAlign w:val="center"/>
          </w:tcPr>
          <w:p w:rsidR="00185C77" w:rsidRDefault="00176197">
            <w:pPr>
              <w:spacing w:before="60" w:after="60" w:line="200" w:lineRule="exact"/>
              <w:jc w:val="right"/>
              <w:rPr>
                <w:b/>
                <w:noProof/>
                <w:sz w:val="16"/>
                <w:szCs w:val="16"/>
              </w:rPr>
            </w:pPr>
            <w:r>
              <w:rPr>
                <w:b/>
                <w:noProof/>
                <w:sz w:val="16"/>
              </w:rPr>
              <w:t>0</w:t>
            </w:r>
          </w:p>
        </w:tc>
      </w:tr>
      <w:tr w:rsidR="00185C77">
        <w:trPr>
          <w:trHeight w:val="585"/>
        </w:trPr>
        <w:tc>
          <w:tcPr>
            <w:tcW w:w="1980" w:type="dxa"/>
            <w:shd w:val="clear" w:color="auto" w:fill="CCCCCC"/>
            <w:vAlign w:val="center"/>
          </w:tcPr>
          <w:p w:rsidR="00185C77" w:rsidRDefault="00176197">
            <w:pPr>
              <w:spacing w:before="60" w:after="60" w:line="200" w:lineRule="exact"/>
              <w:jc w:val="center"/>
              <w:rPr>
                <w:b/>
                <w:noProof/>
                <w:sz w:val="16"/>
                <w:szCs w:val="16"/>
              </w:rPr>
            </w:pPr>
            <w:r>
              <w:rPr>
                <w:b/>
                <w:noProof/>
                <w:sz w:val="16"/>
              </w:rPr>
              <w:t xml:space="preserve">Междинен сборизвън ФУНКЦИЯ 5от многогодишната финансова рамка </w:t>
            </w:r>
          </w:p>
        </w:tc>
        <w:tc>
          <w:tcPr>
            <w:tcW w:w="1080" w:type="dxa"/>
            <w:vAlign w:val="center"/>
          </w:tcPr>
          <w:p w:rsidR="00185C77" w:rsidRDefault="00176197">
            <w:pPr>
              <w:spacing w:before="60" w:after="60" w:line="200" w:lineRule="exact"/>
              <w:jc w:val="right"/>
              <w:rPr>
                <w:noProof/>
                <w:sz w:val="16"/>
                <w:szCs w:val="16"/>
              </w:rPr>
            </w:pPr>
            <w:r>
              <w:rPr>
                <w:noProof/>
                <w:sz w:val="16"/>
              </w:rPr>
              <w:t>0</w:t>
            </w:r>
          </w:p>
        </w:tc>
        <w:tc>
          <w:tcPr>
            <w:tcW w:w="1080" w:type="dxa"/>
            <w:vAlign w:val="center"/>
          </w:tcPr>
          <w:p w:rsidR="00185C77" w:rsidRDefault="00176197">
            <w:pPr>
              <w:spacing w:before="60" w:after="60" w:line="200" w:lineRule="exact"/>
              <w:jc w:val="right"/>
              <w:rPr>
                <w:noProof/>
                <w:sz w:val="16"/>
                <w:szCs w:val="16"/>
              </w:rPr>
            </w:pPr>
            <w:r>
              <w:rPr>
                <w:noProof/>
                <w:sz w:val="16"/>
              </w:rPr>
              <w:t>0</w:t>
            </w: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noProof/>
                <w:sz w:val="16"/>
                <w:szCs w:val="16"/>
              </w:rPr>
            </w:pPr>
          </w:p>
        </w:tc>
        <w:tc>
          <w:tcPr>
            <w:tcW w:w="1080" w:type="dxa"/>
            <w:vAlign w:val="center"/>
          </w:tcPr>
          <w:p w:rsidR="00185C77" w:rsidRDefault="00185C77">
            <w:pPr>
              <w:spacing w:before="60" w:after="60" w:line="200" w:lineRule="exact"/>
              <w:jc w:val="right"/>
              <w:rPr>
                <w:b/>
                <w:noProof/>
                <w:sz w:val="16"/>
                <w:szCs w:val="16"/>
              </w:rPr>
            </w:pPr>
          </w:p>
        </w:tc>
        <w:tc>
          <w:tcPr>
            <w:tcW w:w="1080" w:type="dxa"/>
            <w:vAlign w:val="center"/>
          </w:tcPr>
          <w:p w:rsidR="00185C77" w:rsidRDefault="00176197">
            <w:pPr>
              <w:spacing w:before="60" w:after="60" w:line="200" w:lineRule="exact"/>
              <w:jc w:val="right"/>
              <w:rPr>
                <w:b/>
                <w:noProof/>
                <w:sz w:val="16"/>
                <w:szCs w:val="16"/>
              </w:rPr>
            </w:pPr>
            <w:r>
              <w:rPr>
                <w:b/>
                <w:noProof/>
                <w:sz w:val="16"/>
              </w:rPr>
              <w:t>0</w:t>
            </w:r>
          </w:p>
        </w:tc>
      </w:tr>
    </w:tbl>
    <w:p w:rsidR="00185C77" w:rsidRDefault="00185C77">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85C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185C77" w:rsidRDefault="00176197">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185C77" w:rsidRDefault="00176197">
            <w:pPr>
              <w:spacing w:before="60" w:after="60" w:line="200" w:lineRule="exact"/>
              <w:jc w:val="right"/>
              <w:rPr>
                <w:b/>
                <w:noProof/>
                <w:sz w:val="16"/>
                <w:szCs w:val="16"/>
              </w:rPr>
            </w:pPr>
            <w:r>
              <w:rPr>
                <w:b/>
                <w:noProof/>
                <w:sz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rsidR="00185C77" w:rsidRDefault="00176197">
            <w:pPr>
              <w:spacing w:before="60" w:after="60" w:line="200" w:lineRule="exact"/>
              <w:jc w:val="right"/>
              <w:rPr>
                <w:b/>
                <w:noProof/>
                <w:sz w:val="16"/>
                <w:szCs w:val="16"/>
              </w:rPr>
            </w:pPr>
            <w:r>
              <w:rPr>
                <w:b/>
                <w:noProof/>
                <w:sz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rsidR="00185C77" w:rsidRDefault="00185C7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85C77" w:rsidRDefault="00185C7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85C77" w:rsidRDefault="00185C7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85C77" w:rsidRDefault="00185C7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85C77" w:rsidRDefault="00185C7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185C77" w:rsidRDefault="00176197">
            <w:pPr>
              <w:spacing w:before="60" w:after="60" w:line="200" w:lineRule="exact"/>
              <w:jc w:val="right"/>
              <w:rPr>
                <w:b/>
                <w:noProof/>
                <w:sz w:val="16"/>
                <w:szCs w:val="16"/>
              </w:rPr>
            </w:pPr>
            <w:r>
              <w:rPr>
                <w:b/>
                <w:noProof/>
                <w:sz w:val="16"/>
              </w:rPr>
              <w:t>0,888</w:t>
            </w:r>
          </w:p>
        </w:tc>
      </w:tr>
    </w:tbl>
    <w:p w:rsidR="00185C77" w:rsidRDefault="00176197">
      <w:pPr>
        <w:rPr>
          <w:noProof/>
          <w:sz w:val="18"/>
        </w:rPr>
        <w:sectPr w:rsidR="00185C77" w:rsidSect="00176197">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 xml:space="preserve">Нуждите от бюджетни кредити за човешки ресурси и за другите разходи с административен </w:t>
      </w:r>
      <w:r>
        <w:rPr>
          <w:noProof/>
          <w:sz w:val="18"/>
        </w:rPr>
        <w:t>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w:t>
      </w:r>
      <w:r>
        <w:rPr>
          <w:noProof/>
          <w:sz w:val="18"/>
        </w:rPr>
        <w:t>щата ГД в рамките на годишната процедура за отпускане на средства и като се имат предвид бюджетните ограничения.</w:t>
      </w:r>
    </w:p>
    <w:p w:rsidR="00185C77" w:rsidRDefault="00176197">
      <w:pPr>
        <w:pStyle w:val="ManualHeading4"/>
        <w:rPr>
          <w:noProof/>
          <w:szCs w:val="24"/>
        </w:rPr>
      </w:pPr>
      <w:r>
        <w:rPr>
          <w:noProof/>
        </w:rPr>
        <w:t>3.2.3.2.</w:t>
      </w:r>
      <w:r>
        <w:rPr>
          <w:noProof/>
        </w:rPr>
        <w:tab/>
        <w:t>Очаквани нужди от човешки ресурси</w:t>
      </w:r>
    </w:p>
    <w:p w:rsidR="00185C77" w:rsidRDefault="00176197">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185C77" w:rsidRDefault="00176197">
      <w:pPr>
        <w:pStyle w:val="ListDash1"/>
        <w:rPr>
          <w:noProof/>
        </w:rPr>
      </w:pPr>
      <w:r>
        <w:rPr>
          <w:noProof/>
        </w:rPr>
        <w:sym w:font="Wingdings" w:char="F0FE"/>
      </w:r>
      <w:r>
        <w:rPr>
          <w:noProof/>
        </w:rPr>
        <w:tab/>
        <w:t>Предложението/инициативата н</w:t>
      </w:r>
      <w:r>
        <w:rPr>
          <w:noProof/>
        </w:rPr>
        <w:t>алага използване на човешки ресурси съгласно обяснението по-долу:</w:t>
      </w:r>
    </w:p>
    <w:p w:rsidR="00185C77" w:rsidRDefault="00176197">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2"/>
        <w:gridCol w:w="1954"/>
        <w:gridCol w:w="655"/>
        <w:gridCol w:w="655"/>
        <w:gridCol w:w="2615"/>
        <w:gridCol w:w="993"/>
        <w:gridCol w:w="989"/>
        <w:gridCol w:w="237"/>
        <w:gridCol w:w="237"/>
      </w:tblGrid>
      <w:tr w:rsidR="00185C77">
        <w:trPr>
          <w:gridBefore w:val="1"/>
          <w:wBefore w:w="5" w:type="pct"/>
          <w:trHeight w:val="289"/>
          <w:jc w:val="center"/>
        </w:trPr>
        <w:tc>
          <w:tcPr>
            <w:tcW w:w="1897" w:type="pct"/>
            <w:gridSpan w:val="2"/>
            <w:shd w:val="clear" w:color="auto" w:fill="auto"/>
          </w:tcPr>
          <w:p w:rsidR="00185C77" w:rsidRDefault="00185C77">
            <w:pPr>
              <w:spacing w:before="40" w:after="40"/>
              <w:jc w:val="center"/>
              <w:rPr>
                <w:i/>
                <w:noProof/>
                <w:sz w:val="16"/>
                <w:szCs w:val="16"/>
              </w:rPr>
            </w:pPr>
          </w:p>
        </w:tc>
        <w:tc>
          <w:tcPr>
            <w:tcW w:w="318" w:type="pct"/>
            <w:shd w:val="clear" w:color="auto" w:fill="auto"/>
            <w:vAlign w:val="center"/>
          </w:tcPr>
          <w:p w:rsidR="00185C77" w:rsidRDefault="00176197">
            <w:pPr>
              <w:spacing w:before="20" w:after="20"/>
              <w:jc w:val="center"/>
              <w:rPr>
                <w:noProof/>
                <w:sz w:val="16"/>
                <w:szCs w:val="16"/>
              </w:rPr>
            </w:pPr>
            <w:r>
              <w:rPr>
                <w:noProof/>
                <w:sz w:val="16"/>
              </w:rPr>
              <w:t>Година</w:t>
            </w:r>
            <w:r>
              <w:rPr>
                <w:b/>
                <w:noProof/>
                <w:sz w:val="16"/>
              </w:rPr>
              <w:t>2019</w:t>
            </w:r>
          </w:p>
        </w:tc>
        <w:tc>
          <w:tcPr>
            <w:tcW w:w="318" w:type="pct"/>
            <w:shd w:val="clear" w:color="auto" w:fill="auto"/>
            <w:vAlign w:val="center"/>
          </w:tcPr>
          <w:p w:rsidR="00185C77" w:rsidRDefault="00176197">
            <w:pPr>
              <w:spacing w:before="20" w:after="20"/>
              <w:jc w:val="center"/>
              <w:rPr>
                <w:noProof/>
                <w:sz w:val="16"/>
                <w:szCs w:val="16"/>
              </w:rPr>
            </w:pPr>
            <w:r>
              <w:rPr>
                <w:noProof/>
                <w:sz w:val="16"/>
              </w:rPr>
              <w:t>Година</w:t>
            </w:r>
            <w:r>
              <w:rPr>
                <w:b/>
                <w:noProof/>
                <w:sz w:val="16"/>
              </w:rPr>
              <w:t>2020</w:t>
            </w:r>
          </w:p>
        </w:tc>
        <w:tc>
          <w:tcPr>
            <w:tcW w:w="1270" w:type="pct"/>
            <w:shd w:val="clear" w:color="auto" w:fill="auto"/>
            <w:vAlign w:val="center"/>
          </w:tcPr>
          <w:p w:rsidR="00185C77" w:rsidRDefault="00176197">
            <w:pPr>
              <w:spacing w:before="20" w:after="20"/>
              <w:jc w:val="center"/>
              <w:rPr>
                <w:noProof/>
                <w:sz w:val="16"/>
                <w:szCs w:val="16"/>
              </w:rPr>
            </w:pPr>
            <w:r>
              <w:rPr>
                <w:noProof/>
                <w:sz w:val="16"/>
              </w:rPr>
              <w:t xml:space="preserve">Година </w:t>
            </w:r>
            <w:r>
              <w:rPr>
                <w:b/>
                <w:noProof/>
                <w:sz w:val="16"/>
              </w:rPr>
              <w:t>N+2</w:t>
            </w:r>
          </w:p>
        </w:tc>
        <w:tc>
          <w:tcPr>
            <w:tcW w:w="482" w:type="pct"/>
            <w:shd w:val="clear" w:color="auto" w:fill="auto"/>
            <w:vAlign w:val="center"/>
          </w:tcPr>
          <w:p w:rsidR="00185C77" w:rsidRDefault="00176197">
            <w:pPr>
              <w:spacing w:before="20" w:after="20"/>
              <w:jc w:val="center"/>
              <w:rPr>
                <w:noProof/>
                <w:sz w:val="16"/>
                <w:szCs w:val="16"/>
              </w:rPr>
            </w:pPr>
            <w:r>
              <w:rPr>
                <w:noProof/>
                <w:sz w:val="16"/>
              </w:rPr>
              <w:t xml:space="preserve">Година </w:t>
            </w:r>
            <w:r>
              <w:rPr>
                <w:b/>
                <w:noProof/>
                <w:sz w:val="16"/>
              </w:rPr>
              <w:t>N+3</w:t>
            </w:r>
          </w:p>
        </w:tc>
        <w:tc>
          <w:tcPr>
            <w:tcW w:w="710" w:type="pct"/>
            <w:gridSpan w:val="3"/>
            <w:shd w:val="clear" w:color="auto" w:fill="auto"/>
            <w:vAlign w:val="center"/>
          </w:tcPr>
          <w:p w:rsidR="00185C77" w:rsidRDefault="00176197">
            <w:pPr>
              <w:jc w:val="center"/>
              <w:rPr>
                <w:b/>
                <w:noProof/>
                <w:sz w:val="16"/>
                <w:szCs w:val="16"/>
              </w:rPr>
            </w:pPr>
            <w:r>
              <w:rPr>
                <w:noProof/>
                <w:sz w:val="16"/>
              </w:rPr>
              <w:t>… да се добавят толкова години, колкото е необходимо, за да се обхване продължителността</w:t>
            </w:r>
            <w:r>
              <w:rPr>
                <w:noProof/>
                <w:sz w:val="16"/>
              </w:rPr>
              <w:t xml:space="preserve"> на отражението (вж. точка 1.6)</w:t>
            </w:r>
          </w:p>
        </w:tc>
      </w:tr>
      <w:tr w:rsidR="00185C77">
        <w:trPr>
          <w:gridBefore w:val="1"/>
          <w:wBefore w:w="5" w:type="pct"/>
          <w:trHeight w:val="289"/>
          <w:jc w:val="center"/>
        </w:trPr>
        <w:tc>
          <w:tcPr>
            <w:tcW w:w="3803" w:type="pct"/>
            <w:gridSpan w:val="5"/>
            <w:shd w:val="clear" w:color="auto" w:fill="auto"/>
          </w:tcPr>
          <w:p w:rsidR="00185C77" w:rsidRDefault="00176197">
            <w:pPr>
              <w:spacing w:before="20" w:after="20"/>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временно наети лица)</w:t>
            </w:r>
          </w:p>
        </w:tc>
        <w:tc>
          <w:tcPr>
            <w:tcW w:w="482" w:type="pct"/>
            <w:shd w:val="clear" w:color="auto" w:fill="auto"/>
            <w:vAlign w:val="center"/>
          </w:tcPr>
          <w:p w:rsidR="00185C77" w:rsidRDefault="00185C77">
            <w:pPr>
              <w:spacing w:before="20" w:after="20"/>
              <w:jc w:val="center"/>
              <w:rPr>
                <w:noProof/>
                <w:sz w:val="16"/>
                <w:szCs w:val="16"/>
              </w:rPr>
            </w:pPr>
          </w:p>
        </w:tc>
        <w:tc>
          <w:tcPr>
            <w:tcW w:w="710" w:type="pct"/>
            <w:gridSpan w:val="3"/>
            <w:shd w:val="clear" w:color="auto" w:fill="auto"/>
            <w:vAlign w:val="center"/>
          </w:tcPr>
          <w:p w:rsidR="00185C77" w:rsidRDefault="00185C77">
            <w:pPr>
              <w:jc w:val="center"/>
              <w:rPr>
                <w:noProof/>
                <w:sz w:val="16"/>
                <w:szCs w:val="16"/>
              </w:rPr>
            </w:pPr>
          </w:p>
        </w:tc>
      </w:tr>
      <w:tr w:rsidR="00185C77">
        <w:trPr>
          <w:gridBefore w:val="1"/>
          <w:wBefore w:w="5" w:type="pct"/>
          <w:trHeight w:val="289"/>
          <w:jc w:val="center"/>
        </w:trPr>
        <w:tc>
          <w:tcPr>
            <w:tcW w:w="1897" w:type="pct"/>
            <w:gridSpan w:val="2"/>
            <w:shd w:val="clear" w:color="auto" w:fill="auto"/>
            <w:vAlign w:val="center"/>
          </w:tcPr>
          <w:p w:rsidR="00185C77" w:rsidRDefault="00176197">
            <w:pPr>
              <w:spacing w:beforeLines="20" w:before="48" w:afterLines="20" w:after="48"/>
              <w:ind w:left="134"/>
              <w:jc w:val="left"/>
              <w:rPr>
                <w:b/>
                <w:noProof/>
                <w:sz w:val="16"/>
                <w:szCs w:val="16"/>
              </w:rPr>
            </w:pPr>
            <w:r>
              <w:rPr>
                <w:noProof/>
                <w:sz w:val="16"/>
              </w:rPr>
              <w:t>34 01 01 01 (Централа и представителства на Комисията)</w:t>
            </w:r>
          </w:p>
        </w:tc>
        <w:tc>
          <w:tcPr>
            <w:tcW w:w="318" w:type="pct"/>
            <w:shd w:val="clear" w:color="auto" w:fill="auto"/>
            <w:vAlign w:val="center"/>
          </w:tcPr>
          <w:p w:rsidR="00185C77" w:rsidRDefault="00176197">
            <w:pPr>
              <w:spacing w:beforeLines="20" w:before="48" w:afterLines="20" w:after="48"/>
              <w:jc w:val="center"/>
              <w:rPr>
                <w:noProof/>
                <w:sz w:val="16"/>
                <w:szCs w:val="16"/>
              </w:rPr>
            </w:pPr>
            <w:r>
              <w:rPr>
                <w:noProof/>
                <w:sz w:val="16"/>
              </w:rPr>
              <w:t>3</w:t>
            </w:r>
          </w:p>
        </w:tc>
        <w:tc>
          <w:tcPr>
            <w:tcW w:w="318" w:type="pct"/>
            <w:shd w:val="clear" w:color="auto" w:fill="auto"/>
            <w:vAlign w:val="center"/>
          </w:tcPr>
          <w:p w:rsidR="00185C77" w:rsidRDefault="00176197">
            <w:pPr>
              <w:spacing w:beforeLines="20" w:before="48" w:afterLines="20" w:after="48"/>
              <w:jc w:val="center"/>
              <w:rPr>
                <w:noProof/>
                <w:sz w:val="16"/>
                <w:szCs w:val="16"/>
              </w:rPr>
            </w:pPr>
            <w:r>
              <w:rPr>
                <w:noProof/>
                <w:sz w:val="16"/>
              </w:rPr>
              <w:t>3</w:t>
            </w: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1897" w:type="pct"/>
            <w:gridSpan w:val="2"/>
            <w:shd w:val="clear" w:color="auto" w:fill="auto"/>
            <w:vAlign w:val="center"/>
          </w:tcPr>
          <w:p w:rsidR="00185C77" w:rsidRDefault="00176197">
            <w:pPr>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1897" w:type="pct"/>
            <w:gridSpan w:val="2"/>
            <w:shd w:val="clear" w:color="auto" w:fill="auto"/>
            <w:vAlign w:val="center"/>
          </w:tcPr>
          <w:p w:rsidR="00185C77" w:rsidRDefault="00176197">
            <w:pPr>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1897" w:type="pct"/>
            <w:gridSpan w:val="2"/>
            <w:shd w:val="clear" w:color="auto" w:fill="auto"/>
            <w:vAlign w:val="center"/>
          </w:tcPr>
          <w:p w:rsidR="00185C77" w:rsidRDefault="00176197">
            <w:pPr>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After w:val="4"/>
          <w:wAfter w:w="1192" w:type="pct"/>
          <w:trHeight w:val="248"/>
          <w:jc w:val="center"/>
        </w:trPr>
        <w:tc>
          <w:tcPr>
            <w:tcW w:w="3808" w:type="pct"/>
            <w:gridSpan w:val="6"/>
            <w:shd w:val="clear" w:color="auto" w:fill="auto"/>
            <w:vAlign w:val="center"/>
          </w:tcPr>
          <w:p w:rsidR="00185C77" w:rsidRDefault="00176197">
            <w:pPr>
              <w:spacing w:before="60" w:after="60"/>
              <w:jc w:val="left"/>
              <w:rPr>
                <w:b/>
                <w:noProof/>
                <w:sz w:val="16"/>
                <w:szCs w:val="16"/>
              </w:rPr>
            </w:pPr>
            <w:r>
              <w:rPr>
                <w:b/>
                <w:noProof/>
                <w:sz w:val="16"/>
              </w:rPr>
              <w:sym w:font="Wingdings" w:char="F09F"/>
            </w:r>
            <w:r>
              <w:rPr>
                <w:noProof/>
              </w:rPr>
              <w:t xml:space="preserve"> </w:t>
            </w:r>
            <w:r>
              <w:rPr>
                <w:b/>
                <w:noProof/>
                <w:sz w:val="16"/>
              </w:rPr>
              <w:t>Външен персонал (в еквивалент на пълно работно време —  ЕПРВ)</w:t>
            </w:r>
            <w:r>
              <w:rPr>
                <w:rStyle w:val="FootnoteReference"/>
                <w:noProof/>
              </w:rPr>
              <w:footnoteReference w:id="50"/>
            </w:r>
          </w:p>
          <w:p w:rsidR="00185C77" w:rsidRDefault="00185C77">
            <w:pPr>
              <w:spacing w:before="0" w:after="0"/>
              <w:jc w:val="left"/>
              <w:rPr>
                <w:noProof/>
                <w:sz w:val="16"/>
                <w:szCs w:val="16"/>
              </w:rPr>
            </w:pPr>
          </w:p>
        </w:tc>
      </w:tr>
      <w:tr w:rsidR="00185C77">
        <w:trPr>
          <w:gridBefore w:val="1"/>
          <w:wBefore w:w="5" w:type="pct"/>
          <w:trHeight w:val="289"/>
          <w:jc w:val="center"/>
        </w:trPr>
        <w:tc>
          <w:tcPr>
            <w:tcW w:w="1897" w:type="pct"/>
            <w:gridSpan w:val="2"/>
            <w:shd w:val="clear" w:color="auto" w:fill="auto"/>
            <w:vAlign w:val="center"/>
          </w:tcPr>
          <w:p w:rsidR="00185C77" w:rsidRDefault="00176197">
            <w:pPr>
              <w:spacing w:beforeLines="20" w:before="48" w:afterLines="20" w:after="48"/>
              <w:ind w:left="136"/>
              <w:jc w:val="left"/>
              <w:rPr>
                <w:b/>
                <w:noProof/>
                <w:sz w:val="16"/>
                <w:szCs w:val="16"/>
              </w:rPr>
            </w:pPr>
            <w:r>
              <w:rPr>
                <w:noProof/>
                <w:sz w:val="16"/>
              </w:rPr>
              <w:t>34 01 02 01 (ДНП, КНЕ, ПНА от общия финансов пакет)</w:t>
            </w:r>
          </w:p>
        </w:tc>
        <w:tc>
          <w:tcPr>
            <w:tcW w:w="318" w:type="pct"/>
            <w:shd w:val="clear" w:color="auto" w:fill="auto"/>
            <w:vAlign w:val="center"/>
          </w:tcPr>
          <w:p w:rsidR="00185C77" w:rsidRDefault="00176197">
            <w:pPr>
              <w:spacing w:beforeLines="20" w:before="48" w:afterLines="20" w:after="48"/>
              <w:jc w:val="center"/>
              <w:rPr>
                <w:noProof/>
                <w:sz w:val="16"/>
                <w:szCs w:val="16"/>
              </w:rPr>
            </w:pPr>
            <w:r>
              <w:rPr>
                <w:noProof/>
                <w:sz w:val="16"/>
              </w:rPr>
              <w:t>0</w:t>
            </w:r>
          </w:p>
        </w:tc>
        <w:tc>
          <w:tcPr>
            <w:tcW w:w="318" w:type="pct"/>
            <w:shd w:val="clear" w:color="auto" w:fill="auto"/>
            <w:vAlign w:val="center"/>
          </w:tcPr>
          <w:p w:rsidR="00185C77" w:rsidRDefault="00176197">
            <w:pPr>
              <w:spacing w:beforeLines="20" w:before="48" w:afterLines="20" w:after="48"/>
              <w:jc w:val="center"/>
              <w:rPr>
                <w:noProof/>
                <w:sz w:val="16"/>
                <w:szCs w:val="16"/>
              </w:rPr>
            </w:pPr>
            <w:r>
              <w:rPr>
                <w:noProof/>
                <w:sz w:val="16"/>
              </w:rPr>
              <w:t>0</w:t>
            </w: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1897" w:type="pct"/>
            <w:gridSpan w:val="2"/>
            <w:shd w:val="clear" w:color="auto" w:fill="auto"/>
            <w:vAlign w:val="center"/>
          </w:tcPr>
          <w:p w:rsidR="00185C77" w:rsidRDefault="00176197">
            <w:pPr>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948" w:type="pct"/>
            <w:vMerge w:val="restart"/>
            <w:shd w:val="clear" w:color="auto" w:fill="auto"/>
            <w:vAlign w:val="center"/>
          </w:tcPr>
          <w:p w:rsidR="00185C77" w:rsidRDefault="00176197">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гг</w:t>
            </w:r>
            <w:r>
              <w:rPr>
                <w:b/>
                <w:i/>
                <w:noProof/>
                <w:sz w:val="16"/>
              </w:rPr>
              <w:t xml:space="preserve"> </w:t>
            </w:r>
            <w:r>
              <w:rPr>
                <w:rStyle w:val="FootnoteReference"/>
                <w:noProof/>
              </w:rPr>
              <w:footnoteReference w:id="51"/>
            </w:r>
          </w:p>
          <w:p w:rsidR="00185C77" w:rsidRDefault="00185C77">
            <w:pPr>
              <w:spacing w:beforeLines="20" w:before="48" w:afterLines="20" w:after="48"/>
              <w:ind w:left="136"/>
              <w:jc w:val="left"/>
              <w:rPr>
                <w:b/>
                <w:noProof/>
                <w:sz w:val="16"/>
                <w:szCs w:val="16"/>
              </w:rPr>
            </w:pPr>
          </w:p>
        </w:tc>
        <w:tc>
          <w:tcPr>
            <w:tcW w:w="949" w:type="pct"/>
            <w:shd w:val="clear" w:color="auto" w:fill="auto"/>
            <w:vAlign w:val="center"/>
          </w:tcPr>
          <w:p w:rsidR="00185C77" w:rsidRDefault="00176197">
            <w:pPr>
              <w:spacing w:beforeLines="20" w:before="48" w:afterLines="20" w:after="48"/>
              <w:ind w:left="136"/>
              <w:jc w:val="left"/>
              <w:rPr>
                <w:b/>
                <w:noProof/>
                <w:sz w:val="16"/>
                <w:szCs w:val="16"/>
              </w:rPr>
            </w:pPr>
            <w:r>
              <w:rPr>
                <w:noProof/>
                <w:sz w:val="16"/>
              </w:rPr>
              <w:t xml:space="preserve">- в </w:t>
            </w:r>
            <w:r>
              <w:rPr>
                <w:noProof/>
                <w:sz w:val="16"/>
              </w:rPr>
              <w:t>централата</w:t>
            </w:r>
          </w:p>
          <w:p w:rsidR="00185C77" w:rsidRDefault="00185C77">
            <w:pPr>
              <w:spacing w:beforeLines="20" w:before="48" w:afterLines="20" w:after="48"/>
              <w:ind w:left="136"/>
              <w:jc w:val="left"/>
              <w:rPr>
                <w:b/>
                <w:noProof/>
                <w:sz w:val="16"/>
                <w:szCs w:val="16"/>
              </w:rPr>
            </w:pPr>
          </w:p>
        </w:tc>
        <w:tc>
          <w:tcPr>
            <w:tcW w:w="318" w:type="pct"/>
            <w:shd w:val="clear" w:color="auto" w:fill="auto"/>
            <w:vAlign w:val="center"/>
          </w:tcPr>
          <w:p w:rsidR="00185C77" w:rsidRDefault="00185C77">
            <w:pPr>
              <w:spacing w:beforeLines="20" w:before="48" w:afterLines="20" w:after="48"/>
              <w:rPr>
                <w:noProof/>
                <w:sz w:val="16"/>
                <w:szCs w:val="16"/>
              </w:rPr>
            </w:pP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948" w:type="pct"/>
            <w:vMerge/>
            <w:shd w:val="clear" w:color="auto" w:fill="auto"/>
            <w:vAlign w:val="center"/>
          </w:tcPr>
          <w:p w:rsidR="00185C77" w:rsidRDefault="00185C77">
            <w:pPr>
              <w:spacing w:beforeLines="20" w:before="48" w:afterLines="20" w:after="48"/>
              <w:ind w:left="136"/>
              <w:jc w:val="left"/>
              <w:rPr>
                <w:b/>
                <w:noProof/>
                <w:sz w:val="16"/>
                <w:szCs w:val="16"/>
              </w:rPr>
            </w:pPr>
          </w:p>
        </w:tc>
        <w:tc>
          <w:tcPr>
            <w:tcW w:w="949" w:type="pct"/>
            <w:shd w:val="clear" w:color="auto" w:fill="auto"/>
            <w:vAlign w:val="center"/>
          </w:tcPr>
          <w:p w:rsidR="00185C77" w:rsidRDefault="00176197">
            <w:pPr>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185C77" w:rsidRDefault="00185C77">
            <w:pPr>
              <w:spacing w:beforeLines="20" w:before="48" w:afterLines="20" w:after="48"/>
              <w:rPr>
                <w:noProof/>
                <w:sz w:val="16"/>
                <w:szCs w:val="16"/>
              </w:rPr>
            </w:pP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1897" w:type="pct"/>
            <w:gridSpan w:val="2"/>
            <w:shd w:val="clear" w:color="auto" w:fill="auto"/>
            <w:vAlign w:val="center"/>
          </w:tcPr>
          <w:p w:rsidR="00185C77" w:rsidRDefault="00176197">
            <w:pPr>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318" w:type="pct"/>
            <w:shd w:val="clear" w:color="auto" w:fill="auto"/>
            <w:vAlign w:val="center"/>
          </w:tcPr>
          <w:p w:rsidR="00185C77" w:rsidRDefault="00185C77">
            <w:pPr>
              <w:spacing w:beforeLines="20" w:before="48" w:afterLines="20" w:after="48"/>
              <w:jc w:val="center"/>
              <w:rPr>
                <w:noProof/>
                <w:sz w:val="16"/>
                <w:szCs w:val="16"/>
              </w:rPr>
            </w:pP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1897" w:type="pct"/>
            <w:gridSpan w:val="2"/>
            <w:shd w:val="clear" w:color="auto" w:fill="auto"/>
            <w:vAlign w:val="center"/>
          </w:tcPr>
          <w:p w:rsidR="00185C77" w:rsidRDefault="00176197">
            <w:pPr>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rsidR="00185C77" w:rsidRDefault="00176197">
            <w:pPr>
              <w:spacing w:beforeLines="20" w:before="48" w:afterLines="20" w:after="48"/>
              <w:jc w:val="center"/>
              <w:rPr>
                <w:noProof/>
                <w:sz w:val="16"/>
                <w:szCs w:val="16"/>
              </w:rPr>
            </w:pPr>
            <w:r>
              <w:rPr>
                <w:noProof/>
                <w:sz w:val="16"/>
              </w:rPr>
              <w:t>0</w:t>
            </w:r>
          </w:p>
        </w:tc>
        <w:tc>
          <w:tcPr>
            <w:tcW w:w="318" w:type="pct"/>
            <w:shd w:val="clear" w:color="auto" w:fill="auto"/>
            <w:vAlign w:val="center"/>
          </w:tcPr>
          <w:p w:rsidR="00185C77" w:rsidRDefault="00176197">
            <w:pPr>
              <w:spacing w:beforeLines="20" w:before="48" w:afterLines="20" w:after="48"/>
              <w:jc w:val="center"/>
              <w:rPr>
                <w:noProof/>
                <w:sz w:val="16"/>
                <w:szCs w:val="16"/>
              </w:rPr>
            </w:pPr>
            <w:r>
              <w:rPr>
                <w:noProof/>
                <w:sz w:val="16"/>
              </w:rPr>
              <w:t>0</w:t>
            </w:r>
          </w:p>
        </w:tc>
        <w:tc>
          <w:tcPr>
            <w:tcW w:w="1270" w:type="pct"/>
            <w:shd w:val="clear" w:color="auto" w:fill="auto"/>
            <w:vAlign w:val="center"/>
          </w:tcPr>
          <w:p w:rsidR="00185C77" w:rsidRDefault="00185C77">
            <w:pPr>
              <w:spacing w:beforeLines="20" w:before="48" w:afterLines="20" w:after="48"/>
              <w:jc w:val="center"/>
              <w:rPr>
                <w:noProof/>
                <w:sz w:val="16"/>
                <w:szCs w:val="16"/>
              </w:rPr>
            </w:pPr>
          </w:p>
        </w:tc>
        <w:tc>
          <w:tcPr>
            <w:tcW w:w="482" w:type="pct"/>
            <w:shd w:val="clear" w:color="auto" w:fill="auto"/>
            <w:vAlign w:val="center"/>
          </w:tcPr>
          <w:p w:rsidR="00185C77" w:rsidRDefault="00185C77">
            <w:pPr>
              <w:spacing w:beforeLines="20" w:before="48" w:afterLines="20" w:after="48"/>
              <w:jc w:val="center"/>
              <w:rPr>
                <w:noProof/>
                <w:sz w:val="16"/>
                <w:szCs w:val="16"/>
              </w:rPr>
            </w:pPr>
          </w:p>
        </w:tc>
        <w:tc>
          <w:tcPr>
            <w:tcW w:w="480"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c>
          <w:tcPr>
            <w:tcW w:w="115" w:type="pct"/>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1897" w:type="pct"/>
            <w:gridSpan w:val="2"/>
            <w:tcBorders>
              <w:bottom w:val="double" w:sz="4" w:space="0" w:color="auto"/>
            </w:tcBorders>
            <w:shd w:val="clear" w:color="auto" w:fill="auto"/>
            <w:vAlign w:val="center"/>
          </w:tcPr>
          <w:p w:rsidR="00185C77" w:rsidRDefault="00176197">
            <w:pPr>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185C77" w:rsidRDefault="00185C77">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185C77" w:rsidRDefault="00185C77">
            <w:pPr>
              <w:spacing w:beforeLines="20" w:before="48" w:afterLines="20" w:after="48"/>
              <w:jc w:val="center"/>
              <w:rPr>
                <w:noProof/>
                <w:sz w:val="16"/>
                <w:szCs w:val="16"/>
              </w:rPr>
            </w:pPr>
          </w:p>
        </w:tc>
        <w:tc>
          <w:tcPr>
            <w:tcW w:w="1270" w:type="pct"/>
            <w:tcBorders>
              <w:bottom w:val="double" w:sz="4" w:space="0" w:color="auto"/>
            </w:tcBorders>
            <w:shd w:val="clear" w:color="auto" w:fill="auto"/>
            <w:vAlign w:val="center"/>
          </w:tcPr>
          <w:p w:rsidR="00185C77" w:rsidRDefault="00185C77">
            <w:pPr>
              <w:spacing w:beforeLines="20" w:before="48" w:afterLines="20" w:after="48"/>
              <w:jc w:val="center"/>
              <w:rPr>
                <w:noProof/>
                <w:sz w:val="16"/>
                <w:szCs w:val="16"/>
              </w:rPr>
            </w:pPr>
          </w:p>
        </w:tc>
        <w:tc>
          <w:tcPr>
            <w:tcW w:w="482" w:type="pct"/>
            <w:tcBorders>
              <w:bottom w:val="double" w:sz="4" w:space="0" w:color="auto"/>
            </w:tcBorders>
            <w:shd w:val="clear" w:color="auto" w:fill="auto"/>
            <w:vAlign w:val="center"/>
          </w:tcPr>
          <w:p w:rsidR="00185C77" w:rsidRDefault="00185C77">
            <w:pPr>
              <w:spacing w:beforeLines="20" w:before="48" w:afterLines="20" w:after="48"/>
              <w:jc w:val="center"/>
              <w:rPr>
                <w:noProof/>
                <w:sz w:val="16"/>
                <w:szCs w:val="16"/>
              </w:rPr>
            </w:pPr>
          </w:p>
        </w:tc>
        <w:tc>
          <w:tcPr>
            <w:tcW w:w="480" w:type="pct"/>
            <w:tcBorders>
              <w:bottom w:val="double" w:sz="4" w:space="0" w:color="auto"/>
            </w:tcBorders>
            <w:shd w:val="clear" w:color="auto" w:fill="auto"/>
            <w:vAlign w:val="center"/>
          </w:tcPr>
          <w:p w:rsidR="00185C77" w:rsidRDefault="00185C77">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85C77" w:rsidRDefault="00185C77">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85C77" w:rsidRDefault="00185C77">
            <w:pPr>
              <w:spacing w:beforeLines="20" w:before="48" w:afterLines="20" w:after="48"/>
              <w:jc w:val="center"/>
              <w:rPr>
                <w:noProof/>
                <w:sz w:val="16"/>
                <w:szCs w:val="16"/>
              </w:rPr>
            </w:pPr>
          </w:p>
        </w:tc>
      </w:tr>
      <w:tr w:rsidR="00185C77">
        <w:trPr>
          <w:gridBefore w:val="1"/>
          <w:wBefore w:w="5" w:type="pct"/>
          <w:trHeight w:val="289"/>
          <w:jc w:val="center"/>
        </w:trPr>
        <w:tc>
          <w:tcPr>
            <w:tcW w:w="1897" w:type="pct"/>
            <w:gridSpan w:val="2"/>
            <w:tcBorders>
              <w:top w:val="double" w:sz="4" w:space="0" w:color="auto"/>
            </w:tcBorders>
            <w:shd w:val="clear" w:color="auto" w:fill="auto"/>
            <w:vAlign w:val="center"/>
          </w:tcPr>
          <w:p w:rsidR="00185C77" w:rsidRDefault="00176197">
            <w:pPr>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185C77" w:rsidRDefault="00176197">
            <w:pPr>
              <w:spacing w:beforeLines="20" w:before="48" w:afterLines="20" w:after="48"/>
              <w:jc w:val="center"/>
              <w:rPr>
                <w:b/>
                <w:noProof/>
                <w:sz w:val="16"/>
                <w:szCs w:val="16"/>
              </w:rPr>
            </w:pPr>
            <w:r>
              <w:rPr>
                <w:b/>
                <w:noProof/>
                <w:sz w:val="16"/>
              </w:rPr>
              <w:t>3</w:t>
            </w:r>
          </w:p>
        </w:tc>
        <w:tc>
          <w:tcPr>
            <w:tcW w:w="318" w:type="pct"/>
            <w:tcBorders>
              <w:top w:val="double" w:sz="4" w:space="0" w:color="auto"/>
            </w:tcBorders>
            <w:shd w:val="clear" w:color="auto" w:fill="auto"/>
            <w:vAlign w:val="center"/>
          </w:tcPr>
          <w:p w:rsidR="00185C77" w:rsidRDefault="00176197">
            <w:pPr>
              <w:spacing w:beforeLines="20" w:before="48" w:afterLines="20" w:after="48"/>
              <w:jc w:val="center"/>
              <w:rPr>
                <w:b/>
                <w:noProof/>
                <w:sz w:val="16"/>
                <w:szCs w:val="16"/>
              </w:rPr>
            </w:pPr>
            <w:r>
              <w:rPr>
                <w:b/>
                <w:noProof/>
                <w:sz w:val="16"/>
              </w:rPr>
              <w:t>3</w:t>
            </w:r>
          </w:p>
        </w:tc>
        <w:tc>
          <w:tcPr>
            <w:tcW w:w="1270" w:type="pct"/>
            <w:tcBorders>
              <w:top w:val="double" w:sz="4" w:space="0" w:color="auto"/>
            </w:tcBorders>
            <w:shd w:val="clear" w:color="auto" w:fill="auto"/>
            <w:vAlign w:val="center"/>
          </w:tcPr>
          <w:p w:rsidR="00185C77" w:rsidRDefault="00185C77">
            <w:pPr>
              <w:spacing w:beforeLines="20" w:before="48" w:afterLines="20" w:after="48"/>
              <w:jc w:val="center"/>
              <w:rPr>
                <w:b/>
                <w:noProof/>
                <w:sz w:val="16"/>
                <w:szCs w:val="16"/>
              </w:rPr>
            </w:pPr>
          </w:p>
        </w:tc>
        <w:tc>
          <w:tcPr>
            <w:tcW w:w="482" w:type="pct"/>
            <w:tcBorders>
              <w:top w:val="double" w:sz="4" w:space="0" w:color="auto"/>
            </w:tcBorders>
            <w:shd w:val="clear" w:color="auto" w:fill="auto"/>
            <w:vAlign w:val="center"/>
          </w:tcPr>
          <w:p w:rsidR="00185C77" w:rsidRDefault="00185C77">
            <w:pPr>
              <w:spacing w:beforeLines="20" w:before="48" w:afterLines="20" w:after="48"/>
              <w:jc w:val="center"/>
              <w:rPr>
                <w:b/>
                <w:noProof/>
                <w:sz w:val="16"/>
                <w:szCs w:val="16"/>
              </w:rPr>
            </w:pPr>
          </w:p>
        </w:tc>
        <w:tc>
          <w:tcPr>
            <w:tcW w:w="480" w:type="pct"/>
            <w:tcBorders>
              <w:top w:val="double" w:sz="4" w:space="0" w:color="auto"/>
            </w:tcBorders>
            <w:shd w:val="clear" w:color="auto" w:fill="auto"/>
            <w:vAlign w:val="center"/>
          </w:tcPr>
          <w:p w:rsidR="00185C77" w:rsidRDefault="00185C77">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85C77" w:rsidRDefault="00185C77">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85C77" w:rsidRDefault="00185C77">
            <w:pPr>
              <w:spacing w:beforeLines="20" w:before="48" w:afterLines="20" w:after="48"/>
              <w:jc w:val="center"/>
              <w:rPr>
                <w:b/>
                <w:noProof/>
                <w:sz w:val="16"/>
                <w:szCs w:val="16"/>
              </w:rPr>
            </w:pPr>
          </w:p>
        </w:tc>
      </w:tr>
    </w:tbl>
    <w:p w:rsidR="00185C77" w:rsidRDefault="00176197">
      <w:pPr>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rsidR="00185C77" w:rsidRDefault="00176197">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w:t>
      </w:r>
      <w:r>
        <w:rPr>
          <w:noProof/>
          <w:sz w:val="18"/>
        </w:rPr>
        <w:t>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185C77" w:rsidRDefault="00176197">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85C77">
        <w:tc>
          <w:tcPr>
            <w:tcW w:w="3240" w:type="dxa"/>
          </w:tcPr>
          <w:p w:rsidR="00185C77" w:rsidRDefault="00176197">
            <w:pPr>
              <w:rPr>
                <w:noProof/>
                <w:sz w:val="20"/>
              </w:rPr>
            </w:pPr>
            <w:r>
              <w:rPr>
                <w:noProof/>
                <w:sz w:val="20"/>
              </w:rPr>
              <w:t>Длъжностни лица и вре</w:t>
            </w:r>
            <w:r>
              <w:rPr>
                <w:noProof/>
                <w:sz w:val="20"/>
              </w:rPr>
              <w:t>менно наети лица</w:t>
            </w:r>
          </w:p>
        </w:tc>
        <w:tc>
          <w:tcPr>
            <w:tcW w:w="7200" w:type="dxa"/>
          </w:tcPr>
          <w:p w:rsidR="00185C77" w:rsidRDefault="00176197">
            <w:pPr>
              <w:keepNext/>
              <w:ind w:left="31" w:hanging="31"/>
              <w:outlineLvl w:val="3"/>
              <w:rPr>
                <w:rFonts w:eastAsiaTheme="majorEastAsia"/>
                <w:bCs/>
                <w:iCs/>
                <w:noProof/>
              </w:rPr>
            </w:pPr>
            <w:r>
              <w:rPr>
                <w:noProof/>
              </w:rPr>
              <w:t xml:space="preserve">От 2019 г. ще бъдат необходими още трима администратори, които да отговарят за подготовка на съответното законодателство за изпълнение, за ефикасното прилагане, мониторинг и оценка на регламента, както и за свързаните с това въпроси, като </w:t>
            </w:r>
            <w:r>
              <w:rPr>
                <w:noProof/>
              </w:rPr>
              <w:t xml:space="preserve">работата на инструмента VECTO и управлението на процеса на сертификация. По-долу се дава подробно описание на конкретните задачи. </w:t>
            </w:r>
          </w:p>
          <w:p w:rsidR="00185C77" w:rsidRDefault="00176197">
            <w:pPr>
              <w:keepNext/>
              <w:numPr>
                <w:ilvl w:val="6"/>
                <w:numId w:val="17"/>
              </w:numPr>
              <w:ind w:left="315" w:hanging="315"/>
              <w:outlineLvl w:val="3"/>
              <w:rPr>
                <w:rFonts w:eastAsiaTheme="majorEastAsia"/>
                <w:bCs/>
                <w:iCs/>
                <w:noProof/>
              </w:rPr>
            </w:pPr>
            <w:r>
              <w:rPr>
                <w:noProof/>
              </w:rPr>
              <w:t>Задачи, свързани с прилагането на регламента:</w:t>
            </w:r>
          </w:p>
          <w:p w:rsidR="00185C77" w:rsidRDefault="00176197">
            <w:pPr>
              <w:keepNext/>
              <w:numPr>
                <w:ilvl w:val="0"/>
                <w:numId w:val="9"/>
              </w:numPr>
              <w:ind w:left="598" w:hanging="283"/>
              <w:outlineLvl w:val="1"/>
              <w:rPr>
                <w:rFonts w:eastAsiaTheme="majorEastAsia"/>
                <w:bCs/>
                <w:noProof/>
                <w:szCs w:val="26"/>
              </w:rPr>
            </w:pPr>
            <w:r>
              <w:rPr>
                <w:noProof/>
              </w:rPr>
              <w:t xml:space="preserve"> определяне на индивидуални цели за производителите за намаляване на емисиите о</w:t>
            </w:r>
            <w:r>
              <w:rPr>
                <w:noProof/>
              </w:rPr>
              <w:t>т CO</w:t>
            </w:r>
            <w:r>
              <w:rPr>
                <w:rFonts w:eastAsiaTheme="majorEastAsia"/>
                <w:noProof/>
                <w:vertAlign w:val="subscript"/>
              </w:rPr>
              <w:t>2</w:t>
            </w:r>
            <w:r>
              <w:rPr>
                <w:noProof/>
              </w:rPr>
              <w:t xml:space="preserve"> и създаване на кредитни линии за натрупване на емисии;</w:t>
            </w:r>
          </w:p>
          <w:p w:rsidR="00185C77" w:rsidRDefault="00176197">
            <w:pPr>
              <w:numPr>
                <w:ilvl w:val="0"/>
                <w:numId w:val="9"/>
              </w:numPr>
              <w:ind w:left="598" w:hanging="141"/>
              <w:rPr>
                <w:noProof/>
              </w:rPr>
            </w:pPr>
            <w:r>
              <w:rPr>
                <w:noProof/>
              </w:rPr>
              <w:t>организация, надзор и контрол на процедурите за натрупване и заемане на емисии;</w:t>
            </w:r>
          </w:p>
          <w:p w:rsidR="00185C77" w:rsidRDefault="00176197">
            <w:pPr>
              <w:numPr>
                <w:ilvl w:val="0"/>
                <w:numId w:val="9"/>
              </w:numPr>
              <w:ind w:left="598" w:hanging="141"/>
              <w:rPr>
                <w:noProof/>
              </w:rPr>
            </w:pPr>
            <w:r>
              <w:rPr>
                <w:noProof/>
              </w:rPr>
              <w:t xml:space="preserve">организация, надзор и контрол на механизма със стимули за превозни средства с нулеви и ниски емисии; </w:t>
            </w:r>
          </w:p>
          <w:p w:rsidR="00185C77" w:rsidRDefault="00176197">
            <w:pPr>
              <w:numPr>
                <w:ilvl w:val="0"/>
                <w:numId w:val="9"/>
              </w:numPr>
              <w:ind w:left="598" w:hanging="141"/>
              <w:rPr>
                <w:noProof/>
              </w:rPr>
            </w:pPr>
            <w:r>
              <w:rPr>
                <w:noProof/>
              </w:rPr>
              <w:t xml:space="preserve">подготовка и </w:t>
            </w:r>
            <w:r>
              <w:rPr>
                <w:noProof/>
              </w:rPr>
              <w:t>прилагане на механизма за преглед през 2022 г. — преглед на целевите стойности, кредитните линии, приложимите горни граници, разширяване на обхвата и т.н.;</w:t>
            </w:r>
          </w:p>
          <w:p w:rsidR="00185C77" w:rsidRDefault="00176197">
            <w:pPr>
              <w:numPr>
                <w:ilvl w:val="0"/>
                <w:numId w:val="9"/>
              </w:numPr>
              <w:ind w:left="598" w:hanging="141"/>
              <w:rPr>
                <w:noProof/>
              </w:rPr>
            </w:pPr>
            <w:r>
              <w:rPr>
                <w:noProof/>
              </w:rPr>
              <w:t>надзор на процеса на събиране, публикуване и мониторинг на данните за емисиите в реални условия; уст</w:t>
            </w:r>
            <w:r>
              <w:rPr>
                <w:noProof/>
              </w:rPr>
              <w:t>ановяване на коригиращи действия, ако е необходимо, и контрол за тяхното изпълнение;</w:t>
            </w:r>
          </w:p>
          <w:p w:rsidR="00185C77" w:rsidRDefault="00176197">
            <w:pPr>
              <w:numPr>
                <w:ilvl w:val="0"/>
                <w:numId w:val="9"/>
              </w:numPr>
              <w:ind w:left="598" w:hanging="141"/>
              <w:rPr>
                <w:noProof/>
              </w:rPr>
            </w:pPr>
            <w:r>
              <w:rPr>
                <w:noProof/>
              </w:rPr>
              <w:t xml:space="preserve"> надзор и анализ на резултатите от изпитванията за съответствие в експлоатация. установяване на механизъм за корекции, ако е необходимо, и контрол за неговото изпълнение; </w:t>
            </w:r>
          </w:p>
          <w:p w:rsidR="00185C77" w:rsidRDefault="00176197">
            <w:pPr>
              <w:numPr>
                <w:ilvl w:val="0"/>
                <w:numId w:val="9"/>
              </w:numPr>
              <w:ind w:left="598" w:hanging="141"/>
              <w:rPr>
                <w:noProof/>
              </w:rPr>
            </w:pPr>
            <w:r>
              <w:rPr>
                <w:noProof/>
              </w:rPr>
              <w:t>оценка на изпълнението на целите на годишна и многогодишна база, в т.ч. налагане на санкции и събиране на съответните суми.</w:t>
            </w:r>
          </w:p>
          <w:p w:rsidR="00185C77" w:rsidRDefault="00176197">
            <w:pPr>
              <w:numPr>
                <w:ilvl w:val="6"/>
                <w:numId w:val="17"/>
              </w:numPr>
              <w:tabs>
                <w:tab w:val="left" w:pos="315"/>
                <w:tab w:val="left" w:pos="457"/>
              </w:tabs>
              <w:ind w:left="315" w:hanging="142"/>
              <w:rPr>
                <w:noProof/>
              </w:rPr>
            </w:pPr>
            <w:r>
              <w:rPr>
                <w:noProof/>
              </w:rPr>
              <w:t>Задачи, свързани с мониторинга и оценката на прилагането на регламента</w:t>
            </w:r>
          </w:p>
          <w:p w:rsidR="00185C77" w:rsidRDefault="00176197">
            <w:pPr>
              <w:numPr>
                <w:ilvl w:val="6"/>
                <w:numId w:val="17"/>
              </w:numPr>
              <w:tabs>
                <w:tab w:val="left" w:pos="315"/>
                <w:tab w:val="left" w:pos="457"/>
              </w:tabs>
              <w:ind w:left="315" w:hanging="142"/>
              <w:rPr>
                <w:noProof/>
              </w:rPr>
            </w:pPr>
            <w:r>
              <w:rPr>
                <w:noProof/>
              </w:rPr>
              <w:t xml:space="preserve">Задачи, свързани с инструмента VECTO: </w:t>
            </w:r>
          </w:p>
          <w:p w:rsidR="00185C77" w:rsidRDefault="00176197">
            <w:pPr>
              <w:numPr>
                <w:ilvl w:val="7"/>
                <w:numId w:val="17"/>
              </w:numPr>
              <w:tabs>
                <w:tab w:val="left" w:pos="315"/>
                <w:tab w:val="left" w:pos="457"/>
              </w:tabs>
              <w:ind w:left="878" w:hanging="425"/>
              <w:rPr>
                <w:noProof/>
              </w:rPr>
            </w:pPr>
            <w:r>
              <w:rPr>
                <w:noProof/>
              </w:rPr>
              <w:t xml:space="preserve">по-нататъшно </w:t>
            </w:r>
            <w:r>
              <w:rPr>
                <w:noProof/>
              </w:rPr>
              <w:t>разработване на инструмента с цел да се добави ускорена процедура за включване на нови технологии;</w:t>
            </w:r>
          </w:p>
          <w:p w:rsidR="00185C77" w:rsidRDefault="00176197">
            <w:pPr>
              <w:numPr>
                <w:ilvl w:val="7"/>
                <w:numId w:val="17"/>
              </w:numPr>
              <w:tabs>
                <w:tab w:val="left" w:pos="315"/>
                <w:tab w:val="left" w:pos="457"/>
              </w:tabs>
              <w:ind w:left="878" w:hanging="425"/>
              <w:rPr>
                <w:noProof/>
              </w:rPr>
            </w:pPr>
            <w:r>
              <w:rPr>
                <w:noProof/>
              </w:rPr>
              <w:t>управление на ускорената процедура по VECTО (подобна на процедурата за екоиновации при лекотоварните превозни средства) след нейното създаване;</w:t>
            </w:r>
          </w:p>
          <w:p w:rsidR="00185C77" w:rsidRDefault="00176197">
            <w:pPr>
              <w:numPr>
                <w:ilvl w:val="7"/>
                <w:numId w:val="17"/>
              </w:numPr>
              <w:tabs>
                <w:tab w:val="left" w:pos="315"/>
                <w:tab w:val="left" w:pos="457"/>
              </w:tabs>
              <w:ind w:left="878" w:hanging="425"/>
              <w:rPr>
                <w:noProof/>
              </w:rPr>
            </w:pPr>
            <w:r>
              <w:rPr>
                <w:noProof/>
              </w:rPr>
              <w:t>разширяване н</w:t>
            </w:r>
            <w:r>
              <w:rPr>
                <w:noProof/>
              </w:rPr>
              <w:t xml:space="preserve">а инструмента VECTО, така че да обхване градските и междуградските автобуси, по-малките товарни автомобили, ремаркетата и каросериите на товарните автомобили; </w:t>
            </w:r>
          </w:p>
          <w:p w:rsidR="00185C77" w:rsidRDefault="00176197">
            <w:pPr>
              <w:numPr>
                <w:ilvl w:val="7"/>
                <w:numId w:val="17"/>
              </w:numPr>
              <w:tabs>
                <w:tab w:val="left" w:pos="315"/>
                <w:tab w:val="left" w:pos="457"/>
              </w:tabs>
              <w:ind w:left="878" w:hanging="425"/>
              <w:rPr>
                <w:noProof/>
              </w:rPr>
            </w:pPr>
            <w:r>
              <w:rPr>
                <w:noProof/>
              </w:rPr>
              <w:t>управление на работата на инструмента VECTО, който се използва от централизирана платформа в инт</w:t>
            </w:r>
            <w:r>
              <w:rPr>
                <w:noProof/>
              </w:rPr>
              <w:t xml:space="preserve">ернет; решаване на въпроси, свързани с многоетапно одобряване (за градски и междуградски автобуси и за сертифициране на каросерията), с информация за клиентите (сравнителни симулации за различни превозни средства с персонализирани профили на движение) и с </w:t>
            </w:r>
            <w:r>
              <w:rPr>
                <w:noProof/>
              </w:rPr>
              <w:t xml:space="preserve">независими изпитвания (провеждане на симулации за проверка на изпитванията). </w:t>
            </w:r>
          </w:p>
          <w:p w:rsidR="00185C77" w:rsidRDefault="00176197">
            <w:pPr>
              <w:numPr>
                <w:ilvl w:val="7"/>
                <w:numId w:val="17"/>
              </w:numPr>
              <w:tabs>
                <w:tab w:val="left" w:pos="315"/>
                <w:tab w:val="left" w:pos="457"/>
              </w:tabs>
              <w:ind w:left="878" w:hanging="425"/>
              <w:rPr>
                <w:noProof/>
              </w:rPr>
            </w:pPr>
            <w:r>
              <w:rPr>
                <w:noProof/>
              </w:rPr>
              <w:t>управление на помощните инструменти, подпомагащи работата на инструмента VECTO, например процес на одобрение на търговски инструменти за изчислителна динамика на флуидите или съз</w:t>
            </w:r>
            <w:r>
              <w:rPr>
                <w:noProof/>
              </w:rPr>
              <w:t>даване на еталонен инструмент за изчислителна динамика на флуидите, който да бъде разработен от Комисията.</w:t>
            </w:r>
          </w:p>
          <w:p w:rsidR="00185C77" w:rsidRDefault="00176197">
            <w:pPr>
              <w:numPr>
                <w:ilvl w:val="7"/>
                <w:numId w:val="17"/>
              </w:numPr>
              <w:tabs>
                <w:tab w:val="left" w:pos="315"/>
                <w:tab w:val="left" w:pos="457"/>
              </w:tabs>
              <w:ind w:left="878" w:hanging="425"/>
              <w:rPr>
                <w:noProof/>
              </w:rPr>
            </w:pPr>
            <w:r>
              <w:rPr>
                <w:noProof/>
              </w:rPr>
              <w:t xml:space="preserve">изграждане на достатъчно задълбочени познания с цел да се гарантира, че въпреки необходимите съкращения на персонала </w:t>
            </w:r>
          </w:p>
          <w:p w:rsidR="00185C77" w:rsidRDefault="00176197">
            <w:pPr>
              <w:numPr>
                <w:ilvl w:val="8"/>
                <w:numId w:val="17"/>
              </w:numPr>
              <w:tabs>
                <w:tab w:val="left" w:pos="315"/>
                <w:tab w:val="left" w:pos="457"/>
              </w:tabs>
              <w:ind w:left="1303" w:hanging="283"/>
              <w:rPr>
                <w:noProof/>
              </w:rPr>
            </w:pPr>
            <w:r>
              <w:rPr>
                <w:noProof/>
              </w:rPr>
              <w:t xml:space="preserve">Комисията ще бъде в състояние </w:t>
            </w:r>
            <w:r>
              <w:rPr>
                <w:noProof/>
              </w:rPr>
              <w:t>да поддържа ежедневната работа на VECTO, без да зависи от външни изпълнители.</w:t>
            </w:r>
          </w:p>
          <w:p w:rsidR="00185C77" w:rsidRDefault="00176197">
            <w:pPr>
              <w:numPr>
                <w:ilvl w:val="8"/>
                <w:numId w:val="17"/>
              </w:numPr>
              <w:tabs>
                <w:tab w:val="left" w:pos="315"/>
                <w:tab w:val="left" w:pos="457"/>
              </w:tabs>
              <w:ind w:left="1303" w:hanging="283"/>
              <w:rPr>
                <w:noProof/>
              </w:rPr>
            </w:pPr>
            <w:r>
              <w:rPr>
                <w:noProof/>
              </w:rPr>
              <w:t>може да бъдат обявени търгове за проектиране с достатъчно задълбочени и подробни спецификации (например функционално описание на отделни модули на програмата), така че да могат д</w:t>
            </w:r>
            <w:r>
              <w:rPr>
                <w:noProof/>
              </w:rPr>
              <w:t>а участват широк кръг кандидати, включително оференти, които не познават инструмента VECTO.</w:t>
            </w:r>
          </w:p>
          <w:p w:rsidR="00185C77" w:rsidRDefault="00176197">
            <w:pPr>
              <w:numPr>
                <w:ilvl w:val="6"/>
                <w:numId w:val="17"/>
              </w:numPr>
              <w:tabs>
                <w:tab w:val="left" w:pos="315"/>
                <w:tab w:val="left" w:pos="457"/>
              </w:tabs>
              <w:ind w:left="315" w:hanging="142"/>
              <w:rPr>
                <w:noProof/>
              </w:rPr>
            </w:pPr>
            <w:r>
              <w:rPr>
                <w:noProof/>
              </w:rPr>
              <w:t>Задачи, свързани с процеса на сертифициране:</w:t>
            </w:r>
          </w:p>
          <w:p w:rsidR="00185C77" w:rsidRDefault="00176197">
            <w:pPr>
              <w:numPr>
                <w:ilvl w:val="7"/>
                <w:numId w:val="17"/>
              </w:numPr>
              <w:tabs>
                <w:tab w:val="left" w:pos="315"/>
                <w:tab w:val="left" w:pos="457"/>
              </w:tabs>
              <w:ind w:left="878" w:hanging="425"/>
              <w:rPr>
                <w:noProof/>
              </w:rPr>
            </w:pPr>
            <w:r>
              <w:rPr>
                <w:noProof/>
              </w:rPr>
              <w:t xml:space="preserve"> обезпечаване на своевременното му актуализиране и включване на необходимите функционалности за правилно прилагане на с</w:t>
            </w:r>
            <w:r>
              <w:rPr>
                <w:noProof/>
              </w:rPr>
              <w:t>тандартите за емисии на CO</w:t>
            </w:r>
            <w:r>
              <w:rPr>
                <w:noProof/>
                <w:vertAlign w:val="subscript"/>
              </w:rPr>
              <w:t>2</w:t>
            </w:r>
            <w:r>
              <w:rPr>
                <w:noProof/>
              </w:rPr>
              <w:t xml:space="preserve">. </w:t>
            </w:r>
          </w:p>
          <w:p w:rsidR="00185C77" w:rsidRDefault="00176197">
            <w:pPr>
              <w:numPr>
                <w:ilvl w:val="7"/>
                <w:numId w:val="17"/>
              </w:numPr>
              <w:tabs>
                <w:tab w:val="left" w:pos="315"/>
                <w:tab w:val="left" w:pos="457"/>
              </w:tabs>
              <w:ind w:left="878" w:hanging="425"/>
              <w:rPr>
                <w:noProof/>
              </w:rPr>
            </w:pPr>
            <w:r>
              <w:rPr>
                <w:noProof/>
              </w:rPr>
              <w:t xml:space="preserve">подкрепа за ускорена процедура по VECTO за включване на нови технологии;  </w:t>
            </w:r>
          </w:p>
          <w:p w:rsidR="00185C77" w:rsidRDefault="00176197">
            <w:pPr>
              <w:rPr>
                <w:noProof/>
              </w:rPr>
            </w:pPr>
            <w:r>
              <w:rPr>
                <w:noProof/>
              </w:rPr>
              <w:t>Въпреки че задачите по точки 3 и 4 по-горе са свързани с прилагането на Регламента за мониторинга и докладването и Регламента за сертифициране, те са с</w:t>
            </w:r>
            <w:r>
              <w:rPr>
                <w:noProof/>
              </w:rPr>
              <w:t xml:space="preserve"> различен характер и допълват задачите, които вече изпълняват служителите, работещи в тази област. </w:t>
            </w:r>
          </w:p>
          <w:p w:rsidR="00185C77" w:rsidRDefault="00176197">
            <w:pPr>
              <w:rPr>
                <w:noProof/>
              </w:rPr>
            </w:pPr>
            <w:r>
              <w:rPr>
                <w:noProof/>
              </w:rPr>
              <w:t>За изпълнението на първата задача бяха поискани двама договорно наети служители за Европейската агенция за околната среда, които да подпомагат прилагането н</w:t>
            </w:r>
            <w:r>
              <w:rPr>
                <w:noProof/>
              </w:rPr>
              <w:t>а системата за докладване и подготовката на системите за гарантиране на качеството и контрол на качеството на данните.</w:t>
            </w:r>
          </w:p>
          <w:p w:rsidR="00185C77" w:rsidRDefault="00176197">
            <w:pPr>
              <w:rPr>
                <w:noProof/>
              </w:rPr>
            </w:pPr>
            <w:r>
              <w:rPr>
                <w:noProof/>
              </w:rPr>
              <w:t>За изпълнението на тази дейност са необходими допълнителни човешки ресурси със специални познания за VECTO с цел да се актуализира Реглам</w:t>
            </w:r>
            <w:r>
              <w:rPr>
                <w:noProof/>
              </w:rPr>
              <w:t>ентът за сертифициране.</w:t>
            </w:r>
          </w:p>
        </w:tc>
      </w:tr>
      <w:tr w:rsidR="00185C77">
        <w:tc>
          <w:tcPr>
            <w:tcW w:w="3240" w:type="dxa"/>
          </w:tcPr>
          <w:p w:rsidR="00185C77" w:rsidRDefault="00176197">
            <w:pPr>
              <w:spacing w:before="60" w:after="60"/>
              <w:rPr>
                <w:noProof/>
                <w:sz w:val="20"/>
              </w:rPr>
            </w:pPr>
            <w:r>
              <w:rPr>
                <w:noProof/>
                <w:sz w:val="20"/>
              </w:rPr>
              <w:t>Външен персонал</w:t>
            </w:r>
          </w:p>
        </w:tc>
        <w:tc>
          <w:tcPr>
            <w:tcW w:w="7200" w:type="dxa"/>
          </w:tcPr>
          <w:p w:rsidR="00185C77" w:rsidRDefault="00176197">
            <w:pPr>
              <w:rPr>
                <w:noProof/>
                <w:sz w:val="20"/>
              </w:rPr>
            </w:pPr>
            <w:r>
              <w:rPr>
                <w:noProof/>
                <w:sz w:val="20"/>
              </w:rPr>
              <w:t>Няма</w:t>
            </w:r>
          </w:p>
        </w:tc>
      </w:tr>
    </w:tbl>
    <w:p w:rsidR="00185C77" w:rsidRDefault="00185C77">
      <w:pPr>
        <w:rPr>
          <w:noProof/>
        </w:rPr>
        <w:sectPr w:rsidR="00185C77" w:rsidSect="00176197">
          <w:pgSz w:w="11907" w:h="16840"/>
          <w:pgMar w:top="1134" w:right="1418" w:bottom="1134" w:left="1418" w:header="709" w:footer="709" w:gutter="0"/>
          <w:cols w:space="708"/>
          <w:docGrid w:linePitch="360"/>
        </w:sectPr>
      </w:pPr>
    </w:p>
    <w:p w:rsidR="00185C77" w:rsidRDefault="00176197">
      <w:pPr>
        <w:pStyle w:val="ManualHeading3"/>
        <w:rPr>
          <w:noProof/>
          <w:szCs w:val="24"/>
        </w:rPr>
      </w:pPr>
      <w:r>
        <w:rPr>
          <w:noProof/>
        </w:rPr>
        <w:t>3.2.4.</w:t>
      </w:r>
      <w:r>
        <w:rPr>
          <w:noProof/>
        </w:rPr>
        <w:tab/>
        <w:t xml:space="preserve">Съвместимост с настоящата многогодишна финансова рамка </w:t>
      </w:r>
    </w:p>
    <w:p w:rsidR="00185C77" w:rsidRDefault="00176197">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rsidR="00185C77" w:rsidRDefault="00176197">
      <w:pPr>
        <w:pStyle w:val="ListDash1"/>
        <w:rPr>
          <w:noProof/>
        </w:rPr>
      </w:pPr>
      <w:r>
        <w:rPr>
          <w:noProof/>
        </w:rPr>
        <w:sym w:font="Wingdings" w:char="F0A8"/>
      </w:r>
      <w:r>
        <w:rPr>
          <w:noProof/>
        </w:rPr>
        <w:tab/>
        <w:t xml:space="preserve">Предложението/инициативата налага </w:t>
      </w:r>
      <w:r>
        <w:rPr>
          <w:noProof/>
        </w:rPr>
        <w:t>препрограмиране на съответната функция от многогодишната финансова рамка.</w:t>
      </w:r>
    </w:p>
    <w:p w:rsidR="00185C77" w:rsidRDefault="00176197">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препрограмиране е необходимо, като посочите съответните бюджетни редове и суми.</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185C77" w:rsidRDefault="00176197">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w:t>
      </w:r>
      <w:r>
        <w:rPr>
          <w:noProof/>
        </w:rPr>
        <w:t xml:space="preserve"> се преразгледа многогодишната финансова рамка.</w:t>
      </w:r>
    </w:p>
    <w:p w:rsidR="00185C77" w:rsidRDefault="00176197">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185C77" w:rsidRDefault="00176197">
      <w:pPr>
        <w:pStyle w:val="ManualHeading3"/>
        <w:rPr>
          <w:noProof/>
          <w:szCs w:val="24"/>
        </w:rPr>
      </w:pPr>
      <w:r>
        <w:rPr>
          <w:noProof/>
        </w:rPr>
        <w:t>3.2.5.</w:t>
      </w:r>
      <w:r>
        <w:rPr>
          <w:noProof/>
        </w:rPr>
        <w:tab/>
        <w:t xml:space="preserve">Участие на трети страни във финансирането </w:t>
      </w:r>
    </w:p>
    <w:p w:rsidR="00185C77" w:rsidRDefault="00176197">
      <w:pPr>
        <w:pStyle w:val="ListDash1"/>
        <w:rPr>
          <w:noProof/>
        </w:rPr>
      </w:pPr>
      <w:r>
        <w:rPr>
          <w:noProof/>
        </w:rPr>
        <w:t xml:space="preserve">Предложението/инициативата не предвижда съфинансиране от трети страни. </w:t>
      </w:r>
    </w:p>
    <w:p w:rsidR="00185C77" w:rsidRDefault="00176197">
      <w:pPr>
        <w:pStyle w:val="ListDash1"/>
        <w:rPr>
          <w:noProof/>
        </w:rPr>
      </w:pPr>
      <w:r>
        <w:rPr>
          <w:noProof/>
        </w:rPr>
        <w:t>Предложението/инициативата предвижда съфинансиране съгласно следните прогнози:</w:t>
      </w:r>
    </w:p>
    <w:p w:rsidR="00185C77" w:rsidRDefault="00176197">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85C77">
        <w:trPr>
          <w:cantSplit/>
        </w:trPr>
        <w:tc>
          <w:tcPr>
            <w:tcW w:w="2340" w:type="dxa"/>
          </w:tcPr>
          <w:p w:rsidR="00185C77" w:rsidRDefault="00185C77">
            <w:pPr>
              <w:spacing w:before="60" w:after="60"/>
              <w:rPr>
                <w:noProof/>
                <w:sz w:val="20"/>
              </w:rPr>
            </w:pPr>
          </w:p>
        </w:tc>
        <w:tc>
          <w:tcPr>
            <w:tcW w:w="964" w:type="dxa"/>
            <w:vAlign w:val="center"/>
          </w:tcPr>
          <w:p w:rsidR="00185C77" w:rsidRDefault="00176197">
            <w:pPr>
              <w:jc w:val="center"/>
              <w:rPr>
                <w:noProof/>
                <w:sz w:val="20"/>
              </w:rPr>
            </w:pPr>
            <w:r>
              <w:rPr>
                <w:noProof/>
                <w:sz w:val="20"/>
              </w:rPr>
              <w:t>Година</w:t>
            </w:r>
            <w:r>
              <w:rPr>
                <w:b/>
                <w:noProof/>
                <w:sz w:val="20"/>
              </w:rPr>
              <w:t>N</w:t>
            </w:r>
          </w:p>
        </w:tc>
        <w:tc>
          <w:tcPr>
            <w:tcW w:w="964" w:type="dxa"/>
            <w:vAlign w:val="center"/>
          </w:tcPr>
          <w:p w:rsidR="00185C77" w:rsidRDefault="00176197">
            <w:pPr>
              <w:jc w:val="center"/>
              <w:rPr>
                <w:noProof/>
                <w:sz w:val="20"/>
              </w:rPr>
            </w:pPr>
            <w:r>
              <w:rPr>
                <w:noProof/>
                <w:sz w:val="20"/>
              </w:rPr>
              <w:t>Година</w:t>
            </w:r>
            <w:r>
              <w:rPr>
                <w:b/>
                <w:noProof/>
                <w:sz w:val="20"/>
              </w:rPr>
              <w:t>N+1</w:t>
            </w:r>
          </w:p>
        </w:tc>
        <w:tc>
          <w:tcPr>
            <w:tcW w:w="964" w:type="dxa"/>
            <w:vAlign w:val="center"/>
          </w:tcPr>
          <w:p w:rsidR="00185C77" w:rsidRDefault="00176197">
            <w:pPr>
              <w:jc w:val="center"/>
              <w:rPr>
                <w:noProof/>
                <w:sz w:val="20"/>
              </w:rPr>
            </w:pPr>
            <w:r>
              <w:rPr>
                <w:noProof/>
                <w:sz w:val="20"/>
              </w:rPr>
              <w:t>Година</w:t>
            </w:r>
            <w:r>
              <w:rPr>
                <w:b/>
                <w:noProof/>
                <w:sz w:val="20"/>
              </w:rPr>
              <w:t>N+2</w:t>
            </w:r>
          </w:p>
        </w:tc>
        <w:tc>
          <w:tcPr>
            <w:tcW w:w="964" w:type="dxa"/>
            <w:vAlign w:val="center"/>
          </w:tcPr>
          <w:p w:rsidR="00185C77" w:rsidRDefault="00176197">
            <w:pPr>
              <w:jc w:val="center"/>
              <w:rPr>
                <w:noProof/>
                <w:sz w:val="20"/>
              </w:rPr>
            </w:pPr>
            <w:r>
              <w:rPr>
                <w:noProof/>
                <w:sz w:val="20"/>
              </w:rPr>
              <w:t>Годин</w:t>
            </w:r>
            <w:r>
              <w:rPr>
                <w:noProof/>
                <w:sz w:val="20"/>
              </w:rPr>
              <w:t>а</w:t>
            </w:r>
            <w:r>
              <w:rPr>
                <w:b/>
                <w:noProof/>
                <w:sz w:val="20"/>
              </w:rPr>
              <w:t>N+3</w:t>
            </w:r>
          </w:p>
        </w:tc>
        <w:tc>
          <w:tcPr>
            <w:tcW w:w="2892" w:type="dxa"/>
            <w:gridSpan w:val="3"/>
            <w:vAlign w:val="center"/>
          </w:tcPr>
          <w:p w:rsidR="00185C77" w:rsidRDefault="00176197">
            <w:pPr>
              <w:jc w:val="center"/>
              <w:rPr>
                <w:b/>
                <w:noProof/>
                <w:sz w:val="20"/>
              </w:rPr>
            </w:pPr>
            <w:r>
              <w:rPr>
                <w:noProof/>
                <w:sz w:val="20"/>
              </w:rPr>
              <w:t>… 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185C77" w:rsidRDefault="00176197">
            <w:pPr>
              <w:spacing w:before="60" w:after="60"/>
              <w:jc w:val="center"/>
              <w:rPr>
                <w:noProof/>
                <w:sz w:val="20"/>
              </w:rPr>
            </w:pPr>
            <w:r>
              <w:rPr>
                <w:noProof/>
                <w:sz w:val="20"/>
              </w:rPr>
              <w:t>Общо</w:t>
            </w:r>
          </w:p>
        </w:tc>
      </w:tr>
      <w:tr w:rsidR="00185C77">
        <w:trPr>
          <w:cantSplit/>
        </w:trPr>
        <w:tc>
          <w:tcPr>
            <w:tcW w:w="2340" w:type="dxa"/>
          </w:tcPr>
          <w:p w:rsidR="00185C77" w:rsidRDefault="00176197">
            <w:pPr>
              <w:rPr>
                <w:noProof/>
                <w:sz w:val="22"/>
              </w:rPr>
            </w:pPr>
            <w:r>
              <w:rPr>
                <w:noProof/>
                <w:sz w:val="20"/>
              </w:rPr>
              <w:t>Да се посочи съфинансиращият орган</w:t>
            </w:r>
            <w:r>
              <w:rPr>
                <w:i/>
                <w:noProof/>
                <w:sz w:val="20"/>
              </w:rPr>
              <w:t xml:space="preserve"> </w:t>
            </w: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1158" w:type="dxa"/>
            <w:vAlign w:val="center"/>
          </w:tcPr>
          <w:p w:rsidR="00185C77" w:rsidRDefault="00185C77">
            <w:pPr>
              <w:spacing w:before="60" w:after="60"/>
              <w:jc w:val="center"/>
              <w:rPr>
                <w:noProof/>
                <w:sz w:val="20"/>
              </w:rPr>
            </w:pPr>
          </w:p>
        </w:tc>
      </w:tr>
      <w:tr w:rsidR="00185C77">
        <w:trPr>
          <w:cantSplit/>
        </w:trPr>
        <w:tc>
          <w:tcPr>
            <w:tcW w:w="2340" w:type="dxa"/>
          </w:tcPr>
          <w:p w:rsidR="00185C77" w:rsidRDefault="00176197">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964" w:type="dxa"/>
            <w:vAlign w:val="center"/>
          </w:tcPr>
          <w:p w:rsidR="00185C77" w:rsidRDefault="00185C77">
            <w:pPr>
              <w:spacing w:before="60" w:after="60"/>
              <w:jc w:val="center"/>
              <w:rPr>
                <w:noProof/>
                <w:sz w:val="20"/>
              </w:rPr>
            </w:pPr>
          </w:p>
        </w:tc>
        <w:tc>
          <w:tcPr>
            <w:tcW w:w="1158" w:type="dxa"/>
            <w:vAlign w:val="center"/>
          </w:tcPr>
          <w:p w:rsidR="00185C77" w:rsidRDefault="00185C77">
            <w:pPr>
              <w:spacing w:before="60" w:after="60"/>
              <w:jc w:val="center"/>
              <w:rPr>
                <w:noProof/>
                <w:sz w:val="20"/>
              </w:rPr>
            </w:pPr>
          </w:p>
        </w:tc>
      </w:tr>
    </w:tbl>
    <w:p w:rsidR="00185C77" w:rsidRDefault="00176197">
      <w:pPr>
        <w:rPr>
          <w:noProof/>
        </w:rPr>
      </w:pPr>
      <w:r>
        <w:rPr>
          <w:noProof/>
        </w:rPr>
        <w:br/>
      </w:r>
    </w:p>
    <w:p w:rsidR="00185C77" w:rsidRDefault="00176197">
      <w:pPr>
        <w:pStyle w:val="ManualHeading2"/>
        <w:rPr>
          <w:noProof/>
          <w:szCs w:val="24"/>
        </w:rPr>
      </w:pPr>
      <w:r>
        <w:rPr>
          <w:noProof/>
        </w:rPr>
        <w:br w:type="page"/>
        <w:t>3.3.</w:t>
      </w:r>
      <w:r>
        <w:rPr>
          <w:noProof/>
        </w:rPr>
        <w:tab/>
      </w:r>
      <w:r>
        <w:rPr>
          <w:noProof/>
        </w:rPr>
        <w:t xml:space="preserve">Очаквано отражение върху приходите </w:t>
      </w:r>
    </w:p>
    <w:p w:rsidR="00185C77" w:rsidRDefault="00176197">
      <w:pPr>
        <w:pStyle w:val="ListDash1"/>
        <w:rPr>
          <w:noProof/>
        </w:rPr>
      </w:pPr>
      <w:r>
        <w:rPr>
          <w:noProof/>
        </w:rPr>
        <w:sym w:font="Wingdings" w:char="F0FE"/>
      </w:r>
      <w:r>
        <w:rPr>
          <w:noProof/>
        </w:rPr>
        <w:tab/>
        <w:t>Предложението/инициативата няма финансово отражение върху приходите.</w:t>
      </w:r>
    </w:p>
    <w:p w:rsidR="00185C77" w:rsidRDefault="00176197">
      <w:pPr>
        <w:pStyle w:val="ListDash1"/>
        <w:rPr>
          <w:noProof/>
        </w:rPr>
      </w:pPr>
      <w:r>
        <w:rPr>
          <w:noProof/>
        </w:rPr>
        <w:sym w:font="Wingdings" w:char="F0A8"/>
      </w:r>
      <w:r>
        <w:rPr>
          <w:noProof/>
        </w:rPr>
        <w:tab/>
        <w:t>Предложението/инициативата има следното финансово отражение:</w:t>
      </w:r>
    </w:p>
    <w:p w:rsidR="00185C77" w:rsidRDefault="00176197">
      <w:pPr>
        <w:pStyle w:val="ListNumberLevel3"/>
        <w:rPr>
          <w:noProof/>
        </w:rPr>
      </w:pPr>
      <w:r>
        <w:rPr>
          <w:noProof/>
        </w:rPr>
        <w:sym w:font="Wingdings" w:char="F0A8"/>
      </w:r>
      <w:r>
        <w:rPr>
          <w:noProof/>
        </w:rPr>
        <w:tab/>
        <w:t xml:space="preserve">върху собствените ресурси </w:t>
      </w:r>
    </w:p>
    <w:p w:rsidR="00185C77" w:rsidRDefault="00176197">
      <w:pPr>
        <w:pStyle w:val="ListNumberLevel3"/>
        <w:rPr>
          <w:noProof/>
        </w:rPr>
      </w:pPr>
      <w:r>
        <w:rPr>
          <w:noProof/>
        </w:rPr>
        <w:sym w:font="Wingdings" w:char="F0A8"/>
      </w:r>
      <w:r>
        <w:rPr>
          <w:noProof/>
        </w:rPr>
        <w:tab/>
        <w:t xml:space="preserve">върху разните приходи </w:t>
      </w:r>
    </w:p>
    <w:p w:rsidR="00185C77" w:rsidRDefault="00176197">
      <w:pPr>
        <w:jc w:val="right"/>
        <w:rPr>
          <w:i/>
          <w:noProof/>
          <w:sz w:val="20"/>
        </w:rPr>
      </w:pPr>
      <w:r>
        <w:rPr>
          <w:noProof/>
        </w:rPr>
        <w:t>млн. евро (до третия знак след д</w:t>
      </w:r>
      <w:r>
        <w:rPr>
          <w:noProof/>
        </w:rPr>
        <w:t>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185C77">
        <w:trPr>
          <w:trHeight w:val="388"/>
        </w:trPr>
        <w:tc>
          <w:tcPr>
            <w:tcW w:w="2144" w:type="dxa"/>
            <w:vMerge w:val="restart"/>
            <w:vAlign w:val="center"/>
          </w:tcPr>
          <w:p w:rsidR="00185C77" w:rsidRDefault="00176197">
            <w:pPr>
              <w:spacing w:before="40" w:after="40"/>
              <w:rPr>
                <w:noProof/>
                <w:sz w:val="18"/>
              </w:rPr>
            </w:pPr>
            <w:r>
              <w:rPr>
                <w:noProof/>
                <w:sz w:val="18"/>
              </w:rPr>
              <w:t>Приходен бюджетен ред:</w:t>
            </w:r>
          </w:p>
        </w:tc>
        <w:tc>
          <w:tcPr>
            <w:tcW w:w="1276" w:type="dxa"/>
            <w:vMerge w:val="restart"/>
            <w:vAlign w:val="center"/>
          </w:tcPr>
          <w:p w:rsidR="00185C77" w:rsidRDefault="00176197">
            <w:pPr>
              <w:jc w:val="center"/>
              <w:rPr>
                <w:noProof/>
                <w:sz w:val="18"/>
              </w:rPr>
            </w:pPr>
            <w:r>
              <w:rPr>
                <w:noProof/>
                <w:sz w:val="18"/>
              </w:rPr>
              <w:t>Налични бюджетни кредити за текущата бюджетна година</w:t>
            </w:r>
          </w:p>
        </w:tc>
        <w:tc>
          <w:tcPr>
            <w:tcW w:w="7200" w:type="dxa"/>
            <w:gridSpan w:val="7"/>
            <w:vAlign w:val="center"/>
          </w:tcPr>
          <w:p w:rsidR="00185C77" w:rsidRDefault="00176197">
            <w:pPr>
              <w:jc w:val="center"/>
              <w:rPr>
                <w:noProof/>
                <w:sz w:val="18"/>
              </w:rPr>
            </w:pPr>
            <w:r>
              <w:rPr>
                <w:noProof/>
                <w:sz w:val="18"/>
              </w:rPr>
              <w:t>Отражение на предложението/инициативата</w:t>
            </w:r>
            <w:r>
              <w:rPr>
                <w:rStyle w:val="FootnoteReference"/>
                <w:noProof/>
              </w:rPr>
              <w:footnoteReference w:id="52"/>
            </w:r>
          </w:p>
        </w:tc>
      </w:tr>
      <w:tr w:rsidR="00185C77">
        <w:trPr>
          <w:trHeight w:val="388"/>
        </w:trPr>
        <w:tc>
          <w:tcPr>
            <w:tcW w:w="2144" w:type="dxa"/>
            <w:vMerge/>
          </w:tcPr>
          <w:p w:rsidR="00185C77" w:rsidRDefault="00185C77">
            <w:pPr>
              <w:spacing w:before="40" w:after="40"/>
              <w:rPr>
                <w:noProof/>
                <w:sz w:val="18"/>
              </w:rPr>
            </w:pPr>
          </w:p>
        </w:tc>
        <w:tc>
          <w:tcPr>
            <w:tcW w:w="1276" w:type="dxa"/>
            <w:vMerge/>
          </w:tcPr>
          <w:p w:rsidR="00185C77" w:rsidRDefault="00185C77">
            <w:pPr>
              <w:spacing w:beforeLines="40" w:before="96" w:afterLines="40" w:after="96"/>
              <w:rPr>
                <w:i/>
                <w:noProof/>
                <w:sz w:val="18"/>
              </w:rPr>
            </w:pPr>
          </w:p>
        </w:tc>
        <w:tc>
          <w:tcPr>
            <w:tcW w:w="1080" w:type="dxa"/>
            <w:vAlign w:val="center"/>
          </w:tcPr>
          <w:p w:rsidR="00185C77" w:rsidRDefault="00176197">
            <w:pPr>
              <w:jc w:val="center"/>
              <w:rPr>
                <w:noProof/>
                <w:sz w:val="18"/>
              </w:rPr>
            </w:pPr>
            <w:r>
              <w:rPr>
                <w:noProof/>
                <w:sz w:val="18"/>
              </w:rPr>
              <w:t>Година</w:t>
            </w:r>
            <w:r>
              <w:rPr>
                <w:b/>
                <w:noProof/>
                <w:sz w:val="18"/>
              </w:rPr>
              <w:t>N</w:t>
            </w:r>
          </w:p>
        </w:tc>
        <w:tc>
          <w:tcPr>
            <w:tcW w:w="900" w:type="dxa"/>
            <w:vAlign w:val="center"/>
          </w:tcPr>
          <w:p w:rsidR="00185C77" w:rsidRDefault="00176197">
            <w:pPr>
              <w:jc w:val="center"/>
              <w:rPr>
                <w:noProof/>
                <w:sz w:val="18"/>
              </w:rPr>
            </w:pPr>
            <w:r>
              <w:rPr>
                <w:noProof/>
                <w:sz w:val="18"/>
              </w:rPr>
              <w:t>Година</w:t>
            </w:r>
            <w:r>
              <w:rPr>
                <w:b/>
                <w:noProof/>
                <w:sz w:val="18"/>
              </w:rPr>
              <w:t>N+1</w:t>
            </w:r>
          </w:p>
        </w:tc>
        <w:tc>
          <w:tcPr>
            <w:tcW w:w="900" w:type="dxa"/>
            <w:vAlign w:val="center"/>
          </w:tcPr>
          <w:p w:rsidR="00185C77" w:rsidRDefault="00176197">
            <w:pPr>
              <w:jc w:val="center"/>
              <w:rPr>
                <w:noProof/>
                <w:sz w:val="18"/>
              </w:rPr>
            </w:pPr>
            <w:r>
              <w:rPr>
                <w:noProof/>
                <w:sz w:val="18"/>
              </w:rPr>
              <w:t>Година</w:t>
            </w:r>
            <w:r>
              <w:rPr>
                <w:b/>
                <w:noProof/>
                <w:sz w:val="18"/>
              </w:rPr>
              <w:t>N+2</w:t>
            </w:r>
          </w:p>
        </w:tc>
        <w:tc>
          <w:tcPr>
            <w:tcW w:w="1080" w:type="dxa"/>
            <w:vAlign w:val="center"/>
          </w:tcPr>
          <w:p w:rsidR="00185C77" w:rsidRDefault="00176197">
            <w:pPr>
              <w:jc w:val="center"/>
              <w:rPr>
                <w:noProof/>
                <w:sz w:val="18"/>
              </w:rPr>
            </w:pPr>
            <w:r>
              <w:rPr>
                <w:noProof/>
                <w:sz w:val="18"/>
              </w:rPr>
              <w:t>Година</w:t>
            </w:r>
            <w:r>
              <w:rPr>
                <w:b/>
                <w:noProof/>
                <w:sz w:val="18"/>
              </w:rPr>
              <w:t>N+3</w:t>
            </w:r>
          </w:p>
        </w:tc>
        <w:tc>
          <w:tcPr>
            <w:tcW w:w="3240" w:type="dxa"/>
            <w:gridSpan w:val="3"/>
            <w:vAlign w:val="center"/>
          </w:tcPr>
          <w:p w:rsidR="00185C77" w:rsidRDefault="00176197">
            <w:pPr>
              <w:jc w:val="center"/>
              <w:rPr>
                <w:b/>
                <w:noProof/>
                <w:sz w:val="18"/>
              </w:rPr>
            </w:pPr>
            <w:r>
              <w:rPr>
                <w:noProof/>
                <w:sz w:val="18"/>
              </w:rPr>
              <w:t xml:space="preserve">… да се добавят толкова години, колкото е необходимо, за да се обхване </w:t>
            </w:r>
            <w:r>
              <w:rPr>
                <w:noProof/>
                <w:sz w:val="18"/>
              </w:rPr>
              <w:t>продължителността на отражението (вж. точка 1.6)</w:t>
            </w:r>
          </w:p>
        </w:tc>
      </w:tr>
      <w:tr w:rsidR="00185C77">
        <w:trPr>
          <w:trHeight w:val="388"/>
        </w:trPr>
        <w:tc>
          <w:tcPr>
            <w:tcW w:w="2144" w:type="dxa"/>
            <w:vAlign w:val="center"/>
          </w:tcPr>
          <w:p w:rsidR="00185C77" w:rsidRDefault="00176197">
            <w:pPr>
              <w:spacing w:before="40" w:after="40"/>
              <w:rPr>
                <w:noProof/>
                <w:sz w:val="18"/>
              </w:rPr>
            </w:pPr>
            <w:r>
              <w:rPr>
                <w:noProof/>
                <w:sz w:val="18"/>
              </w:rPr>
              <w:t>Статия …………</w:t>
            </w:r>
          </w:p>
        </w:tc>
        <w:tc>
          <w:tcPr>
            <w:tcW w:w="1276" w:type="dxa"/>
          </w:tcPr>
          <w:p w:rsidR="00185C77" w:rsidRDefault="00185C77">
            <w:pPr>
              <w:spacing w:beforeLines="40" w:before="96" w:afterLines="40" w:after="96"/>
              <w:jc w:val="center"/>
              <w:rPr>
                <w:i/>
                <w:noProof/>
                <w:sz w:val="18"/>
              </w:rPr>
            </w:pPr>
          </w:p>
        </w:tc>
        <w:tc>
          <w:tcPr>
            <w:tcW w:w="1080" w:type="dxa"/>
          </w:tcPr>
          <w:p w:rsidR="00185C77" w:rsidRDefault="00185C77">
            <w:pPr>
              <w:spacing w:beforeLines="40" w:before="96" w:afterLines="40" w:after="96"/>
              <w:jc w:val="center"/>
              <w:rPr>
                <w:noProof/>
                <w:sz w:val="18"/>
              </w:rPr>
            </w:pPr>
          </w:p>
        </w:tc>
        <w:tc>
          <w:tcPr>
            <w:tcW w:w="900" w:type="dxa"/>
          </w:tcPr>
          <w:p w:rsidR="00185C77" w:rsidRDefault="00185C77">
            <w:pPr>
              <w:spacing w:beforeLines="40" w:before="96" w:afterLines="40" w:after="96"/>
              <w:jc w:val="center"/>
              <w:rPr>
                <w:noProof/>
                <w:sz w:val="18"/>
              </w:rPr>
            </w:pPr>
          </w:p>
        </w:tc>
        <w:tc>
          <w:tcPr>
            <w:tcW w:w="900" w:type="dxa"/>
          </w:tcPr>
          <w:p w:rsidR="00185C77" w:rsidRDefault="00185C77">
            <w:pPr>
              <w:spacing w:beforeLines="40" w:before="96" w:afterLines="40" w:after="96"/>
              <w:jc w:val="center"/>
              <w:rPr>
                <w:noProof/>
                <w:sz w:val="18"/>
              </w:rPr>
            </w:pPr>
          </w:p>
        </w:tc>
        <w:tc>
          <w:tcPr>
            <w:tcW w:w="1080" w:type="dxa"/>
          </w:tcPr>
          <w:p w:rsidR="00185C77" w:rsidRDefault="00185C77">
            <w:pPr>
              <w:spacing w:beforeLines="40" w:before="96" w:afterLines="40" w:after="96"/>
              <w:jc w:val="center"/>
              <w:rPr>
                <w:noProof/>
                <w:sz w:val="18"/>
              </w:rPr>
            </w:pPr>
          </w:p>
        </w:tc>
        <w:tc>
          <w:tcPr>
            <w:tcW w:w="1080" w:type="dxa"/>
          </w:tcPr>
          <w:p w:rsidR="00185C77" w:rsidRDefault="00185C77">
            <w:pPr>
              <w:spacing w:beforeLines="40" w:before="96" w:afterLines="40" w:after="96"/>
              <w:jc w:val="center"/>
              <w:rPr>
                <w:noProof/>
                <w:sz w:val="18"/>
              </w:rPr>
            </w:pPr>
          </w:p>
        </w:tc>
        <w:tc>
          <w:tcPr>
            <w:tcW w:w="1080" w:type="dxa"/>
          </w:tcPr>
          <w:p w:rsidR="00185C77" w:rsidRDefault="00185C77">
            <w:pPr>
              <w:spacing w:beforeLines="40" w:before="96" w:afterLines="40" w:after="96"/>
              <w:jc w:val="center"/>
              <w:rPr>
                <w:noProof/>
                <w:sz w:val="18"/>
              </w:rPr>
            </w:pPr>
          </w:p>
        </w:tc>
        <w:tc>
          <w:tcPr>
            <w:tcW w:w="1080" w:type="dxa"/>
          </w:tcPr>
          <w:p w:rsidR="00185C77" w:rsidRDefault="00185C77">
            <w:pPr>
              <w:spacing w:beforeLines="40" w:before="96" w:afterLines="40" w:after="96"/>
              <w:jc w:val="center"/>
              <w:rPr>
                <w:noProof/>
                <w:sz w:val="18"/>
              </w:rPr>
            </w:pPr>
          </w:p>
        </w:tc>
      </w:tr>
    </w:tbl>
    <w:p w:rsidR="00185C77" w:rsidRDefault="00176197">
      <w:pPr>
        <w:ind w:left="850"/>
        <w:rPr>
          <w:noProof/>
          <w:sz w:val="20"/>
        </w:rPr>
      </w:pPr>
      <w:r>
        <w:rPr>
          <w:noProof/>
          <w:sz w:val="20"/>
        </w:rPr>
        <w:t>За разните целеви приходи да се посочат съответните разходни бюджетни редове.</w:t>
      </w:r>
    </w:p>
    <w:p w:rsidR="00185C77" w:rsidRDefault="00176197">
      <w:pPr>
        <w:pBdr>
          <w:top w:val="single" w:sz="4" w:space="1" w:color="auto"/>
          <w:left w:val="single" w:sz="4" w:space="4" w:color="auto"/>
          <w:bottom w:val="single" w:sz="4" w:space="1" w:color="auto"/>
          <w:right w:val="single" w:sz="4" w:space="4" w:color="auto"/>
        </w:pBdr>
        <w:rPr>
          <w:noProof/>
        </w:rPr>
      </w:pPr>
      <w:r>
        <w:rPr>
          <w:noProof/>
        </w:rPr>
        <w:t xml:space="preserve">Регламентът е замислен така, че да се осигури пълно спазване на изискванията от всички производители. С </w:t>
      </w:r>
      <w:r>
        <w:rPr>
          <w:noProof/>
        </w:rPr>
        <w:t>оглед на това не се очаква генерирането на приходи от таксите за извънредно количество емисии, предвидени в член 8. Ако обаче в хода на прилагането на разпоредбите на посочения член бъдат събрани приходи, те ще бъдат включени в общия бюджет на ЕС. В оценка</w:t>
      </w:r>
      <w:r>
        <w:rPr>
          <w:noProof/>
        </w:rPr>
        <w:t>та на въздействието, придружаваща предложението, се посочва в какъв порядък биха могли да бъдат общите суми на таксите за извънредно количество емисии, дължими за неспазване на изискванията.</w:t>
      </w:r>
    </w:p>
    <w:p w:rsidR="00185C77" w:rsidRDefault="00176197">
      <w:pPr>
        <w:ind w:left="850"/>
        <w:rPr>
          <w:noProof/>
          <w:sz w:val="20"/>
        </w:rPr>
      </w:pPr>
      <w:r>
        <w:rPr>
          <w:noProof/>
          <w:sz w:val="20"/>
        </w:rPr>
        <w:t>Да се посочи методът за изчисляване на отражението върху приходит</w:t>
      </w:r>
      <w:r>
        <w:rPr>
          <w:noProof/>
          <w:sz w:val="20"/>
        </w:rPr>
        <w:t>е.</w:t>
      </w:r>
    </w:p>
    <w:p w:rsidR="00185C77" w:rsidRDefault="00176197">
      <w:pPr>
        <w:pBdr>
          <w:top w:val="single" w:sz="4" w:space="1" w:color="auto"/>
          <w:left w:val="single" w:sz="4" w:space="4" w:color="auto"/>
          <w:bottom w:val="single" w:sz="4" w:space="1" w:color="auto"/>
          <w:right w:val="single" w:sz="4" w:space="4" w:color="auto"/>
        </w:pBdr>
        <w:ind w:left="850"/>
        <w:rPr>
          <w:noProof/>
        </w:rPr>
      </w:pPr>
      <w:r>
        <w:rPr>
          <w:noProof/>
          <w:color w:val="0000FF"/>
        </w:rPr>
        <w:t>[…]</w:t>
      </w:r>
    </w:p>
    <w:sectPr w:rsidR="00185C77" w:rsidSect="0017619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77" w:rsidRDefault="00176197">
      <w:pPr>
        <w:spacing w:before="0" w:after="0"/>
      </w:pPr>
      <w:r>
        <w:separator/>
      </w:r>
    </w:p>
  </w:endnote>
  <w:endnote w:type="continuationSeparator" w:id="0">
    <w:p w:rsidR="00185C77" w:rsidRDefault="001761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Light">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
      <w:rPr>
        <w:rFonts w:ascii="Arial" w:hAnsi="Arial" w:cs="Arial"/>
        <w:b/>
        <w:sz w:val="48"/>
      </w:rPr>
    </w:pPr>
    <w:r w:rsidRPr="00176197">
      <w:rPr>
        <w:rFonts w:ascii="Arial" w:hAnsi="Arial" w:cs="Arial"/>
        <w:b/>
        <w:sz w:val="48"/>
      </w:rPr>
      <w:t>BG</w:t>
    </w:r>
    <w:r w:rsidRPr="00176197">
      <w:rPr>
        <w:rFonts w:ascii="Arial" w:hAnsi="Arial" w:cs="Arial"/>
        <w:b/>
        <w:sz w:val="48"/>
      </w:rPr>
      <w:tab/>
    </w:r>
    <w:r w:rsidRPr="00176197">
      <w:rPr>
        <w:rFonts w:ascii="Arial" w:hAnsi="Arial" w:cs="Arial"/>
        <w:b/>
        <w:sz w:val="48"/>
      </w:rPr>
      <w:tab/>
    </w:r>
    <w:r w:rsidRPr="00176197">
      <w:tab/>
    </w:r>
    <w:proofErr w:type="spellStart"/>
    <w:r w:rsidRPr="00176197">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
      <w:rPr>
        <w:rFonts w:ascii="Arial" w:hAnsi="Arial" w:cs="Arial"/>
        <w:b/>
        <w:sz w:val="48"/>
      </w:rPr>
    </w:pPr>
    <w:r w:rsidRPr="00176197">
      <w:rPr>
        <w:rFonts w:ascii="Arial" w:hAnsi="Arial" w:cs="Arial"/>
        <w:b/>
        <w:sz w:val="48"/>
      </w:rPr>
      <w:t>BG</w:t>
    </w:r>
    <w:r w:rsidRPr="0017619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76197">
      <w:tab/>
    </w:r>
    <w:r w:rsidRPr="00176197">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Landscape"/>
      <w:rPr>
        <w:rFonts w:ascii="Arial" w:hAnsi="Arial" w:cs="Arial"/>
        <w:b/>
        <w:sz w:val="48"/>
      </w:rPr>
    </w:pPr>
    <w:r w:rsidRPr="00176197">
      <w:rPr>
        <w:rFonts w:ascii="Arial" w:hAnsi="Arial" w:cs="Arial"/>
        <w:b/>
        <w:sz w:val="48"/>
      </w:rPr>
      <w:t>BG</w:t>
    </w:r>
    <w:r w:rsidRPr="00176197">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rsidRPr="00176197">
      <w:tab/>
    </w:r>
    <w:r w:rsidRPr="00176197">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
      <w:rPr>
        <w:rFonts w:ascii="Arial" w:hAnsi="Arial" w:cs="Arial"/>
        <w:b/>
        <w:sz w:val="48"/>
      </w:rPr>
    </w:pPr>
    <w:r w:rsidRPr="00176197">
      <w:rPr>
        <w:rFonts w:ascii="Arial" w:hAnsi="Arial" w:cs="Arial"/>
        <w:b/>
        <w:sz w:val="48"/>
      </w:rPr>
      <w:t>BG</w:t>
    </w:r>
    <w:r w:rsidRPr="00176197">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rsidRPr="00176197">
      <w:tab/>
    </w:r>
    <w:r w:rsidRPr="00176197">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77" w:rsidRDefault="00176197">
      <w:pPr>
        <w:spacing w:before="0" w:after="0"/>
      </w:pPr>
      <w:r>
        <w:separator/>
      </w:r>
    </w:p>
  </w:footnote>
  <w:footnote w:type="continuationSeparator" w:id="0">
    <w:p w:rsidR="00185C77" w:rsidRDefault="00176197">
      <w:pPr>
        <w:spacing w:before="0" w:after="0"/>
      </w:pPr>
      <w:r>
        <w:continuationSeparator/>
      </w:r>
    </w:p>
  </w:footnote>
  <w:footnote w:id="1">
    <w:p w:rsidR="00185C77" w:rsidRDefault="00176197">
      <w:pPr>
        <w:pStyle w:val="FootnoteText"/>
        <w:spacing w:after="60"/>
        <w:rPr>
          <w:sz w:val="18"/>
        </w:rPr>
      </w:pPr>
      <w:r>
        <w:rPr>
          <w:rStyle w:val="FootnoteReference"/>
        </w:rPr>
        <w:footnoteRef/>
      </w:r>
      <w:r>
        <w:tab/>
      </w:r>
      <w:r>
        <w:rPr>
          <w:sz w:val="18"/>
        </w:rPr>
        <w:t xml:space="preserve">COM(2017) 676 </w:t>
      </w:r>
      <w:proofErr w:type="spellStart"/>
      <w:r>
        <w:rPr>
          <w:sz w:val="18"/>
        </w:rPr>
        <w:t>final</w:t>
      </w:r>
      <w:proofErr w:type="spellEnd"/>
    </w:p>
  </w:footnote>
  <w:footnote w:id="2">
    <w:p w:rsidR="00185C77" w:rsidRDefault="00176197">
      <w:pPr>
        <w:pStyle w:val="FootnoteText"/>
        <w:spacing w:after="60"/>
        <w:rPr>
          <w:sz w:val="18"/>
        </w:rPr>
      </w:pPr>
      <w:r>
        <w:rPr>
          <w:rStyle w:val="FootnoteReference"/>
        </w:rPr>
        <w:footnoteRef/>
      </w:r>
      <w:r>
        <w:tab/>
      </w:r>
      <w:r>
        <w:rPr>
          <w:sz w:val="18"/>
        </w:rPr>
        <w:t xml:space="preserve">SWD (2017) 650 </w:t>
      </w:r>
      <w:proofErr w:type="spellStart"/>
      <w:r>
        <w:rPr>
          <w:sz w:val="18"/>
        </w:rPr>
        <w:t>final</w:t>
      </w:r>
      <w:proofErr w:type="spellEnd"/>
      <w:r>
        <w:rPr>
          <w:sz w:val="18"/>
        </w:rPr>
        <w:t>.</w:t>
      </w:r>
    </w:p>
  </w:footnote>
  <w:footnote w:id="3">
    <w:p w:rsidR="00185C77" w:rsidRDefault="00176197">
      <w:pPr>
        <w:pStyle w:val="FootnoteText"/>
        <w:spacing w:after="60"/>
        <w:ind w:left="284" w:hanging="284"/>
        <w:rPr>
          <w:sz w:val="18"/>
          <w:szCs w:val="18"/>
        </w:rPr>
      </w:pPr>
      <w:r>
        <w:rPr>
          <w:rStyle w:val="FootnoteReference"/>
        </w:rPr>
        <w:footnoteRef/>
      </w:r>
      <w:r>
        <w:tab/>
      </w:r>
      <w:r>
        <w:rPr>
          <w:sz w:val="18"/>
        </w:rPr>
        <w:t xml:space="preserve">Регламент (ЕС) 2017/2400 на Комисията за определяне на емисиите на </w:t>
      </w:r>
      <w:r>
        <w:t>CO</w:t>
      </w:r>
      <w:r>
        <w:rPr>
          <w:noProof/>
          <w:vertAlign w:val="subscript"/>
        </w:rPr>
        <w:t>2</w:t>
      </w:r>
      <w:r>
        <w:rPr>
          <w:sz w:val="18"/>
        </w:rPr>
        <w:t xml:space="preserve"> и разхода на гориво от тежки превозни средства.</w:t>
      </w:r>
    </w:p>
  </w:footnote>
  <w:footnote w:id="4">
    <w:p w:rsidR="00185C77" w:rsidRDefault="00176197">
      <w:pPr>
        <w:pStyle w:val="FootnoteText"/>
        <w:spacing w:after="60"/>
        <w:ind w:left="284" w:hanging="284"/>
        <w:rPr>
          <w:sz w:val="18"/>
          <w:szCs w:val="18"/>
          <w:lang w:val="ru-RU"/>
        </w:rPr>
      </w:pPr>
      <w:r>
        <w:rPr>
          <w:rStyle w:val="FootnoteReference"/>
        </w:rPr>
        <w:footnoteRef/>
      </w:r>
      <w:r>
        <w:tab/>
      </w:r>
      <w:r>
        <w:rPr>
          <w:sz w:val="18"/>
        </w:rPr>
        <w:t xml:space="preserve">COM(2017) 0279 </w:t>
      </w:r>
      <w:proofErr w:type="spellStart"/>
      <w:r>
        <w:rPr>
          <w:sz w:val="18"/>
        </w:rPr>
        <w:t>final</w:t>
      </w:r>
      <w:proofErr w:type="spellEnd"/>
    </w:p>
  </w:footnote>
  <w:footnote w:id="5">
    <w:p w:rsidR="00185C77" w:rsidRDefault="00176197">
      <w:pPr>
        <w:pStyle w:val="FootnoteText"/>
        <w:tabs>
          <w:tab w:val="left" w:pos="284"/>
        </w:tabs>
        <w:spacing w:after="60"/>
        <w:ind w:left="284" w:hanging="284"/>
        <w:rPr>
          <w:sz w:val="18"/>
          <w:szCs w:val="18"/>
          <w:lang w:val="ru-RU"/>
        </w:rPr>
      </w:pPr>
      <w:r>
        <w:rPr>
          <w:rStyle w:val="FootnoteReference"/>
        </w:rPr>
        <w:footnoteRef/>
      </w:r>
      <w:r>
        <w:tab/>
      </w:r>
      <w:r>
        <w:rPr>
          <w:sz w:val="18"/>
        </w:rPr>
        <w:t>Директива 2011/76/ЕС.</w:t>
      </w:r>
    </w:p>
  </w:footnote>
  <w:footnote w:id="6">
    <w:p w:rsidR="00185C77" w:rsidRDefault="00176197">
      <w:pPr>
        <w:pStyle w:val="FootnoteText"/>
        <w:spacing w:after="60"/>
        <w:ind w:left="284" w:hanging="284"/>
        <w:rPr>
          <w:sz w:val="18"/>
          <w:szCs w:val="18"/>
          <w:lang w:val="ru-RU"/>
        </w:rPr>
      </w:pPr>
      <w:r>
        <w:rPr>
          <w:rStyle w:val="FootnoteReference"/>
        </w:rPr>
        <w:footnoteRef/>
      </w:r>
      <w:r>
        <w:tab/>
      </w:r>
      <w:r>
        <w:rPr>
          <w:sz w:val="18"/>
        </w:rPr>
        <w:t xml:space="preserve">Директива 2009/30/ЕО. </w:t>
      </w:r>
    </w:p>
  </w:footnote>
  <w:footnote w:id="7">
    <w:p w:rsidR="00185C77" w:rsidRDefault="00176197">
      <w:pPr>
        <w:pStyle w:val="FootnoteText"/>
        <w:spacing w:after="60"/>
        <w:ind w:left="284" w:hanging="284"/>
        <w:rPr>
          <w:sz w:val="18"/>
          <w:szCs w:val="18"/>
          <w:lang w:val="ru-RU"/>
        </w:rPr>
      </w:pPr>
      <w:r>
        <w:rPr>
          <w:rStyle w:val="FootnoteReference"/>
        </w:rPr>
        <w:footnoteRef/>
      </w:r>
      <w:r>
        <w:tab/>
      </w:r>
      <w:r>
        <w:rPr>
          <w:sz w:val="18"/>
        </w:rPr>
        <w:t xml:space="preserve">Директива 2009/33/ЕО. </w:t>
      </w:r>
    </w:p>
  </w:footnote>
  <w:footnote w:id="8">
    <w:p w:rsidR="00185C77" w:rsidRDefault="00176197">
      <w:pPr>
        <w:pStyle w:val="FootnoteText"/>
        <w:spacing w:after="60"/>
        <w:ind w:left="284" w:hanging="284"/>
        <w:rPr>
          <w:sz w:val="18"/>
          <w:szCs w:val="18"/>
          <w:lang w:val="ru-RU"/>
        </w:rPr>
      </w:pPr>
      <w:r>
        <w:rPr>
          <w:rStyle w:val="FootnoteReference"/>
        </w:rPr>
        <w:footnoteRef/>
      </w:r>
      <w:r>
        <w:tab/>
      </w:r>
      <w:r>
        <w:rPr>
          <w:sz w:val="18"/>
        </w:rPr>
        <w:t xml:space="preserve">Директива 2015/719/ЕС. </w:t>
      </w:r>
    </w:p>
  </w:footnote>
  <w:footnote w:id="9">
    <w:p w:rsidR="00185C77" w:rsidRDefault="00176197">
      <w:pPr>
        <w:pStyle w:val="FootnoteText"/>
        <w:spacing w:after="60"/>
        <w:ind w:left="284" w:hanging="284"/>
        <w:rPr>
          <w:sz w:val="18"/>
          <w:szCs w:val="18"/>
          <w:lang w:val="ru-RU"/>
        </w:rPr>
      </w:pPr>
      <w:r>
        <w:rPr>
          <w:rStyle w:val="FootnoteReference"/>
        </w:rPr>
        <w:footnoteRef/>
      </w:r>
      <w:r>
        <w:tab/>
      </w:r>
      <w:r>
        <w:rPr>
          <w:sz w:val="18"/>
        </w:rPr>
        <w:t>Директива 2014/94/ЕС.</w:t>
      </w:r>
    </w:p>
  </w:footnote>
  <w:footnote w:id="10">
    <w:p w:rsidR="00185C77" w:rsidRDefault="00176197">
      <w:pPr>
        <w:pStyle w:val="FootnoteText"/>
        <w:spacing w:after="60"/>
        <w:ind w:left="284" w:hanging="284"/>
        <w:rPr>
          <w:sz w:val="18"/>
          <w:szCs w:val="18"/>
          <w:lang w:val="pt-PT"/>
        </w:rPr>
      </w:pPr>
      <w:r>
        <w:rPr>
          <w:rStyle w:val="FootnoteReference"/>
        </w:rPr>
        <w:footnoteRef/>
      </w:r>
      <w:r>
        <w:tab/>
      </w:r>
      <w:r>
        <w:rPr>
          <w:sz w:val="18"/>
        </w:rPr>
        <w:t xml:space="preserve">COM(2015) 080 </w:t>
      </w:r>
      <w:proofErr w:type="spellStart"/>
      <w:r>
        <w:rPr>
          <w:sz w:val="18"/>
        </w:rPr>
        <w:t>final</w:t>
      </w:r>
      <w:proofErr w:type="spellEnd"/>
    </w:p>
  </w:footnote>
  <w:footnote w:id="11">
    <w:p w:rsidR="00185C77" w:rsidRDefault="00176197">
      <w:pPr>
        <w:pStyle w:val="FootnoteText"/>
        <w:spacing w:after="60"/>
        <w:ind w:left="284" w:hanging="284"/>
        <w:rPr>
          <w:sz w:val="18"/>
          <w:szCs w:val="18"/>
        </w:rPr>
      </w:pPr>
      <w:r>
        <w:rPr>
          <w:rStyle w:val="FootnoteReference"/>
        </w:rPr>
        <w:footnoteRef/>
      </w:r>
      <w:r>
        <w:tab/>
      </w:r>
      <w:r>
        <w:rPr>
          <w:sz w:val="18"/>
        </w:rPr>
        <w:t xml:space="preserve">COM(2016) 482 </w:t>
      </w:r>
      <w:proofErr w:type="spellStart"/>
      <w:r>
        <w:rPr>
          <w:sz w:val="18"/>
        </w:rPr>
        <w:t>final</w:t>
      </w:r>
      <w:proofErr w:type="spellEnd"/>
    </w:p>
  </w:footnote>
  <w:footnote w:id="12">
    <w:p w:rsidR="00185C77" w:rsidRDefault="00176197">
      <w:pPr>
        <w:pStyle w:val="FootnoteText"/>
        <w:spacing w:after="60"/>
        <w:ind w:left="284" w:hanging="284"/>
        <w:rPr>
          <w:sz w:val="18"/>
          <w:szCs w:val="18"/>
        </w:rPr>
      </w:pPr>
      <w:r>
        <w:rPr>
          <w:rStyle w:val="FootnoteReference"/>
        </w:rPr>
        <w:footnoteRef/>
      </w:r>
      <w:r>
        <w:tab/>
      </w:r>
      <w:r>
        <w:rPr>
          <w:sz w:val="18"/>
        </w:rPr>
        <w:t xml:space="preserve">COM(2017) 479 </w:t>
      </w:r>
      <w:proofErr w:type="spellStart"/>
      <w:r>
        <w:rPr>
          <w:sz w:val="18"/>
        </w:rPr>
        <w:t>final</w:t>
      </w:r>
      <w:proofErr w:type="spellEnd"/>
      <w:r>
        <w:rPr>
          <w:sz w:val="18"/>
        </w:rPr>
        <w:t>.</w:t>
      </w:r>
    </w:p>
  </w:footnote>
  <w:footnote w:id="13">
    <w:p w:rsidR="00185C77" w:rsidRDefault="00176197">
      <w:pPr>
        <w:pStyle w:val="FootnoteText"/>
        <w:spacing w:after="60"/>
        <w:ind w:left="284" w:hanging="284"/>
        <w:rPr>
          <w:sz w:val="18"/>
          <w:szCs w:val="18"/>
        </w:rPr>
      </w:pPr>
      <w:r>
        <w:rPr>
          <w:rStyle w:val="FootnoteReference"/>
        </w:rPr>
        <w:footnoteRef/>
      </w:r>
      <w:r>
        <w:tab/>
      </w:r>
      <w:r>
        <w:rPr>
          <w:sz w:val="18"/>
        </w:rPr>
        <w:t>„Тежкотоварни превозни средства — подкрепа за изготвянето на оценка на въздействието относно емисиите на CO</w:t>
      </w:r>
      <w:r>
        <w:rPr>
          <w:sz w:val="18"/>
          <w:vertAlign w:val="subscript"/>
        </w:rPr>
        <w:t>2</w:t>
      </w:r>
      <w:r>
        <w:rPr>
          <w:sz w:val="18"/>
        </w:rPr>
        <w:t xml:space="preserve">“) — </w:t>
      </w:r>
      <w:r>
        <w:rPr>
          <w:sz w:val="18"/>
        </w:rPr>
        <w:t xml:space="preserve">възложено от Комисията проучване, изготвено от TNO, TUG, CE </w:t>
      </w:r>
      <w:proofErr w:type="spellStart"/>
      <w:r>
        <w:rPr>
          <w:sz w:val="18"/>
        </w:rPr>
        <w:t>Delft</w:t>
      </w:r>
      <w:proofErr w:type="spellEnd"/>
      <w:r>
        <w:rPr>
          <w:sz w:val="18"/>
        </w:rPr>
        <w:t xml:space="preserve"> и ICCT. Предстои публикуване на доклада от проучването.</w:t>
      </w:r>
    </w:p>
  </w:footnote>
  <w:footnote w:id="14">
    <w:p w:rsidR="00185C77" w:rsidRDefault="00176197">
      <w:pPr>
        <w:pStyle w:val="FootnoteText"/>
        <w:spacing w:after="60"/>
        <w:ind w:left="284" w:hanging="284"/>
        <w:rPr>
          <w:sz w:val="18"/>
        </w:rPr>
      </w:pPr>
      <w:r>
        <w:rPr>
          <w:rStyle w:val="FootnoteReference"/>
        </w:rPr>
        <w:footnoteRef/>
      </w:r>
      <w:r>
        <w:tab/>
      </w:r>
      <w:r>
        <w:rPr>
          <w:sz w:val="18"/>
        </w:rPr>
        <w:t>„Намаляване на емисиите на CO</w:t>
      </w:r>
      <w:r>
        <w:rPr>
          <w:sz w:val="18"/>
          <w:vertAlign w:val="subscript"/>
        </w:rPr>
        <w:t>2</w:t>
      </w:r>
      <w:r>
        <w:rPr>
          <w:sz w:val="18"/>
        </w:rPr>
        <w:t xml:space="preserve"> от тежкотоварни превозни средства — криви на разходите и оценка на разходите с помощта на модела DION</w:t>
      </w:r>
      <w:r>
        <w:rPr>
          <w:sz w:val="18"/>
        </w:rPr>
        <w:t>E“, Съвместен изследователски център. Предстои публикуване.</w:t>
      </w:r>
    </w:p>
  </w:footnote>
  <w:footnote w:id="15">
    <w:p w:rsidR="00185C77" w:rsidRDefault="00176197">
      <w:pPr>
        <w:pStyle w:val="FootnoteText"/>
        <w:spacing w:after="60"/>
        <w:ind w:left="284" w:hanging="284"/>
        <w:rPr>
          <w:sz w:val="18"/>
          <w:szCs w:val="18"/>
        </w:rPr>
      </w:pPr>
      <w:r>
        <w:rPr>
          <w:rStyle w:val="FootnoteReference"/>
        </w:rPr>
        <w:footnoteRef/>
      </w:r>
      <w:r>
        <w:tab/>
      </w:r>
      <w:r>
        <w:rPr>
          <w:sz w:val="18"/>
        </w:rPr>
        <w:t xml:space="preserve">Регламент (ЕС) 2017/2400 на Комисията за определяне на емисиите на </w:t>
      </w:r>
      <w:r>
        <w:t>CO</w:t>
      </w:r>
      <w:r>
        <w:rPr>
          <w:noProof/>
          <w:vertAlign w:val="subscript"/>
        </w:rPr>
        <w:t>2</w:t>
      </w:r>
      <w:r>
        <w:rPr>
          <w:sz w:val="18"/>
        </w:rPr>
        <w:t xml:space="preserve"> и разхода на гориво от тежки превозни средства.</w:t>
      </w:r>
    </w:p>
  </w:footnote>
  <w:footnote w:id="16">
    <w:p w:rsidR="00185C77" w:rsidRDefault="00176197">
      <w:pPr>
        <w:pStyle w:val="FootnoteText"/>
        <w:spacing w:after="60"/>
        <w:ind w:left="284" w:hanging="284"/>
        <w:rPr>
          <w:sz w:val="18"/>
          <w:szCs w:val="18"/>
          <w:lang w:val="pt-PT"/>
        </w:rPr>
      </w:pPr>
      <w:r>
        <w:rPr>
          <w:rStyle w:val="FootnoteReference"/>
        </w:rPr>
        <w:footnoteRef/>
      </w:r>
      <w:r>
        <w:tab/>
      </w:r>
      <w:r>
        <w:rPr>
          <w:sz w:val="18"/>
        </w:rPr>
        <w:t xml:space="preserve">COM(2017) 0279 </w:t>
      </w:r>
      <w:proofErr w:type="spellStart"/>
      <w:r>
        <w:rPr>
          <w:sz w:val="18"/>
        </w:rPr>
        <w:t>final</w:t>
      </w:r>
      <w:proofErr w:type="spellEnd"/>
      <w:r>
        <w:rPr>
          <w:sz w:val="18"/>
        </w:rPr>
        <w:t>.</w:t>
      </w:r>
    </w:p>
  </w:footnote>
  <w:footnote w:id="17">
    <w:p w:rsidR="00185C77" w:rsidRDefault="00176197">
      <w:pPr>
        <w:pStyle w:val="FootnoteText"/>
        <w:rPr>
          <w:lang w:val="ru-RU"/>
        </w:rPr>
      </w:pPr>
      <w:r>
        <w:rPr>
          <w:rStyle w:val="FootnoteReference"/>
        </w:rPr>
        <w:footnoteRef/>
      </w:r>
      <w:r>
        <w:tab/>
      </w:r>
      <w:r>
        <w:t>ОВ С [...], [...] г., стр. [...].</w:t>
      </w:r>
    </w:p>
  </w:footnote>
  <w:footnote w:id="18">
    <w:p w:rsidR="00185C77" w:rsidRDefault="00176197">
      <w:pPr>
        <w:pStyle w:val="FootnoteText"/>
      </w:pPr>
      <w:r>
        <w:rPr>
          <w:rStyle w:val="FootnoteReference"/>
        </w:rPr>
        <w:footnoteRef/>
      </w:r>
      <w:r>
        <w:tab/>
      </w:r>
      <w:r>
        <w:t>ОВ С [...], [</w:t>
      </w:r>
      <w:r>
        <w:t>...] г., стр. [...].</w:t>
      </w:r>
    </w:p>
  </w:footnote>
  <w:footnote w:id="19">
    <w:p w:rsidR="00185C77" w:rsidRDefault="00176197">
      <w:pPr>
        <w:pStyle w:val="FootnoteText"/>
      </w:pPr>
      <w:r>
        <w:rPr>
          <w:rStyle w:val="FootnoteReference"/>
        </w:rPr>
        <w:footnoteRef/>
      </w:r>
      <w:r>
        <w:tab/>
      </w:r>
      <w:r>
        <w:t xml:space="preserve">„Европа в движение —  </w:t>
      </w:r>
      <w:r>
        <w:br/>
        <w:t xml:space="preserve"> програма за социално справедлив преход към </w:t>
      </w:r>
      <w:proofErr w:type="spellStart"/>
      <w:r>
        <w:t>екологосъобразна</w:t>
      </w:r>
      <w:proofErr w:type="spellEnd"/>
      <w:r>
        <w:t xml:space="preserve">,  </w:t>
      </w:r>
      <w:r>
        <w:br/>
        <w:t xml:space="preserve">конкурентоспособна и свързана мобилност за всички“, COM(2017) 283 </w:t>
      </w:r>
      <w:proofErr w:type="spellStart"/>
      <w:r>
        <w:t>final</w:t>
      </w:r>
      <w:proofErr w:type="spellEnd"/>
      <w:r>
        <w:t>.</w:t>
      </w:r>
    </w:p>
  </w:footnote>
  <w:footnote w:id="20">
    <w:p w:rsidR="00185C77" w:rsidRDefault="00176197">
      <w:pPr>
        <w:pStyle w:val="FootnoteText"/>
      </w:pPr>
      <w:r>
        <w:rPr>
          <w:rStyle w:val="FootnoteReference"/>
        </w:rPr>
        <w:footnoteRef/>
      </w:r>
      <w:r>
        <w:tab/>
      </w:r>
      <w:r>
        <w:t>„Към мобилност с ниски емисии — за Европейски съюз, който опазва планет</w:t>
      </w:r>
      <w:r>
        <w:t xml:space="preserve">ата, предоставя възможности на своите потребители и защитава промишлеността и работниците си“, COM(2017) 675 </w:t>
      </w:r>
      <w:proofErr w:type="spellStart"/>
      <w:r>
        <w:t>final</w:t>
      </w:r>
      <w:proofErr w:type="spellEnd"/>
      <w:r>
        <w:t>.</w:t>
      </w:r>
    </w:p>
  </w:footnote>
  <w:footnote w:id="21">
    <w:p w:rsidR="00185C77" w:rsidRDefault="00176197">
      <w:pPr>
        <w:pStyle w:val="FootnoteText"/>
      </w:pPr>
      <w:r>
        <w:rPr>
          <w:rStyle w:val="FootnoteReference"/>
        </w:rPr>
        <w:footnoteRef/>
      </w:r>
      <w:r>
        <w:tab/>
      </w:r>
      <w:r>
        <w:t xml:space="preserve">„Инвестиране в интелигентна, иновационна и устойчива промишленост —  </w:t>
      </w:r>
      <w:r>
        <w:br/>
        <w:t xml:space="preserve">обновена стратегия на ЕС за промишлената политика“,  COM(2017) 479 </w:t>
      </w:r>
      <w:proofErr w:type="spellStart"/>
      <w:r>
        <w:t>f</w:t>
      </w:r>
      <w:r>
        <w:t>inal</w:t>
      </w:r>
      <w:proofErr w:type="spellEnd"/>
      <w:r>
        <w:t>.</w:t>
      </w:r>
    </w:p>
  </w:footnote>
  <w:footnote w:id="22">
    <w:p w:rsidR="00185C77" w:rsidRDefault="00176197">
      <w:pPr>
        <w:pStyle w:val="FootnoteText"/>
      </w:pPr>
      <w:r>
        <w:rPr>
          <w:rStyle w:val="FootnoteReference"/>
        </w:rPr>
        <w:footnoteRef/>
      </w:r>
      <w:r>
        <w:tab/>
      </w:r>
      <w:r>
        <w:t>Регламент (ЕС) №.../... на Европейския парламент и на Съвета за определяне на стандарти за емисиите от нови леки пътнически автомобили и леки търговски превозни средства като част от цялостния подход на Съюза за намаляване на емисиите на CO2 от лек</w:t>
      </w:r>
      <w:r>
        <w:t>отоварните превозни средства, и за изменение на Регламент (ЕО) № 715/2007 (ОВ L , ... г., стр. ....).</w:t>
      </w:r>
    </w:p>
  </w:footnote>
  <w:footnote w:id="23">
    <w:p w:rsidR="00185C77" w:rsidRDefault="00176197">
      <w:pPr>
        <w:pStyle w:val="FootnoteText"/>
      </w:pPr>
      <w:r>
        <w:rPr>
          <w:rStyle w:val="FootnoteReference"/>
        </w:rPr>
        <w:footnoteRef/>
      </w:r>
      <w:r>
        <w:tab/>
      </w:r>
      <w:r>
        <w:t>Регламент (ЕО) № 595/2009 на Европейския парламент и на Съвета от 18 юни 2009 г. за одобрението на типа на моторни превозни средства и двигатели по отно</w:t>
      </w:r>
      <w:r>
        <w:t>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w:t>
      </w:r>
      <w:r>
        <w:t>О и 2005/78/ЕО.</w:t>
      </w:r>
    </w:p>
  </w:footnote>
  <w:footnote w:id="24">
    <w:p w:rsidR="00185C77" w:rsidRDefault="00176197">
      <w:pPr>
        <w:pStyle w:val="FootnoteText"/>
      </w:pPr>
      <w:r>
        <w:rPr>
          <w:rStyle w:val="FootnoteReference"/>
        </w:rPr>
        <w:footnoteRef/>
      </w:r>
      <w:r>
        <w:tab/>
      </w:r>
      <w:r>
        <w:t xml:space="preserve">Регламент (ЕС) 2017/2400 на Комисията от 12 декември 2017 г. за изпълнение на Регламент (ЕО) № 595/2009 на Европейския парламент и на Съвета по отношение на определянето на емисиите на CO2 и разхода на гориво на тежките превозни средства </w:t>
      </w:r>
      <w:r>
        <w:t>и за изменение на Директива 2007/46/ЕО на Европейския парламент и на Съвета и на Регламент (ЕС) № 582/2011 на Комисията (ОВ L 349, 29.12.2017 г., стр. 1).</w:t>
      </w:r>
    </w:p>
  </w:footnote>
  <w:footnote w:id="25">
    <w:p w:rsidR="00185C77" w:rsidRDefault="00176197">
      <w:pPr>
        <w:pStyle w:val="FootnoteText"/>
      </w:pPr>
      <w:r>
        <w:rPr>
          <w:rStyle w:val="FootnoteReference"/>
        </w:rPr>
        <w:footnoteRef/>
      </w:r>
      <w:r>
        <w:tab/>
      </w:r>
      <w:r>
        <w:t xml:space="preserve">Регламент (ЕС) 2018/... на Европейския парламент и на Съвета относно мониторинга и докладването на </w:t>
      </w:r>
      <w:r>
        <w:t>емисиите на CO</w:t>
      </w:r>
      <w:r>
        <w:rPr>
          <w:vertAlign w:val="subscript"/>
        </w:rPr>
        <w:t>2</w:t>
      </w:r>
      <w:r>
        <w:t xml:space="preserve"> от нови тежкотоварни превозни средства и техния разход на гориво, ОВ L .., … г., стр. ….</w:t>
      </w:r>
    </w:p>
  </w:footnote>
  <w:footnote w:id="26">
    <w:p w:rsidR="00185C77" w:rsidRDefault="00176197">
      <w:pPr>
        <w:pStyle w:val="FootnoteText"/>
      </w:pPr>
      <w:r>
        <w:rPr>
          <w:rStyle w:val="FootnoteReference"/>
        </w:rPr>
        <w:footnoteRef/>
      </w:r>
      <w:r>
        <w:tab/>
      </w:r>
      <w:r>
        <w:t xml:space="preserve">Директива 2009/33/ЕО на Европейския парламент и на Съвета от 23 април 2009 г. за насърчаването на чисти и </w:t>
      </w:r>
      <w:proofErr w:type="spellStart"/>
      <w:r>
        <w:t>енергийноефективни</w:t>
      </w:r>
      <w:proofErr w:type="spellEnd"/>
      <w:r>
        <w:t xml:space="preserve"> пътни превозни средства,</w:t>
      </w:r>
      <w:r>
        <w:t xml:space="preserve"> изменена с Директива.../.../ЕС [COM(2017) 653 </w:t>
      </w:r>
      <w:proofErr w:type="spellStart"/>
      <w:r>
        <w:t>final</w:t>
      </w:r>
      <w:proofErr w:type="spellEnd"/>
      <w:r>
        <w:t xml:space="preserve">] (ОВ L 120, 15.5.2009 г., стр. 5). </w:t>
      </w:r>
    </w:p>
  </w:footnote>
  <w:footnote w:id="27">
    <w:p w:rsidR="00185C77" w:rsidRDefault="00176197">
      <w:pPr>
        <w:pStyle w:val="FootnoteText"/>
      </w:pPr>
      <w:r>
        <w:rPr>
          <w:rStyle w:val="FootnoteReference"/>
        </w:rPr>
        <w:footnoteRef/>
      </w:r>
      <w:r>
        <w:tab/>
      </w:r>
      <w:r>
        <w:t xml:space="preserve">Научно становище 1/2016 на групата на научните </w:t>
      </w:r>
      <w:proofErr w:type="spellStart"/>
      <w:r>
        <w:t>съветници</w:t>
      </w:r>
      <w:proofErr w:type="spellEnd"/>
      <w:r>
        <w:t xml:space="preserve"> на високо равнище, „Отстраняване на разминаванията между емисиите на CO</w:t>
      </w:r>
      <w:r>
        <w:rPr>
          <w:vertAlign w:val="subscript"/>
        </w:rPr>
        <w:t>2</w:t>
      </w:r>
      <w:r>
        <w:t xml:space="preserve"> от лекотоварните превозни средства в реални условия и лабораторните изпитвания“.</w:t>
      </w:r>
    </w:p>
  </w:footnote>
  <w:footnote w:id="28">
    <w:p w:rsidR="00185C77" w:rsidRDefault="00176197">
      <w:pPr>
        <w:pStyle w:val="FootnoteText"/>
      </w:pPr>
      <w:r>
        <w:rPr>
          <w:rStyle w:val="FootnoteReference"/>
        </w:rPr>
        <w:footnoteRef/>
      </w:r>
      <w:r>
        <w:tab/>
      </w:r>
      <w:r>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w:t>
      </w:r>
      <w:r>
        <w:t>ана на държавите членки върху упражняването на изпълнителните правомощия от страна на Комисията (ОВ L 55, 28.2.2011 г., стр.13).</w:t>
      </w:r>
    </w:p>
  </w:footnote>
  <w:footnote w:id="29">
    <w:p w:rsidR="00185C77" w:rsidRDefault="00176197">
      <w:pPr>
        <w:pStyle w:val="FootnoteText"/>
      </w:pPr>
      <w:r>
        <w:rPr>
          <w:rStyle w:val="FootnoteReference"/>
        </w:rPr>
        <w:footnoteRef/>
      </w:r>
      <w:r>
        <w:tab/>
      </w:r>
      <w:r>
        <w:t>OВ L 123, 12.5.2016 г., стр. 1.</w:t>
      </w:r>
    </w:p>
  </w:footnote>
  <w:footnote w:id="30">
    <w:p w:rsidR="00185C77" w:rsidRDefault="00176197">
      <w:pPr>
        <w:pStyle w:val="FootnoteText"/>
      </w:pPr>
      <w:r>
        <w:rPr>
          <w:rStyle w:val="FootnoteReference"/>
        </w:rPr>
        <w:footnoteRef/>
      </w:r>
      <w:r>
        <w:tab/>
      </w:r>
      <w:r>
        <w:t>Директива 2009/33/ЕО за екологично чисти превозни средства, изменена с Директива ..../.../Е</w:t>
      </w:r>
      <w:r>
        <w:t>С.</w:t>
      </w:r>
    </w:p>
  </w:footnote>
  <w:footnote w:id="31">
    <w:p w:rsidR="00185C77" w:rsidRDefault="00176197">
      <w:pPr>
        <w:pStyle w:val="FootnoteText"/>
        <w:rPr>
          <w:szCs w:val="24"/>
        </w:rPr>
      </w:pPr>
      <w:r>
        <w:rPr>
          <w:rStyle w:val="FootnoteReference"/>
        </w:rPr>
        <w:footnoteRef/>
      </w:r>
      <w:r>
        <w:tab/>
      </w:r>
      <w:r>
        <w:t xml:space="preserve">УД: управление по дейности; БД: </w:t>
      </w:r>
      <w:proofErr w:type="spellStart"/>
      <w:r>
        <w:t>бюджетиране</w:t>
      </w:r>
      <w:proofErr w:type="spellEnd"/>
      <w:r>
        <w:t xml:space="preserve"> по дейности.</w:t>
      </w:r>
    </w:p>
  </w:footnote>
  <w:footnote w:id="32">
    <w:p w:rsidR="00185C77" w:rsidRDefault="00176197">
      <w:pPr>
        <w:pStyle w:val="FootnoteText"/>
        <w:rPr>
          <w:szCs w:val="24"/>
        </w:rPr>
      </w:pPr>
      <w:r>
        <w:rPr>
          <w:rStyle w:val="FootnoteReference"/>
        </w:rPr>
        <w:footnoteRef/>
      </w:r>
      <w:r>
        <w:tab/>
      </w:r>
      <w:r>
        <w:t>Съгласно член 54, параграф 2, буква а) или б) от Финансовия регламент.</w:t>
      </w:r>
    </w:p>
  </w:footnote>
  <w:footnote w:id="33">
    <w:p w:rsidR="00185C77" w:rsidRDefault="00176197">
      <w:pPr>
        <w:pStyle w:val="FootnoteText"/>
        <w:spacing w:after="60"/>
        <w:rPr>
          <w:sz w:val="18"/>
        </w:rPr>
      </w:pPr>
      <w:r>
        <w:rPr>
          <w:rStyle w:val="FootnoteReference"/>
        </w:rPr>
        <w:footnoteRef/>
      </w:r>
      <w:r>
        <w:tab/>
      </w:r>
      <w:proofErr w:type="spellStart"/>
      <w:r>
        <w:rPr>
          <w:sz w:val="18"/>
        </w:rPr>
        <w:t>AirBase</w:t>
      </w:r>
      <w:proofErr w:type="spellEnd"/>
      <w:r>
        <w:rPr>
          <w:color w:val="333333"/>
          <w:sz w:val="18"/>
        </w:rPr>
        <w:t xml:space="preserve"> </w:t>
      </w:r>
      <w:r>
        <w:rPr>
          <w:sz w:val="18"/>
        </w:rPr>
        <w:t>е европейска база данни за качеството на въздуха, поддържана от Европейския тематичен център за борба със замър</w:t>
      </w:r>
      <w:r>
        <w:rPr>
          <w:sz w:val="18"/>
        </w:rPr>
        <w:t>сяването на въздуха и смекчаване на изменението на климата към Европейската агенция за околната среда. Участващите държави предоставят информация и данни от мониторинга на качеството на въздуха на цялата територия на Съюза. Базата данни съдържа многогодишн</w:t>
      </w:r>
      <w:r>
        <w:rPr>
          <w:sz w:val="18"/>
        </w:rPr>
        <w:t>и динамични редове с данни от измервания за качеството на въздуха и статистически данни за голям брой замърсители на въздуха.</w:t>
      </w:r>
    </w:p>
  </w:footnote>
  <w:footnote w:id="34">
    <w:p w:rsidR="00185C77" w:rsidRDefault="00176197">
      <w:pPr>
        <w:pStyle w:val="FootnoteText"/>
        <w:rPr>
          <w:lang w:val="ru-RU"/>
        </w:rPr>
      </w:pPr>
      <w:r>
        <w:rPr>
          <w:rStyle w:val="FootnoteReference"/>
        </w:rPr>
        <w:footnoteRef/>
      </w:r>
      <w:r>
        <w:tab/>
      </w:r>
      <w:r>
        <w:t>Регламент (ЕС) 2017/2400 на Комисията.</w:t>
      </w:r>
    </w:p>
  </w:footnote>
  <w:footnote w:id="35">
    <w:p w:rsidR="00185C77" w:rsidRDefault="00176197">
      <w:pPr>
        <w:pStyle w:val="FootnoteText"/>
        <w:rPr>
          <w:lang w:val="ru-RU"/>
        </w:rPr>
      </w:pPr>
      <w:r>
        <w:rPr>
          <w:rStyle w:val="FootnoteReference"/>
        </w:rPr>
        <w:footnoteRef/>
      </w:r>
      <w:r>
        <w:tab/>
      </w:r>
      <w:r>
        <w:t xml:space="preserve">COM(2017) 0279 </w:t>
      </w:r>
      <w:proofErr w:type="spellStart"/>
      <w:r>
        <w:t>final</w:t>
      </w:r>
      <w:proofErr w:type="spellEnd"/>
      <w:r>
        <w:t>.</w:t>
      </w:r>
    </w:p>
  </w:footnote>
  <w:footnote w:id="36">
    <w:p w:rsidR="00185C77" w:rsidRDefault="00176197">
      <w:pPr>
        <w:pStyle w:val="FootnoteText"/>
        <w:spacing w:after="60"/>
        <w:rPr>
          <w:sz w:val="18"/>
          <w:lang w:val="ru-RU"/>
        </w:rPr>
      </w:pPr>
      <w:r>
        <w:rPr>
          <w:rStyle w:val="FootnoteReference"/>
        </w:rPr>
        <w:footnoteRef/>
      </w:r>
      <w:r>
        <w:tab/>
      </w:r>
      <w:r>
        <w:rPr>
          <w:sz w:val="18"/>
        </w:rPr>
        <w:t>Директива 2011/76/ЕС.</w:t>
      </w:r>
    </w:p>
  </w:footnote>
  <w:footnote w:id="37">
    <w:p w:rsidR="00185C77" w:rsidRDefault="00176197">
      <w:pPr>
        <w:pStyle w:val="FootnoteText"/>
        <w:spacing w:after="60"/>
        <w:rPr>
          <w:sz w:val="18"/>
          <w:lang w:val="ru-RU"/>
        </w:rPr>
      </w:pPr>
      <w:r>
        <w:rPr>
          <w:rStyle w:val="FootnoteReference"/>
        </w:rPr>
        <w:footnoteRef/>
      </w:r>
      <w:r>
        <w:tab/>
      </w:r>
      <w:r>
        <w:rPr>
          <w:sz w:val="18"/>
        </w:rPr>
        <w:t xml:space="preserve">Директива 2015/719/ЕС.  </w:t>
      </w:r>
    </w:p>
  </w:footnote>
  <w:footnote w:id="38">
    <w:p w:rsidR="00185C77" w:rsidRDefault="00176197">
      <w:pPr>
        <w:pStyle w:val="FootnoteText"/>
        <w:spacing w:after="60"/>
        <w:rPr>
          <w:sz w:val="18"/>
        </w:rPr>
      </w:pPr>
      <w:r>
        <w:rPr>
          <w:rStyle w:val="FootnoteReference"/>
        </w:rPr>
        <w:footnoteRef/>
      </w:r>
      <w:r>
        <w:tab/>
      </w:r>
      <w:r>
        <w:rPr>
          <w:sz w:val="18"/>
        </w:rPr>
        <w:t>Директива 20</w:t>
      </w:r>
      <w:r>
        <w:rPr>
          <w:sz w:val="18"/>
        </w:rPr>
        <w:t xml:space="preserve">09/33/ЕО.  </w:t>
      </w:r>
    </w:p>
  </w:footnote>
  <w:footnote w:id="39">
    <w:p w:rsidR="00185C77" w:rsidRDefault="00176197">
      <w:pPr>
        <w:pStyle w:val="FootnoteText"/>
        <w:rPr>
          <w:szCs w:val="24"/>
        </w:rPr>
      </w:pPr>
      <w:r>
        <w:rPr>
          <w:rStyle w:val="FootnoteReference"/>
        </w:rPr>
        <w:footnoteRef/>
      </w:r>
      <w:r>
        <w:tab/>
      </w:r>
      <w:r>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1">
        <w:r>
          <w:rPr>
            <w:rStyle w:val="Hyperlink"/>
            <w:sz w:val="18"/>
          </w:rPr>
          <w:t>http://www.cc.cec/budg/man/budgmana</w:t>
        </w:r>
        <w:r>
          <w:rPr>
            <w:rStyle w:val="Hyperlink"/>
            <w:sz w:val="18"/>
          </w:rPr>
          <w:t>g/budgmanag_en.html</w:t>
        </w:r>
      </w:hyperlink>
    </w:p>
  </w:footnote>
  <w:footnote w:id="40">
    <w:p w:rsidR="00185C77" w:rsidRDefault="00176197">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41">
    <w:p w:rsidR="00185C77" w:rsidRDefault="00176197">
      <w:pPr>
        <w:pStyle w:val="FootnoteText"/>
        <w:rPr>
          <w:szCs w:val="24"/>
        </w:rPr>
      </w:pPr>
      <w:r>
        <w:rPr>
          <w:rStyle w:val="FootnoteReference"/>
        </w:rPr>
        <w:footnoteRef/>
      </w:r>
      <w:r>
        <w:tab/>
      </w:r>
      <w:r>
        <w:t xml:space="preserve">ЕАСТ: Европейска асоциация за свободна търговия. </w:t>
      </w:r>
    </w:p>
  </w:footnote>
  <w:footnote w:id="42">
    <w:p w:rsidR="00185C77" w:rsidRDefault="00176197">
      <w:pPr>
        <w:pStyle w:val="FootnoteText"/>
        <w:rPr>
          <w:szCs w:val="24"/>
        </w:rPr>
      </w:pPr>
      <w:r>
        <w:rPr>
          <w:rStyle w:val="FootnoteReference"/>
        </w:rPr>
        <w:footnoteRef/>
      </w:r>
      <w:r>
        <w:tab/>
      </w:r>
      <w:r>
        <w:t>Държави кандидатки и, ако е приложимо, държави потенциални кандидатки от Западните Балкани.</w:t>
      </w:r>
    </w:p>
  </w:footnote>
  <w:footnote w:id="43">
    <w:p w:rsidR="00185C77" w:rsidRDefault="00176197">
      <w:pPr>
        <w:pStyle w:val="FootnoteText"/>
      </w:pPr>
      <w:r>
        <w:rPr>
          <w:rStyle w:val="FootnoteReference"/>
        </w:rPr>
        <w:footnoteRef/>
      </w:r>
      <w:r>
        <w:tab/>
      </w:r>
      <w:r>
        <w:t>З</w:t>
      </w:r>
      <w:r>
        <w:t>асегнати служби: ГД „Действия по климата“, ГД „Вътрешен пазар, промишленост, предприемачество и МСП“, Съвместен изследователски център</w:t>
      </w:r>
    </w:p>
  </w:footnote>
  <w:footnote w:id="44">
    <w:p w:rsidR="00185C77" w:rsidRDefault="00176197">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45">
    <w:p w:rsidR="00185C77" w:rsidRDefault="00176197">
      <w:pPr>
        <w:pStyle w:val="FootnoteText"/>
        <w:rPr>
          <w:szCs w:val="24"/>
        </w:rPr>
      </w:pPr>
      <w:r>
        <w:rPr>
          <w:rStyle w:val="FootnoteReference"/>
        </w:rPr>
        <w:footnoteRef/>
      </w:r>
      <w:r>
        <w:tab/>
      </w:r>
      <w:r>
        <w:t>Техническа и/или административн</w:t>
      </w:r>
      <w:r>
        <w:t>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6">
    <w:p w:rsidR="00185C77" w:rsidRDefault="00176197">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47">
    <w:p w:rsidR="00185C77" w:rsidRDefault="00176197">
      <w:pPr>
        <w:pStyle w:val="FootnoteText"/>
        <w:rPr>
          <w:szCs w:val="24"/>
        </w:rPr>
      </w:pPr>
      <w:r>
        <w:rPr>
          <w:rStyle w:val="FootnoteReference"/>
        </w:rPr>
        <w:footnoteRef/>
      </w:r>
      <w:r>
        <w:tab/>
      </w:r>
      <w:r>
        <w:t>Резултатит</w:t>
      </w:r>
      <w:r>
        <w:t>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8">
    <w:p w:rsidR="00185C77" w:rsidRDefault="00176197">
      <w:pPr>
        <w:pStyle w:val="FootnoteText"/>
        <w:rPr>
          <w:szCs w:val="24"/>
        </w:rPr>
      </w:pPr>
      <w:r>
        <w:rPr>
          <w:rStyle w:val="FootnoteReference"/>
        </w:rPr>
        <w:footnoteRef/>
      </w:r>
      <w:r>
        <w:tab/>
      </w:r>
      <w:r>
        <w:t xml:space="preserve">Съгласно описанието в част 1.4.2. „Конкретни цели…“. </w:t>
      </w:r>
    </w:p>
  </w:footnote>
  <w:footnote w:id="49">
    <w:p w:rsidR="00185C77" w:rsidRDefault="00176197">
      <w:pPr>
        <w:pStyle w:val="FootnoteText"/>
        <w:rPr>
          <w:szCs w:val="24"/>
        </w:rPr>
      </w:pPr>
      <w:r>
        <w:rPr>
          <w:rStyle w:val="FootnoteReference"/>
        </w:rPr>
        <w:footnoteRef/>
      </w:r>
      <w:r>
        <w:tab/>
      </w:r>
      <w:r>
        <w:t>Техническа и/или административна помощ и разходи в</w:t>
      </w:r>
      <w:r>
        <w:t xml:space="preserve"> подкрепа на изпълнението на програми и/или дейности на ЕС (предишни редове „BA“), непреки научни изследвания, преки научни изследвания.</w:t>
      </w:r>
    </w:p>
  </w:footnote>
  <w:footnote w:id="50">
    <w:p w:rsidR="00185C77" w:rsidRDefault="00176197">
      <w:pPr>
        <w:pStyle w:val="FootnoteText"/>
        <w:rPr>
          <w:szCs w:val="24"/>
        </w:rPr>
      </w:pPr>
      <w:r>
        <w:rPr>
          <w:rStyle w:val="FootnoteReference"/>
        </w:rPr>
        <w:footnoteRef/>
      </w:r>
      <w:r>
        <w:tab/>
      </w:r>
      <w:r>
        <w:t>ДНП = договорно нает персонал; МП = местен персонал; КНЕ = командирован национален експерт; ПНА = персонал, нает чрез</w:t>
      </w:r>
      <w:r>
        <w:t xml:space="preserve"> агенции за временна заетост; МЕД = младши експерт в делегация. </w:t>
      </w:r>
    </w:p>
  </w:footnote>
  <w:footnote w:id="51">
    <w:p w:rsidR="00185C77" w:rsidRDefault="00176197">
      <w:pPr>
        <w:pStyle w:val="FootnoteText"/>
        <w:rPr>
          <w:szCs w:val="24"/>
        </w:rPr>
      </w:pPr>
      <w:r>
        <w:rPr>
          <w:rStyle w:val="FootnoteReference"/>
        </w:rPr>
        <w:footnoteRef/>
      </w:r>
      <w:r>
        <w:tab/>
      </w:r>
      <w:r>
        <w:t>Под тавана за външния персонал от бюджетните кредити за оперативни разходи (предишни редове „BA“).</w:t>
      </w:r>
    </w:p>
  </w:footnote>
  <w:footnote w:id="52">
    <w:p w:rsidR="00185C77" w:rsidRDefault="00176197">
      <w:pPr>
        <w:pStyle w:val="FootnoteText"/>
        <w:rPr>
          <w:szCs w:val="24"/>
        </w:rPr>
      </w:pPr>
      <w:r>
        <w:rPr>
          <w:rStyle w:val="FootnoteReference"/>
        </w:rPr>
        <w:footnoteRef/>
      </w:r>
      <w:r>
        <w:tab/>
      </w:r>
      <w:r>
        <w:t>Що се отнася до традиционните собствени ресурси (мита, налози върху захарта), посочените</w:t>
      </w:r>
      <w:r>
        <w:t xml:space="preserve">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97" w:rsidRPr="00176197" w:rsidRDefault="00176197" w:rsidP="00176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9E5E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24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B2F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8AA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92C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F41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47E0E57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351236"/>
    <w:multiLevelType w:val="hybridMultilevel"/>
    <w:tmpl w:val="C060C344"/>
    <w:lvl w:ilvl="0" w:tplc="FD0A351C">
      <w:start w:val="1"/>
      <mc:AlternateContent>
        <mc:Choice Requires="w14">
          <w:numFmt w:val="custom" w:format="а, й, к, ..."/>
        </mc:Choice>
        <mc:Fallback>
          <w:numFmt w:val="decimal"/>
        </mc:Fallback>
      </mc:AlternateContent>
      <w:lvlText w:val="%1."/>
      <w:lvlJc w:val="left"/>
      <w:pPr>
        <w:ind w:left="1570" w:hanging="360"/>
      </w:pPr>
      <w:rPr>
        <w:rFonts w:hint="default"/>
        <w:b w:val="0"/>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4"/>
  </w:num>
  <w:num w:numId="5">
    <w:abstractNumId w:val="20"/>
  </w:num>
  <w:num w:numId="6">
    <w:abstractNumId w:val="5"/>
  </w:num>
  <w:num w:numId="7">
    <w:abstractNumId w:val="4"/>
  </w:num>
  <w:num w:numId="8">
    <w:abstractNumId w:val="3"/>
  </w:num>
  <w:num w:numId="9">
    <w:abstractNumId w:val="21"/>
  </w:num>
  <w:num w:numId="10">
    <w:abstractNumId w:val="2"/>
  </w:num>
  <w:num w:numId="11">
    <w:abstractNumId w:val="1"/>
  </w:num>
  <w:num w:numId="12">
    <w:abstractNumId w:val="0"/>
  </w:num>
  <w:num w:numId="13">
    <w:abstractNumId w:val="19"/>
    <w:lvlOverride w:ilvl="0">
      <w:startOverride w:val="1"/>
    </w:lvlOverride>
  </w:num>
  <w:num w:numId="14">
    <w:abstractNumId w:val="13"/>
    <w:lvlOverride w:ilvl="0">
      <w:startOverride w:val="1"/>
    </w:lvlOverride>
  </w:num>
  <w:num w:numId="15">
    <w:abstractNumId w:val="17"/>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23"/>
  </w:num>
  <w:num w:numId="23">
    <w:abstractNumId w:val="10"/>
  </w:num>
  <w:num w:numId="24">
    <w:abstractNumId w:val="12"/>
  </w:num>
  <w:num w:numId="25">
    <w:abstractNumId w:val="8"/>
  </w:num>
  <w:num w:numId="26">
    <w:abstractNumId w:val="22"/>
  </w:num>
  <w:num w:numId="27">
    <w:abstractNumId w:val="7"/>
  </w:num>
  <w:num w:numId="28">
    <w:abstractNumId w:val="13"/>
  </w:num>
  <w:num w:numId="29">
    <w:abstractNumId w:val="17"/>
  </w:num>
  <w:num w:numId="30">
    <w:abstractNumId w:val="18"/>
  </w:num>
  <w:num w:numId="31">
    <w:abstractNumId w:val="9"/>
  </w:num>
  <w:num w:numId="32">
    <w:abstractNumId w:val="16"/>
  </w:num>
  <w:num w:numId="33">
    <w:abstractNumId w:val="25"/>
  </w:num>
  <w:num w:numId="34">
    <w:abstractNumId w:val="19"/>
  </w:num>
  <w:num w:numId="35">
    <w:abstractNumId w:val="11"/>
  </w:num>
  <w:num w:numId="36">
    <w:abstractNumId w:val="23"/>
  </w:num>
  <w:num w:numId="37">
    <w:abstractNumId w:val="10"/>
  </w:num>
  <w:num w:numId="38">
    <w:abstractNumId w:val="12"/>
  </w:num>
  <w:num w:numId="39">
    <w:abstractNumId w:val="8"/>
  </w:num>
  <w:num w:numId="40">
    <w:abstractNumId w:val="22"/>
  </w:num>
  <w:num w:numId="41">
    <w:abstractNumId w:val="7"/>
  </w:num>
  <w:num w:numId="42">
    <w:abstractNumId w:val="13"/>
  </w:num>
  <w:num w:numId="43">
    <w:abstractNumId w:val="17"/>
  </w:num>
  <w:num w:numId="44">
    <w:abstractNumId w:val="18"/>
  </w:num>
  <w:num w:numId="45">
    <w:abstractNumId w:val="9"/>
  </w:num>
  <w:num w:numId="46">
    <w:abstractNumId w:val="16"/>
  </w:num>
  <w:num w:numId="4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en" w:vendorID="64" w:dllVersion="131078" w:nlCheck="1" w:checkStyle="1"/>
  <w:proofState w:spelling="clean" w:grammar="clean"/>
  <w:attachedTemplate r:id="rId1"/>
  <w:documentProtection w:edit="readOnly"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5:01: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2"/>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Yellow"/>
    <w:docVar w:name="DQCVersion" w:val="3"/>
    <w:docVar w:name="DQCWithWarnings" w:val="0"/>
    <w:docVar w:name="LW_CORRIGENDUM" w:val="CORRIGENDUM_x000b_This document corrects document COM(2018) 284 final of 17.05.2018_x000b_Concerns all language versions._x000b_Correction of minor non-substantial errors in the act and its annexes._x000b_The text shall read as follows:"/>
    <w:docVar w:name="LW_COVERPAGE_EXISTS" w:val="True"/>
    <w:docVar w:name="LW_COVERPAGE_GUID" w:val="D72C2A43-589A-445C-8882-FF231083A907"/>
    <w:docVar w:name="LW_COVERPAGE_TYPE" w:val="1"/>
    <w:docVar w:name="LW_CROSSREFERENCE" w:val="{SEC(2018) 233 final}_x000d__x000a_{SWD(2018) 185 final}_x000d__x000a_{SWD(2018) 186 final}"/>
    <w:docVar w:name="LW_DocType" w:val="COM"/>
    <w:docVar w:name="LW_EMISSION" w:val="3.7.2018"/>
    <w:docVar w:name="LW_EMISSION_ISODATE" w:val="2018-07-03"/>
    <w:docVar w:name="LW_EMISSION_LOCATION" w:val="BRX"/>
    <w:docVar w:name="LW_EMISSION_PREFIX" w:val="\u1041?\u1088?\u1102?\u1082?\u1089?\u1077?\u1083?,"/>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3"/>
    <w:docVar w:name="LW_REF.II.NEW.CP_YEAR" w:val="2018"/>
    <w:docVar w:name="LW_REF.INST.NEW" w:val="COM"/>
    <w:docVar w:name="LW_REF.INST.NEW_ADOPTED" w:val="final/2"/>
    <w:docVar w:name="LW_REF.INST.NEW_TEXT" w:val="(2018)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9?\u1090?\u1072?\u1085?\u1076?\u1072?\u1088?\u1090?\u1080? \u1079?\u1072? \u1077?\u1084?\u1080?\u1089?\u1080?\u1080?\u1090?\u1077? \u1085?\u1072? CO&lt;FMT:Subscript&gt;2&lt;/FMT&gt; \u1086?\u1090? \u1085?\u1086?\u1074?\u1080? \u1090?\u1077?\u1078?\u1082?\u1086?\u1090?\u1086?\u1074?\u1072?\u1088?\u1085?\u1080? \u1087?\u1088?\u1077?\u1074?\u1086?\u1079?\u1085?\u1080? \u1089?\u1088?\u1077?\u1076?\u1089?\u1090?\u1074?\u1072?"/>
    <w:docVar w:name="LW_TYPE.DOC.CP" w:val="\u1056?\u1045?\u1043?\u1051?\u1040?\u1052?\u1045?\u1053?\u1058? \u1053?\u1040? \u1045?\u1042?\u1056?\u1054?\u1055?\u1045?\u1049?\u1057?\u1050?\u1048?\u1071? \u1055?\u1040?\u1056?\u1051?\u1040?\u1052?\u1045?\u1053?\u1058? \u1048? \u1053?\u1040? \u1057?\u1066?\u1042?\u1045?\u1058?\u1040?"/>
  </w:docVars>
  <w:rsids>
    <w:rsidRoot w:val="00185C77"/>
    <w:rsid w:val="00176197"/>
    <w:rsid w:val="0018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rsid w:val="0017619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76197"/>
    <w:rPr>
      <w:rFonts w:ascii="Times New Roman" w:hAnsi="Times New Roman" w:cs="Times New Roman"/>
      <w:sz w:val="24"/>
      <w:lang w:eastAsia="en-US" w:bidi="ar-SA"/>
    </w:rPr>
  </w:style>
  <w:style w:type="paragraph" w:styleId="Footer">
    <w:name w:val="footer"/>
    <w:basedOn w:val="Normal"/>
    <w:link w:val="FooterChar"/>
    <w:uiPriority w:val="99"/>
    <w:unhideWhenUsed/>
    <w:rsid w:val="00176197"/>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176197"/>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76197"/>
    <w:pPr>
      <w:tabs>
        <w:tab w:val="center" w:pos="7285"/>
        <w:tab w:val="right" w:pos="14003"/>
      </w:tabs>
      <w:spacing w:before="0"/>
    </w:pPr>
    <w:rPr>
      <w:lang w:eastAsia="en-US" w:bidi="ar-SA"/>
    </w:rPr>
  </w:style>
  <w:style w:type="paragraph" w:customStyle="1" w:styleId="FooterLandscape">
    <w:name w:val="FooterLandscape"/>
    <w:basedOn w:val="Normal"/>
    <w:rsid w:val="00176197"/>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76197"/>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176197"/>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rsid w:val="0017619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76197"/>
    <w:rPr>
      <w:rFonts w:ascii="Times New Roman" w:hAnsi="Times New Roman" w:cs="Times New Roman"/>
      <w:sz w:val="24"/>
      <w:lang w:eastAsia="en-US" w:bidi="ar-SA"/>
    </w:rPr>
  </w:style>
  <w:style w:type="paragraph" w:styleId="Footer">
    <w:name w:val="footer"/>
    <w:basedOn w:val="Normal"/>
    <w:link w:val="FooterChar"/>
    <w:uiPriority w:val="99"/>
    <w:unhideWhenUsed/>
    <w:rsid w:val="00176197"/>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176197"/>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76197"/>
    <w:pPr>
      <w:tabs>
        <w:tab w:val="center" w:pos="7285"/>
        <w:tab w:val="right" w:pos="14003"/>
      </w:tabs>
      <w:spacing w:before="0"/>
    </w:pPr>
    <w:rPr>
      <w:lang w:eastAsia="en-US" w:bidi="ar-SA"/>
    </w:rPr>
  </w:style>
  <w:style w:type="paragraph" w:customStyle="1" w:styleId="FooterLandscape">
    <w:name w:val="FooterLandscape"/>
    <w:basedOn w:val="Normal"/>
    <w:rsid w:val="00176197"/>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76197"/>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176197"/>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3048">
      <w:bodyDiv w:val="1"/>
      <w:marLeft w:val="0"/>
      <w:marRight w:val="0"/>
      <w:marTop w:val="0"/>
      <w:marBottom w:val="0"/>
      <w:divBdr>
        <w:top w:val="none" w:sz="0" w:space="0" w:color="auto"/>
        <w:left w:val="none" w:sz="0" w:space="0" w:color="auto"/>
        <w:bottom w:val="none" w:sz="0" w:space="0" w:color="auto"/>
        <w:right w:val="none" w:sz="0" w:space="0" w:color="auto"/>
      </w:divBdr>
    </w:div>
    <w:div w:id="684526149">
      <w:bodyDiv w:val="1"/>
      <w:marLeft w:val="0"/>
      <w:marRight w:val="0"/>
      <w:marTop w:val="0"/>
      <w:marBottom w:val="0"/>
      <w:divBdr>
        <w:top w:val="none" w:sz="0" w:space="0" w:color="auto"/>
        <w:left w:val="none" w:sz="0" w:space="0" w:color="auto"/>
        <w:bottom w:val="none" w:sz="0" w:space="0" w:color="auto"/>
        <w:right w:val="none" w:sz="0" w:space="0" w:color="auto"/>
      </w:divBdr>
    </w:div>
    <w:div w:id="1438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DEBD-BA51-4639-B5FB-DCED32D5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57</Pages>
  <Words>17201</Words>
  <Characters>99425</Characters>
  <Application>Microsoft Office Word</Application>
  <DocSecurity>0</DocSecurity>
  <Lines>2761</Lines>
  <Paragraphs>996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2018-06-11T08:51:00Z</dcterms:created>
  <dcterms:modified xsi:type="dcterms:W3CDTF">2018-07-03T13:23:00Z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