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1955" w:rsidRDefault="00E33ED2" w:rsidP="00E33ED2">
      <w:pPr>
        <w:pStyle w:val="Pagedecouverture"/>
        <w:rPr>
          <w:noProof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0" type="#_x0000_t75" alt="AB03B53A-DC59-42EF-B4B2-6672F08D83D8" style="width:450.8pt;height:477.7pt">
            <v:imagedata r:id="rId9" o:title=""/>
          </v:shape>
        </w:pict>
      </w:r>
    </w:p>
    <w:p w:rsidR="00551955" w:rsidRDefault="00551955">
      <w:pPr>
        <w:rPr>
          <w:noProof/>
        </w:rPr>
        <w:sectPr w:rsidR="00551955" w:rsidSect="00E33ED2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7" w:h="16839"/>
          <w:pgMar w:top="1134" w:right="1417" w:bottom="1134" w:left="1417" w:header="709" w:footer="709" w:gutter="0"/>
          <w:pgNumType w:start="0"/>
          <w:cols w:space="720"/>
          <w:docGrid w:linePitch="360"/>
        </w:sectPr>
      </w:pPr>
    </w:p>
    <w:p w:rsidR="00551955" w:rsidRDefault="00E33ED2">
      <w:pPr>
        <w:pStyle w:val="Annexetitre"/>
        <w:rPr>
          <w:noProof/>
        </w:rPr>
      </w:pPr>
      <w:bookmarkStart w:id="0" w:name="_GoBack"/>
      <w:bookmarkEnd w:id="0"/>
      <w:r>
        <w:rPr>
          <w:noProof/>
        </w:rPr>
        <w:lastRenderedPageBreak/>
        <w:t xml:space="preserve">ANNEXE I </w:t>
      </w:r>
      <w:r>
        <w:rPr>
          <w:noProof/>
        </w:rPr>
        <w:br/>
        <w:t>Calcul des émissions spécifiques moyennes, de l’objectif d’émission spécifique moyen et des émissions excédentaires</w:t>
      </w:r>
    </w:p>
    <w:p w:rsidR="00551955" w:rsidRDefault="00E33ED2">
      <w:pPr>
        <w:pStyle w:val="Heading1"/>
        <w:numPr>
          <w:ilvl w:val="0"/>
          <w:numId w:val="9"/>
        </w:numPr>
        <w:rPr>
          <w:noProof/>
        </w:rPr>
      </w:pPr>
      <w:r>
        <w:rPr>
          <w:noProof/>
        </w:rPr>
        <w:t>Sous-groupes de véhicules</w:t>
      </w:r>
    </w:p>
    <w:p w:rsidR="00551955" w:rsidRDefault="00E33ED2">
      <w:pPr>
        <w:ind w:left="850"/>
        <w:rPr>
          <w:noProof/>
        </w:rPr>
      </w:pPr>
      <w:r>
        <w:rPr>
          <w:noProof/>
        </w:rPr>
        <w:t xml:space="preserve">Chaque nouveau véhicule lourd est attribué à un des sous-groupes définis dans le tableau 1 conformément aux conditions qui y sont énoncées. </w:t>
      </w:r>
    </w:p>
    <w:p w:rsidR="00551955" w:rsidRDefault="00E33ED2">
      <w:pPr>
        <w:ind w:left="850"/>
        <w:rPr>
          <w:b/>
          <w:noProof/>
        </w:rPr>
      </w:pPr>
      <w:r>
        <w:rPr>
          <w:b/>
          <w:noProof/>
        </w:rPr>
        <w:t>Tableau 1 – Sous-groupes de véhicules (sg)</w:t>
      </w:r>
    </w:p>
    <w:tbl>
      <w:tblPr>
        <w:tblStyle w:val="TableGrid"/>
        <w:tblW w:w="6913" w:type="dxa"/>
        <w:tblInd w:w="850" w:type="dxa"/>
        <w:tblLayout w:type="fixed"/>
        <w:tblLook w:val="04A0" w:firstRow="1" w:lastRow="0" w:firstColumn="1" w:lastColumn="0" w:noHBand="0" w:noVBand="1"/>
      </w:tblPr>
      <w:tblGrid>
        <w:gridCol w:w="2377"/>
        <w:gridCol w:w="1559"/>
        <w:gridCol w:w="1559"/>
        <w:gridCol w:w="1418"/>
      </w:tblGrid>
      <w:tr w:rsidR="00551955">
        <w:tc>
          <w:tcPr>
            <w:tcW w:w="2377" w:type="dxa"/>
          </w:tcPr>
          <w:p w:rsidR="00551955" w:rsidRDefault="00E33ED2">
            <w:pPr>
              <w:rPr>
                <w:b/>
                <w:noProof/>
              </w:rPr>
            </w:pPr>
            <w:r>
              <w:rPr>
                <w:b/>
                <w:noProof/>
              </w:rPr>
              <w:t xml:space="preserve">Véhicules lourds </w:t>
            </w:r>
          </w:p>
        </w:tc>
        <w:tc>
          <w:tcPr>
            <w:tcW w:w="1559" w:type="dxa"/>
          </w:tcPr>
          <w:p w:rsidR="00551955" w:rsidRDefault="00E33ED2">
            <w:pPr>
              <w:rPr>
                <w:b/>
                <w:noProof/>
              </w:rPr>
            </w:pPr>
            <w:r>
              <w:rPr>
                <w:b/>
                <w:noProof/>
              </w:rPr>
              <w:t>Type de cabine</w:t>
            </w:r>
          </w:p>
        </w:tc>
        <w:tc>
          <w:tcPr>
            <w:tcW w:w="1559" w:type="dxa"/>
          </w:tcPr>
          <w:p w:rsidR="00551955" w:rsidRDefault="00E33ED2">
            <w:pPr>
              <w:rPr>
                <w:b/>
                <w:noProof/>
              </w:rPr>
            </w:pPr>
            <w:r>
              <w:rPr>
                <w:b/>
                <w:noProof/>
              </w:rPr>
              <w:t>Puissance du moteur</w:t>
            </w:r>
          </w:p>
        </w:tc>
        <w:tc>
          <w:tcPr>
            <w:tcW w:w="1418" w:type="dxa"/>
          </w:tcPr>
          <w:p w:rsidR="00551955" w:rsidRDefault="00E33ED2">
            <w:pPr>
              <w:rPr>
                <w:b/>
                <w:noProof/>
              </w:rPr>
            </w:pPr>
            <w:r>
              <w:rPr>
                <w:b/>
                <w:noProof/>
              </w:rPr>
              <w:t>Sous-groupe de véhi</w:t>
            </w:r>
            <w:r>
              <w:rPr>
                <w:b/>
                <w:noProof/>
              </w:rPr>
              <w:t>cules (sg)</w:t>
            </w:r>
          </w:p>
        </w:tc>
      </w:tr>
      <w:tr w:rsidR="00551955">
        <w:tc>
          <w:tcPr>
            <w:tcW w:w="2377" w:type="dxa"/>
            <w:vMerge w:val="restart"/>
          </w:tcPr>
          <w:p w:rsidR="00551955" w:rsidRDefault="00E33ED2">
            <w:pPr>
              <w:rPr>
                <w:noProof/>
              </w:rPr>
            </w:pPr>
            <w:r>
              <w:rPr>
                <w:noProof/>
              </w:rPr>
              <w:t>Porteurs avec configuration d’essieux 4x2 et masse maximale en charge techniquement admissible &gt; 16 tonnes</w:t>
            </w:r>
          </w:p>
        </w:tc>
        <w:tc>
          <w:tcPr>
            <w:tcW w:w="1559" w:type="dxa"/>
          </w:tcPr>
          <w:p w:rsidR="00551955" w:rsidRDefault="00E33ED2">
            <w:pPr>
              <w:rPr>
                <w:noProof/>
              </w:rPr>
            </w:pPr>
            <w:r>
              <w:rPr>
                <w:noProof/>
              </w:rPr>
              <w:t>Tous</w:t>
            </w:r>
          </w:p>
        </w:tc>
        <w:tc>
          <w:tcPr>
            <w:tcW w:w="1559" w:type="dxa"/>
          </w:tcPr>
          <w:p w:rsidR="00551955" w:rsidRDefault="00E33ED2">
            <w:pPr>
              <w:rPr>
                <w:noProof/>
              </w:rPr>
            </w:pPr>
            <w:r>
              <w:rPr>
                <w:noProof/>
              </w:rPr>
              <w:t>&lt;170 kW</w:t>
            </w:r>
          </w:p>
        </w:tc>
        <w:tc>
          <w:tcPr>
            <w:tcW w:w="1418" w:type="dxa"/>
          </w:tcPr>
          <w:p w:rsidR="00551955" w:rsidRDefault="00E33ED2">
            <w:pPr>
              <w:rPr>
                <w:b/>
                <w:noProof/>
              </w:rPr>
            </w:pPr>
            <w:r>
              <w:rPr>
                <w:b/>
                <w:noProof/>
              </w:rPr>
              <w:t>4-UD</w:t>
            </w:r>
          </w:p>
          <w:p w:rsidR="00551955" w:rsidRDefault="00551955">
            <w:pPr>
              <w:rPr>
                <w:b/>
                <w:noProof/>
              </w:rPr>
            </w:pPr>
          </w:p>
        </w:tc>
      </w:tr>
      <w:tr w:rsidR="00551955">
        <w:tc>
          <w:tcPr>
            <w:tcW w:w="2377" w:type="dxa"/>
            <w:vMerge/>
          </w:tcPr>
          <w:p w:rsidR="00551955" w:rsidRDefault="00551955">
            <w:pPr>
              <w:rPr>
                <w:noProof/>
              </w:rPr>
            </w:pPr>
          </w:p>
        </w:tc>
        <w:tc>
          <w:tcPr>
            <w:tcW w:w="1559" w:type="dxa"/>
          </w:tcPr>
          <w:p w:rsidR="00551955" w:rsidRDefault="00E33ED2">
            <w:pPr>
              <w:rPr>
                <w:noProof/>
                <w:vertAlign w:val="superscript"/>
              </w:rPr>
            </w:pPr>
            <w:r>
              <w:rPr>
                <w:noProof/>
              </w:rPr>
              <w:t>Cabine sans couchette</w:t>
            </w:r>
          </w:p>
        </w:tc>
        <w:tc>
          <w:tcPr>
            <w:tcW w:w="1559" w:type="dxa"/>
          </w:tcPr>
          <w:p w:rsidR="00551955" w:rsidRDefault="00E33ED2">
            <w:pPr>
              <w:rPr>
                <w:noProof/>
              </w:rPr>
            </w:pPr>
            <w:r>
              <w:rPr>
                <w:noProof/>
              </w:rPr>
              <w:t>≥170 kW</w:t>
            </w:r>
          </w:p>
        </w:tc>
        <w:tc>
          <w:tcPr>
            <w:tcW w:w="1418" w:type="dxa"/>
            <w:vMerge w:val="restart"/>
          </w:tcPr>
          <w:p w:rsidR="00551955" w:rsidRDefault="00E33ED2">
            <w:pPr>
              <w:rPr>
                <w:b/>
                <w:noProof/>
              </w:rPr>
            </w:pPr>
            <w:r>
              <w:rPr>
                <w:b/>
                <w:noProof/>
              </w:rPr>
              <w:t>4-RD</w:t>
            </w:r>
          </w:p>
        </w:tc>
      </w:tr>
      <w:tr w:rsidR="00551955">
        <w:tc>
          <w:tcPr>
            <w:tcW w:w="2377" w:type="dxa"/>
            <w:vMerge/>
          </w:tcPr>
          <w:p w:rsidR="00551955" w:rsidRDefault="00551955">
            <w:pPr>
              <w:rPr>
                <w:noProof/>
              </w:rPr>
            </w:pPr>
          </w:p>
        </w:tc>
        <w:tc>
          <w:tcPr>
            <w:tcW w:w="1559" w:type="dxa"/>
          </w:tcPr>
          <w:p w:rsidR="00551955" w:rsidRDefault="00E33ED2">
            <w:pPr>
              <w:rPr>
                <w:noProof/>
                <w:vertAlign w:val="superscript"/>
              </w:rPr>
            </w:pPr>
            <w:r>
              <w:rPr>
                <w:noProof/>
              </w:rPr>
              <w:t>Cabine avec couchette</w:t>
            </w:r>
          </w:p>
        </w:tc>
        <w:tc>
          <w:tcPr>
            <w:tcW w:w="1559" w:type="dxa"/>
          </w:tcPr>
          <w:p w:rsidR="00551955" w:rsidRDefault="00E33ED2">
            <w:pPr>
              <w:rPr>
                <w:noProof/>
              </w:rPr>
            </w:pPr>
            <w:r>
              <w:rPr>
                <w:noProof/>
              </w:rPr>
              <w:t>≥170 kW et &lt;265 kW</w:t>
            </w:r>
          </w:p>
        </w:tc>
        <w:tc>
          <w:tcPr>
            <w:tcW w:w="1418" w:type="dxa"/>
            <w:vMerge/>
          </w:tcPr>
          <w:p w:rsidR="00551955" w:rsidRDefault="00551955">
            <w:pPr>
              <w:rPr>
                <w:b/>
                <w:noProof/>
              </w:rPr>
            </w:pPr>
          </w:p>
        </w:tc>
      </w:tr>
      <w:tr w:rsidR="00551955">
        <w:tc>
          <w:tcPr>
            <w:tcW w:w="2377" w:type="dxa"/>
            <w:vMerge/>
          </w:tcPr>
          <w:p w:rsidR="00551955" w:rsidRDefault="00551955">
            <w:pPr>
              <w:rPr>
                <w:noProof/>
              </w:rPr>
            </w:pPr>
          </w:p>
        </w:tc>
        <w:tc>
          <w:tcPr>
            <w:tcW w:w="1559" w:type="dxa"/>
          </w:tcPr>
          <w:p w:rsidR="00551955" w:rsidRDefault="00E33ED2">
            <w:pPr>
              <w:rPr>
                <w:noProof/>
              </w:rPr>
            </w:pPr>
            <w:r>
              <w:rPr>
                <w:noProof/>
              </w:rPr>
              <w:t>Cabine avec couchette</w:t>
            </w:r>
          </w:p>
        </w:tc>
        <w:tc>
          <w:tcPr>
            <w:tcW w:w="1559" w:type="dxa"/>
          </w:tcPr>
          <w:p w:rsidR="00551955" w:rsidRDefault="00E33ED2">
            <w:pPr>
              <w:rPr>
                <w:noProof/>
              </w:rPr>
            </w:pPr>
            <w:r>
              <w:rPr>
                <w:noProof/>
              </w:rPr>
              <w:t>≥265 kW</w:t>
            </w:r>
          </w:p>
        </w:tc>
        <w:tc>
          <w:tcPr>
            <w:tcW w:w="1418" w:type="dxa"/>
          </w:tcPr>
          <w:p w:rsidR="00551955" w:rsidRDefault="00E33ED2">
            <w:pPr>
              <w:rPr>
                <w:b/>
                <w:noProof/>
              </w:rPr>
            </w:pPr>
            <w:r>
              <w:rPr>
                <w:b/>
                <w:noProof/>
              </w:rPr>
              <w:t>4-LH</w:t>
            </w:r>
          </w:p>
        </w:tc>
      </w:tr>
      <w:tr w:rsidR="00551955">
        <w:tc>
          <w:tcPr>
            <w:tcW w:w="2377" w:type="dxa"/>
            <w:vMerge w:val="restart"/>
          </w:tcPr>
          <w:p w:rsidR="00551955" w:rsidRDefault="00E33ED2">
            <w:pPr>
              <w:rPr>
                <w:noProof/>
              </w:rPr>
            </w:pPr>
            <w:r>
              <w:rPr>
                <w:noProof/>
              </w:rPr>
              <w:t>Porteurs avec configuration d’essieux 6x2</w:t>
            </w:r>
          </w:p>
        </w:tc>
        <w:tc>
          <w:tcPr>
            <w:tcW w:w="1559" w:type="dxa"/>
          </w:tcPr>
          <w:p w:rsidR="00551955" w:rsidRDefault="00E33ED2">
            <w:pPr>
              <w:rPr>
                <w:noProof/>
              </w:rPr>
            </w:pPr>
            <w:r>
              <w:rPr>
                <w:noProof/>
              </w:rPr>
              <w:t>Cabine sans couchette</w:t>
            </w:r>
          </w:p>
        </w:tc>
        <w:tc>
          <w:tcPr>
            <w:tcW w:w="1559" w:type="dxa"/>
            <w:vMerge w:val="restart"/>
          </w:tcPr>
          <w:p w:rsidR="00551955" w:rsidRDefault="00E33ED2">
            <w:pPr>
              <w:rPr>
                <w:noProof/>
              </w:rPr>
            </w:pPr>
            <w:r>
              <w:rPr>
                <w:noProof/>
              </w:rPr>
              <w:t>Tous</w:t>
            </w:r>
          </w:p>
        </w:tc>
        <w:tc>
          <w:tcPr>
            <w:tcW w:w="1418" w:type="dxa"/>
          </w:tcPr>
          <w:p w:rsidR="00551955" w:rsidRDefault="00E33ED2">
            <w:pPr>
              <w:rPr>
                <w:b/>
                <w:noProof/>
              </w:rPr>
            </w:pPr>
            <w:r>
              <w:rPr>
                <w:b/>
                <w:noProof/>
              </w:rPr>
              <w:t>9-RD</w:t>
            </w:r>
          </w:p>
        </w:tc>
      </w:tr>
      <w:tr w:rsidR="00551955">
        <w:tc>
          <w:tcPr>
            <w:tcW w:w="2377" w:type="dxa"/>
            <w:vMerge/>
          </w:tcPr>
          <w:p w:rsidR="00551955" w:rsidRDefault="00551955">
            <w:pPr>
              <w:rPr>
                <w:noProof/>
              </w:rPr>
            </w:pPr>
          </w:p>
        </w:tc>
        <w:tc>
          <w:tcPr>
            <w:tcW w:w="1559" w:type="dxa"/>
          </w:tcPr>
          <w:p w:rsidR="00551955" w:rsidRDefault="00E33ED2">
            <w:pPr>
              <w:rPr>
                <w:noProof/>
              </w:rPr>
            </w:pPr>
            <w:r>
              <w:rPr>
                <w:noProof/>
              </w:rPr>
              <w:t>Cabine avec couchette</w:t>
            </w:r>
          </w:p>
        </w:tc>
        <w:tc>
          <w:tcPr>
            <w:tcW w:w="1559" w:type="dxa"/>
            <w:vMerge/>
          </w:tcPr>
          <w:p w:rsidR="00551955" w:rsidRDefault="00551955">
            <w:pPr>
              <w:rPr>
                <w:noProof/>
              </w:rPr>
            </w:pPr>
          </w:p>
        </w:tc>
        <w:tc>
          <w:tcPr>
            <w:tcW w:w="1418" w:type="dxa"/>
          </w:tcPr>
          <w:p w:rsidR="00551955" w:rsidRDefault="00E33ED2">
            <w:pPr>
              <w:rPr>
                <w:b/>
                <w:noProof/>
              </w:rPr>
            </w:pPr>
            <w:r>
              <w:rPr>
                <w:b/>
                <w:noProof/>
              </w:rPr>
              <w:t>9-LH</w:t>
            </w:r>
          </w:p>
        </w:tc>
      </w:tr>
      <w:tr w:rsidR="00551955">
        <w:tc>
          <w:tcPr>
            <w:tcW w:w="2377" w:type="dxa"/>
            <w:vMerge w:val="restart"/>
          </w:tcPr>
          <w:p w:rsidR="00551955" w:rsidRDefault="00E33ED2">
            <w:pPr>
              <w:rPr>
                <w:noProof/>
              </w:rPr>
            </w:pPr>
            <w:r>
              <w:rPr>
                <w:noProof/>
              </w:rPr>
              <w:t>Tracteurs avec configuration d’essieux 4x2 et masse maximale en charge techniquement admissible &gt; 16 tonnes</w:t>
            </w:r>
          </w:p>
        </w:tc>
        <w:tc>
          <w:tcPr>
            <w:tcW w:w="1559" w:type="dxa"/>
          </w:tcPr>
          <w:p w:rsidR="00551955" w:rsidRDefault="00E33ED2">
            <w:pPr>
              <w:rPr>
                <w:noProof/>
              </w:rPr>
            </w:pPr>
            <w:r>
              <w:rPr>
                <w:noProof/>
              </w:rPr>
              <w:t>Cabine sans couchette</w:t>
            </w:r>
          </w:p>
        </w:tc>
        <w:tc>
          <w:tcPr>
            <w:tcW w:w="1559" w:type="dxa"/>
          </w:tcPr>
          <w:p w:rsidR="00551955" w:rsidRDefault="00E33ED2">
            <w:pPr>
              <w:rPr>
                <w:noProof/>
              </w:rPr>
            </w:pPr>
            <w:r>
              <w:rPr>
                <w:noProof/>
              </w:rPr>
              <w:t>Tous</w:t>
            </w:r>
          </w:p>
        </w:tc>
        <w:tc>
          <w:tcPr>
            <w:tcW w:w="1418" w:type="dxa"/>
            <w:vMerge w:val="restart"/>
          </w:tcPr>
          <w:p w:rsidR="00551955" w:rsidRDefault="00E33ED2">
            <w:pPr>
              <w:rPr>
                <w:b/>
                <w:noProof/>
              </w:rPr>
            </w:pPr>
            <w:r>
              <w:rPr>
                <w:b/>
                <w:noProof/>
              </w:rPr>
              <w:t>5-RD</w:t>
            </w:r>
          </w:p>
        </w:tc>
      </w:tr>
      <w:tr w:rsidR="00551955">
        <w:tc>
          <w:tcPr>
            <w:tcW w:w="2377" w:type="dxa"/>
            <w:vMerge/>
          </w:tcPr>
          <w:p w:rsidR="00551955" w:rsidRDefault="00551955">
            <w:pPr>
              <w:rPr>
                <w:noProof/>
              </w:rPr>
            </w:pPr>
          </w:p>
        </w:tc>
        <w:tc>
          <w:tcPr>
            <w:tcW w:w="1559" w:type="dxa"/>
          </w:tcPr>
          <w:p w:rsidR="00551955" w:rsidRDefault="00E33ED2">
            <w:pPr>
              <w:rPr>
                <w:noProof/>
              </w:rPr>
            </w:pPr>
            <w:r>
              <w:rPr>
                <w:noProof/>
              </w:rPr>
              <w:t xml:space="preserve">Cabine </w:t>
            </w:r>
            <w:r>
              <w:rPr>
                <w:noProof/>
              </w:rPr>
              <w:t>avec couchette</w:t>
            </w:r>
          </w:p>
        </w:tc>
        <w:tc>
          <w:tcPr>
            <w:tcW w:w="1559" w:type="dxa"/>
          </w:tcPr>
          <w:p w:rsidR="00551955" w:rsidRDefault="00E33ED2">
            <w:pPr>
              <w:rPr>
                <w:noProof/>
              </w:rPr>
            </w:pPr>
            <w:r>
              <w:rPr>
                <w:noProof/>
              </w:rPr>
              <w:t>&lt; 265 kW</w:t>
            </w:r>
          </w:p>
        </w:tc>
        <w:tc>
          <w:tcPr>
            <w:tcW w:w="1418" w:type="dxa"/>
            <w:vMerge/>
          </w:tcPr>
          <w:p w:rsidR="00551955" w:rsidRDefault="00551955">
            <w:pPr>
              <w:rPr>
                <w:b/>
                <w:noProof/>
              </w:rPr>
            </w:pPr>
          </w:p>
        </w:tc>
      </w:tr>
      <w:tr w:rsidR="00551955">
        <w:tc>
          <w:tcPr>
            <w:tcW w:w="2377" w:type="dxa"/>
            <w:vMerge/>
          </w:tcPr>
          <w:p w:rsidR="00551955" w:rsidRDefault="00551955">
            <w:pPr>
              <w:rPr>
                <w:noProof/>
              </w:rPr>
            </w:pPr>
          </w:p>
        </w:tc>
        <w:tc>
          <w:tcPr>
            <w:tcW w:w="1559" w:type="dxa"/>
          </w:tcPr>
          <w:p w:rsidR="00551955" w:rsidRDefault="00E33ED2">
            <w:pPr>
              <w:rPr>
                <w:noProof/>
              </w:rPr>
            </w:pPr>
            <w:r>
              <w:rPr>
                <w:noProof/>
              </w:rPr>
              <w:t>Cabine avec couchette</w:t>
            </w:r>
          </w:p>
        </w:tc>
        <w:tc>
          <w:tcPr>
            <w:tcW w:w="1559" w:type="dxa"/>
          </w:tcPr>
          <w:p w:rsidR="00551955" w:rsidRDefault="00E33ED2">
            <w:pPr>
              <w:rPr>
                <w:noProof/>
              </w:rPr>
            </w:pPr>
            <w:r>
              <w:rPr>
                <w:noProof/>
              </w:rPr>
              <w:t>≥ 265 kW</w:t>
            </w:r>
          </w:p>
        </w:tc>
        <w:tc>
          <w:tcPr>
            <w:tcW w:w="1418" w:type="dxa"/>
          </w:tcPr>
          <w:p w:rsidR="00551955" w:rsidRDefault="00E33ED2">
            <w:pPr>
              <w:rPr>
                <w:b/>
                <w:noProof/>
              </w:rPr>
            </w:pPr>
            <w:r>
              <w:rPr>
                <w:b/>
                <w:noProof/>
              </w:rPr>
              <w:t>5-LH</w:t>
            </w:r>
          </w:p>
        </w:tc>
      </w:tr>
      <w:tr w:rsidR="00551955">
        <w:tc>
          <w:tcPr>
            <w:tcW w:w="2377" w:type="dxa"/>
            <w:vMerge w:val="restart"/>
          </w:tcPr>
          <w:p w:rsidR="00551955" w:rsidRDefault="00E33ED2">
            <w:pPr>
              <w:rPr>
                <w:noProof/>
              </w:rPr>
            </w:pPr>
            <w:r>
              <w:rPr>
                <w:noProof/>
              </w:rPr>
              <w:t>Tracteurs avec configuration d’essieux 6x2</w:t>
            </w:r>
          </w:p>
        </w:tc>
        <w:tc>
          <w:tcPr>
            <w:tcW w:w="1559" w:type="dxa"/>
          </w:tcPr>
          <w:p w:rsidR="00551955" w:rsidRDefault="00E33ED2">
            <w:pPr>
              <w:rPr>
                <w:noProof/>
              </w:rPr>
            </w:pPr>
            <w:r>
              <w:rPr>
                <w:noProof/>
              </w:rPr>
              <w:t>Cabine sans couchette</w:t>
            </w:r>
          </w:p>
        </w:tc>
        <w:tc>
          <w:tcPr>
            <w:tcW w:w="1559" w:type="dxa"/>
            <w:vMerge w:val="restart"/>
          </w:tcPr>
          <w:p w:rsidR="00551955" w:rsidRDefault="00E33ED2">
            <w:pPr>
              <w:rPr>
                <w:noProof/>
              </w:rPr>
            </w:pPr>
            <w:r>
              <w:rPr>
                <w:noProof/>
              </w:rPr>
              <w:t>Tous</w:t>
            </w:r>
          </w:p>
        </w:tc>
        <w:tc>
          <w:tcPr>
            <w:tcW w:w="1418" w:type="dxa"/>
          </w:tcPr>
          <w:p w:rsidR="00551955" w:rsidRDefault="00E33ED2">
            <w:pPr>
              <w:rPr>
                <w:b/>
                <w:noProof/>
              </w:rPr>
            </w:pPr>
            <w:r>
              <w:rPr>
                <w:b/>
                <w:noProof/>
              </w:rPr>
              <w:t>10-RD</w:t>
            </w:r>
          </w:p>
        </w:tc>
      </w:tr>
      <w:tr w:rsidR="00551955">
        <w:tc>
          <w:tcPr>
            <w:tcW w:w="2377" w:type="dxa"/>
            <w:vMerge/>
          </w:tcPr>
          <w:p w:rsidR="00551955" w:rsidRDefault="00551955">
            <w:pPr>
              <w:rPr>
                <w:noProof/>
              </w:rPr>
            </w:pPr>
          </w:p>
        </w:tc>
        <w:tc>
          <w:tcPr>
            <w:tcW w:w="1559" w:type="dxa"/>
          </w:tcPr>
          <w:p w:rsidR="00551955" w:rsidRDefault="00E33ED2">
            <w:pPr>
              <w:rPr>
                <w:noProof/>
              </w:rPr>
            </w:pPr>
            <w:r>
              <w:rPr>
                <w:noProof/>
              </w:rPr>
              <w:t>Cabine avec couchette</w:t>
            </w:r>
          </w:p>
        </w:tc>
        <w:tc>
          <w:tcPr>
            <w:tcW w:w="1559" w:type="dxa"/>
            <w:vMerge/>
          </w:tcPr>
          <w:p w:rsidR="00551955" w:rsidRDefault="00551955">
            <w:pPr>
              <w:rPr>
                <w:noProof/>
              </w:rPr>
            </w:pPr>
          </w:p>
        </w:tc>
        <w:tc>
          <w:tcPr>
            <w:tcW w:w="1418" w:type="dxa"/>
          </w:tcPr>
          <w:p w:rsidR="00551955" w:rsidRDefault="00E33ED2">
            <w:pPr>
              <w:rPr>
                <w:b/>
                <w:noProof/>
              </w:rPr>
            </w:pPr>
            <w:r>
              <w:rPr>
                <w:b/>
                <w:noProof/>
              </w:rPr>
              <w:t>10-LH</w:t>
            </w:r>
          </w:p>
        </w:tc>
      </w:tr>
    </w:tbl>
    <w:p w:rsidR="00551955" w:rsidRDefault="00551955">
      <w:pPr>
        <w:spacing w:before="0" w:after="0"/>
        <w:ind w:left="720"/>
        <w:jc w:val="left"/>
        <w:rPr>
          <w:rFonts w:ascii="Calibri" w:eastAsia="Times New Roman" w:hAnsi="Calibri"/>
          <w:noProof/>
          <w:sz w:val="22"/>
          <w:shd w:val="clear" w:color="auto" w:fill="FFFF00"/>
        </w:rPr>
      </w:pPr>
    </w:p>
    <w:p w:rsidR="00551955" w:rsidRDefault="00E33ED2">
      <w:pPr>
        <w:ind w:left="850"/>
        <w:rPr>
          <w:noProof/>
          <w:sz w:val="22"/>
        </w:rPr>
      </w:pPr>
      <w:r>
        <w:rPr>
          <w:noProof/>
          <w:sz w:val="22"/>
        </w:rPr>
        <w:t xml:space="preserve">Par «cabine avec couchette», on entend un type de cabine qui possède, derrière le siège du conducteur, un compartiment destiné à être utilisé pour dormir, tel que communiqué </w:t>
      </w:r>
      <w:r>
        <w:rPr>
          <w:noProof/>
          <w:sz w:val="22"/>
        </w:rPr>
        <w:lastRenderedPageBreak/>
        <w:t>conformément au règlement (UE) nº .../2018 [surveillance et communication relative</w:t>
      </w:r>
      <w:r>
        <w:rPr>
          <w:noProof/>
          <w:sz w:val="22"/>
        </w:rPr>
        <w:t xml:space="preserve">s aux véhicules lourds]. </w:t>
      </w:r>
    </w:p>
    <w:p w:rsidR="00551955" w:rsidRDefault="00E33ED2">
      <w:pPr>
        <w:ind w:left="850"/>
        <w:rPr>
          <w:noProof/>
          <w:sz w:val="22"/>
        </w:rPr>
      </w:pPr>
      <w:r>
        <w:rPr>
          <w:noProof/>
          <w:sz w:val="22"/>
        </w:rPr>
        <w:t>Par «cabine sans couchette», on entend un type de cabine qui n’est pas une cabine avec couchette.</w:t>
      </w:r>
    </w:p>
    <w:p w:rsidR="00551955" w:rsidRDefault="00E33ED2">
      <w:pPr>
        <w:ind w:left="850"/>
        <w:rPr>
          <w:noProof/>
          <w:sz w:val="22"/>
        </w:rPr>
      </w:pPr>
      <w:r>
        <w:rPr>
          <w:noProof/>
          <w:sz w:val="22"/>
        </w:rPr>
        <w:t>Si un nouveau véhicule lourd ne peut pas être attribué à un sous-groupe de véhicules parce que les informations sur le type de cabin</w:t>
      </w:r>
      <w:r>
        <w:rPr>
          <w:noProof/>
          <w:sz w:val="22"/>
        </w:rPr>
        <w:t>e ou la puissance du moteur ne sont pas disponibles, il est attribué au sous-groupe LH (longue distance) correspondant à son type de châssis (porteur ou tracteur) et à sa configuration d’essieux (4x2 ou 6x2).</w:t>
      </w:r>
    </w:p>
    <w:p w:rsidR="00551955" w:rsidRDefault="00E33ED2">
      <w:pPr>
        <w:ind w:left="851"/>
        <w:rPr>
          <w:noProof/>
          <w:sz w:val="22"/>
        </w:rPr>
      </w:pPr>
      <w:r>
        <w:rPr>
          <w:noProof/>
          <w:sz w:val="22"/>
        </w:rPr>
        <w:t>Lorsqu’un nouveau véhicule lourd est attribué a</w:t>
      </w:r>
      <w:r>
        <w:rPr>
          <w:noProof/>
          <w:sz w:val="22"/>
        </w:rPr>
        <w:t>u sous-groupe 4-UD mais que les données sur ses émissions de CO</w:t>
      </w:r>
      <w:r>
        <w:rPr>
          <w:noProof/>
          <w:sz w:val="22"/>
          <w:vertAlign w:val="subscript"/>
        </w:rPr>
        <w:t>2</w:t>
      </w:r>
      <w:r>
        <w:rPr>
          <w:noProof/>
          <w:sz w:val="22"/>
        </w:rPr>
        <w:t xml:space="preserve"> en g/km ne sont pas disponibles pour les profils de missions UDL ou UDR tels que définis dans le tableau 2 du point 2.1, ce nouveau véhicule lourd est attribué au sous-groupe 4-RD.</w:t>
      </w:r>
    </w:p>
    <w:p w:rsidR="00551955" w:rsidRDefault="00E33ED2">
      <w:pPr>
        <w:pStyle w:val="Heading1"/>
        <w:numPr>
          <w:ilvl w:val="0"/>
          <w:numId w:val="10"/>
        </w:numPr>
        <w:rPr>
          <w:noProof/>
        </w:rPr>
      </w:pPr>
      <w:r>
        <w:rPr>
          <w:noProof/>
        </w:rPr>
        <w:t>Calcul des</w:t>
      </w:r>
      <w:r>
        <w:rPr>
          <w:noProof/>
        </w:rPr>
        <w:t xml:space="preserve"> émissions spécifiques moyennes d’un constructeur</w:t>
      </w:r>
    </w:p>
    <w:p w:rsidR="00551955" w:rsidRDefault="00E33ED2">
      <w:pPr>
        <w:pStyle w:val="Heading2"/>
        <w:numPr>
          <w:ilvl w:val="1"/>
          <w:numId w:val="10"/>
        </w:numPr>
        <w:rPr>
          <w:noProof/>
        </w:rPr>
      </w:pPr>
      <w:r>
        <w:rPr>
          <w:noProof/>
        </w:rPr>
        <w:t>Calcul des émissions de CO</w:t>
      </w:r>
      <w:r>
        <w:rPr>
          <w:noProof/>
          <w:vertAlign w:val="subscript"/>
        </w:rPr>
        <w:t>2</w:t>
      </w:r>
      <w:r>
        <w:rPr>
          <w:noProof/>
        </w:rPr>
        <w:t xml:space="preserve"> spécifiques d’un nouveau véhicule lourd</w:t>
      </w:r>
    </w:p>
    <w:p w:rsidR="00551955" w:rsidRDefault="00E33ED2">
      <w:pPr>
        <w:ind w:left="850"/>
        <w:rPr>
          <w:noProof/>
        </w:rPr>
      </w:pPr>
      <w:r>
        <w:rPr>
          <w:noProof/>
        </w:rPr>
        <w:t>Les émissions spécifiques en g/km (</w:t>
      </w:r>
      <w:r>
        <w:rPr>
          <w:rFonts w:eastAsiaTheme="minorEastAsia"/>
          <w:i/>
          <w:noProof/>
        </w:rPr>
        <w:t>CO2</w:t>
      </w:r>
      <w:r>
        <w:rPr>
          <w:rFonts w:eastAsiaTheme="minorEastAsia"/>
          <w:i/>
          <w:noProof/>
          <w:vertAlign w:val="subscript"/>
        </w:rPr>
        <w:t>v</w:t>
      </w:r>
      <w:r>
        <w:rPr>
          <w:noProof/>
        </w:rPr>
        <w:t xml:space="preserve">) d’un nouveau véhicule lourd </w:t>
      </w:r>
      <w:r>
        <w:rPr>
          <w:i/>
          <w:noProof/>
        </w:rPr>
        <w:t>v</w:t>
      </w:r>
      <w:r>
        <w:rPr>
          <w:noProof/>
        </w:rPr>
        <w:t xml:space="preserve">, attribué à un sous-groupe </w:t>
      </w:r>
      <w:r>
        <w:rPr>
          <w:i/>
          <w:noProof/>
        </w:rPr>
        <w:t>sg</w:t>
      </w:r>
      <w:r>
        <w:rPr>
          <w:noProof/>
        </w:rPr>
        <w:t xml:space="preserve">, sont calculées au moyen de la </w:t>
      </w:r>
      <w:r>
        <w:rPr>
          <w:noProof/>
        </w:rPr>
        <w:t>formule suivante:</w:t>
      </w:r>
    </w:p>
    <w:p w:rsidR="00551955" w:rsidRDefault="00551955">
      <w:pPr>
        <w:ind w:left="850"/>
        <w:rPr>
          <w:noProof/>
        </w:rPr>
      </w:pPr>
    </w:p>
    <w:p w:rsidR="00551955" w:rsidRDefault="00E33ED2">
      <w:pPr>
        <w:pStyle w:val="Text4"/>
        <w:rPr>
          <w:noProof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/>
                  <w:noProof/>
                </w:rPr>
              </m:ctrlPr>
            </m:sSubPr>
            <m:e>
              <m:r>
                <w:rPr>
                  <w:rFonts w:ascii="Cambria Math" w:hAnsi="Cambria Math"/>
                  <w:noProof/>
                </w:rPr>
                <m:t>CO</m:t>
              </m:r>
              <m:r>
                <m:rPr>
                  <m:sty m:val="p"/>
                </m:rPr>
                <w:rPr>
                  <w:rFonts w:ascii="Cambria Math" w:hAnsi="Cambria Math"/>
                  <w:noProof/>
                </w:rPr>
                <m:t>2</m:t>
              </m:r>
            </m:e>
            <m:sub>
              <m:r>
                <w:rPr>
                  <w:rFonts w:ascii="Cambria Math" w:hAnsi="Cambria Math"/>
                  <w:noProof/>
                </w:rPr>
                <m:t>v</m:t>
              </m:r>
            </m:sub>
          </m:sSub>
          <m:r>
            <m:rPr>
              <m:sty m:val="p"/>
            </m:rPr>
            <w:rPr>
              <w:rFonts w:ascii="Cambria Math" w:hAnsi="Cambria Math"/>
              <w:noProof/>
            </w:rPr>
            <m:t>=</m:t>
          </m:r>
          <m:nary>
            <m:naryPr>
              <m:chr m:val="∑"/>
              <m:limLoc m:val="undOvr"/>
              <m:supHide m:val="1"/>
              <m:ctrlPr>
                <w:rPr>
                  <w:rFonts w:ascii="Cambria Math" w:hAnsi="Cambria Math"/>
                  <w:noProof/>
                </w:rPr>
              </m:ctrlPr>
            </m:naryPr>
            <m:sub>
              <m:r>
                <w:rPr>
                  <w:rFonts w:ascii="Cambria Math" w:hAnsi="Cambria Math"/>
                  <w:noProof/>
                </w:rPr>
                <m:t>mp</m:t>
              </m:r>
            </m:sub>
            <m:sup/>
            <m:e>
              <m:sSub>
                <m:sSubPr>
                  <m:ctrlPr>
                    <w:rPr>
                      <w:rFonts w:ascii="Cambria Math" w:hAnsi="Cambria Math"/>
                      <w:noProof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</w:rPr>
                    <m:t>W</m:t>
                  </m:r>
                </m:e>
                <m:sub>
                  <m:r>
                    <w:rPr>
                      <w:rFonts w:ascii="Cambria Math" w:hAnsi="Cambria Math"/>
                      <w:noProof/>
                    </w:rPr>
                    <m:t>sg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</w:rPr>
                    <m:t>,</m:t>
                  </m:r>
                  <m:r>
                    <w:rPr>
                      <w:rFonts w:ascii="Cambria Math" w:hAnsi="Cambria Math"/>
                      <w:noProof/>
                    </w:rPr>
                    <m:t>mp</m:t>
                  </m:r>
                </m:sub>
              </m:sSub>
            </m:e>
          </m:nary>
          <m:r>
            <m:rPr>
              <m:sty m:val="p"/>
            </m:rPr>
            <w:rPr>
              <w:rFonts w:ascii="Cambria Math" w:hAnsi="Cambria Math"/>
              <w:noProof/>
            </w:rPr>
            <m:t>×</m:t>
          </m:r>
          <m:sSub>
            <m:sSubPr>
              <m:ctrlPr>
                <w:rPr>
                  <w:rFonts w:ascii="Cambria Math" w:hAnsi="Cambria Math"/>
                  <w:noProof/>
                </w:rPr>
              </m:ctrlPr>
            </m:sSubPr>
            <m:e>
              <m:r>
                <w:rPr>
                  <w:rFonts w:ascii="Cambria Math" w:hAnsi="Cambria Math"/>
                  <w:noProof/>
                </w:rPr>
                <m:t>CO</m:t>
              </m:r>
              <m:r>
                <m:rPr>
                  <m:sty m:val="p"/>
                </m:rPr>
                <w:rPr>
                  <w:rFonts w:ascii="Cambria Math" w:hAnsi="Cambria Math"/>
                  <w:noProof/>
                </w:rPr>
                <m:t>2</m:t>
              </m:r>
            </m:e>
            <m:sub>
              <m:r>
                <w:rPr>
                  <w:rFonts w:ascii="Cambria Math" w:hAnsi="Cambria Math"/>
                  <w:noProof/>
                </w:rPr>
                <m:t>v</m:t>
              </m:r>
              <m:r>
                <m:rPr>
                  <m:sty m:val="p"/>
                </m:rPr>
                <w:rPr>
                  <w:rFonts w:ascii="Cambria Math" w:hAnsi="Cambria Math"/>
                  <w:noProof/>
                </w:rPr>
                <m:t>,</m:t>
              </m:r>
              <m:r>
                <w:rPr>
                  <w:rFonts w:ascii="Cambria Math" w:hAnsi="Cambria Math"/>
                  <w:noProof/>
                </w:rPr>
                <m:t>mp</m:t>
              </m:r>
            </m:sub>
          </m:sSub>
        </m:oMath>
      </m:oMathPara>
    </w:p>
    <w:p w:rsidR="00551955" w:rsidRDefault="00E33ED2">
      <w:pPr>
        <w:ind w:left="850"/>
        <w:rPr>
          <w:noProof/>
          <w:szCs w:val="24"/>
        </w:rPr>
      </w:pPr>
      <w:r>
        <w:rPr>
          <w:noProof/>
        </w:rPr>
        <w:t>où</w:t>
      </w:r>
    </w:p>
    <w:p w:rsidR="00551955" w:rsidRDefault="00E33ED2">
      <w:pPr>
        <w:ind w:left="2160" w:hanging="1310"/>
        <w:rPr>
          <w:noProof/>
          <w:szCs w:val="24"/>
        </w:rPr>
      </w:pPr>
      <m:oMath>
        <m:nary>
          <m:naryPr>
            <m:chr m:val="∑"/>
            <m:limLoc m:val="undOvr"/>
            <m:subHide m:val="1"/>
            <m:supHide m:val="1"/>
            <m:ctrlPr>
              <w:rPr>
                <w:rFonts w:ascii="Cambria Math" w:hAnsi="Cambria Math"/>
                <w:noProof/>
              </w:rPr>
            </m:ctrlPr>
          </m:naryPr>
          <m:sub/>
          <m:sup/>
          <m:e>
            <m:r>
              <w:rPr>
                <w:rFonts w:ascii="Cambria Math" w:hAnsi="Cambria Math"/>
                <w:noProof/>
              </w:rPr>
              <m:t>mp</m:t>
            </m:r>
          </m:e>
        </m:nary>
      </m:oMath>
      <w:r>
        <w:rPr>
          <w:noProof/>
        </w:rPr>
        <w:tab/>
        <w:t xml:space="preserve">est la sommation sur l’ensemble des profils de missions </w:t>
      </w:r>
      <w:r>
        <w:rPr>
          <w:i/>
          <w:noProof/>
        </w:rPr>
        <w:t>mp</w:t>
      </w:r>
      <w:r>
        <w:rPr>
          <w:noProof/>
        </w:rPr>
        <w:t xml:space="preserve"> énumérés dans le tableau 2;</w:t>
      </w:r>
    </w:p>
    <w:p w:rsidR="00551955" w:rsidRDefault="00E33ED2">
      <w:pPr>
        <w:ind w:left="2155" w:hanging="1305"/>
        <w:rPr>
          <w:noProof/>
          <w:szCs w:val="24"/>
        </w:rPr>
      </w:pPr>
      <w:r>
        <w:rPr>
          <w:i/>
          <w:noProof/>
        </w:rPr>
        <w:t>sg</w:t>
      </w:r>
      <w:r>
        <w:rPr>
          <w:noProof/>
        </w:rPr>
        <w:tab/>
        <w:t xml:space="preserve">est le sous-groupe auquel le nouveau véhicule lourd </w:t>
      </w:r>
      <w:r>
        <w:rPr>
          <w:i/>
          <w:noProof/>
        </w:rPr>
        <w:t>v</w:t>
      </w:r>
      <w:r>
        <w:rPr>
          <w:noProof/>
        </w:rPr>
        <w:t xml:space="preserve"> a été attribué conformément à la section 1 de la</w:t>
      </w:r>
      <w:r>
        <w:rPr>
          <w:noProof/>
        </w:rPr>
        <w:t xml:space="preserve"> présente annexe;</w:t>
      </w:r>
    </w:p>
    <w:p w:rsidR="00551955" w:rsidRDefault="00E33ED2">
      <w:pPr>
        <w:ind w:left="2155" w:hanging="1305"/>
        <w:rPr>
          <w:noProof/>
          <w:szCs w:val="24"/>
        </w:rPr>
      </w:pPr>
      <w:r>
        <w:rPr>
          <w:noProof/>
        </w:rPr>
        <w:t>W</w:t>
      </w:r>
      <w:r>
        <w:rPr>
          <w:noProof/>
          <w:vertAlign w:val="subscript"/>
        </w:rPr>
        <w:t>sg,mp,</w:t>
      </w:r>
      <w:r>
        <w:rPr>
          <w:noProof/>
        </w:rPr>
        <w:t xml:space="preserve"> </w:t>
      </w:r>
      <w:r>
        <w:rPr>
          <w:noProof/>
        </w:rPr>
        <w:tab/>
        <w:t>est la pondération des profils de missions spécifiée dans le tableau 2;</w:t>
      </w:r>
    </w:p>
    <w:p w:rsidR="00551955" w:rsidRDefault="00E33ED2">
      <w:pPr>
        <w:ind w:left="2155" w:hanging="1305"/>
        <w:rPr>
          <w:noProof/>
          <w:szCs w:val="24"/>
        </w:rPr>
      </w:pPr>
      <w:r>
        <w:rPr>
          <w:noProof/>
        </w:rPr>
        <w:t>CO2</w:t>
      </w:r>
      <w:r>
        <w:rPr>
          <w:noProof/>
          <w:vertAlign w:val="subscript"/>
        </w:rPr>
        <w:t>v,mp</w:t>
      </w:r>
      <w:r>
        <w:rPr>
          <w:noProof/>
        </w:rPr>
        <w:tab/>
        <w:t>correspond aux émissions de CO</w:t>
      </w:r>
      <w:r>
        <w:rPr>
          <w:noProof/>
          <w:vertAlign w:val="subscript"/>
        </w:rPr>
        <w:t>2</w:t>
      </w:r>
      <w:r>
        <w:rPr>
          <w:noProof/>
        </w:rPr>
        <w:t xml:space="preserve"> en g/km d’un nouveau véhicule lourd </w:t>
      </w:r>
      <w:r>
        <w:rPr>
          <w:i/>
          <w:noProof/>
        </w:rPr>
        <w:t>v</w:t>
      </w:r>
      <w:r>
        <w:rPr>
          <w:noProof/>
        </w:rPr>
        <w:t xml:space="preserve"> déterminées pour un profil de missions </w:t>
      </w:r>
      <w:r>
        <w:rPr>
          <w:i/>
          <w:noProof/>
        </w:rPr>
        <w:t>mp</w:t>
      </w:r>
      <w:r>
        <w:rPr>
          <w:noProof/>
        </w:rPr>
        <w:t xml:space="preserve"> et communiquées conformément au règle</w:t>
      </w:r>
      <w:r>
        <w:rPr>
          <w:noProof/>
        </w:rPr>
        <w:t xml:space="preserve">ment (UE) nº …/2018 [surveillance et communication relatives aux véhicules lourds. </w:t>
      </w:r>
    </w:p>
    <w:p w:rsidR="00551955" w:rsidRDefault="00E33ED2">
      <w:pPr>
        <w:ind w:left="851"/>
        <w:rPr>
          <w:noProof/>
        </w:rPr>
      </w:pPr>
      <w:r>
        <w:rPr>
          <w:noProof/>
        </w:rPr>
        <w:t>Les émissions de CO</w:t>
      </w:r>
      <w:r>
        <w:rPr>
          <w:noProof/>
          <w:vertAlign w:val="subscript"/>
        </w:rPr>
        <w:t>2</w:t>
      </w:r>
      <w:r>
        <w:rPr>
          <w:noProof/>
        </w:rPr>
        <w:t xml:space="preserve"> spécifiques d’un véhicule lourd à émission nulle sont fixées à 0 g CO</w:t>
      </w:r>
      <w:r>
        <w:rPr>
          <w:noProof/>
          <w:vertAlign w:val="subscript"/>
        </w:rPr>
        <w:t>2</w:t>
      </w:r>
      <w:r>
        <w:rPr>
          <w:noProof/>
        </w:rPr>
        <w:t>/km.</w:t>
      </w:r>
    </w:p>
    <w:p w:rsidR="00551955" w:rsidRDefault="00E33ED2">
      <w:pPr>
        <w:ind w:left="851"/>
        <w:rPr>
          <w:noProof/>
        </w:rPr>
      </w:pPr>
      <w:r>
        <w:rPr>
          <w:noProof/>
        </w:rPr>
        <w:t>Les émissions de CO</w:t>
      </w:r>
      <w:r>
        <w:rPr>
          <w:noProof/>
          <w:vertAlign w:val="subscript"/>
        </w:rPr>
        <w:t>2</w:t>
      </w:r>
      <w:r>
        <w:rPr>
          <w:noProof/>
        </w:rPr>
        <w:t xml:space="preserve"> spécifiques d’un véhicule professionnel sont la moyenne</w:t>
      </w:r>
      <w:r>
        <w:rPr>
          <w:noProof/>
        </w:rPr>
        <w:t xml:space="preserve"> des émissions de CO</w:t>
      </w:r>
      <w:r>
        <w:rPr>
          <w:noProof/>
          <w:vertAlign w:val="subscript"/>
        </w:rPr>
        <w:t>2</w:t>
      </w:r>
      <w:r>
        <w:rPr>
          <w:noProof/>
        </w:rPr>
        <w:t xml:space="preserve"> in g/km communiquées conformément au règlement (UE) nº …/2018 [surveillance et communication relatives aux véhicules lourds].</w:t>
      </w:r>
    </w:p>
    <w:p w:rsidR="00551955" w:rsidRDefault="00E33ED2">
      <w:pPr>
        <w:ind w:left="850"/>
        <w:rPr>
          <w:b/>
          <w:noProof/>
        </w:rPr>
      </w:pPr>
      <w:r>
        <w:rPr>
          <w:b/>
          <w:noProof/>
        </w:rPr>
        <w:t xml:space="preserve">Tableau 2 - Pondérations des profils de missions </w:t>
      </w:r>
      <w:r>
        <w:rPr>
          <w:noProof/>
        </w:rPr>
        <w:t xml:space="preserve"> (</w:t>
      </w:r>
      <w:r>
        <w:rPr>
          <w:b/>
          <w:noProof/>
        </w:rPr>
        <w:t>W</w:t>
      </w:r>
      <w:r>
        <w:rPr>
          <w:b/>
          <w:noProof/>
          <w:vertAlign w:val="subscript"/>
        </w:rPr>
        <w:t>sg,mp</w:t>
      </w:r>
      <w:r>
        <w:rPr>
          <w:b/>
          <w:noProof/>
        </w:rPr>
        <w:t>)</w:t>
      </w:r>
    </w:p>
    <w:tbl>
      <w:tblPr>
        <w:tblStyle w:val="TableGrid"/>
        <w:tblW w:w="0" w:type="auto"/>
        <w:tblInd w:w="850" w:type="dxa"/>
        <w:tblLook w:val="04A0" w:firstRow="1" w:lastRow="0" w:firstColumn="1" w:lastColumn="0" w:noHBand="0" w:noVBand="1"/>
      </w:tblPr>
      <w:tblGrid>
        <w:gridCol w:w="1150"/>
        <w:gridCol w:w="834"/>
        <w:gridCol w:w="850"/>
        <w:gridCol w:w="851"/>
        <w:gridCol w:w="992"/>
        <w:gridCol w:w="723"/>
        <w:gridCol w:w="978"/>
        <w:gridCol w:w="1701"/>
      </w:tblGrid>
      <w:tr w:rsidR="00551955">
        <w:tc>
          <w:tcPr>
            <w:tcW w:w="976" w:type="dxa"/>
            <w:vMerge w:val="restart"/>
          </w:tcPr>
          <w:p w:rsidR="00551955" w:rsidRDefault="00E33ED2">
            <w:pPr>
              <w:rPr>
                <w:b/>
                <w:noProof/>
              </w:rPr>
            </w:pPr>
            <w:r>
              <w:rPr>
                <w:b/>
                <w:noProof/>
              </w:rPr>
              <w:t>Sous-groupe de véhicules</w:t>
            </w:r>
          </w:p>
          <w:p w:rsidR="00551955" w:rsidRDefault="00E33ED2">
            <w:pPr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(sg)</w:t>
            </w:r>
          </w:p>
        </w:tc>
        <w:tc>
          <w:tcPr>
            <w:tcW w:w="6929" w:type="dxa"/>
            <w:gridSpan w:val="7"/>
          </w:tcPr>
          <w:p w:rsidR="00551955" w:rsidRDefault="00E33ED2">
            <w:pPr>
              <w:jc w:val="center"/>
              <w:rPr>
                <w:b/>
                <w:noProof/>
                <w:vertAlign w:val="superscript"/>
              </w:rPr>
            </w:pPr>
            <w:r>
              <w:rPr>
                <w:b/>
                <w:noProof/>
              </w:rPr>
              <w:t xml:space="preserve">Profil de missions </w:t>
            </w:r>
            <w:r>
              <w:rPr>
                <w:b/>
                <w:i/>
                <w:noProof/>
                <w:vertAlign w:val="superscript"/>
              </w:rPr>
              <w:t>1</w:t>
            </w:r>
            <w:r>
              <w:rPr>
                <w:b/>
                <w:noProof/>
              </w:rPr>
              <w:t xml:space="preserve"> (</w:t>
            </w:r>
            <w:r>
              <w:rPr>
                <w:b/>
                <w:i/>
                <w:noProof/>
              </w:rPr>
              <w:t>mp)</w:t>
            </w:r>
            <w:r>
              <w:rPr>
                <w:b/>
                <w:noProof/>
                <w:vertAlign w:val="superscript"/>
              </w:rPr>
              <w:t xml:space="preserve"> </w:t>
            </w:r>
          </w:p>
          <w:p w:rsidR="00551955" w:rsidRDefault="00551955">
            <w:pPr>
              <w:jc w:val="center"/>
              <w:rPr>
                <w:b/>
                <w:noProof/>
                <w:highlight w:val="yellow"/>
              </w:rPr>
            </w:pPr>
          </w:p>
        </w:tc>
      </w:tr>
      <w:tr w:rsidR="00551955">
        <w:tc>
          <w:tcPr>
            <w:tcW w:w="976" w:type="dxa"/>
            <w:vMerge/>
          </w:tcPr>
          <w:p w:rsidR="00551955" w:rsidRDefault="00551955">
            <w:pPr>
              <w:rPr>
                <w:b/>
                <w:noProof/>
              </w:rPr>
            </w:pPr>
          </w:p>
        </w:tc>
        <w:tc>
          <w:tcPr>
            <w:tcW w:w="834" w:type="dxa"/>
          </w:tcPr>
          <w:p w:rsidR="00551955" w:rsidRDefault="00E33ED2">
            <w:pPr>
              <w:rPr>
                <w:b/>
                <w:noProof/>
                <w:vertAlign w:val="superscript"/>
              </w:rPr>
            </w:pPr>
            <w:r>
              <w:rPr>
                <w:b/>
                <w:noProof/>
              </w:rPr>
              <w:t>RDL</w:t>
            </w:r>
          </w:p>
        </w:tc>
        <w:tc>
          <w:tcPr>
            <w:tcW w:w="850" w:type="dxa"/>
          </w:tcPr>
          <w:p w:rsidR="00551955" w:rsidRDefault="00E33ED2">
            <w:pPr>
              <w:rPr>
                <w:b/>
                <w:noProof/>
                <w:vertAlign w:val="superscript"/>
              </w:rPr>
            </w:pPr>
            <w:r>
              <w:rPr>
                <w:b/>
                <w:noProof/>
              </w:rPr>
              <w:t>RDR</w:t>
            </w:r>
          </w:p>
        </w:tc>
        <w:tc>
          <w:tcPr>
            <w:tcW w:w="851" w:type="dxa"/>
          </w:tcPr>
          <w:p w:rsidR="00551955" w:rsidRDefault="00E33ED2">
            <w:pPr>
              <w:rPr>
                <w:b/>
                <w:noProof/>
                <w:vertAlign w:val="superscript"/>
              </w:rPr>
            </w:pPr>
            <w:r>
              <w:rPr>
                <w:b/>
                <w:noProof/>
              </w:rPr>
              <w:t>LHL</w:t>
            </w:r>
          </w:p>
        </w:tc>
        <w:tc>
          <w:tcPr>
            <w:tcW w:w="992" w:type="dxa"/>
          </w:tcPr>
          <w:p w:rsidR="00551955" w:rsidRDefault="00E33ED2">
            <w:pPr>
              <w:rPr>
                <w:b/>
                <w:noProof/>
                <w:vertAlign w:val="superscript"/>
              </w:rPr>
            </w:pPr>
            <w:r>
              <w:rPr>
                <w:b/>
                <w:noProof/>
              </w:rPr>
              <w:t>LHR</w:t>
            </w:r>
          </w:p>
        </w:tc>
        <w:tc>
          <w:tcPr>
            <w:tcW w:w="723" w:type="dxa"/>
          </w:tcPr>
          <w:p w:rsidR="00551955" w:rsidRDefault="00E33ED2">
            <w:pPr>
              <w:rPr>
                <w:b/>
                <w:noProof/>
                <w:vertAlign w:val="superscript"/>
              </w:rPr>
            </w:pPr>
            <w:r>
              <w:rPr>
                <w:b/>
                <w:noProof/>
              </w:rPr>
              <w:t>UDL</w:t>
            </w:r>
          </w:p>
        </w:tc>
        <w:tc>
          <w:tcPr>
            <w:tcW w:w="978" w:type="dxa"/>
          </w:tcPr>
          <w:p w:rsidR="00551955" w:rsidRDefault="00E33ED2">
            <w:pPr>
              <w:rPr>
                <w:b/>
                <w:noProof/>
                <w:vertAlign w:val="superscript"/>
              </w:rPr>
            </w:pPr>
            <w:r>
              <w:rPr>
                <w:b/>
                <w:noProof/>
              </w:rPr>
              <w:t>UDR</w:t>
            </w:r>
          </w:p>
        </w:tc>
        <w:tc>
          <w:tcPr>
            <w:tcW w:w="1701" w:type="dxa"/>
          </w:tcPr>
          <w:p w:rsidR="00551955" w:rsidRDefault="00E33ED2">
            <w:pPr>
              <w:jc w:val="left"/>
              <w:rPr>
                <w:b/>
                <w:noProof/>
                <w:vertAlign w:val="superscript"/>
              </w:rPr>
            </w:pPr>
            <w:r>
              <w:rPr>
                <w:b/>
                <w:noProof/>
              </w:rPr>
              <w:t>REL, RER,  LEL, LER</w:t>
            </w:r>
          </w:p>
        </w:tc>
      </w:tr>
      <w:tr w:rsidR="00551955">
        <w:tc>
          <w:tcPr>
            <w:tcW w:w="976" w:type="dxa"/>
          </w:tcPr>
          <w:p w:rsidR="00551955" w:rsidRDefault="00E33ED2">
            <w:pPr>
              <w:rPr>
                <w:b/>
                <w:noProof/>
              </w:rPr>
            </w:pPr>
            <w:r>
              <w:rPr>
                <w:b/>
                <w:noProof/>
              </w:rPr>
              <w:t>4-UD</w:t>
            </w:r>
          </w:p>
        </w:tc>
        <w:tc>
          <w:tcPr>
            <w:tcW w:w="834" w:type="dxa"/>
          </w:tcPr>
          <w:p w:rsidR="00551955" w:rsidRDefault="00E33ED2">
            <w:pPr>
              <w:jc w:val="center"/>
              <w:rPr>
                <w:noProof/>
              </w:rPr>
            </w:pPr>
            <w:r>
              <w:rPr>
                <w:noProof/>
              </w:rPr>
              <w:t>0</w:t>
            </w:r>
          </w:p>
        </w:tc>
        <w:tc>
          <w:tcPr>
            <w:tcW w:w="850" w:type="dxa"/>
          </w:tcPr>
          <w:p w:rsidR="00551955" w:rsidRDefault="00E33ED2">
            <w:pPr>
              <w:jc w:val="center"/>
              <w:rPr>
                <w:noProof/>
              </w:rPr>
            </w:pPr>
            <w:r>
              <w:rPr>
                <w:noProof/>
              </w:rPr>
              <w:t>0</w:t>
            </w:r>
          </w:p>
        </w:tc>
        <w:tc>
          <w:tcPr>
            <w:tcW w:w="851" w:type="dxa"/>
          </w:tcPr>
          <w:p w:rsidR="00551955" w:rsidRDefault="00E33ED2">
            <w:pPr>
              <w:jc w:val="center"/>
              <w:rPr>
                <w:noProof/>
              </w:rPr>
            </w:pPr>
            <w:r>
              <w:rPr>
                <w:noProof/>
              </w:rPr>
              <w:t>0</w:t>
            </w:r>
          </w:p>
        </w:tc>
        <w:tc>
          <w:tcPr>
            <w:tcW w:w="992" w:type="dxa"/>
          </w:tcPr>
          <w:p w:rsidR="00551955" w:rsidRDefault="00E33ED2">
            <w:pPr>
              <w:jc w:val="center"/>
              <w:rPr>
                <w:noProof/>
              </w:rPr>
            </w:pPr>
            <w:r>
              <w:rPr>
                <w:noProof/>
              </w:rPr>
              <w:t>0</w:t>
            </w:r>
          </w:p>
        </w:tc>
        <w:tc>
          <w:tcPr>
            <w:tcW w:w="723" w:type="dxa"/>
          </w:tcPr>
          <w:p w:rsidR="00551955" w:rsidRDefault="00E33ED2">
            <w:pPr>
              <w:jc w:val="center"/>
              <w:rPr>
                <w:noProof/>
              </w:rPr>
            </w:pPr>
            <w:r>
              <w:rPr>
                <w:noProof/>
              </w:rPr>
              <w:t>0,5</w:t>
            </w:r>
          </w:p>
        </w:tc>
        <w:tc>
          <w:tcPr>
            <w:tcW w:w="978" w:type="dxa"/>
          </w:tcPr>
          <w:p w:rsidR="00551955" w:rsidRDefault="00E33ED2">
            <w:pPr>
              <w:jc w:val="center"/>
              <w:rPr>
                <w:noProof/>
              </w:rPr>
            </w:pPr>
            <w:r>
              <w:rPr>
                <w:noProof/>
              </w:rPr>
              <w:t>0,5</w:t>
            </w:r>
          </w:p>
        </w:tc>
        <w:tc>
          <w:tcPr>
            <w:tcW w:w="1701" w:type="dxa"/>
          </w:tcPr>
          <w:p w:rsidR="00551955" w:rsidRDefault="00E33ED2">
            <w:pPr>
              <w:jc w:val="center"/>
              <w:rPr>
                <w:noProof/>
              </w:rPr>
            </w:pPr>
            <w:r>
              <w:rPr>
                <w:noProof/>
              </w:rPr>
              <w:t>0</w:t>
            </w:r>
          </w:p>
        </w:tc>
      </w:tr>
      <w:tr w:rsidR="00551955">
        <w:tc>
          <w:tcPr>
            <w:tcW w:w="976" w:type="dxa"/>
          </w:tcPr>
          <w:p w:rsidR="00551955" w:rsidRDefault="00E33ED2">
            <w:pPr>
              <w:rPr>
                <w:b/>
                <w:noProof/>
              </w:rPr>
            </w:pPr>
            <w:r>
              <w:rPr>
                <w:b/>
                <w:noProof/>
              </w:rPr>
              <w:t>4-RD</w:t>
            </w:r>
          </w:p>
        </w:tc>
        <w:tc>
          <w:tcPr>
            <w:tcW w:w="834" w:type="dxa"/>
          </w:tcPr>
          <w:p w:rsidR="00551955" w:rsidRDefault="00E33ED2">
            <w:pPr>
              <w:jc w:val="center"/>
              <w:rPr>
                <w:noProof/>
              </w:rPr>
            </w:pPr>
            <w:r>
              <w:rPr>
                <w:noProof/>
              </w:rPr>
              <w:t>0,45</w:t>
            </w:r>
          </w:p>
        </w:tc>
        <w:tc>
          <w:tcPr>
            <w:tcW w:w="850" w:type="dxa"/>
          </w:tcPr>
          <w:p w:rsidR="00551955" w:rsidRDefault="00E33ED2">
            <w:pPr>
              <w:jc w:val="center"/>
              <w:rPr>
                <w:noProof/>
              </w:rPr>
            </w:pPr>
            <w:r>
              <w:rPr>
                <w:noProof/>
              </w:rPr>
              <w:t>0,45</w:t>
            </w:r>
          </w:p>
        </w:tc>
        <w:tc>
          <w:tcPr>
            <w:tcW w:w="851" w:type="dxa"/>
          </w:tcPr>
          <w:p w:rsidR="00551955" w:rsidRDefault="00E33ED2">
            <w:pPr>
              <w:jc w:val="center"/>
              <w:rPr>
                <w:noProof/>
              </w:rPr>
            </w:pPr>
            <w:r>
              <w:rPr>
                <w:noProof/>
              </w:rPr>
              <w:t>0,05</w:t>
            </w:r>
          </w:p>
        </w:tc>
        <w:tc>
          <w:tcPr>
            <w:tcW w:w="992" w:type="dxa"/>
          </w:tcPr>
          <w:p w:rsidR="00551955" w:rsidRDefault="00E33ED2">
            <w:pPr>
              <w:jc w:val="center"/>
              <w:rPr>
                <w:noProof/>
              </w:rPr>
            </w:pPr>
            <w:r>
              <w:rPr>
                <w:noProof/>
              </w:rPr>
              <w:t>0,05</w:t>
            </w:r>
          </w:p>
        </w:tc>
        <w:tc>
          <w:tcPr>
            <w:tcW w:w="723" w:type="dxa"/>
          </w:tcPr>
          <w:p w:rsidR="00551955" w:rsidRDefault="00E33ED2">
            <w:pPr>
              <w:jc w:val="center"/>
              <w:rPr>
                <w:noProof/>
              </w:rPr>
            </w:pPr>
            <w:r>
              <w:rPr>
                <w:noProof/>
              </w:rPr>
              <w:t>0</w:t>
            </w:r>
          </w:p>
        </w:tc>
        <w:tc>
          <w:tcPr>
            <w:tcW w:w="978" w:type="dxa"/>
          </w:tcPr>
          <w:p w:rsidR="00551955" w:rsidRDefault="00E33ED2">
            <w:pPr>
              <w:jc w:val="center"/>
              <w:rPr>
                <w:noProof/>
              </w:rPr>
            </w:pPr>
            <w:r>
              <w:rPr>
                <w:noProof/>
              </w:rPr>
              <w:t>0</w:t>
            </w:r>
          </w:p>
        </w:tc>
        <w:tc>
          <w:tcPr>
            <w:tcW w:w="1701" w:type="dxa"/>
          </w:tcPr>
          <w:p w:rsidR="00551955" w:rsidRDefault="00E33ED2">
            <w:pPr>
              <w:jc w:val="center"/>
              <w:rPr>
                <w:noProof/>
              </w:rPr>
            </w:pPr>
            <w:r>
              <w:rPr>
                <w:noProof/>
              </w:rPr>
              <w:t>0</w:t>
            </w:r>
          </w:p>
        </w:tc>
      </w:tr>
      <w:tr w:rsidR="00551955">
        <w:tc>
          <w:tcPr>
            <w:tcW w:w="976" w:type="dxa"/>
          </w:tcPr>
          <w:p w:rsidR="00551955" w:rsidRDefault="00E33ED2">
            <w:pPr>
              <w:rPr>
                <w:b/>
                <w:noProof/>
              </w:rPr>
            </w:pPr>
            <w:r>
              <w:rPr>
                <w:b/>
                <w:noProof/>
              </w:rPr>
              <w:t>4-LH</w:t>
            </w:r>
          </w:p>
        </w:tc>
        <w:tc>
          <w:tcPr>
            <w:tcW w:w="834" w:type="dxa"/>
          </w:tcPr>
          <w:p w:rsidR="00551955" w:rsidRDefault="00E33ED2">
            <w:pPr>
              <w:jc w:val="center"/>
              <w:rPr>
                <w:noProof/>
              </w:rPr>
            </w:pPr>
            <w:r>
              <w:rPr>
                <w:noProof/>
              </w:rPr>
              <w:t>0,05</w:t>
            </w:r>
          </w:p>
        </w:tc>
        <w:tc>
          <w:tcPr>
            <w:tcW w:w="850" w:type="dxa"/>
          </w:tcPr>
          <w:p w:rsidR="00551955" w:rsidRDefault="00E33ED2">
            <w:pPr>
              <w:jc w:val="center"/>
              <w:rPr>
                <w:noProof/>
              </w:rPr>
            </w:pPr>
            <w:r>
              <w:rPr>
                <w:noProof/>
              </w:rPr>
              <w:t>0,05</w:t>
            </w:r>
          </w:p>
        </w:tc>
        <w:tc>
          <w:tcPr>
            <w:tcW w:w="851" w:type="dxa"/>
          </w:tcPr>
          <w:p w:rsidR="00551955" w:rsidRDefault="00E33ED2">
            <w:pPr>
              <w:jc w:val="center"/>
              <w:rPr>
                <w:noProof/>
              </w:rPr>
            </w:pPr>
            <w:r>
              <w:rPr>
                <w:noProof/>
              </w:rPr>
              <w:t>0,45</w:t>
            </w:r>
          </w:p>
        </w:tc>
        <w:tc>
          <w:tcPr>
            <w:tcW w:w="992" w:type="dxa"/>
          </w:tcPr>
          <w:p w:rsidR="00551955" w:rsidRDefault="00E33ED2">
            <w:pPr>
              <w:jc w:val="center"/>
              <w:rPr>
                <w:noProof/>
              </w:rPr>
            </w:pPr>
            <w:r>
              <w:rPr>
                <w:noProof/>
              </w:rPr>
              <w:t>0,45</w:t>
            </w:r>
          </w:p>
        </w:tc>
        <w:tc>
          <w:tcPr>
            <w:tcW w:w="723" w:type="dxa"/>
          </w:tcPr>
          <w:p w:rsidR="00551955" w:rsidRDefault="00E33ED2">
            <w:pPr>
              <w:jc w:val="center"/>
              <w:rPr>
                <w:noProof/>
              </w:rPr>
            </w:pPr>
            <w:r>
              <w:rPr>
                <w:noProof/>
              </w:rPr>
              <w:t>0</w:t>
            </w:r>
          </w:p>
        </w:tc>
        <w:tc>
          <w:tcPr>
            <w:tcW w:w="978" w:type="dxa"/>
          </w:tcPr>
          <w:p w:rsidR="00551955" w:rsidRDefault="00E33ED2">
            <w:pPr>
              <w:jc w:val="center"/>
              <w:rPr>
                <w:noProof/>
              </w:rPr>
            </w:pPr>
            <w:r>
              <w:rPr>
                <w:noProof/>
              </w:rPr>
              <w:t>0</w:t>
            </w:r>
          </w:p>
        </w:tc>
        <w:tc>
          <w:tcPr>
            <w:tcW w:w="1701" w:type="dxa"/>
          </w:tcPr>
          <w:p w:rsidR="00551955" w:rsidRDefault="00E33ED2">
            <w:pPr>
              <w:jc w:val="center"/>
              <w:rPr>
                <w:noProof/>
              </w:rPr>
            </w:pPr>
            <w:r>
              <w:rPr>
                <w:noProof/>
              </w:rPr>
              <w:t>0</w:t>
            </w:r>
          </w:p>
        </w:tc>
      </w:tr>
      <w:tr w:rsidR="00551955">
        <w:tc>
          <w:tcPr>
            <w:tcW w:w="976" w:type="dxa"/>
          </w:tcPr>
          <w:p w:rsidR="00551955" w:rsidRDefault="00E33ED2">
            <w:pPr>
              <w:rPr>
                <w:b/>
                <w:noProof/>
              </w:rPr>
            </w:pPr>
            <w:r>
              <w:rPr>
                <w:b/>
                <w:noProof/>
              </w:rPr>
              <w:t>9-RD</w:t>
            </w:r>
          </w:p>
        </w:tc>
        <w:tc>
          <w:tcPr>
            <w:tcW w:w="834" w:type="dxa"/>
          </w:tcPr>
          <w:p w:rsidR="00551955" w:rsidRDefault="00E33ED2">
            <w:pPr>
              <w:jc w:val="center"/>
              <w:rPr>
                <w:noProof/>
              </w:rPr>
            </w:pPr>
            <w:r>
              <w:rPr>
                <w:noProof/>
              </w:rPr>
              <w:t>0,27</w:t>
            </w:r>
          </w:p>
        </w:tc>
        <w:tc>
          <w:tcPr>
            <w:tcW w:w="850" w:type="dxa"/>
          </w:tcPr>
          <w:p w:rsidR="00551955" w:rsidRDefault="00E33ED2">
            <w:pPr>
              <w:jc w:val="center"/>
              <w:rPr>
                <w:noProof/>
              </w:rPr>
            </w:pPr>
            <w:r>
              <w:rPr>
                <w:noProof/>
              </w:rPr>
              <w:t>0,63</w:t>
            </w:r>
          </w:p>
        </w:tc>
        <w:tc>
          <w:tcPr>
            <w:tcW w:w="851" w:type="dxa"/>
          </w:tcPr>
          <w:p w:rsidR="00551955" w:rsidRDefault="00E33ED2">
            <w:pPr>
              <w:jc w:val="center"/>
              <w:rPr>
                <w:noProof/>
              </w:rPr>
            </w:pPr>
            <w:r>
              <w:rPr>
                <w:noProof/>
              </w:rPr>
              <w:t>0,03</w:t>
            </w:r>
          </w:p>
        </w:tc>
        <w:tc>
          <w:tcPr>
            <w:tcW w:w="992" w:type="dxa"/>
          </w:tcPr>
          <w:p w:rsidR="00551955" w:rsidRDefault="00E33ED2">
            <w:pPr>
              <w:jc w:val="center"/>
              <w:rPr>
                <w:noProof/>
              </w:rPr>
            </w:pPr>
            <w:r>
              <w:rPr>
                <w:noProof/>
              </w:rPr>
              <w:t>0,07</w:t>
            </w:r>
          </w:p>
        </w:tc>
        <w:tc>
          <w:tcPr>
            <w:tcW w:w="723" w:type="dxa"/>
          </w:tcPr>
          <w:p w:rsidR="00551955" w:rsidRDefault="00E33ED2">
            <w:pPr>
              <w:jc w:val="center"/>
              <w:rPr>
                <w:noProof/>
              </w:rPr>
            </w:pPr>
            <w:r>
              <w:rPr>
                <w:noProof/>
              </w:rPr>
              <w:t>0</w:t>
            </w:r>
          </w:p>
        </w:tc>
        <w:tc>
          <w:tcPr>
            <w:tcW w:w="978" w:type="dxa"/>
          </w:tcPr>
          <w:p w:rsidR="00551955" w:rsidRDefault="00E33ED2">
            <w:pPr>
              <w:jc w:val="center"/>
              <w:rPr>
                <w:noProof/>
              </w:rPr>
            </w:pPr>
            <w:r>
              <w:rPr>
                <w:noProof/>
              </w:rPr>
              <w:t>0</w:t>
            </w:r>
          </w:p>
        </w:tc>
        <w:tc>
          <w:tcPr>
            <w:tcW w:w="1701" w:type="dxa"/>
          </w:tcPr>
          <w:p w:rsidR="00551955" w:rsidRDefault="00E33ED2">
            <w:pPr>
              <w:jc w:val="center"/>
              <w:rPr>
                <w:noProof/>
              </w:rPr>
            </w:pPr>
            <w:r>
              <w:rPr>
                <w:noProof/>
              </w:rPr>
              <w:t>0</w:t>
            </w:r>
          </w:p>
        </w:tc>
      </w:tr>
      <w:tr w:rsidR="00551955">
        <w:tc>
          <w:tcPr>
            <w:tcW w:w="976" w:type="dxa"/>
          </w:tcPr>
          <w:p w:rsidR="00551955" w:rsidRDefault="00E33ED2">
            <w:pPr>
              <w:rPr>
                <w:b/>
                <w:noProof/>
              </w:rPr>
            </w:pPr>
            <w:r>
              <w:rPr>
                <w:b/>
                <w:noProof/>
              </w:rPr>
              <w:t>9-LH</w:t>
            </w:r>
          </w:p>
        </w:tc>
        <w:tc>
          <w:tcPr>
            <w:tcW w:w="834" w:type="dxa"/>
          </w:tcPr>
          <w:p w:rsidR="00551955" w:rsidRDefault="00E33ED2">
            <w:pPr>
              <w:jc w:val="center"/>
              <w:rPr>
                <w:noProof/>
              </w:rPr>
            </w:pPr>
            <w:r>
              <w:rPr>
                <w:noProof/>
              </w:rPr>
              <w:t>0,03</w:t>
            </w:r>
          </w:p>
        </w:tc>
        <w:tc>
          <w:tcPr>
            <w:tcW w:w="850" w:type="dxa"/>
          </w:tcPr>
          <w:p w:rsidR="00551955" w:rsidRDefault="00E33ED2">
            <w:pPr>
              <w:jc w:val="center"/>
              <w:rPr>
                <w:noProof/>
              </w:rPr>
            </w:pPr>
            <w:r>
              <w:rPr>
                <w:noProof/>
              </w:rPr>
              <w:t>0,07</w:t>
            </w:r>
          </w:p>
        </w:tc>
        <w:tc>
          <w:tcPr>
            <w:tcW w:w="851" w:type="dxa"/>
          </w:tcPr>
          <w:p w:rsidR="00551955" w:rsidRDefault="00E33ED2">
            <w:pPr>
              <w:jc w:val="center"/>
              <w:rPr>
                <w:noProof/>
              </w:rPr>
            </w:pPr>
            <w:r>
              <w:rPr>
                <w:noProof/>
              </w:rPr>
              <w:t>0,27</w:t>
            </w:r>
          </w:p>
        </w:tc>
        <w:tc>
          <w:tcPr>
            <w:tcW w:w="992" w:type="dxa"/>
          </w:tcPr>
          <w:p w:rsidR="00551955" w:rsidRDefault="00E33ED2">
            <w:pPr>
              <w:jc w:val="center"/>
              <w:rPr>
                <w:noProof/>
              </w:rPr>
            </w:pPr>
            <w:r>
              <w:rPr>
                <w:noProof/>
              </w:rPr>
              <w:t>0,63</w:t>
            </w:r>
          </w:p>
        </w:tc>
        <w:tc>
          <w:tcPr>
            <w:tcW w:w="723" w:type="dxa"/>
          </w:tcPr>
          <w:p w:rsidR="00551955" w:rsidRDefault="00E33ED2">
            <w:pPr>
              <w:jc w:val="center"/>
              <w:rPr>
                <w:noProof/>
              </w:rPr>
            </w:pPr>
            <w:r>
              <w:rPr>
                <w:noProof/>
              </w:rPr>
              <w:t>0</w:t>
            </w:r>
          </w:p>
        </w:tc>
        <w:tc>
          <w:tcPr>
            <w:tcW w:w="978" w:type="dxa"/>
          </w:tcPr>
          <w:p w:rsidR="00551955" w:rsidRDefault="00E33ED2">
            <w:pPr>
              <w:jc w:val="center"/>
              <w:rPr>
                <w:noProof/>
              </w:rPr>
            </w:pPr>
            <w:r>
              <w:rPr>
                <w:noProof/>
              </w:rPr>
              <w:t>0</w:t>
            </w:r>
          </w:p>
        </w:tc>
        <w:tc>
          <w:tcPr>
            <w:tcW w:w="1701" w:type="dxa"/>
          </w:tcPr>
          <w:p w:rsidR="00551955" w:rsidRDefault="00E33ED2">
            <w:pPr>
              <w:jc w:val="center"/>
              <w:rPr>
                <w:noProof/>
              </w:rPr>
            </w:pPr>
            <w:r>
              <w:rPr>
                <w:noProof/>
              </w:rPr>
              <w:t>0</w:t>
            </w:r>
          </w:p>
        </w:tc>
      </w:tr>
      <w:tr w:rsidR="00551955">
        <w:tc>
          <w:tcPr>
            <w:tcW w:w="976" w:type="dxa"/>
          </w:tcPr>
          <w:p w:rsidR="00551955" w:rsidRDefault="00E33ED2">
            <w:pPr>
              <w:rPr>
                <w:b/>
                <w:noProof/>
              </w:rPr>
            </w:pPr>
            <w:r>
              <w:rPr>
                <w:b/>
                <w:noProof/>
              </w:rPr>
              <w:t>5-RD</w:t>
            </w:r>
          </w:p>
        </w:tc>
        <w:tc>
          <w:tcPr>
            <w:tcW w:w="834" w:type="dxa"/>
          </w:tcPr>
          <w:p w:rsidR="00551955" w:rsidRDefault="00E33ED2">
            <w:pPr>
              <w:jc w:val="center"/>
              <w:rPr>
                <w:noProof/>
              </w:rPr>
            </w:pPr>
            <w:r>
              <w:rPr>
                <w:noProof/>
              </w:rPr>
              <w:t>0,27</w:t>
            </w:r>
          </w:p>
        </w:tc>
        <w:tc>
          <w:tcPr>
            <w:tcW w:w="850" w:type="dxa"/>
          </w:tcPr>
          <w:p w:rsidR="00551955" w:rsidRDefault="00E33ED2">
            <w:pPr>
              <w:jc w:val="center"/>
              <w:rPr>
                <w:noProof/>
              </w:rPr>
            </w:pPr>
            <w:r>
              <w:rPr>
                <w:noProof/>
              </w:rPr>
              <w:t>0,63</w:t>
            </w:r>
          </w:p>
        </w:tc>
        <w:tc>
          <w:tcPr>
            <w:tcW w:w="851" w:type="dxa"/>
          </w:tcPr>
          <w:p w:rsidR="00551955" w:rsidRDefault="00E33ED2">
            <w:pPr>
              <w:jc w:val="center"/>
              <w:rPr>
                <w:noProof/>
              </w:rPr>
            </w:pPr>
            <w:r>
              <w:rPr>
                <w:noProof/>
              </w:rPr>
              <w:t>0,03</w:t>
            </w:r>
          </w:p>
        </w:tc>
        <w:tc>
          <w:tcPr>
            <w:tcW w:w="992" w:type="dxa"/>
          </w:tcPr>
          <w:p w:rsidR="00551955" w:rsidRDefault="00E33ED2">
            <w:pPr>
              <w:jc w:val="center"/>
              <w:rPr>
                <w:noProof/>
              </w:rPr>
            </w:pPr>
            <w:r>
              <w:rPr>
                <w:noProof/>
              </w:rPr>
              <w:t>0,07</w:t>
            </w:r>
          </w:p>
        </w:tc>
        <w:tc>
          <w:tcPr>
            <w:tcW w:w="723" w:type="dxa"/>
          </w:tcPr>
          <w:p w:rsidR="00551955" w:rsidRDefault="00E33ED2">
            <w:pPr>
              <w:jc w:val="center"/>
              <w:rPr>
                <w:noProof/>
              </w:rPr>
            </w:pPr>
            <w:r>
              <w:rPr>
                <w:noProof/>
              </w:rPr>
              <w:t>0</w:t>
            </w:r>
          </w:p>
        </w:tc>
        <w:tc>
          <w:tcPr>
            <w:tcW w:w="978" w:type="dxa"/>
          </w:tcPr>
          <w:p w:rsidR="00551955" w:rsidRDefault="00E33ED2">
            <w:pPr>
              <w:jc w:val="center"/>
              <w:rPr>
                <w:noProof/>
              </w:rPr>
            </w:pPr>
            <w:r>
              <w:rPr>
                <w:noProof/>
              </w:rPr>
              <w:t>0</w:t>
            </w:r>
          </w:p>
        </w:tc>
        <w:tc>
          <w:tcPr>
            <w:tcW w:w="1701" w:type="dxa"/>
          </w:tcPr>
          <w:p w:rsidR="00551955" w:rsidRDefault="00E33ED2">
            <w:pPr>
              <w:jc w:val="center"/>
              <w:rPr>
                <w:noProof/>
              </w:rPr>
            </w:pPr>
            <w:r>
              <w:rPr>
                <w:noProof/>
              </w:rPr>
              <w:t>0</w:t>
            </w:r>
          </w:p>
        </w:tc>
      </w:tr>
      <w:tr w:rsidR="00551955">
        <w:tc>
          <w:tcPr>
            <w:tcW w:w="976" w:type="dxa"/>
          </w:tcPr>
          <w:p w:rsidR="00551955" w:rsidRDefault="00E33ED2">
            <w:pPr>
              <w:rPr>
                <w:b/>
                <w:noProof/>
              </w:rPr>
            </w:pPr>
            <w:r>
              <w:rPr>
                <w:b/>
                <w:noProof/>
              </w:rPr>
              <w:t>5-LH</w:t>
            </w:r>
          </w:p>
        </w:tc>
        <w:tc>
          <w:tcPr>
            <w:tcW w:w="834" w:type="dxa"/>
          </w:tcPr>
          <w:p w:rsidR="00551955" w:rsidRDefault="00E33ED2">
            <w:pPr>
              <w:jc w:val="center"/>
              <w:rPr>
                <w:noProof/>
              </w:rPr>
            </w:pPr>
            <w:r>
              <w:rPr>
                <w:noProof/>
              </w:rPr>
              <w:t>0,03</w:t>
            </w:r>
          </w:p>
        </w:tc>
        <w:tc>
          <w:tcPr>
            <w:tcW w:w="850" w:type="dxa"/>
          </w:tcPr>
          <w:p w:rsidR="00551955" w:rsidRDefault="00E33ED2">
            <w:pPr>
              <w:jc w:val="center"/>
              <w:rPr>
                <w:noProof/>
              </w:rPr>
            </w:pPr>
            <w:r>
              <w:rPr>
                <w:noProof/>
              </w:rPr>
              <w:t>0,07</w:t>
            </w:r>
          </w:p>
        </w:tc>
        <w:tc>
          <w:tcPr>
            <w:tcW w:w="851" w:type="dxa"/>
          </w:tcPr>
          <w:p w:rsidR="00551955" w:rsidRDefault="00E33ED2">
            <w:pPr>
              <w:jc w:val="center"/>
              <w:rPr>
                <w:noProof/>
              </w:rPr>
            </w:pPr>
            <w:r>
              <w:rPr>
                <w:noProof/>
              </w:rPr>
              <w:t>0,27</w:t>
            </w:r>
          </w:p>
        </w:tc>
        <w:tc>
          <w:tcPr>
            <w:tcW w:w="992" w:type="dxa"/>
          </w:tcPr>
          <w:p w:rsidR="00551955" w:rsidRDefault="00E33ED2">
            <w:pPr>
              <w:jc w:val="center"/>
              <w:rPr>
                <w:noProof/>
              </w:rPr>
            </w:pPr>
            <w:r>
              <w:rPr>
                <w:noProof/>
              </w:rPr>
              <w:t>0,63</w:t>
            </w:r>
          </w:p>
        </w:tc>
        <w:tc>
          <w:tcPr>
            <w:tcW w:w="723" w:type="dxa"/>
          </w:tcPr>
          <w:p w:rsidR="00551955" w:rsidRDefault="00E33ED2">
            <w:pPr>
              <w:jc w:val="center"/>
              <w:rPr>
                <w:noProof/>
              </w:rPr>
            </w:pPr>
            <w:r>
              <w:rPr>
                <w:noProof/>
              </w:rPr>
              <w:t>0</w:t>
            </w:r>
          </w:p>
        </w:tc>
        <w:tc>
          <w:tcPr>
            <w:tcW w:w="978" w:type="dxa"/>
          </w:tcPr>
          <w:p w:rsidR="00551955" w:rsidRDefault="00E33ED2">
            <w:pPr>
              <w:jc w:val="center"/>
              <w:rPr>
                <w:noProof/>
              </w:rPr>
            </w:pPr>
            <w:r>
              <w:rPr>
                <w:noProof/>
              </w:rPr>
              <w:t>0</w:t>
            </w:r>
          </w:p>
        </w:tc>
        <w:tc>
          <w:tcPr>
            <w:tcW w:w="1701" w:type="dxa"/>
          </w:tcPr>
          <w:p w:rsidR="00551955" w:rsidRDefault="00E33ED2">
            <w:pPr>
              <w:jc w:val="center"/>
              <w:rPr>
                <w:noProof/>
              </w:rPr>
            </w:pPr>
            <w:r>
              <w:rPr>
                <w:noProof/>
              </w:rPr>
              <w:t>0</w:t>
            </w:r>
          </w:p>
        </w:tc>
      </w:tr>
      <w:tr w:rsidR="00551955">
        <w:tc>
          <w:tcPr>
            <w:tcW w:w="976" w:type="dxa"/>
          </w:tcPr>
          <w:p w:rsidR="00551955" w:rsidRDefault="00E33ED2">
            <w:pPr>
              <w:jc w:val="left"/>
              <w:rPr>
                <w:b/>
                <w:noProof/>
              </w:rPr>
            </w:pPr>
            <w:r>
              <w:rPr>
                <w:b/>
                <w:noProof/>
              </w:rPr>
              <w:t>10-RD</w:t>
            </w:r>
          </w:p>
        </w:tc>
        <w:tc>
          <w:tcPr>
            <w:tcW w:w="834" w:type="dxa"/>
          </w:tcPr>
          <w:p w:rsidR="00551955" w:rsidRDefault="00E33ED2">
            <w:pPr>
              <w:jc w:val="center"/>
              <w:rPr>
                <w:noProof/>
              </w:rPr>
            </w:pPr>
            <w:r>
              <w:rPr>
                <w:noProof/>
              </w:rPr>
              <w:t>0,27</w:t>
            </w:r>
          </w:p>
        </w:tc>
        <w:tc>
          <w:tcPr>
            <w:tcW w:w="850" w:type="dxa"/>
          </w:tcPr>
          <w:p w:rsidR="00551955" w:rsidRDefault="00E33ED2">
            <w:pPr>
              <w:jc w:val="center"/>
              <w:rPr>
                <w:noProof/>
              </w:rPr>
            </w:pPr>
            <w:r>
              <w:rPr>
                <w:noProof/>
              </w:rPr>
              <w:t>0,63</w:t>
            </w:r>
          </w:p>
        </w:tc>
        <w:tc>
          <w:tcPr>
            <w:tcW w:w="851" w:type="dxa"/>
          </w:tcPr>
          <w:p w:rsidR="00551955" w:rsidRDefault="00E33ED2">
            <w:pPr>
              <w:jc w:val="center"/>
              <w:rPr>
                <w:noProof/>
              </w:rPr>
            </w:pPr>
            <w:r>
              <w:rPr>
                <w:noProof/>
              </w:rPr>
              <w:t>0,03</w:t>
            </w:r>
          </w:p>
        </w:tc>
        <w:tc>
          <w:tcPr>
            <w:tcW w:w="992" w:type="dxa"/>
          </w:tcPr>
          <w:p w:rsidR="00551955" w:rsidRDefault="00E33ED2">
            <w:pPr>
              <w:jc w:val="center"/>
              <w:rPr>
                <w:noProof/>
              </w:rPr>
            </w:pPr>
            <w:r>
              <w:rPr>
                <w:noProof/>
              </w:rPr>
              <w:t>0,07</w:t>
            </w:r>
          </w:p>
        </w:tc>
        <w:tc>
          <w:tcPr>
            <w:tcW w:w="723" w:type="dxa"/>
          </w:tcPr>
          <w:p w:rsidR="00551955" w:rsidRDefault="00E33ED2">
            <w:pPr>
              <w:jc w:val="center"/>
              <w:rPr>
                <w:noProof/>
              </w:rPr>
            </w:pPr>
            <w:r>
              <w:rPr>
                <w:noProof/>
              </w:rPr>
              <w:t>0</w:t>
            </w:r>
          </w:p>
        </w:tc>
        <w:tc>
          <w:tcPr>
            <w:tcW w:w="978" w:type="dxa"/>
          </w:tcPr>
          <w:p w:rsidR="00551955" w:rsidRDefault="00E33ED2">
            <w:pPr>
              <w:jc w:val="center"/>
              <w:rPr>
                <w:noProof/>
              </w:rPr>
            </w:pPr>
            <w:r>
              <w:rPr>
                <w:noProof/>
              </w:rPr>
              <w:t>0</w:t>
            </w:r>
          </w:p>
        </w:tc>
        <w:tc>
          <w:tcPr>
            <w:tcW w:w="1701" w:type="dxa"/>
          </w:tcPr>
          <w:p w:rsidR="00551955" w:rsidRDefault="00E33ED2">
            <w:pPr>
              <w:jc w:val="center"/>
              <w:rPr>
                <w:noProof/>
              </w:rPr>
            </w:pPr>
            <w:r>
              <w:rPr>
                <w:noProof/>
              </w:rPr>
              <w:t>0</w:t>
            </w:r>
          </w:p>
        </w:tc>
      </w:tr>
      <w:tr w:rsidR="00551955">
        <w:tc>
          <w:tcPr>
            <w:tcW w:w="976" w:type="dxa"/>
          </w:tcPr>
          <w:p w:rsidR="00551955" w:rsidRDefault="00E33ED2">
            <w:pPr>
              <w:rPr>
                <w:b/>
                <w:noProof/>
              </w:rPr>
            </w:pPr>
            <w:r>
              <w:rPr>
                <w:b/>
                <w:noProof/>
              </w:rPr>
              <w:t>10-LH</w:t>
            </w:r>
          </w:p>
        </w:tc>
        <w:tc>
          <w:tcPr>
            <w:tcW w:w="834" w:type="dxa"/>
          </w:tcPr>
          <w:p w:rsidR="00551955" w:rsidRDefault="00E33ED2">
            <w:pPr>
              <w:jc w:val="center"/>
              <w:rPr>
                <w:noProof/>
              </w:rPr>
            </w:pPr>
            <w:r>
              <w:rPr>
                <w:noProof/>
              </w:rPr>
              <w:t>0,03</w:t>
            </w:r>
          </w:p>
        </w:tc>
        <w:tc>
          <w:tcPr>
            <w:tcW w:w="850" w:type="dxa"/>
          </w:tcPr>
          <w:p w:rsidR="00551955" w:rsidRDefault="00E33ED2">
            <w:pPr>
              <w:jc w:val="center"/>
              <w:rPr>
                <w:noProof/>
              </w:rPr>
            </w:pPr>
            <w:r>
              <w:rPr>
                <w:noProof/>
              </w:rPr>
              <w:t>0,07</w:t>
            </w:r>
          </w:p>
        </w:tc>
        <w:tc>
          <w:tcPr>
            <w:tcW w:w="851" w:type="dxa"/>
          </w:tcPr>
          <w:p w:rsidR="00551955" w:rsidRDefault="00E33ED2">
            <w:pPr>
              <w:jc w:val="center"/>
              <w:rPr>
                <w:noProof/>
              </w:rPr>
            </w:pPr>
            <w:r>
              <w:rPr>
                <w:noProof/>
              </w:rPr>
              <w:t>0,27</w:t>
            </w:r>
          </w:p>
        </w:tc>
        <w:tc>
          <w:tcPr>
            <w:tcW w:w="992" w:type="dxa"/>
          </w:tcPr>
          <w:p w:rsidR="00551955" w:rsidRDefault="00E33ED2">
            <w:pPr>
              <w:jc w:val="center"/>
              <w:rPr>
                <w:noProof/>
              </w:rPr>
            </w:pPr>
            <w:r>
              <w:rPr>
                <w:noProof/>
              </w:rPr>
              <w:t>0,63</w:t>
            </w:r>
          </w:p>
        </w:tc>
        <w:tc>
          <w:tcPr>
            <w:tcW w:w="723" w:type="dxa"/>
          </w:tcPr>
          <w:p w:rsidR="00551955" w:rsidRDefault="00E33ED2">
            <w:pPr>
              <w:jc w:val="center"/>
              <w:rPr>
                <w:noProof/>
              </w:rPr>
            </w:pPr>
            <w:r>
              <w:rPr>
                <w:noProof/>
              </w:rPr>
              <w:t>0</w:t>
            </w:r>
          </w:p>
        </w:tc>
        <w:tc>
          <w:tcPr>
            <w:tcW w:w="978" w:type="dxa"/>
          </w:tcPr>
          <w:p w:rsidR="00551955" w:rsidRDefault="00E33ED2">
            <w:pPr>
              <w:jc w:val="center"/>
              <w:rPr>
                <w:noProof/>
              </w:rPr>
            </w:pPr>
            <w:r>
              <w:rPr>
                <w:noProof/>
              </w:rPr>
              <w:t>0</w:t>
            </w:r>
          </w:p>
        </w:tc>
        <w:tc>
          <w:tcPr>
            <w:tcW w:w="1701" w:type="dxa"/>
          </w:tcPr>
          <w:p w:rsidR="00551955" w:rsidRDefault="00E33ED2">
            <w:pPr>
              <w:jc w:val="center"/>
              <w:rPr>
                <w:noProof/>
              </w:rPr>
            </w:pPr>
            <w:r>
              <w:rPr>
                <w:noProof/>
              </w:rPr>
              <w:t>0</w:t>
            </w:r>
          </w:p>
        </w:tc>
      </w:tr>
    </w:tbl>
    <w:p w:rsidR="00551955" w:rsidRDefault="00551955">
      <w:pPr>
        <w:ind w:left="850"/>
        <w:rPr>
          <w:b/>
          <w:noProof/>
          <w:vertAlign w:val="superscript"/>
        </w:rPr>
      </w:pPr>
    </w:p>
    <w:p w:rsidR="00551955" w:rsidRDefault="00E33ED2">
      <w:pPr>
        <w:ind w:left="850"/>
        <w:rPr>
          <w:noProof/>
        </w:rPr>
      </w:pPr>
      <w:r>
        <w:rPr>
          <w:b/>
          <w:noProof/>
          <w:vertAlign w:val="superscript"/>
        </w:rPr>
        <w:t>1</w:t>
      </w:r>
      <w:r>
        <w:rPr>
          <w:b/>
          <w:noProof/>
        </w:rPr>
        <w:t xml:space="preserve">Définitions des profils de missions 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90"/>
        <w:gridCol w:w="5568"/>
      </w:tblGrid>
      <w:tr w:rsidR="00551955">
        <w:tc>
          <w:tcPr>
            <w:tcW w:w="890" w:type="dxa"/>
          </w:tcPr>
          <w:p w:rsidR="00551955" w:rsidRDefault="00E33ED2">
            <w:pPr>
              <w:rPr>
                <w:b/>
                <w:noProof/>
              </w:rPr>
            </w:pPr>
            <w:r>
              <w:rPr>
                <w:b/>
                <w:noProof/>
              </w:rPr>
              <w:t xml:space="preserve">RDL </w:t>
            </w:r>
          </w:p>
        </w:tc>
        <w:tc>
          <w:tcPr>
            <w:tcW w:w="5568" w:type="dxa"/>
          </w:tcPr>
          <w:p w:rsidR="00551955" w:rsidRDefault="00E33ED2">
            <w:pPr>
              <w:rPr>
                <w:noProof/>
              </w:rPr>
            </w:pPr>
            <w:r>
              <w:rPr>
                <w:noProof/>
              </w:rPr>
              <w:t>Trajets régionaux, charge utile faible</w:t>
            </w:r>
          </w:p>
        </w:tc>
      </w:tr>
      <w:tr w:rsidR="00551955">
        <w:tc>
          <w:tcPr>
            <w:tcW w:w="890" w:type="dxa"/>
          </w:tcPr>
          <w:p w:rsidR="00551955" w:rsidRDefault="00E33ED2">
            <w:pPr>
              <w:rPr>
                <w:b/>
                <w:noProof/>
              </w:rPr>
            </w:pPr>
            <w:r>
              <w:rPr>
                <w:b/>
                <w:noProof/>
              </w:rPr>
              <w:t xml:space="preserve">RDR </w:t>
            </w:r>
          </w:p>
        </w:tc>
        <w:tc>
          <w:tcPr>
            <w:tcW w:w="5568" w:type="dxa"/>
          </w:tcPr>
          <w:p w:rsidR="00551955" w:rsidRDefault="00E33ED2">
            <w:pPr>
              <w:rPr>
                <w:noProof/>
              </w:rPr>
            </w:pPr>
            <w:r>
              <w:rPr>
                <w:noProof/>
              </w:rPr>
              <w:t xml:space="preserve">Trajets régionaux, charge utile représentative </w:t>
            </w:r>
          </w:p>
        </w:tc>
      </w:tr>
      <w:tr w:rsidR="00551955">
        <w:tc>
          <w:tcPr>
            <w:tcW w:w="890" w:type="dxa"/>
          </w:tcPr>
          <w:p w:rsidR="00551955" w:rsidRDefault="00E33ED2">
            <w:pPr>
              <w:rPr>
                <w:b/>
                <w:noProof/>
              </w:rPr>
            </w:pPr>
            <w:r>
              <w:rPr>
                <w:b/>
                <w:noProof/>
              </w:rPr>
              <w:t>LHL</w:t>
            </w:r>
          </w:p>
        </w:tc>
        <w:tc>
          <w:tcPr>
            <w:tcW w:w="5568" w:type="dxa"/>
          </w:tcPr>
          <w:p w:rsidR="00551955" w:rsidRDefault="00E33ED2">
            <w:pPr>
              <w:rPr>
                <w:noProof/>
              </w:rPr>
            </w:pPr>
            <w:r>
              <w:rPr>
                <w:noProof/>
              </w:rPr>
              <w:t xml:space="preserve">Longue distance, charge utile faible </w:t>
            </w:r>
          </w:p>
        </w:tc>
      </w:tr>
      <w:tr w:rsidR="00551955">
        <w:tc>
          <w:tcPr>
            <w:tcW w:w="890" w:type="dxa"/>
          </w:tcPr>
          <w:p w:rsidR="00551955" w:rsidRDefault="00E33ED2">
            <w:pPr>
              <w:rPr>
                <w:b/>
                <w:noProof/>
              </w:rPr>
            </w:pPr>
            <w:r>
              <w:rPr>
                <w:b/>
                <w:noProof/>
              </w:rPr>
              <w:t>LHR</w:t>
            </w:r>
          </w:p>
        </w:tc>
        <w:tc>
          <w:tcPr>
            <w:tcW w:w="5568" w:type="dxa"/>
          </w:tcPr>
          <w:p w:rsidR="00551955" w:rsidRDefault="00E33ED2">
            <w:pPr>
              <w:rPr>
                <w:noProof/>
              </w:rPr>
            </w:pPr>
            <w:r>
              <w:rPr>
                <w:noProof/>
              </w:rPr>
              <w:t xml:space="preserve">Longue distance, charge utile représentative </w:t>
            </w:r>
          </w:p>
        </w:tc>
      </w:tr>
      <w:tr w:rsidR="00551955">
        <w:tc>
          <w:tcPr>
            <w:tcW w:w="890" w:type="dxa"/>
          </w:tcPr>
          <w:p w:rsidR="00551955" w:rsidRDefault="00E33ED2">
            <w:pPr>
              <w:rPr>
                <w:b/>
                <w:noProof/>
              </w:rPr>
            </w:pPr>
            <w:r>
              <w:rPr>
                <w:b/>
                <w:noProof/>
              </w:rPr>
              <w:t>UDL</w:t>
            </w:r>
          </w:p>
        </w:tc>
        <w:tc>
          <w:tcPr>
            <w:tcW w:w="5568" w:type="dxa"/>
          </w:tcPr>
          <w:p w:rsidR="00551955" w:rsidRDefault="00E33ED2">
            <w:pPr>
              <w:rPr>
                <w:noProof/>
              </w:rPr>
            </w:pPr>
            <w:r>
              <w:rPr>
                <w:noProof/>
              </w:rPr>
              <w:t>Trajets urbains, charge utile faible</w:t>
            </w:r>
          </w:p>
        </w:tc>
      </w:tr>
      <w:tr w:rsidR="00551955">
        <w:tc>
          <w:tcPr>
            <w:tcW w:w="890" w:type="dxa"/>
          </w:tcPr>
          <w:p w:rsidR="00551955" w:rsidRDefault="00E33ED2">
            <w:pPr>
              <w:rPr>
                <w:b/>
                <w:noProof/>
              </w:rPr>
            </w:pPr>
            <w:r>
              <w:rPr>
                <w:b/>
                <w:noProof/>
              </w:rPr>
              <w:t>UDR</w:t>
            </w:r>
          </w:p>
        </w:tc>
        <w:tc>
          <w:tcPr>
            <w:tcW w:w="5568" w:type="dxa"/>
          </w:tcPr>
          <w:p w:rsidR="00551955" w:rsidRDefault="00E33ED2">
            <w:pPr>
              <w:rPr>
                <w:noProof/>
              </w:rPr>
            </w:pPr>
            <w:r>
              <w:rPr>
                <w:noProof/>
              </w:rPr>
              <w:t>Trajets urbains, charge utile représentative</w:t>
            </w:r>
          </w:p>
        </w:tc>
      </w:tr>
      <w:tr w:rsidR="00551955">
        <w:tc>
          <w:tcPr>
            <w:tcW w:w="890" w:type="dxa"/>
          </w:tcPr>
          <w:p w:rsidR="00551955" w:rsidRDefault="00E33ED2">
            <w:pPr>
              <w:rPr>
                <w:b/>
                <w:noProof/>
              </w:rPr>
            </w:pPr>
            <w:r>
              <w:rPr>
                <w:b/>
                <w:noProof/>
              </w:rPr>
              <w:t>REL</w:t>
            </w:r>
          </w:p>
        </w:tc>
        <w:tc>
          <w:tcPr>
            <w:tcW w:w="5568" w:type="dxa"/>
          </w:tcPr>
          <w:p w:rsidR="00551955" w:rsidRDefault="00E33ED2">
            <w:pPr>
              <w:rPr>
                <w:noProof/>
              </w:rPr>
            </w:pPr>
            <w:r>
              <w:rPr>
                <w:noProof/>
              </w:rPr>
              <w:t>Trajets régionaux (EMS), charge utile faible</w:t>
            </w:r>
          </w:p>
        </w:tc>
      </w:tr>
      <w:tr w:rsidR="00551955">
        <w:tc>
          <w:tcPr>
            <w:tcW w:w="890" w:type="dxa"/>
          </w:tcPr>
          <w:p w:rsidR="00551955" w:rsidRDefault="00E33ED2">
            <w:pPr>
              <w:rPr>
                <w:b/>
                <w:noProof/>
              </w:rPr>
            </w:pPr>
            <w:r>
              <w:rPr>
                <w:b/>
                <w:noProof/>
              </w:rPr>
              <w:t>RER</w:t>
            </w:r>
          </w:p>
        </w:tc>
        <w:tc>
          <w:tcPr>
            <w:tcW w:w="5568" w:type="dxa"/>
          </w:tcPr>
          <w:p w:rsidR="00551955" w:rsidRDefault="00E33ED2">
            <w:pPr>
              <w:rPr>
                <w:noProof/>
              </w:rPr>
            </w:pPr>
            <w:r>
              <w:rPr>
                <w:noProof/>
              </w:rPr>
              <w:t>Trajets régionaux (E</w:t>
            </w:r>
            <w:r>
              <w:rPr>
                <w:noProof/>
              </w:rPr>
              <w:t>MS), charge utile représentative</w:t>
            </w:r>
          </w:p>
        </w:tc>
      </w:tr>
      <w:tr w:rsidR="00551955">
        <w:tc>
          <w:tcPr>
            <w:tcW w:w="890" w:type="dxa"/>
          </w:tcPr>
          <w:p w:rsidR="00551955" w:rsidRDefault="00E33ED2">
            <w:pPr>
              <w:rPr>
                <w:b/>
                <w:noProof/>
              </w:rPr>
            </w:pPr>
            <w:r>
              <w:rPr>
                <w:b/>
                <w:noProof/>
              </w:rPr>
              <w:t>LEL</w:t>
            </w:r>
          </w:p>
        </w:tc>
        <w:tc>
          <w:tcPr>
            <w:tcW w:w="5568" w:type="dxa"/>
          </w:tcPr>
          <w:p w:rsidR="00551955" w:rsidRDefault="00E33ED2">
            <w:pPr>
              <w:rPr>
                <w:noProof/>
              </w:rPr>
            </w:pPr>
            <w:r>
              <w:rPr>
                <w:noProof/>
              </w:rPr>
              <w:t>Longue distance (EMS), charge utile faible</w:t>
            </w:r>
          </w:p>
        </w:tc>
      </w:tr>
      <w:tr w:rsidR="00551955">
        <w:tc>
          <w:tcPr>
            <w:tcW w:w="890" w:type="dxa"/>
          </w:tcPr>
          <w:p w:rsidR="00551955" w:rsidRDefault="00E33ED2">
            <w:pPr>
              <w:rPr>
                <w:b/>
                <w:noProof/>
              </w:rPr>
            </w:pPr>
            <w:r>
              <w:rPr>
                <w:b/>
                <w:noProof/>
              </w:rPr>
              <w:t>LER</w:t>
            </w:r>
          </w:p>
        </w:tc>
        <w:tc>
          <w:tcPr>
            <w:tcW w:w="5568" w:type="dxa"/>
          </w:tcPr>
          <w:p w:rsidR="00551955" w:rsidRDefault="00E33ED2">
            <w:pPr>
              <w:rPr>
                <w:noProof/>
              </w:rPr>
            </w:pPr>
            <w:r>
              <w:rPr>
                <w:noProof/>
              </w:rPr>
              <w:t>Longue distance (EMS), charge utile représentative</w:t>
            </w:r>
          </w:p>
        </w:tc>
      </w:tr>
    </w:tbl>
    <w:p w:rsidR="00551955" w:rsidRDefault="00551955">
      <w:pPr>
        <w:ind w:left="850"/>
        <w:rPr>
          <w:noProof/>
        </w:rPr>
      </w:pPr>
    </w:p>
    <w:p w:rsidR="00551955" w:rsidRDefault="00E33ED2">
      <w:pPr>
        <w:pStyle w:val="Heading2"/>
        <w:numPr>
          <w:ilvl w:val="1"/>
          <w:numId w:val="10"/>
        </w:numPr>
        <w:rPr>
          <w:noProof/>
        </w:rPr>
      </w:pPr>
      <w:r>
        <w:rPr>
          <w:noProof/>
        </w:rPr>
        <w:t>Émissions de CO</w:t>
      </w:r>
      <w:r>
        <w:rPr>
          <w:noProof/>
          <w:vertAlign w:val="subscript"/>
        </w:rPr>
        <w:t>2</w:t>
      </w:r>
      <w:r>
        <w:rPr>
          <w:noProof/>
        </w:rPr>
        <w:t xml:space="preserve"> spécifiques moyennes de tous les nouveaux véhicules lourds d’un sous-groupe pour un constructeur</w:t>
      </w:r>
    </w:p>
    <w:p w:rsidR="00551955" w:rsidRDefault="00E33ED2">
      <w:pPr>
        <w:ind w:left="850"/>
        <w:rPr>
          <w:noProof/>
        </w:rPr>
      </w:pPr>
      <w:r>
        <w:rPr>
          <w:noProof/>
        </w:rPr>
        <w:t>Pour chaque constructeur et chaque année civile, les émissions de CO</w:t>
      </w:r>
      <w:r>
        <w:rPr>
          <w:noProof/>
          <w:vertAlign w:val="subscript"/>
        </w:rPr>
        <w:t>2</w:t>
      </w:r>
      <w:r>
        <w:rPr>
          <w:noProof/>
        </w:rPr>
        <w:t xml:space="preserve"> spécifiques moyennes en g/tkm (</w:t>
      </w:r>
      <m:oMath>
        <m:sSub>
          <m:sSubPr>
            <m:ctrlPr>
              <w:rPr>
                <w:rFonts w:ascii="Cambria Math" w:hAnsi="Cambria Math"/>
                <w:i/>
                <w:noProof/>
              </w:rPr>
            </m:ctrlPr>
          </m:sSubPr>
          <m:e>
            <m:r>
              <w:rPr>
                <w:rFonts w:ascii="Cambria Math" w:hAnsi="Cambria Math"/>
                <w:noProof/>
              </w:rPr>
              <m:t xml:space="preserve"> </m:t>
            </m:r>
            <m:r>
              <w:rPr>
                <w:rFonts w:ascii="Cambria Math" w:hAnsi="Cambria Math"/>
                <w:noProof/>
              </w:rPr>
              <m:t>avgCO</m:t>
            </m:r>
            <m:r>
              <w:rPr>
                <w:rFonts w:ascii="Cambria Math" w:hAnsi="Cambria Math"/>
                <w:noProof/>
              </w:rPr>
              <m:t>2</m:t>
            </m:r>
          </m:e>
          <m:sub>
            <m:r>
              <w:rPr>
                <w:rFonts w:ascii="Cambria Math" w:hAnsi="Cambria Math"/>
                <w:noProof/>
              </w:rPr>
              <m:t>sg</m:t>
            </m:r>
          </m:sub>
        </m:sSub>
      </m:oMath>
      <w:r>
        <w:rPr>
          <w:noProof/>
        </w:rPr>
        <w:t xml:space="preserve">) de tous les nouveaux véhicules lourds d’un sous-groupe </w:t>
      </w:r>
      <w:r>
        <w:rPr>
          <w:i/>
          <w:noProof/>
        </w:rPr>
        <w:t>sg</w:t>
      </w:r>
      <w:r>
        <w:rPr>
          <w:noProof/>
        </w:rPr>
        <w:t xml:space="preserve"> sont calculées comme suit:</w:t>
      </w:r>
    </w:p>
    <w:p w:rsidR="00551955" w:rsidRDefault="00E33ED2">
      <w:pPr>
        <w:pStyle w:val="Text3"/>
        <w:rPr>
          <w:noProof/>
        </w:rPr>
      </w:pPr>
      <m:oMathPara>
        <m:oMath>
          <m:sSub>
            <m:sSubPr>
              <m:ctrlPr>
                <w:rPr>
                  <w:rFonts w:ascii="Cambria Math" w:hAnsi="Cambria Math"/>
                  <w:noProof/>
                </w:rPr>
              </m:ctrlPr>
            </m:sSubPr>
            <m:e>
              <m:r>
                <w:rPr>
                  <w:rFonts w:ascii="Cambria Math" w:hAnsi="Cambria Math"/>
                  <w:noProof/>
                </w:rPr>
                <m:t>avgCO</m:t>
              </m:r>
              <m:r>
                <m:rPr>
                  <m:sty m:val="p"/>
                </m:rPr>
                <w:rPr>
                  <w:rFonts w:ascii="Cambria Math" w:hAnsi="Cambria Math"/>
                  <w:noProof/>
                </w:rPr>
                <m:t>2</m:t>
              </m:r>
            </m:e>
            <m:sub>
              <m:r>
                <w:rPr>
                  <w:rFonts w:ascii="Cambria Math" w:hAnsi="Cambria Math"/>
                  <w:noProof/>
                </w:rPr>
                <m:t>sg</m:t>
              </m:r>
            </m:sub>
          </m:sSub>
          <m:r>
            <m:rPr>
              <m:sty m:val="p"/>
            </m:rPr>
            <w:rPr>
              <w:rFonts w:ascii="Cambria Math" w:hAnsi="Cambria Math"/>
              <w:noProof/>
            </w:rPr>
            <m:t>=</m:t>
          </m:r>
          <m:f>
            <m:fPr>
              <m:ctrlPr>
                <w:rPr>
                  <w:rFonts w:ascii="Cambria Math" w:hAnsi="Cambria Math"/>
                  <w:noProof/>
                </w:rPr>
              </m:ctrlPr>
            </m:fPr>
            <m:num>
              <m:nary>
                <m:naryPr>
                  <m:chr m:val="∑"/>
                  <m:limLoc m:val="undOvr"/>
                  <m:supHide m:val="1"/>
                  <m:ctrlPr>
                    <w:rPr>
                      <w:rFonts w:ascii="Cambria Math" w:hAnsi="Cambria Math"/>
                      <w:noProof/>
                    </w:rPr>
                  </m:ctrlPr>
                </m:naryPr>
                <m:sub>
                  <m:r>
                    <w:rPr>
                      <w:rFonts w:ascii="Cambria Math" w:hAnsi="Cambria Math"/>
                      <w:noProof/>
                    </w:rPr>
                    <m:t>v</m:t>
                  </m:r>
                </m:sub>
                <m:sup/>
                <m:e>
                  <m:sSub>
                    <m:sSubPr>
                      <m:ctrlPr>
                        <w:rPr>
                          <w:rFonts w:ascii="Cambria Math" w:hAnsi="Cambria Math"/>
                          <w:noProof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noProof/>
                        </w:rPr>
                        <m:t>CO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noProof/>
                        </w:rPr>
                        <m:t>2</m:t>
                      </m:r>
                    </m:e>
                    <m:sub>
                      <m:r>
                        <w:rPr>
                          <w:rFonts w:ascii="Cambria Math" w:hAnsi="Cambria Math"/>
                          <w:noProof/>
                        </w:rPr>
                        <m:t>v</m:t>
                      </m:r>
                    </m:sub>
                  </m:sSub>
                </m:e>
              </m:nary>
            </m:num>
            <m:den>
              <m:sSub>
                <m:sSubPr>
                  <m:ctrlPr>
                    <w:rPr>
                      <w:rFonts w:ascii="Cambria Math" w:hAnsi="Cambria Math"/>
                      <w:noProof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  <w:noProof/>
                    </w:rPr>
                    <m:t>sg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noProof/>
                </w:rPr>
                <m:t xml:space="preserve"> × </m:t>
              </m:r>
              <m:sSub>
                <m:sSubPr>
                  <m:ctrlPr>
                    <w:rPr>
                      <w:rFonts w:ascii="Cambria Math" w:eastAsiaTheme="minorEastAsia" w:hAnsi="Cambria Math"/>
                      <w:noProof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noProof/>
                    </w:rPr>
                    <m:t>PL</m:t>
                  </m:r>
                </m:e>
                <m:sub>
                  <m:r>
                    <w:rPr>
                      <w:rFonts w:ascii="Cambria Math" w:eastAsiaTheme="minorEastAsia" w:hAnsi="Cambria Math"/>
                      <w:noProof/>
                    </w:rPr>
                    <m:t>sg</m:t>
                  </m:r>
                </m:sub>
              </m:sSub>
            </m:den>
          </m:f>
        </m:oMath>
      </m:oMathPara>
    </w:p>
    <w:p w:rsidR="00551955" w:rsidRDefault="00E33ED2">
      <w:pPr>
        <w:ind w:left="850"/>
        <w:rPr>
          <w:noProof/>
        </w:rPr>
      </w:pPr>
      <w:r>
        <w:rPr>
          <w:noProof/>
        </w:rPr>
        <w:t>où</w:t>
      </w:r>
    </w:p>
    <w:p w:rsidR="00551955" w:rsidRDefault="00E33ED2">
      <w:pPr>
        <w:ind w:left="2155" w:hanging="1304"/>
        <w:rPr>
          <w:noProof/>
        </w:rPr>
      </w:pPr>
      <m:oMath>
        <m:nary>
          <m:naryPr>
            <m:chr m:val="∑"/>
            <m:limLoc m:val="undOvr"/>
            <m:subHide m:val="1"/>
            <m:supHide m:val="1"/>
            <m:ctrlPr>
              <w:rPr>
                <w:rFonts w:ascii="Cambria Math" w:hAnsi="Cambria Math"/>
                <w:noProof/>
              </w:rPr>
            </m:ctrlPr>
          </m:naryPr>
          <m:sub/>
          <m:sup/>
          <m:e>
            <m:r>
              <w:rPr>
                <w:rFonts w:ascii="Cambria Math" w:hAnsi="Cambria Math"/>
                <w:noProof/>
              </w:rPr>
              <m:t>v</m:t>
            </m:r>
          </m:e>
        </m:nary>
      </m:oMath>
      <w:r>
        <w:rPr>
          <w:noProof/>
        </w:rPr>
        <w:tab/>
        <w:t>est</w:t>
      </w:r>
      <w:r>
        <w:rPr>
          <w:noProof/>
        </w:rPr>
        <w:t xml:space="preserve"> la sommation sur l’ensemble des nouveaux véhicules lourds du constructeur dans le sous-groupe </w:t>
      </w:r>
      <w:r>
        <w:rPr>
          <w:i/>
          <w:noProof/>
        </w:rPr>
        <w:t>sg</w:t>
      </w:r>
      <w:r>
        <w:rPr>
          <w:noProof/>
        </w:rPr>
        <w:t xml:space="preserve">, à l’exclusion de tous les véhicules professionnels conformément à l’article 4, point a). </w:t>
      </w:r>
    </w:p>
    <w:p w:rsidR="00551955" w:rsidRDefault="00E33ED2">
      <w:pPr>
        <w:ind w:left="2155" w:hanging="1305"/>
        <w:rPr>
          <w:noProof/>
          <w:vertAlign w:val="subscript"/>
        </w:rPr>
      </w:pPr>
      <w:r>
        <w:rPr>
          <w:noProof/>
        </w:rPr>
        <w:t>CO2</w:t>
      </w:r>
      <w:r>
        <w:rPr>
          <w:noProof/>
          <w:vertAlign w:val="subscript"/>
        </w:rPr>
        <w:t>v</w:t>
      </w:r>
      <w:r>
        <w:rPr>
          <w:noProof/>
        </w:rPr>
        <w:tab/>
        <w:t>correspond aux émissions de CO</w:t>
      </w:r>
      <w:r>
        <w:rPr>
          <w:noProof/>
          <w:vertAlign w:val="subscript"/>
        </w:rPr>
        <w:t>2</w:t>
      </w:r>
      <w:r>
        <w:rPr>
          <w:noProof/>
        </w:rPr>
        <w:t xml:space="preserve"> spécifiques d’un nouveau véhic</w:t>
      </w:r>
      <w:r>
        <w:rPr>
          <w:noProof/>
        </w:rPr>
        <w:t xml:space="preserve">ule lourd </w:t>
      </w:r>
      <w:r>
        <w:rPr>
          <w:i/>
          <w:noProof/>
        </w:rPr>
        <w:t>v</w:t>
      </w:r>
      <w:r>
        <w:rPr>
          <w:noProof/>
        </w:rPr>
        <w:t xml:space="preserve"> déterminées conformément au point 2.1;</w:t>
      </w:r>
    </w:p>
    <w:p w:rsidR="00551955" w:rsidRDefault="00E33ED2">
      <w:pPr>
        <w:ind w:left="2155" w:hanging="1304"/>
        <w:rPr>
          <w:noProof/>
        </w:rPr>
      </w:pPr>
      <w:r>
        <w:rPr>
          <w:noProof/>
        </w:rPr>
        <w:t>V</w:t>
      </w:r>
      <w:r>
        <w:rPr>
          <w:noProof/>
          <w:vertAlign w:val="subscript"/>
        </w:rPr>
        <w:t>sg</w:t>
      </w:r>
      <w:r>
        <w:rPr>
          <w:noProof/>
        </w:rPr>
        <w:tab/>
        <w:t xml:space="preserve">est le nombre de nouveaux véhicules lourds du constructeur dans le sous-groupe </w:t>
      </w:r>
      <w:r>
        <w:rPr>
          <w:i/>
          <w:noProof/>
        </w:rPr>
        <w:t>sg</w:t>
      </w:r>
      <w:r>
        <w:rPr>
          <w:noProof/>
        </w:rPr>
        <w:t xml:space="preserve">, à l’exclusion de tous les véhicules professionnels conformément à l’article 4, point a);  </w:t>
      </w:r>
    </w:p>
    <w:p w:rsidR="00551955" w:rsidRDefault="00E33ED2">
      <w:pPr>
        <w:spacing w:before="0" w:after="0"/>
        <w:ind w:left="2155" w:hanging="1305"/>
        <w:rPr>
          <w:noProof/>
          <w:szCs w:val="24"/>
        </w:rPr>
      </w:pPr>
      <w:r>
        <w:rPr>
          <w:i/>
          <w:noProof/>
        </w:rPr>
        <w:t>PL</w:t>
      </w:r>
      <w:r>
        <w:rPr>
          <w:i/>
          <w:noProof/>
          <w:vertAlign w:val="subscript"/>
        </w:rPr>
        <w:t>sg</w:t>
      </w:r>
      <w:r>
        <w:rPr>
          <w:noProof/>
        </w:rPr>
        <w:tab/>
        <w:t>est la charge utile mo</w:t>
      </w:r>
      <w:r>
        <w:rPr>
          <w:noProof/>
        </w:rPr>
        <w:t xml:space="preserve">yenne des véhicules du sous-groupe </w:t>
      </w:r>
      <w:r>
        <w:rPr>
          <w:i/>
          <w:noProof/>
        </w:rPr>
        <w:t xml:space="preserve">sg </w:t>
      </w:r>
      <w:r>
        <w:rPr>
          <w:noProof/>
        </w:rPr>
        <w:t>, telle que déterminée au point 2.5.</w:t>
      </w:r>
    </w:p>
    <w:p w:rsidR="00551955" w:rsidRDefault="00551955">
      <w:pPr>
        <w:ind w:left="2155" w:hanging="1304"/>
        <w:rPr>
          <w:noProof/>
        </w:rPr>
      </w:pPr>
    </w:p>
    <w:p w:rsidR="00551955" w:rsidRDefault="00E33ED2">
      <w:pPr>
        <w:pStyle w:val="Heading2"/>
        <w:numPr>
          <w:ilvl w:val="1"/>
          <w:numId w:val="10"/>
        </w:numPr>
        <w:rPr>
          <w:noProof/>
        </w:rPr>
      </w:pPr>
      <w:r>
        <w:rPr>
          <w:noProof/>
        </w:rPr>
        <w:t>Calcul du facteur d’émission nulle et de faibles émissions visé à l’article 5</w:t>
      </w:r>
    </w:p>
    <w:p w:rsidR="00551955" w:rsidRDefault="00E33ED2">
      <w:pPr>
        <w:ind w:left="850"/>
        <w:rPr>
          <w:noProof/>
        </w:rPr>
      </w:pPr>
      <w:r>
        <w:rPr>
          <w:noProof/>
        </w:rPr>
        <w:t>Pour chaque constructeur et chaque année civile, le facteur d’émission nulle et de faibles émissions (</w:t>
      </w:r>
      <w:r>
        <w:rPr>
          <w:noProof/>
        </w:rPr>
        <w:t>ZLEV) visé à l’article 5 est calculé de la manière suivante:</w:t>
      </w:r>
    </w:p>
    <w:p w:rsidR="00551955" w:rsidRDefault="00E33ED2">
      <w:pPr>
        <w:spacing w:before="0" w:after="200" w:line="276" w:lineRule="auto"/>
        <w:ind w:left="130" w:firstLine="720"/>
        <w:jc w:val="left"/>
        <w:rPr>
          <w:i/>
          <w:noProof/>
          <w:sz w:val="22"/>
        </w:rPr>
      </w:pPr>
      <w:r>
        <w:rPr>
          <w:i/>
          <w:noProof/>
          <w:sz w:val="22"/>
        </w:rPr>
        <w:t xml:space="preserve">ZLEV = </w:t>
      </w:r>
      <w:r>
        <w:rPr>
          <w:i/>
          <w:noProof/>
        </w:rPr>
        <w:t>V</w:t>
      </w:r>
      <w:r>
        <w:rPr>
          <w:i/>
          <w:noProof/>
          <w:sz w:val="22"/>
        </w:rPr>
        <w:t xml:space="preserve"> / </w:t>
      </w:r>
      <w:r>
        <w:rPr>
          <w:i/>
          <w:noProof/>
        </w:rPr>
        <w:t xml:space="preserve">(Vconv + Vzlev)  </w:t>
      </w:r>
      <w:r>
        <w:rPr>
          <w:noProof/>
        </w:rPr>
        <w:tab/>
      </w:r>
      <w:r>
        <w:rPr>
          <w:i/>
          <w:noProof/>
        </w:rPr>
        <w:t xml:space="preserve"> avec un minimum de 0,97</w:t>
      </w:r>
    </w:p>
    <w:p w:rsidR="00551955" w:rsidRDefault="00E33ED2">
      <w:pPr>
        <w:spacing w:before="0" w:after="200" w:line="276" w:lineRule="auto"/>
        <w:ind w:left="130" w:firstLine="720"/>
        <w:jc w:val="left"/>
        <w:rPr>
          <w:noProof/>
          <w:sz w:val="22"/>
        </w:rPr>
      </w:pPr>
      <w:r>
        <w:rPr>
          <w:noProof/>
          <w:sz w:val="22"/>
        </w:rPr>
        <w:t>où:</w:t>
      </w:r>
    </w:p>
    <w:p w:rsidR="00551955" w:rsidRDefault="00E33ED2">
      <w:pPr>
        <w:ind w:left="2155" w:hanging="1305"/>
        <w:rPr>
          <w:i/>
          <w:noProof/>
        </w:rPr>
      </w:pPr>
      <w:r>
        <w:rPr>
          <w:noProof/>
        </w:rPr>
        <w:t>V</w:t>
      </w:r>
      <w:r>
        <w:rPr>
          <w:noProof/>
        </w:rPr>
        <w:tab/>
      </w:r>
      <w:r>
        <w:rPr>
          <w:noProof/>
        </w:rPr>
        <w:t xml:space="preserve">est le nombre de nouveaux véhicules lourds du constructeur, à l’exclusion de tous les véhicules professionnels conformément à l’article 4, point a). </w:t>
      </w:r>
    </w:p>
    <w:p w:rsidR="00551955" w:rsidRDefault="00E33ED2">
      <w:pPr>
        <w:ind w:left="2155" w:hanging="1305"/>
        <w:rPr>
          <w:noProof/>
        </w:rPr>
      </w:pPr>
      <w:r>
        <w:rPr>
          <w:i/>
          <w:noProof/>
        </w:rPr>
        <w:t>Vconv</w:t>
      </w:r>
      <w:r>
        <w:rPr>
          <w:noProof/>
        </w:rPr>
        <w:tab/>
        <w:t>est le nombre de nouveaux véhicules lourds du constructeur, à l’exclusion de tous les véhicules prof</w:t>
      </w:r>
      <w:r>
        <w:rPr>
          <w:noProof/>
        </w:rPr>
        <w:t xml:space="preserve">essionnels conformément à l’article 4, point a) et à l’exclusion des véhicules à émission nulle et à faibles émissions;   </w:t>
      </w:r>
    </w:p>
    <w:p w:rsidR="00551955" w:rsidRDefault="00E33ED2">
      <w:pPr>
        <w:ind w:left="850"/>
        <w:rPr>
          <w:i/>
          <w:noProof/>
          <w:sz w:val="22"/>
          <w:vertAlign w:val="subscript"/>
        </w:rPr>
      </w:pPr>
      <w:r>
        <w:rPr>
          <w:i/>
          <w:noProof/>
          <w:sz w:val="22"/>
        </w:rPr>
        <w:t>Vzlev</w:t>
      </w:r>
      <w:r>
        <w:rPr>
          <w:noProof/>
        </w:rPr>
        <w:tab/>
      </w:r>
      <w:r>
        <w:rPr>
          <w:noProof/>
        </w:rPr>
        <w:tab/>
        <w:t xml:space="preserve">est la somme de </w:t>
      </w:r>
      <w:r>
        <w:rPr>
          <w:i/>
          <w:noProof/>
          <w:sz w:val="22"/>
        </w:rPr>
        <w:t>Vin</w:t>
      </w:r>
      <w:r>
        <w:rPr>
          <w:noProof/>
        </w:rPr>
        <w:t xml:space="preserve"> et de </w:t>
      </w:r>
      <w:r>
        <w:rPr>
          <w:i/>
          <w:noProof/>
          <w:sz w:val="22"/>
        </w:rPr>
        <w:t>Vout,</w:t>
      </w:r>
    </w:p>
    <w:p w:rsidR="00551955" w:rsidRDefault="00E33ED2">
      <w:pPr>
        <w:ind w:left="850"/>
        <w:rPr>
          <w:noProof/>
          <w:szCs w:val="24"/>
        </w:rPr>
      </w:pPr>
      <w:r>
        <w:rPr>
          <w:noProof/>
        </w:rPr>
        <w:tab/>
      </w:r>
      <w:r>
        <w:rPr>
          <w:noProof/>
          <w:sz w:val="22"/>
        </w:rPr>
        <w:t>où</w:t>
      </w:r>
      <w:r>
        <w:rPr>
          <w:noProof/>
        </w:rPr>
        <w:t xml:space="preserve">  </w:t>
      </w:r>
    </w:p>
    <w:p w:rsidR="00551955" w:rsidRDefault="00E33ED2">
      <w:pPr>
        <w:spacing w:before="0" w:after="200" w:line="276" w:lineRule="auto"/>
        <w:ind w:left="720" w:firstLine="720"/>
        <w:contextualSpacing/>
        <w:rPr>
          <w:noProof/>
          <w:szCs w:val="24"/>
        </w:rPr>
      </w:pPr>
      <w:r>
        <w:rPr>
          <w:noProof/>
          <w:lang w:val="en-GB" w:eastAsia="en-GB"/>
        </w:rPr>
        <w:drawing>
          <wp:inline distT="0" distB="0" distL="0" distR="0" wp14:anchorId="0D85EB5A" wp14:editId="65A29F81">
            <wp:extent cx="2562225" cy="209550"/>
            <wp:effectExtent l="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562225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51955" w:rsidRDefault="00E33ED2">
      <w:pPr>
        <w:spacing w:before="0" w:after="200" w:line="276" w:lineRule="auto"/>
        <w:ind w:left="2880"/>
        <w:contextualSpacing/>
        <w:rPr>
          <w:noProof/>
          <w:szCs w:val="24"/>
        </w:rPr>
      </w:pPr>
      <w:r>
        <w:rPr>
          <w:noProof/>
          <w:lang w:val="en-GB" w:eastAsia="en-GB"/>
        </w:rPr>
        <w:drawing>
          <wp:inline distT="0" distB="0" distL="0" distR="0" wp14:anchorId="2ACE0077" wp14:editId="3BF49E96">
            <wp:extent cx="311150" cy="15862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20556" cy="163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t xml:space="preserve"> étant la sommation sur l’ensemble des nouveaux véhicules lourds à émission nulle et </w:t>
      </w:r>
      <w:r>
        <w:rPr>
          <w:noProof/>
        </w:rPr>
        <w:t xml:space="preserve">à faibles émissions présentant les caractéristiques indiquées à l’article 2, paragraphe 1, points a) à d); </w:t>
      </w:r>
    </w:p>
    <w:p w:rsidR="00551955" w:rsidRDefault="00E33ED2">
      <w:pPr>
        <w:spacing w:before="0" w:after="200" w:line="276" w:lineRule="auto"/>
        <w:ind w:left="2880" w:hanging="1440"/>
        <w:contextualSpacing/>
        <w:rPr>
          <w:noProof/>
          <w:szCs w:val="24"/>
        </w:rPr>
      </w:pPr>
      <w:r>
        <w:rPr>
          <w:i/>
          <w:noProof/>
        </w:rPr>
        <w:t>CO2</w:t>
      </w:r>
      <w:r>
        <w:rPr>
          <w:i/>
          <w:noProof/>
          <w:vertAlign w:val="subscript"/>
        </w:rPr>
        <w:t>v</w:t>
      </w:r>
      <w:r>
        <w:rPr>
          <w:i/>
          <w:noProof/>
        </w:rPr>
        <w:t xml:space="preserve">  </w:t>
      </w:r>
      <w:r>
        <w:rPr>
          <w:noProof/>
        </w:rPr>
        <w:tab/>
        <w:t>correspond aux émissions de CO</w:t>
      </w:r>
      <w:r>
        <w:rPr>
          <w:noProof/>
          <w:vertAlign w:val="subscript"/>
        </w:rPr>
        <w:t>2</w:t>
      </w:r>
      <w:r>
        <w:rPr>
          <w:noProof/>
        </w:rPr>
        <w:t xml:space="preserve"> spécifiques en g/km d’un véhicule lourd à émission nulle et à faibles émissions </w:t>
      </w:r>
      <w:r>
        <w:rPr>
          <w:i/>
          <w:noProof/>
        </w:rPr>
        <w:t>v</w:t>
      </w:r>
      <w:r>
        <w:rPr>
          <w:noProof/>
        </w:rPr>
        <w:t xml:space="preserve"> déterminées conformément au</w:t>
      </w:r>
      <w:r>
        <w:rPr>
          <w:noProof/>
        </w:rPr>
        <w:t xml:space="preserve"> point 2.1.</w:t>
      </w:r>
    </w:p>
    <w:p w:rsidR="00551955" w:rsidRDefault="00E33ED2">
      <w:pPr>
        <w:ind w:left="2880" w:hanging="1440"/>
        <w:rPr>
          <w:noProof/>
          <w:szCs w:val="24"/>
        </w:rPr>
      </w:pPr>
      <w:r>
        <w:rPr>
          <w:i/>
          <w:noProof/>
          <w:sz w:val="22"/>
        </w:rPr>
        <w:t>Vout</w:t>
      </w:r>
      <w:r>
        <w:rPr>
          <w:noProof/>
        </w:rPr>
        <w:t xml:space="preserve"> </w:t>
      </w:r>
      <w:r>
        <w:rPr>
          <w:noProof/>
        </w:rPr>
        <w:tab/>
        <w:t xml:space="preserve">est le nombre total des véhicules lourds à émission nulle des catégories visées au deuxième alinéa de l’article 2, paragraphe 1, multiplié par 2, et avec un maximum de 1,5 % de </w:t>
      </w:r>
      <w:r>
        <w:rPr>
          <w:i/>
          <w:noProof/>
        </w:rPr>
        <w:t>Vconv.</w:t>
      </w:r>
      <w:r>
        <w:rPr>
          <w:noProof/>
        </w:rPr>
        <w:t xml:space="preserve"> </w:t>
      </w:r>
    </w:p>
    <w:p w:rsidR="00551955" w:rsidRDefault="00E33ED2">
      <w:pPr>
        <w:pStyle w:val="Heading2"/>
        <w:numPr>
          <w:ilvl w:val="1"/>
          <w:numId w:val="10"/>
        </w:numPr>
        <w:rPr>
          <w:noProof/>
        </w:rPr>
      </w:pPr>
      <w:r>
        <w:rPr>
          <w:noProof/>
        </w:rPr>
        <w:t xml:space="preserve">Calcul de la part de véhicules d’un sous-groupe d’un </w:t>
      </w:r>
      <w:r>
        <w:rPr>
          <w:noProof/>
        </w:rPr>
        <w:t>constructeur</w:t>
      </w:r>
    </w:p>
    <w:p w:rsidR="00551955" w:rsidRDefault="00E33ED2">
      <w:pPr>
        <w:ind w:left="850"/>
        <w:rPr>
          <w:noProof/>
        </w:rPr>
      </w:pPr>
      <w:r>
        <w:rPr>
          <w:noProof/>
        </w:rPr>
        <w:t xml:space="preserve">Pour chaque constructeur et chaque année civil, la part de nouveaux véhicules lourds d’un sous-groupe </w:t>
      </w:r>
      <w:r>
        <w:rPr>
          <w:i/>
          <w:noProof/>
        </w:rPr>
        <w:t>share</w:t>
      </w:r>
      <w:r>
        <w:rPr>
          <w:i/>
          <w:noProof/>
          <w:vertAlign w:val="subscript"/>
        </w:rPr>
        <w:t>sg</w:t>
      </w:r>
      <w:r>
        <w:rPr>
          <w:noProof/>
        </w:rPr>
        <w:t xml:space="preserve"> est calculée de la manière suivante:</w:t>
      </w:r>
    </w:p>
    <w:p w:rsidR="00551955" w:rsidRDefault="00E33ED2">
      <w:pPr>
        <w:rPr>
          <w:noProof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/>
                  <w:i/>
                  <w:noProof/>
                </w:rPr>
              </m:ctrlPr>
            </m:sSubPr>
            <m:e>
              <m:r>
                <w:rPr>
                  <w:rFonts w:ascii="Cambria Math" w:hAnsi="Cambria Math"/>
                  <w:noProof/>
                </w:rPr>
                <m:t>s</m:t>
              </m:r>
              <m:r>
                <w:rPr>
                  <w:rFonts w:ascii="Cambria Math" w:hAnsi="Cambria Math"/>
                  <w:noProof/>
                </w:rPr>
                <m:t>h</m:t>
              </m:r>
              <m:r>
                <w:rPr>
                  <w:rFonts w:ascii="Cambria Math" w:hAnsi="Cambria Math"/>
                  <w:noProof/>
                </w:rPr>
                <m:t>are</m:t>
              </m:r>
            </m:e>
            <m:sub>
              <m:r>
                <w:rPr>
                  <w:rFonts w:ascii="Cambria Math" w:hAnsi="Cambria Math"/>
                  <w:noProof/>
                </w:rPr>
                <m:t>sg</m:t>
              </m:r>
            </m:sub>
          </m:sSub>
          <m:r>
            <w:rPr>
              <w:rFonts w:ascii="Cambria Math" w:hAnsi="Cambria Math"/>
              <w:noProof/>
            </w:rPr>
            <m:t>=</m:t>
          </m:r>
          <m:f>
            <m:fPr>
              <m:ctrlPr>
                <w:rPr>
                  <w:rFonts w:ascii="Cambria Math" w:hAnsi="Cambria Math"/>
                  <w:i/>
                  <w:noProof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noProof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  <w:noProof/>
                    </w:rPr>
                    <m:t>sg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noProof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</w:rPr>
                    <m:t>V</m:t>
                  </m:r>
                </m:e>
                <m:sub/>
              </m:sSub>
            </m:den>
          </m:f>
        </m:oMath>
      </m:oMathPara>
    </w:p>
    <w:p w:rsidR="00551955" w:rsidRDefault="00E33ED2">
      <w:pPr>
        <w:ind w:left="850"/>
        <w:rPr>
          <w:noProof/>
        </w:rPr>
      </w:pPr>
      <w:r>
        <w:rPr>
          <w:noProof/>
        </w:rPr>
        <w:t xml:space="preserve">où </w:t>
      </w:r>
    </w:p>
    <w:p w:rsidR="00551955" w:rsidRDefault="00E33ED2">
      <w:pPr>
        <w:ind w:left="2155" w:hanging="1304"/>
        <w:rPr>
          <w:noProof/>
        </w:rPr>
      </w:pPr>
      <w:r>
        <w:rPr>
          <w:noProof/>
        </w:rPr>
        <w:t>V</w:t>
      </w:r>
      <w:r>
        <w:rPr>
          <w:noProof/>
          <w:vertAlign w:val="subscript"/>
        </w:rPr>
        <w:t>sg</w:t>
      </w:r>
      <w:r>
        <w:rPr>
          <w:noProof/>
        </w:rPr>
        <w:tab/>
        <w:t>est le nombre de nouveaux véhicules lourds du constructeur dans u</w:t>
      </w:r>
      <w:r>
        <w:rPr>
          <w:noProof/>
        </w:rPr>
        <w:t xml:space="preserve">n sous-groupe </w:t>
      </w:r>
      <w:r>
        <w:rPr>
          <w:i/>
          <w:noProof/>
        </w:rPr>
        <w:t>sg</w:t>
      </w:r>
      <w:r>
        <w:rPr>
          <w:noProof/>
        </w:rPr>
        <w:t xml:space="preserve">, à l’exclusion de tous les véhicules professionnels conformément à l’article 4, point a);  </w:t>
      </w:r>
    </w:p>
    <w:p w:rsidR="00551955" w:rsidRDefault="00E33ED2">
      <w:pPr>
        <w:ind w:left="2155" w:hanging="1305"/>
        <w:rPr>
          <w:i/>
          <w:noProof/>
        </w:rPr>
      </w:pPr>
      <w:r>
        <w:rPr>
          <w:noProof/>
        </w:rPr>
        <w:t>V</w:t>
      </w:r>
      <w:r>
        <w:rPr>
          <w:noProof/>
        </w:rPr>
        <w:tab/>
        <w:t>est le nombre de nouveaux véhicules lourds du constructeur à l’exclusion de tous les véhicules professionnels conformément à l’article 4, point a</w:t>
      </w:r>
      <w:r>
        <w:rPr>
          <w:noProof/>
        </w:rPr>
        <w:t xml:space="preserve">). </w:t>
      </w:r>
    </w:p>
    <w:p w:rsidR="00551955" w:rsidRDefault="00E33ED2">
      <w:pPr>
        <w:pStyle w:val="Heading2"/>
        <w:numPr>
          <w:ilvl w:val="1"/>
          <w:numId w:val="10"/>
        </w:numPr>
        <w:rPr>
          <w:noProof/>
        </w:rPr>
      </w:pPr>
      <w:r>
        <w:rPr>
          <w:noProof/>
        </w:rPr>
        <w:t xml:space="preserve">Calcul des valeurs de charge utile moyenne de tous les véhicules d’un sous-groupe </w:t>
      </w:r>
    </w:p>
    <w:p w:rsidR="00551955" w:rsidRDefault="00E33ED2">
      <w:pPr>
        <w:keepNext/>
        <w:ind w:left="850"/>
        <w:outlineLvl w:val="1"/>
        <w:rPr>
          <w:rFonts w:eastAsiaTheme="majorEastAsia"/>
          <w:bCs/>
          <w:noProof/>
          <w:szCs w:val="26"/>
        </w:rPr>
      </w:pPr>
      <w:r>
        <w:rPr>
          <w:noProof/>
        </w:rPr>
        <w:t xml:space="preserve">La valeur de charge utile moyenne </w:t>
      </w:r>
      <w:r>
        <w:rPr>
          <w:rFonts w:eastAsiaTheme="majorEastAsia"/>
          <w:i/>
          <w:noProof/>
        </w:rPr>
        <w:t>PL</w:t>
      </w:r>
      <w:r>
        <w:rPr>
          <w:rFonts w:eastAsiaTheme="majorEastAsia"/>
          <w:i/>
          <w:noProof/>
          <w:vertAlign w:val="subscript"/>
        </w:rPr>
        <w:t>sg</w:t>
      </w:r>
      <w:r>
        <w:rPr>
          <w:noProof/>
        </w:rPr>
        <w:t xml:space="preserve"> d’un véhicule dans un sous-groupe </w:t>
      </w:r>
      <w:r>
        <w:rPr>
          <w:rFonts w:eastAsiaTheme="majorEastAsia"/>
          <w:i/>
          <w:noProof/>
        </w:rPr>
        <w:t>sg</w:t>
      </w:r>
      <w:r>
        <w:rPr>
          <w:noProof/>
        </w:rPr>
        <w:t xml:space="preserve"> est calculée de la manière suivante:</w:t>
      </w:r>
    </w:p>
    <w:p w:rsidR="00551955" w:rsidRDefault="00E33ED2">
      <w:pPr>
        <w:ind w:left="850"/>
        <w:rPr>
          <w:noProof/>
          <w:sz w:val="20"/>
          <w:szCs w:val="20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noProof/>
                  <w:sz w:val="20"/>
                  <w:szCs w:val="20"/>
                </w:rPr>
              </m:ctrlPr>
            </m:sSubPr>
            <m:e>
              <m:r>
                <w:rPr>
                  <w:rFonts w:ascii="Cambria Math" w:hAnsi="Cambria Math"/>
                  <w:noProof/>
                  <w:sz w:val="20"/>
                  <w:szCs w:val="20"/>
                </w:rPr>
                <m:t>PL</m:t>
              </m:r>
            </m:e>
            <m:sub>
              <m:r>
                <w:rPr>
                  <w:rFonts w:ascii="Cambria Math" w:hAnsi="Cambria Math"/>
                  <w:noProof/>
                  <w:sz w:val="20"/>
                  <w:szCs w:val="20"/>
                </w:rPr>
                <m:t>sg</m:t>
              </m:r>
            </m:sub>
          </m:sSub>
          <m:r>
            <w:rPr>
              <w:rFonts w:ascii="Cambria Math" w:hAnsi="Cambria Math"/>
              <w:noProof/>
              <w:sz w:val="20"/>
              <w:szCs w:val="20"/>
            </w:rPr>
            <m:t>=</m:t>
          </m:r>
          <m:nary>
            <m:naryPr>
              <m:chr m:val="∑"/>
              <m:limLoc m:val="undOvr"/>
              <m:supHide m:val="1"/>
              <m:ctrlPr>
                <w:rPr>
                  <w:rFonts w:ascii="Cambria Math" w:hAnsi="Cambria Math"/>
                  <w:i/>
                  <w:noProof/>
                  <w:sz w:val="20"/>
                  <w:szCs w:val="20"/>
                </w:rPr>
              </m:ctrlPr>
            </m:naryPr>
            <m:sub>
              <m:r>
                <w:rPr>
                  <w:rFonts w:ascii="Cambria Math" w:hAnsi="Cambria Math"/>
                  <w:noProof/>
                  <w:sz w:val="20"/>
                  <w:szCs w:val="20"/>
                </w:rPr>
                <m:t>mp</m:t>
              </m:r>
            </m:sub>
            <m:sup/>
            <m:e>
              <m:sSub>
                <m:sSubPr>
                  <m:ctrlPr>
                    <w:rPr>
                      <w:rFonts w:ascii="Cambria Math" w:hAnsi="Cambria Math"/>
                      <w:i/>
                      <w:noProof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 w:val="20"/>
                      <w:szCs w:val="20"/>
                    </w:rPr>
                    <m:t>W</m:t>
                  </m:r>
                </m:e>
                <m:sub>
                  <m:r>
                    <w:rPr>
                      <w:rFonts w:ascii="Cambria Math" w:hAnsi="Cambria Math"/>
                      <w:noProof/>
                      <w:sz w:val="20"/>
                      <w:szCs w:val="20"/>
                    </w:rPr>
                    <m:t>sg</m:t>
                  </m:r>
                  <m:r>
                    <w:rPr>
                      <w:rFonts w:ascii="Cambria Math" w:hAnsi="Cambria Math"/>
                      <w:noProof/>
                      <w:sz w:val="20"/>
                      <w:szCs w:val="20"/>
                    </w:rPr>
                    <m:t>,</m:t>
                  </m:r>
                  <m:r>
                    <w:rPr>
                      <w:rFonts w:ascii="Cambria Math" w:hAnsi="Cambria Math"/>
                      <w:noProof/>
                      <w:sz w:val="20"/>
                      <w:szCs w:val="20"/>
                    </w:rPr>
                    <m:t>mp</m:t>
                  </m:r>
                </m:sub>
              </m:sSub>
            </m:e>
          </m:nary>
          <m:r>
            <w:rPr>
              <w:rFonts w:ascii="Cambria Math" w:hAnsi="Cambria Math"/>
              <w:noProof/>
              <w:sz w:val="20"/>
              <w:szCs w:val="20"/>
            </w:rPr>
            <m:t>×</m:t>
          </m:r>
          <m:sSub>
            <m:sSubPr>
              <m:ctrlPr>
                <w:rPr>
                  <w:rFonts w:ascii="Cambria Math" w:hAnsi="Cambria Math"/>
                  <w:i/>
                  <w:noProof/>
                  <w:sz w:val="20"/>
                  <w:szCs w:val="20"/>
                </w:rPr>
              </m:ctrlPr>
            </m:sSubPr>
            <m:e>
              <m:r>
                <w:rPr>
                  <w:rFonts w:ascii="Cambria Math" w:hAnsi="Cambria Math"/>
                  <w:noProof/>
                  <w:sz w:val="20"/>
                  <w:szCs w:val="20"/>
                </w:rPr>
                <m:t>PL</m:t>
              </m:r>
            </m:e>
            <m:sub>
              <m:r>
                <w:rPr>
                  <w:rFonts w:ascii="Cambria Math" w:hAnsi="Cambria Math"/>
                  <w:noProof/>
                  <w:sz w:val="20"/>
                  <w:szCs w:val="20"/>
                </w:rPr>
                <m:t>sg</m:t>
              </m:r>
              <m:r>
                <w:rPr>
                  <w:rFonts w:ascii="Cambria Math" w:hAnsi="Cambria Math"/>
                  <w:noProof/>
                  <w:sz w:val="20"/>
                  <w:szCs w:val="20"/>
                </w:rPr>
                <m:t>,</m:t>
              </m:r>
              <m:r>
                <w:rPr>
                  <w:rFonts w:ascii="Cambria Math" w:hAnsi="Cambria Math"/>
                  <w:noProof/>
                  <w:sz w:val="20"/>
                  <w:szCs w:val="20"/>
                </w:rPr>
                <m:t>mp</m:t>
              </m:r>
            </m:sub>
          </m:sSub>
        </m:oMath>
      </m:oMathPara>
    </w:p>
    <w:p w:rsidR="00551955" w:rsidRDefault="00551955">
      <w:pPr>
        <w:contextualSpacing/>
        <w:rPr>
          <w:i/>
          <w:noProof/>
        </w:rPr>
      </w:pPr>
    </w:p>
    <w:p w:rsidR="00551955" w:rsidRDefault="00E33ED2">
      <w:pPr>
        <w:ind w:left="1440"/>
        <w:contextualSpacing/>
        <w:rPr>
          <w:noProof/>
        </w:rPr>
      </w:pPr>
      <w:r>
        <w:rPr>
          <w:noProof/>
        </w:rPr>
        <w:t>où</w:t>
      </w:r>
    </w:p>
    <w:p w:rsidR="00551955" w:rsidRDefault="00E33ED2">
      <w:pPr>
        <w:spacing w:before="20" w:after="20"/>
        <w:ind w:left="1440"/>
        <w:contextualSpacing/>
        <w:rPr>
          <w:i/>
          <w:noProof/>
        </w:rPr>
      </w:pPr>
      <m:oMath>
        <m:nary>
          <m:naryPr>
            <m:chr m:val="∑"/>
            <m:limLoc m:val="undOvr"/>
            <m:supHide m:val="1"/>
            <m:ctrlPr>
              <w:rPr>
                <w:rFonts w:ascii="Cambria Math" w:hAnsi="Cambria Math"/>
                <w:i/>
                <w:noProof/>
                <w:sz w:val="20"/>
                <w:szCs w:val="20"/>
              </w:rPr>
            </m:ctrlPr>
          </m:naryPr>
          <m:sub>
            <m:r>
              <w:rPr>
                <w:rFonts w:ascii="Cambria Math" w:hAnsi="Cambria Math"/>
                <w:noProof/>
                <w:sz w:val="20"/>
                <w:szCs w:val="20"/>
              </w:rPr>
              <m:t>mp</m:t>
            </m:r>
          </m:sub>
          <m:sup/>
          <m:e/>
        </m:nary>
      </m:oMath>
      <w:r>
        <w:rPr>
          <w:noProof/>
        </w:rPr>
        <w:tab/>
      </w:r>
      <w:r>
        <w:rPr>
          <w:rFonts w:eastAsiaTheme="minorEastAsia"/>
          <w:noProof/>
          <w:sz w:val="20"/>
        </w:rPr>
        <w:t xml:space="preserve">est </w:t>
      </w:r>
      <w:r>
        <w:rPr>
          <w:noProof/>
        </w:rPr>
        <w:t xml:space="preserve">la sommation sur l’ensemble des profils de missions </w:t>
      </w:r>
      <w:r>
        <w:rPr>
          <w:i/>
          <w:noProof/>
        </w:rPr>
        <w:t>mp</w:t>
      </w:r>
    </w:p>
    <w:p w:rsidR="00551955" w:rsidRDefault="00E33ED2">
      <w:pPr>
        <w:spacing w:before="20" w:after="20"/>
        <w:ind w:left="2160" w:hanging="720"/>
        <w:contextualSpacing/>
        <w:rPr>
          <w:i/>
          <w:noProof/>
        </w:rPr>
      </w:pPr>
      <w:r>
        <w:rPr>
          <w:noProof/>
        </w:rPr>
        <w:t>W</w:t>
      </w:r>
      <w:r>
        <w:rPr>
          <w:noProof/>
          <w:vertAlign w:val="subscript"/>
        </w:rPr>
        <w:t>sg,mp</w:t>
      </w:r>
      <w:r>
        <w:rPr>
          <w:noProof/>
        </w:rPr>
        <w:t xml:space="preserve"> est la pondération des profils de missions spécifiée dans le tableau 2, sous le point 2.1</w:t>
      </w:r>
    </w:p>
    <w:p w:rsidR="00551955" w:rsidRDefault="00E33ED2">
      <w:pPr>
        <w:spacing w:before="20" w:after="20"/>
        <w:ind w:left="2155" w:hanging="715"/>
        <w:rPr>
          <w:noProof/>
        </w:rPr>
      </w:pPr>
      <w:r>
        <w:rPr>
          <w:i/>
          <w:noProof/>
        </w:rPr>
        <w:t>PL</w:t>
      </w:r>
      <w:r>
        <w:rPr>
          <w:i/>
          <w:noProof/>
          <w:vertAlign w:val="subscript"/>
        </w:rPr>
        <w:t>sg,mp</w:t>
      </w:r>
      <w:r>
        <w:rPr>
          <w:noProof/>
        </w:rPr>
        <w:tab/>
        <w:t xml:space="preserve">est la valeur de charge utile attribuée aux véhicules du sous-groupe </w:t>
      </w:r>
      <w:r>
        <w:rPr>
          <w:i/>
          <w:noProof/>
        </w:rPr>
        <w:t>sg</w:t>
      </w:r>
      <w:r>
        <w:rPr>
          <w:noProof/>
        </w:rPr>
        <w:t xml:space="preserve"> pour le profil de missio</w:t>
      </w:r>
      <w:r>
        <w:rPr>
          <w:noProof/>
        </w:rPr>
        <w:t xml:space="preserve">ns </w:t>
      </w:r>
      <w:r>
        <w:rPr>
          <w:i/>
          <w:noProof/>
        </w:rPr>
        <w:t>mp</w:t>
      </w:r>
      <w:r>
        <w:rPr>
          <w:noProof/>
        </w:rPr>
        <w:t>, comme spécifié dans le tableau 3.</w:t>
      </w:r>
    </w:p>
    <w:p w:rsidR="00551955" w:rsidRDefault="00551955">
      <w:pPr>
        <w:ind w:left="720" w:firstLine="720"/>
        <w:contextualSpacing/>
        <w:rPr>
          <w:noProof/>
        </w:rPr>
      </w:pPr>
    </w:p>
    <w:p w:rsidR="00551955" w:rsidRDefault="00E33ED2">
      <w:pPr>
        <w:ind w:left="2155" w:hanging="1305"/>
        <w:rPr>
          <w:b/>
          <w:noProof/>
        </w:rPr>
      </w:pPr>
      <w:r>
        <w:rPr>
          <w:b/>
          <w:noProof/>
        </w:rPr>
        <w:t xml:space="preserve">Tableau 3 - Valeurs de charge utile </w:t>
      </w:r>
      <w:r>
        <w:rPr>
          <w:b/>
          <w:noProof/>
          <w:sz w:val="22"/>
        </w:rPr>
        <w:t xml:space="preserve"> PL</w:t>
      </w:r>
      <w:r>
        <w:rPr>
          <w:b/>
          <w:noProof/>
          <w:sz w:val="22"/>
          <w:vertAlign w:val="subscript"/>
        </w:rPr>
        <w:t xml:space="preserve"> sg, mp</w:t>
      </w:r>
      <w:r>
        <w:rPr>
          <w:b/>
          <w:noProof/>
          <w:sz w:val="22"/>
        </w:rPr>
        <w:t xml:space="preserve"> (en tonnes)</w:t>
      </w:r>
    </w:p>
    <w:tbl>
      <w:tblPr>
        <w:tblStyle w:val="TableGrid2"/>
        <w:tblW w:w="8365" w:type="dxa"/>
        <w:tblInd w:w="-34" w:type="dxa"/>
        <w:tblLook w:val="04A0" w:firstRow="1" w:lastRow="0" w:firstColumn="1" w:lastColumn="0" w:noHBand="0" w:noVBand="1"/>
      </w:tblPr>
      <w:tblGrid>
        <w:gridCol w:w="1276"/>
        <w:gridCol w:w="709"/>
        <w:gridCol w:w="709"/>
        <w:gridCol w:w="709"/>
        <w:gridCol w:w="708"/>
        <w:gridCol w:w="709"/>
        <w:gridCol w:w="709"/>
        <w:gridCol w:w="709"/>
        <w:gridCol w:w="709"/>
        <w:gridCol w:w="709"/>
        <w:gridCol w:w="709"/>
      </w:tblGrid>
      <w:tr w:rsidR="00551955">
        <w:tc>
          <w:tcPr>
            <w:tcW w:w="1276" w:type="dxa"/>
            <w:vMerge w:val="restart"/>
          </w:tcPr>
          <w:p w:rsidR="00551955" w:rsidRDefault="00E33ED2">
            <w:pPr>
              <w:spacing w:before="0" w:after="0"/>
              <w:jc w:val="center"/>
              <w:rPr>
                <w:b/>
                <w:noProof/>
                <w:sz w:val="22"/>
              </w:rPr>
            </w:pPr>
            <w:r>
              <w:rPr>
                <w:b/>
                <w:noProof/>
                <w:sz w:val="22"/>
              </w:rPr>
              <w:t xml:space="preserve">Sous-groupe de véhicules </w:t>
            </w:r>
            <w:r>
              <w:rPr>
                <w:b/>
                <w:i/>
                <w:noProof/>
                <w:sz w:val="22"/>
              </w:rPr>
              <w:t xml:space="preserve"> sg</w:t>
            </w:r>
          </w:p>
        </w:tc>
        <w:tc>
          <w:tcPr>
            <w:tcW w:w="7089" w:type="dxa"/>
            <w:gridSpan w:val="10"/>
          </w:tcPr>
          <w:p w:rsidR="00551955" w:rsidRDefault="00E33ED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 xml:space="preserve">Profil de missions </w:t>
            </w:r>
            <w:r>
              <w:rPr>
                <w:b/>
                <w:i/>
                <w:noProof/>
                <w:vertAlign w:val="superscript"/>
              </w:rPr>
              <w:t>1</w:t>
            </w:r>
            <w:r>
              <w:rPr>
                <w:b/>
                <w:noProof/>
              </w:rPr>
              <w:t xml:space="preserve"> </w:t>
            </w:r>
            <w:r>
              <w:rPr>
                <w:b/>
                <w:i/>
                <w:noProof/>
              </w:rPr>
              <w:t>mp</w:t>
            </w:r>
            <w:r>
              <w:rPr>
                <w:b/>
                <w:noProof/>
              </w:rPr>
              <w:t xml:space="preserve"> </w:t>
            </w:r>
          </w:p>
        </w:tc>
      </w:tr>
      <w:tr w:rsidR="00551955">
        <w:tc>
          <w:tcPr>
            <w:tcW w:w="1276" w:type="dxa"/>
            <w:vMerge/>
          </w:tcPr>
          <w:p w:rsidR="00551955" w:rsidRDefault="00551955">
            <w:pPr>
              <w:spacing w:before="0" w:after="0"/>
              <w:jc w:val="center"/>
              <w:rPr>
                <w:b/>
                <w:noProof/>
                <w:sz w:val="22"/>
              </w:rPr>
            </w:pPr>
          </w:p>
        </w:tc>
        <w:tc>
          <w:tcPr>
            <w:tcW w:w="709" w:type="dxa"/>
          </w:tcPr>
          <w:p w:rsidR="00551955" w:rsidRDefault="00E33ED2">
            <w:pPr>
              <w:spacing w:before="0" w:after="0"/>
              <w:contextualSpacing/>
              <w:jc w:val="left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RDL</w:t>
            </w:r>
          </w:p>
        </w:tc>
        <w:tc>
          <w:tcPr>
            <w:tcW w:w="709" w:type="dxa"/>
          </w:tcPr>
          <w:p w:rsidR="00551955" w:rsidRDefault="00E33ED2">
            <w:pPr>
              <w:spacing w:before="0" w:after="0"/>
              <w:contextualSpacing/>
              <w:jc w:val="left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RDR</w:t>
            </w:r>
          </w:p>
        </w:tc>
        <w:tc>
          <w:tcPr>
            <w:tcW w:w="709" w:type="dxa"/>
          </w:tcPr>
          <w:p w:rsidR="00551955" w:rsidRDefault="00E33ED2">
            <w:pPr>
              <w:spacing w:before="0" w:after="0"/>
              <w:contextualSpacing/>
              <w:jc w:val="left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LHL</w:t>
            </w:r>
          </w:p>
        </w:tc>
        <w:tc>
          <w:tcPr>
            <w:tcW w:w="708" w:type="dxa"/>
          </w:tcPr>
          <w:p w:rsidR="00551955" w:rsidRDefault="00E33ED2">
            <w:pPr>
              <w:spacing w:before="0" w:after="0"/>
              <w:contextualSpacing/>
              <w:jc w:val="left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LHR</w:t>
            </w:r>
          </w:p>
        </w:tc>
        <w:tc>
          <w:tcPr>
            <w:tcW w:w="709" w:type="dxa"/>
          </w:tcPr>
          <w:p w:rsidR="00551955" w:rsidRDefault="00E33ED2">
            <w:pPr>
              <w:spacing w:before="0" w:after="0"/>
              <w:contextualSpacing/>
              <w:jc w:val="left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UDL</w:t>
            </w:r>
          </w:p>
        </w:tc>
        <w:tc>
          <w:tcPr>
            <w:tcW w:w="709" w:type="dxa"/>
          </w:tcPr>
          <w:p w:rsidR="00551955" w:rsidRDefault="00E33ED2">
            <w:pPr>
              <w:spacing w:before="0" w:after="0"/>
              <w:contextualSpacing/>
              <w:jc w:val="left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UDR</w:t>
            </w:r>
          </w:p>
        </w:tc>
        <w:tc>
          <w:tcPr>
            <w:tcW w:w="709" w:type="dxa"/>
          </w:tcPr>
          <w:p w:rsidR="00551955" w:rsidRDefault="00E33ED2">
            <w:pPr>
              <w:spacing w:before="0" w:after="0"/>
              <w:contextualSpacing/>
              <w:jc w:val="left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REL</w:t>
            </w:r>
          </w:p>
        </w:tc>
        <w:tc>
          <w:tcPr>
            <w:tcW w:w="709" w:type="dxa"/>
          </w:tcPr>
          <w:p w:rsidR="00551955" w:rsidRDefault="00E33ED2">
            <w:pPr>
              <w:spacing w:before="0" w:after="0"/>
              <w:contextualSpacing/>
              <w:jc w:val="left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RER</w:t>
            </w:r>
          </w:p>
        </w:tc>
        <w:tc>
          <w:tcPr>
            <w:tcW w:w="709" w:type="dxa"/>
          </w:tcPr>
          <w:p w:rsidR="00551955" w:rsidRDefault="00E33ED2">
            <w:pPr>
              <w:spacing w:before="0" w:after="0"/>
              <w:contextualSpacing/>
              <w:jc w:val="left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LEL</w:t>
            </w:r>
          </w:p>
        </w:tc>
        <w:tc>
          <w:tcPr>
            <w:tcW w:w="709" w:type="dxa"/>
          </w:tcPr>
          <w:p w:rsidR="00551955" w:rsidRDefault="00E33ED2">
            <w:pPr>
              <w:spacing w:before="0" w:after="0"/>
              <w:contextualSpacing/>
              <w:jc w:val="left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LER</w:t>
            </w:r>
          </w:p>
        </w:tc>
      </w:tr>
      <w:tr w:rsidR="00551955">
        <w:tc>
          <w:tcPr>
            <w:tcW w:w="1276" w:type="dxa"/>
          </w:tcPr>
          <w:p w:rsidR="00551955" w:rsidRDefault="00E33ED2">
            <w:pPr>
              <w:spacing w:before="0" w:after="0"/>
              <w:jc w:val="left"/>
              <w:rPr>
                <w:b/>
                <w:noProof/>
                <w:sz w:val="22"/>
              </w:rPr>
            </w:pPr>
            <w:r>
              <w:rPr>
                <w:b/>
                <w:noProof/>
              </w:rPr>
              <w:t>4-UD</w:t>
            </w:r>
          </w:p>
        </w:tc>
        <w:tc>
          <w:tcPr>
            <w:tcW w:w="709" w:type="dxa"/>
            <w:vMerge w:val="restart"/>
          </w:tcPr>
          <w:p w:rsidR="00551955" w:rsidRDefault="00E33ED2">
            <w:pPr>
              <w:spacing w:before="0" w:after="0"/>
              <w:jc w:val="left"/>
              <w:rPr>
                <w:noProof/>
                <w:color w:val="000000"/>
                <w:sz w:val="22"/>
              </w:rPr>
            </w:pPr>
            <w:r>
              <w:rPr>
                <w:noProof/>
                <w:color w:val="000000"/>
                <w:sz w:val="22"/>
              </w:rPr>
              <w:t>0,9</w:t>
            </w:r>
          </w:p>
          <w:p w:rsidR="00551955" w:rsidRDefault="00551955">
            <w:pPr>
              <w:spacing w:before="0" w:after="0"/>
              <w:jc w:val="left"/>
              <w:rPr>
                <w:noProof/>
                <w:sz w:val="22"/>
              </w:rPr>
            </w:pPr>
          </w:p>
        </w:tc>
        <w:tc>
          <w:tcPr>
            <w:tcW w:w="709" w:type="dxa"/>
            <w:vMerge w:val="restart"/>
          </w:tcPr>
          <w:p w:rsidR="00551955" w:rsidRDefault="00E33ED2">
            <w:pPr>
              <w:spacing w:before="0" w:after="0"/>
              <w:jc w:val="left"/>
              <w:rPr>
                <w:noProof/>
                <w:color w:val="000000"/>
                <w:sz w:val="22"/>
              </w:rPr>
            </w:pPr>
            <w:r>
              <w:rPr>
                <w:noProof/>
                <w:color w:val="000000"/>
                <w:sz w:val="22"/>
              </w:rPr>
              <w:t>4,4</w:t>
            </w:r>
          </w:p>
          <w:p w:rsidR="00551955" w:rsidRDefault="00551955">
            <w:pPr>
              <w:spacing w:before="0" w:after="0"/>
              <w:jc w:val="left"/>
              <w:rPr>
                <w:noProof/>
                <w:sz w:val="22"/>
              </w:rPr>
            </w:pPr>
          </w:p>
        </w:tc>
        <w:tc>
          <w:tcPr>
            <w:tcW w:w="709" w:type="dxa"/>
            <w:vMerge w:val="restart"/>
          </w:tcPr>
          <w:p w:rsidR="00551955" w:rsidRDefault="00E33ED2">
            <w:pPr>
              <w:spacing w:before="0" w:after="0"/>
              <w:jc w:val="left"/>
              <w:rPr>
                <w:noProof/>
                <w:sz w:val="22"/>
              </w:rPr>
            </w:pPr>
            <w:r>
              <w:rPr>
                <w:noProof/>
                <w:color w:val="000000"/>
                <w:sz w:val="22"/>
              </w:rPr>
              <w:t>1,9</w:t>
            </w:r>
          </w:p>
        </w:tc>
        <w:tc>
          <w:tcPr>
            <w:tcW w:w="708" w:type="dxa"/>
            <w:vMerge w:val="restart"/>
          </w:tcPr>
          <w:p w:rsidR="00551955" w:rsidRDefault="00E33ED2">
            <w:pPr>
              <w:spacing w:before="0" w:after="0"/>
              <w:jc w:val="left"/>
              <w:rPr>
                <w:noProof/>
                <w:sz w:val="22"/>
              </w:rPr>
            </w:pPr>
            <w:r>
              <w:rPr>
                <w:noProof/>
                <w:color w:val="000000"/>
                <w:sz w:val="22"/>
              </w:rPr>
              <w:t>14</w:t>
            </w:r>
          </w:p>
        </w:tc>
        <w:tc>
          <w:tcPr>
            <w:tcW w:w="709" w:type="dxa"/>
            <w:vMerge w:val="restart"/>
          </w:tcPr>
          <w:p w:rsidR="00551955" w:rsidRDefault="00E33ED2">
            <w:pPr>
              <w:spacing w:before="0" w:after="0"/>
              <w:contextualSpacing/>
              <w:jc w:val="left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0,9</w:t>
            </w:r>
          </w:p>
        </w:tc>
        <w:tc>
          <w:tcPr>
            <w:tcW w:w="709" w:type="dxa"/>
            <w:vMerge w:val="restart"/>
          </w:tcPr>
          <w:p w:rsidR="00551955" w:rsidRDefault="00E33ED2">
            <w:pPr>
              <w:spacing w:before="0" w:after="0"/>
              <w:contextualSpacing/>
              <w:jc w:val="left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4,4</w:t>
            </w:r>
          </w:p>
        </w:tc>
        <w:tc>
          <w:tcPr>
            <w:tcW w:w="709" w:type="dxa"/>
            <w:vMerge w:val="restart"/>
          </w:tcPr>
          <w:p w:rsidR="00551955" w:rsidRDefault="00E33ED2">
            <w:pPr>
              <w:spacing w:before="0" w:after="0"/>
              <w:contextualSpacing/>
              <w:jc w:val="left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3,5</w:t>
            </w:r>
          </w:p>
        </w:tc>
        <w:tc>
          <w:tcPr>
            <w:tcW w:w="709" w:type="dxa"/>
            <w:vMerge w:val="restart"/>
          </w:tcPr>
          <w:p w:rsidR="00551955" w:rsidRDefault="00E33ED2">
            <w:pPr>
              <w:spacing w:before="0" w:after="0"/>
              <w:contextualSpacing/>
              <w:jc w:val="left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17,5</w:t>
            </w:r>
          </w:p>
        </w:tc>
        <w:tc>
          <w:tcPr>
            <w:tcW w:w="709" w:type="dxa"/>
            <w:vMerge w:val="restart"/>
          </w:tcPr>
          <w:p w:rsidR="00551955" w:rsidRDefault="00E33ED2">
            <w:pPr>
              <w:spacing w:before="0" w:after="0"/>
              <w:contextualSpacing/>
              <w:jc w:val="left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3,5</w:t>
            </w:r>
          </w:p>
        </w:tc>
        <w:tc>
          <w:tcPr>
            <w:tcW w:w="709" w:type="dxa"/>
            <w:vMerge w:val="restart"/>
          </w:tcPr>
          <w:p w:rsidR="00551955" w:rsidRDefault="00E33ED2">
            <w:pPr>
              <w:spacing w:before="0" w:after="0"/>
              <w:contextualSpacing/>
              <w:jc w:val="left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26,5</w:t>
            </w:r>
          </w:p>
        </w:tc>
      </w:tr>
      <w:tr w:rsidR="00551955">
        <w:tc>
          <w:tcPr>
            <w:tcW w:w="1276" w:type="dxa"/>
          </w:tcPr>
          <w:p w:rsidR="00551955" w:rsidRDefault="00E33ED2">
            <w:pPr>
              <w:spacing w:before="0" w:after="0"/>
              <w:jc w:val="left"/>
              <w:rPr>
                <w:b/>
                <w:noProof/>
                <w:sz w:val="22"/>
              </w:rPr>
            </w:pPr>
            <w:r>
              <w:rPr>
                <w:b/>
                <w:noProof/>
              </w:rPr>
              <w:t>4-RD</w:t>
            </w:r>
          </w:p>
        </w:tc>
        <w:tc>
          <w:tcPr>
            <w:tcW w:w="709" w:type="dxa"/>
            <w:vMerge/>
          </w:tcPr>
          <w:p w:rsidR="00551955" w:rsidRDefault="00551955">
            <w:pPr>
              <w:spacing w:before="0" w:after="0"/>
              <w:jc w:val="left"/>
              <w:rPr>
                <w:noProof/>
                <w:color w:val="000000"/>
                <w:sz w:val="22"/>
              </w:rPr>
            </w:pPr>
          </w:p>
        </w:tc>
        <w:tc>
          <w:tcPr>
            <w:tcW w:w="709" w:type="dxa"/>
            <w:vMerge/>
          </w:tcPr>
          <w:p w:rsidR="00551955" w:rsidRDefault="00551955">
            <w:pPr>
              <w:spacing w:before="0" w:after="0"/>
              <w:jc w:val="left"/>
              <w:rPr>
                <w:noProof/>
                <w:color w:val="000000"/>
                <w:sz w:val="22"/>
              </w:rPr>
            </w:pPr>
          </w:p>
        </w:tc>
        <w:tc>
          <w:tcPr>
            <w:tcW w:w="709" w:type="dxa"/>
            <w:vMerge/>
          </w:tcPr>
          <w:p w:rsidR="00551955" w:rsidRDefault="00551955">
            <w:pPr>
              <w:spacing w:before="0" w:after="0"/>
              <w:jc w:val="left"/>
              <w:rPr>
                <w:noProof/>
                <w:color w:val="000000"/>
                <w:sz w:val="22"/>
              </w:rPr>
            </w:pPr>
          </w:p>
        </w:tc>
        <w:tc>
          <w:tcPr>
            <w:tcW w:w="708" w:type="dxa"/>
            <w:vMerge/>
          </w:tcPr>
          <w:p w:rsidR="00551955" w:rsidRDefault="00551955">
            <w:pPr>
              <w:spacing w:before="0" w:after="0"/>
              <w:jc w:val="left"/>
              <w:rPr>
                <w:noProof/>
                <w:color w:val="000000"/>
                <w:sz w:val="22"/>
              </w:rPr>
            </w:pPr>
          </w:p>
        </w:tc>
        <w:tc>
          <w:tcPr>
            <w:tcW w:w="709" w:type="dxa"/>
            <w:vMerge/>
          </w:tcPr>
          <w:p w:rsidR="00551955" w:rsidRDefault="00551955">
            <w:pPr>
              <w:spacing w:before="0" w:after="0"/>
              <w:contextualSpacing/>
              <w:jc w:val="left"/>
              <w:rPr>
                <w:noProof/>
                <w:sz w:val="22"/>
              </w:rPr>
            </w:pPr>
          </w:p>
        </w:tc>
        <w:tc>
          <w:tcPr>
            <w:tcW w:w="709" w:type="dxa"/>
            <w:vMerge/>
          </w:tcPr>
          <w:p w:rsidR="00551955" w:rsidRDefault="00551955">
            <w:pPr>
              <w:spacing w:before="0" w:after="0"/>
              <w:contextualSpacing/>
              <w:jc w:val="left"/>
              <w:rPr>
                <w:noProof/>
                <w:sz w:val="22"/>
              </w:rPr>
            </w:pPr>
          </w:p>
        </w:tc>
        <w:tc>
          <w:tcPr>
            <w:tcW w:w="709" w:type="dxa"/>
            <w:vMerge/>
          </w:tcPr>
          <w:p w:rsidR="00551955" w:rsidRDefault="00551955">
            <w:pPr>
              <w:spacing w:before="0" w:after="0"/>
              <w:contextualSpacing/>
              <w:jc w:val="left"/>
              <w:rPr>
                <w:noProof/>
                <w:sz w:val="22"/>
              </w:rPr>
            </w:pPr>
          </w:p>
        </w:tc>
        <w:tc>
          <w:tcPr>
            <w:tcW w:w="709" w:type="dxa"/>
            <w:vMerge/>
          </w:tcPr>
          <w:p w:rsidR="00551955" w:rsidRDefault="00551955">
            <w:pPr>
              <w:spacing w:before="0" w:after="0"/>
              <w:contextualSpacing/>
              <w:jc w:val="left"/>
              <w:rPr>
                <w:noProof/>
                <w:sz w:val="22"/>
              </w:rPr>
            </w:pPr>
          </w:p>
        </w:tc>
        <w:tc>
          <w:tcPr>
            <w:tcW w:w="709" w:type="dxa"/>
            <w:vMerge/>
          </w:tcPr>
          <w:p w:rsidR="00551955" w:rsidRDefault="00551955">
            <w:pPr>
              <w:spacing w:before="0" w:after="0"/>
              <w:contextualSpacing/>
              <w:jc w:val="left"/>
              <w:rPr>
                <w:noProof/>
                <w:sz w:val="22"/>
              </w:rPr>
            </w:pPr>
          </w:p>
        </w:tc>
        <w:tc>
          <w:tcPr>
            <w:tcW w:w="709" w:type="dxa"/>
            <w:vMerge/>
          </w:tcPr>
          <w:p w:rsidR="00551955" w:rsidRDefault="00551955">
            <w:pPr>
              <w:spacing w:before="0" w:after="0"/>
              <w:contextualSpacing/>
              <w:jc w:val="left"/>
              <w:rPr>
                <w:noProof/>
                <w:sz w:val="22"/>
              </w:rPr>
            </w:pPr>
          </w:p>
        </w:tc>
      </w:tr>
      <w:tr w:rsidR="00551955">
        <w:tc>
          <w:tcPr>
            <w:tcW w:w="1276" w:type="dxa"/>
          </w:tcPr>
          <w:p w:rsidR="00551955" w:rsidRDefault="00E33ED2">
            <w:pPr>
              <w:spacing w:before="0" w:after="0"/>
              <w:jc w:val="left"/>
              <w:rPr>
                <w:b/>
                <w:noProof/>
                <w:sz w:val="22"/>
              </w:rPr>
            </w:pPr>
            <w:r>
              <w:rPr>
                <w:b/>
                <w:noProof/>
              </w:rPr>
              <w:t>4-LH</w:t>
            </w:r>
          </w:p>
        </w:tc>
        <w:tc>
          <w:tcPr>
            <w:tcW w:w="709" w:type="dxa"/>
            <w:vMerge/>
          </w:tcPr>
          <w:p w:rsidR="00551955" w:rsidRDefault="00551955">
            <w:pPr>
              <w:spacing w:before="0" w:after="0"/>
              <w:jc w:val="left"/>
              <w:rPr>
                <w:noProof/>
                <w:color w:val="000000"/>
                <w:sz w:val="22"/>
              </w:rPr>
            </w:pPr>
          </w:p>
        </w:tc>
        <w:tc>
          <w:tcPr>
            <w:tcW w:w="709" w:type="dxa"/>
            <w:vMerge/>
          </w:tcPr>
          <w:p w:rsidR="00551955" w:rsidRDefault="00551955">
            <w:pPr>
              <w:spacing w:before="0" w:after="0"/>
              <w:jc w:val="left"/>
              <w:rPr>
                <w:noProof/>
                <w:color w:val="000000"/>
                <w:sz w:val="22"/>
              </w:rPr>
            </w:pPr>
          </w:p>
        </w:tc>
        <w:tc>
          <w:tcPr>
            <w:tcW w:w="709" w:type="dxa"/>
            <w:vMerge/>
          </w:tcPr>
          <w:p w:rsidR="00551955" w:rsidRDefault="00551955">
            <w:pPr>
              <w:spacing w:before="0" w:after="0"/>
              <w:jc w:val="left"/>
              <w:rPr>
                <w:noProof/>
                <w:color w:val="000000"/>
                <w:sz w:val="22"/>
              </w:rPr>
            </w:pPr>
          </w:p>
        </w:tc>
        <w:tc>
          <w:tcPr>
            <w:tcW w:w="708" w:type="dxa"/>
            <w:vMerge/>
          </w:tcPr>
          <w:p w:rsidR="00551955" w:rsidRDefault="00551955">
            <w:pPr>
              <w:spacing w:before="0" w:after="0"/>
              <w:jc w:val="left"/>
              <w:rPr>
                <w:noProof/>
                <w:color w:val="000000"/>
                <w:sz w:val="22"/>
              </w:rPr>
            </w:pPr>
          </w:p>
        </w:tc>
        <w:tc>
          <w:tcPr>
            <w:tcW w:w="709" w:type="dxa"/>
            <w:vMerge/>
          </w:tcPr>
          <w:p w:rsidR="00551955" w:rsidRDefault="00551955">
            <w:pPr>
              <w:spacing w:before="0" w:after="0"/>
              <w:contextualSpacing/>
              <w:jc w:val="left"/>
              <w:rPr>
                <w:noProof/>
                <w:sz w:val="22"/>
              </w:rPr>
            </w:pPr>
          </w:p>
        </w:tc>
        <w:tc>
          <w:tcPr>
            <w:tcW w:w="709" w:type="dxa"/>
            <w:vMerge/>
          </w:tcPr>
          <w:p w:rsidR="00551955" w:rsidRDefault="00551955">
            <w:pPr>
              <w:spacing w:before="0" w:after="0"/>
              <w:contextualSpacing/>
              <w:jc w:val="left"/>
              <w:rPr>
                <w:noProof/>
                <w:sz w:val="22"/>
              </w:rPr>
            </w:pPr>
          </w:p>
        </w:tc>
        <w:tc>
          <w:tcPr>
            <w:tcW w:w="709" w:type="dxa"/>
            <w:vMerge/>
          </w:tcPr>
          <w:p w:rsidR="00551955" w:rsidRDefault="00551955">
            <w:pPr>
              <w:spacing w:before="0" w:after="0"/>
              <w:contextualSpacing/>
              <w:jc w:val="left"/>
              <w:rPr>
                <w:noProof/>
                <w:sz w:val="22"/>
              </w:rPr>
            </w:pPr>
          </w:p>
        </w:tc>
        <w:tc>
          <w:tcPr>
            <w:tcW w:w="709" w:type="dxa"/>
            <w:vMerge/>
          </w:tcPr>
          <w:p w:rsidR="00551955" w:rsidRDefault="00551955">
            <w:pPr>
              <w:spacing w:before="0" w:after="0"/>
              <w:contextualSpacing/>
              <w:jc w:val="left"/>
              <w:rPr>
                <w:noProof/>
                <w:sz w:val="22"/>
              </w:rPr>
            </w:pPr>
          </w:p>
        </w:tc>
        <w:tc>
          <w:tcPr>
            <w:tcW w:w="709" w:type="dxa"/>
            <w:vMerge/>
          </w:tcPr>
          <w:p w:rsidR="00551955" w:rsidRDefault="00551955">
            <w:pPr>
              <w:spacing w:before="0" w:after="0"/>
              <w:contextualSpacing/>
              <w:jc w:val="left"/>
              <w:rPr>
                <w:noProof/>
                <w:sz w:val="22"/>
              </w:rPr>
            </w:pPr>
          </w:p>
        </w:tc>
        <w:tc>
          <w:tcPr>
            <w:tcW w:w="709" w:type="dxa"/>
            <w:vMerge/>
          </w:tcPr>
          <w:p w:rsidR="00551955" w:rsidRDefault="00551955">
            <w:pPr>
              <w:spacing w:before="0" w:after="0"/>
              <w:contextualSpacing/>
              <w:jc w:val="left"/>
              <w:rPr>
                <w:noProof/>
                <w:sz w:val="22"/>
              </w:rPr>
            </w:pPr>
          </w:p>
        </w:tc>
      </w:tr>
      <w:tr w:rsidR="00551955">
        <w:tc>
          <w:tcPr>
            <w:tcW w:w="1276" w:type="dxa"/>
          </w:tcPr>
          <w:p w:rsidR="00551955" w:rsidRDefault="00E33ED2">
            <w:pPr>
              <w:spacing w:before="0" w:after="0"/>
              <w:jc w:val="left"/>
              <w:rPr>
                <w:b/>
                <w:noProof/>
                <w:sz w:val="22"/>
              </w:rPr>
            </w:pPr>
            <w:r>
              <w:rPr>
                <w:b/>
                <w:noProof/>
              </w:rPr>
              <w:t>5-RD</w:t>
            </w:r>
          </w:p>
        </w:tc>
        <w:tc>
          <w:tcPr>
            <w:tcW w:w="709" w:type="dxa"/>
            <w:vMerge w:val="restart"/>
          </w:tcPr>
          <w:p w:rsidR="00551955" w:rsidRDefault="00E33ED2">
            <w:pPr>
              <w:spacing w:before="0" w:after="0"/>
              <w:jc w:val="left"/>
              <w:rPr>
                <w:noProof/>
                <w:color w:val="000000"/>
                <w:sz w:val="22"/>
              </w:rPr>
            </w:pPr>
            <w:r>
              <w:rPr>
                <w:noProof/>
                <w:color w:val="000000"/>
                <w:sz w:val="22"/>
              </w:rPr>
              <w:t>2,6</w:t>
            </w:r>
          </w:p>
          <w:p w:rsidR="00551955" w:rsidRDefault="00551955">
            <w:pPr>
              <w:spacing w:before="0" w:after="0"/>
              <w:jc w:val="left"/>
              <w:rPr>
                <w:noProof/>
                <w:color w:val="000000"/>
                <w:sz w:val="22"/>
              </w:rPr>
            </w:pPr>
          </w:p>
        </w:tc>
        <w:tc>
          <w:tcPr>
            <w:tcW w:w="709" w:type="dxa"/>
            <w:vMerge w:val="restart"/>
          </w:tcPr>
          <w:p w:rsidR="00551955" w:rsidRDefault="00E33ED2">
            <w:pPr>
              <w:spacing w:before="0" w:after="0"/>
              <w:jc w:val="left"/>
              <w:rPr>
                <w:noProof/>
                <w:color w:val="000000"/>
                <w:sz w:val="22"/>
              </w:rPr>
            </w:pPr>
            <w:r>
              <w:rPr>
                <w:noProof/>
                <w:color w:val="000000"/>
                <w:sz w:val="22"/>
              </w:rPr>
              <w:t>12,9</w:t>
            </w:r>
          </w:p>
          <w:p w:rsidR="00551955" w:rsidRDefault="00551955">
            <w:pPr>
              <w:spacing w:before="0" w:after="0"/>
              <w:jc w:val="left"/>
              <w:rPr>
                <w:noProof/>
                <w:color w:val="000000"/>
                <w:sz w:val="22"/>
              </w:rPr>
            </w:pPr>
          </w:p>
        </w:tc>
        <w:tc>
          <w:tcPr>
            <w:tcW w:w="709" w:type="dxa"/>
            <w:vMerge w:val="restart"/>
          </w:tcPr>
          <w:p w:rsidR="00551955" w:rsidRDefault="00E33ED2">
            <w:pPr>
              <w:spacing w:before="0" w:after="0"/>
              <w:jc w:val="left"/>
              <w:rPr>
                <w:noProof/>
                <w:color w:val="000000"/>
                <w:sz w:val="22"/>
              </w:rPr>
            </w:pPr>
            <w:r>
              <w:rPr>
                <w:noProof/>
                <w:color w:val="000000"/>
                <w:sz w:val="22"/>
              </w:rPr>
              <w:t>2,6</w:t>
            </w:r>
          </w:p>
        </w:tc>
        <w:tc>
          <w:tcPr>
            <w:tcW w:w="708" w:type="dxa"/>
            <w:vMerge w:val="restart"/>
          </w:tcPr>
          <w:p w:rsidR="00551955" w:rsidRDefault="00E33ED2">
            <w:pPr>
              <w:spacing w:before="0" w:after="0"/>
              <w:jc w:val="left"/>
              <w:rPr>
                <w:noProof/>
                <w:color w:val="000000"/>
                <w:sz w:val="22"/>
              </w:rPr>
            </w:pPr>
            <w:r>
              <w:rPr>
                <w:noProof/>
                <w:color w:val="000000"/>
                <w:sz w:val="22"/>
              </w:rPr>
              <w:t>19,3</w:t>
            </w:r>
          </w:p>
        </w:tc>
        <w:tc>
          <w:tcPr>
            <w:tcW w:w="709" w:type="dxa"/>
            <w:vMerge w:val="restart"/>
          </w:tcPr>
          <w:p w:rsidR="00551955" w:rsidRDefault="00E33ED2">
            <w:pPr>
              <w:spacing w:before="0" w:after="0"/>
              <w:contextualSpacing/>
              <w:jc w:val="left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2,6</w:t>
            </w:r>
          </w:p>
        </w:tc>
        <w:tc>
          <w:tcPr>
            <w:tcW w:w="709" w:type="dxa"/>
            <w:vMerge w:val="restart"/>
          </w:tcPr>
          <w:p w:rsidR="00551955" w:rsidRDefault="00E33ED2">
            <w:pPr>
              <w:spacing w:before="0" w:after="0"/>
              <w:contextualSpacing/>
              <w:jc w:val="left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12,9</w:t>
            </w:r>
          </w:p>
        </w:tc>
        <w:tc>
          <w:tcPr>
            <w:tcW w:w="709" w:type="dxa"/>
            <w:vMerge w:val="restart"/>
          </w:tcPr>
          <w:p w:rsidR="00551955" w:rsidRDefault="00E33ED2">
            <w:pPr>
              <w:spacing w:before="0" w:after="0"/>
              <w:contextualSpacing/>
              <w:jc w:val="left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3,5</w:t>
            </w:r>
          </w:p>
        </w:tc>
        <w:tc>
          <w:tcPr>
            <w:tcW w:w="709" w:type="dxa"/>
            <w:vMerge w:val="restart"/>
          </w:tcPr>
          <w:p w:rsidR="00551955" w:rsidRDefault="00E33ED2">
            <w:pPr>
              <w:spacing w:before="0" w:after="0"/>
              <w:contextualSpacing/>
              <w:jc w:val="left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17,5</w:t>
            </w:r>
          </w:p>
        </w:tc>
        <w:tc>
          <w:tcPr>
            <w:tcW w:w="709" w:type="dxa"/>
            <w:vMerge w:val="restart"/>
          </w:tcPr>
          <w:p w:rsidR="00551955" w:rsidRDefault="00E33ED2">
            <w:pPr>
              <w:spacing w:before="0" w:after="0"/>
              <w:contextualSpacing/>
              <w:jc w:val="left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3,5</w:t>
            </w:r>
          </w:p>
        </w:tc>
        <w:tc>
          <w:tcPr>
            <w:tcW w:w="709" w:type="dxa"/>
            <w:vMerge w:val="restart"/>
          </w:tcPr>
          <w:p w:rsidR="00551955" w:rsidRDefault="00E33ED2">
            <w:pPr>
              <w:spacing w:before="0" w:after="0"/>
              <w:contextualSpacing/>
              <w:jc w:val="left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26,5</w:t>
            </w:r>
          </w:p>
        </w:tc>
      </w:tr>
      <w:tr w:rsidR="00551955">
        <w:tc>
          <w:tcPr>
            <w:tcW w:w="1276" w:type="dxa"/>
          </w:tcPr>
          <w:p w:rsidR="00551955" w:rsidRDefault="00E33ED2">
            <w:pPr>
              <w:spacing w:before="0" w:after="0"/>
              <w:jc w:val="left"/>
              <w:rPr>
                <w:b/>
                <w:noProof/>
                <w:sz w:val="22"/>
              </w:rPr>
            </w:pPr>
            <w:r>
              <w:rPr>
                <w:b/>
                <w:noProof/>
              </w:rPr>
              <w:t>5-LH</w:t>
            </w:r>
          </w:p>
        </w:tc>
        <w:tc>
          <w:tcPr>
            <w:tcW w:w="709" w:type="dxa"/>
            <w:vMerge/>
          </w:tcPr>
          <w:p w:rsidR="00551955" w:rsidRDefault="00551955">
            <w:pPr>
              <w:spacing w:before="0" w:after="0"/>
              <w:jc w:val="left"/>
              <w:rPr>
                <w:noProof/>
                <w:sz w:val="22"/>
              </w:rPr>
            </w:pPr>
          </w:p>
        </w:tc>
        <w:tc>
          <w:tcPr>
            <w:tcW w:w="709" w:type="dxa"/>
            <w:vMerge/>
          </w:tcPr>
          <w:p w:rsidR="00551955" w:rsidRDefault="00551955">
            <w:pPr>
              <w:spacing w:before="0" w:after="0"/>
              <w:jc w:val="left"/>
              <w:rPr>
                <w:noProof/>
                <w:sz w:val="22"/>
              </w:rPr>
            </w:pPr>
          </w:p>
        </w:tc>
        <w:tc>
          <w:tcPr>
            <w:tcW w:w="709" w:type="dxa"/>
            <w:vMerge/>
          </w:tcPr>
          <w:p w:rsidR="00551955" w:rsidRDefault="00551955">
            <w:pPr>
              <w:spacing w:before="0" w:after="0"/>
              <w:jc w:val="left"/>
              <w:rPr>
                <w:noProof/>
                <w:sz w:val="22"/>
              </w:rPr>
            </w:pPr>
          </w:p>
        </w:tc>
        <w:tc>
          <w:tcPr>
            <w:tcW w:w="708" w:type="dxa"/>
            <w:vMerge/>
          </w:tcPr>
          <w:p w:rsidR="00551955" w:rsidRDefault="00551955">
            <w:pPr>
              <w:spacing w:before="0" w:after="0"/>
              <w:jc w:val="left"/>
              <w:rPr>
                <w:noProof/>
                <w:sz w:val="22"/>
              </w:rPr>
            </w:pPr>
          </w:p>
        </w:tc>
        <w:tc>
          <w:tcPr>
            <w:tcW w:w="709" w:type="dxa"/>
            <w:vMerge/>
          </w:tcPr>
          <w:p w:rsidR="00551955" w:rsidRDefault="00551955">
            <w:pPr>
              <w:spacing w:before="0" w:after="0"/>
              <w:contextualSpacing/>
              <w:jc w:val="left"/>
              <w:rPr>
                <w:noProof/>
                <w:sz w:val="22"/>
              </w:rPr>
            </w:pPr>
          </w:p>
        </w:tc>
        <w:tc>
          <w:tcPr>
            <w:tcW w:w="709" w:type="dxa"/>
            <w:vMerge/>
          </w:tcPr>
          <w:p w:rsidR="00551955" w:rsidRDefault="00551955">
            <w:pPr>
              <w:spacing w:before="0" w:after="0"/>
              <w:contextualSpacing/>
              <w:jc w:val="left"/>
              <w:rPr>
                <w:noProof/>
                <w:sz w:val="22"/>
              </w:rPr>
            </w:pPr>
          </w:p>
        </w:tc>
        <w:tc>
          <w:tcPr>
            <w:tcW w:w="709" w:type="dxa"/>
            <w:vMerge/>
          </w:tcPr>
          <w:p w:rsidR="00551955" w:rsidRDefault="00551955">
            <w:pPr>
              <w:spacing w:before="0" w:after="0"/>
              <w:contextualSpacing/>
              <w:jc w:val="left"/>
              <w:rPr>
                <w:noProof/>
                <w:sz w:val="22"/>
              </w:rPr>
            </w:pPr>
          </w:p>
        </w:tc>
        <w:tc>
          <w:tcPr>
            <w:tcW w:w="709" w:type="dxa"/>
            <w:vMerge/>
          </w:tcPr>
          <w:p w:rsidR="00551955" w:rsidRDefault="00551955">
            <w:pPr>
              <w:spacing w:before="0" w:after="0"/>
              <w:contextualSpacing/>
              <w:jc w:val="left"/>
              <w:rPr>
                <w:noProof/>
                <w:sz w:val="22"/>
              </w:rPr>
            </w:pPr>
          </w:p>
        </w:tc>
        <w:tc>
          <w:tcPr>
            <w:tcW w:w="709" w:type="dxa"/>
            <w:vMerge/>
          </w:tcPr>
          <w:p w:rsidR="00551955" w:rsidRDefault="00551955">
            <w:pPr>
              <w:spacing w:before="0" w:after="0"/>
              <w:contextualSpacing/>
              <w:jc w:val="left"/>
              <w:rPr>
                <w:noProof/>
                <w:sz w:val="22"/>
              </w:rPr>
            </w:pPr>
          </w:p>
        </w:tc>
        <w:tc>
          <w:tcPr>
            <w:tcW w:w="709" w:type="dxa"/>
            <w:vMerge/>
          </w:tcPr>
          <w:p w:rsidR="00551955" w:rsidRDefault="00551955">
            <w:pPr>
              <w:spacing w:before="0" w:after="0"/>
              <w:contextualSpacing/>
              <w:jc w:val="left"/>
              <w:rPr>
                <w:noProof/>
                <w:sz w:val="22"/>
              </w:rPr>
            </w:pPr>
          </w:p>
        </w:tc>
      </w:tr>
      <w:tr w:rsidR="00551955">
        <w:trPr>
          <w:trHeight w:val="224"/>
        </w:trPr>
        <w:tc>
          <w:tcPr>
            <w:tcW w:w="1276" w:type="dxa"/>
          </w:tcPr>
          <w:p w:rsidR="00551955" w:rsidRDefault="00E33ED2">
            <w:pPr>
              <w:spacing w:before="0" w:after="0"/>
              <w:jc w:val="left"/>
              <w:rPr>
                <w:b/>
                <w:noProof/>
                <w:sz w:val="22"/>
              </w:rPr>
            </w:pPr>
            <w:r>
              <w:rPr>
                <w:b/>
                <w:noProof/>
              </w:rPr>
              <w:t>9-RD</w:t>
            </w:r>
          </w:p>
        </w:tc>
        <w:tc>
          <w:tcPr>
            <w:tcW w:w="709" w:type="dxa"/>
            <w:vMerge w:val="restart"/>
          </w:tcPr>
          <w:p w:rsidR="00551955" w:rsidRDefault="00E33ED2">
            <w:pPr>
              <w:spacing w:before="0" w:after="0"/>
              <w:jc w:val="left"/>
              <w:rPr>
                <w:noProof/>
                <w:color w:val="000000"/>
                <w:sz w:val="22"/>
              </w:rPr>
            </w:pPr>
            <w:r>
              <w:rPr>
                <w:noProof/>
                <w:color w:val="000000"/>
                <w:sz w:val="22"/>
              </w:rPr>
              <w:t>1,4</w:t>
            </w:r>
          </w:p>
          <w:p w:rsidR="00551955" w:rsidRDefault="00551955">
            <w:pPr>
              <w:spacing w:before="0" w:after="0"/>
              <w:jc w:val="left"/>
              <w:rPr>
                <w:noProof/>
                <w:color w:val="000000"/>
                <w:sz w:val="22"/>
              </w:rPr>
            </w:pPr>
          </w:p>
        </w:tc>
        <w:tc>
          <w:tcPr>
            <w:tcW w:w="709" w:type="dxa"/>
            <w:vMerge w:val="restart"/>
          </w:tcPr>
          <w:p w:rsidR="00551955" w:rsidRDefault="00E33ED2">
            <w:pPr>
              <w:spacing w:before="0" w:after="0"/>
              <w:jc w:val="left"/>
              <w:rPr>
                <w:noProof/>
                <w:color w:val="000000"/>
                <w:sz w:val="22"/>
              </w:rPr>
            </w:pPr>
            <w:r>
              <w:rPr>
                <w:noProof/>
                <w:color w:val="000000"/>
                <w:sz w:val="22"/>
              </w:rPr>
              <w:t>7,1</w:t>
            </w:r>
          </w:p>
          <w:p w:rsidR="00551955" w:rsidRDefault="00551955">
            <w:pPr>
              <w:spacing w:before="0" w:after="0"/>
              <w:jc w:val="left"/>
              <w:rPr>
                <w:noProof/>
                <w:color w:val="000000"/>
                <w:sz w:val="22"/>
              </w:rPr>
            </w:pPr>
          </w:p>
        </w:tc>
        <w:tc>
          <w:tcPr>
            <w:tcW w:w="709" w:type="dxa"/>
            <w:vMerge w:val="restart"/>
          </w:tcPr>
          <w:p w:rsidR="00551955" w:rsidRDefault="00E33ED2">
            <w:pPr>
              <w:spacing w:before="0" w:after="0"/>
              <w:jc w:val="left"/>
              <w:rPr>
                <w:noProof/>
                <w:color w:val="000000"/>
                <w:sz w:val="22"/>
              </w:rPr>
            </w:pPr>
            <w:r>
              <w:rPr>
                <w:noProof/>
                <w:color w:val="000000"/>
                <w:sz w:val="22"/>
              </w:rPr>
              <w:t>2,6</w:t>
            </w:r>
          </w:p>
        </w:tc>
        <w:tc>
          <w:tcPr>
            <w:tcW w:w="708" w:type="dxa"/>
            <w:vMerge w:val="restart"/>
          </w:tcPr>
          <w:p w:rsidR="00551955" w:rsidRDefault="00E33ED2">
            <w:pPr>
              <w:spacing w:before="0" w:after="0"/>
              <w:jc w:val="left"/>
              <w:rPr>
                <w:noProof/>
                <w:color w:val="000000"/>
                <w:sz w:val="22"/>
              </w:rPr>
            </w:pPr>
            <w:r>
              <w:rPr>
                <w:noProof/>
                <w:color w:val="000000"/>
                <w:sz w:val="22"/>
              </w:rPr>
              <w:t>19,3</w:t>
            </w:r>
          </w:p>
        </w:tc>
        <w:tc>
          <w:tcPr>
            <w:tcW w:w="709" w:type="dxa"/>
            <w:vMerge w:val="restart"/>
          </w:tcPr>
          <w:p w:rsidR="00551955" w:rsidRDefault="00E33ED2">
            <w:pPr>
              <w:spacing w:before="0" w:after="0"/>
              <w:contextualSpacing/>
              <w:jc w:val="left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1,4</w:t>
            </w:r>
          </w:p>
        </w:tc>
        <w:tc>
          <w:tcPr>
            <w:tcW w:w="709" w:type="dxa"/>
            <w:vMerge w:val="restart"/>
          </w:tcPr>
          <w:p w:rsidR="00551955" w:rsidRDefault="00E33ED2">
            <w:pPr>
              <w:spacing w:before="0" w:after="0"/>
              <w:contextualSpacing/>
              <w:jc w:val="left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7,1</w:t>
            </w:r>
          </w:p>
        </w:tc>
        <w:tc>
          <w:tcPr>
            <w:tcW w:w="709" w:type="dxa"/>
            <w:vMerge w:val="restart"/>
          </w:tcPr>
          <w:p w:rsidR="00551955" w:rsidRDefault="00E33ED2">
            <w:pPr>
              <w:spacing w:before="0" w:after="0"/>
              <w:contextualSpacing/>
              <w:jc w:val="left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3,5</w:t>
            </w:r>
          </w:p>
        </w:tc>
        <w:tc>
          <w:tcPr>
            <w:tcW w:w="709" w:type="dxa"/>
            <w:vMerge w:val="restart"/>
          </w:tcPr>
          <w:p w:rsidR="00551955" w:rsidRDefault="00E33ED2">
            <w:pPr>
              <w:spacing w:before="0" w:after="0"/>
              <w:contextualSpacing/>
              <w:jc w:val="left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17,5</w:t>
            </w:r>
          </w:p>
        </w:tc>
        <w:tc>
          <w:tcPr>
            <w:tcW w:w="709" w:type="dxa"/>
            <w:vMerge w:val="restart"/>
          </w:tcPr>
          <w:p w:rsidR="00551955" w:rsidRDefault="00E33ED2">
            <w:pPr>
              <w:spacing w:before="0" w:after="0"/>
              <w:contextualSpacing/>
              <w:jc w:val="left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3,5</w:t>
            </w:r>
          </w:p>
        </w:tc>
        <w:tc>
          <w:tcPr>
            <w:tcW w:w="709" w:type="dxa"/>
            <w:vMerge w:val="restart"/>
          </w:tcPr>
          <w:p w:rsidR="00551955" w:rsidRDefault="00E33ED2">
            <w:pPr>
              <w:spacing w:before="0" w:after="0"/>
              <w:contextualSpacing/>
              <w:jc w:val="left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26,5</w:t>
            </w:r>
          </w:p>
        </w:tc>
      </w:tr>
      <w:tr w:rsidR="00551955">
        <w:tc>
          <w:tcPr>
            <w:tcW w:w="1276" w:type="dxa"/>
          </w:tcPr>
          <w:p w:rsidR="00551955" w:rsidRDefault="00E33ED2">
            <w:pPr>
              <w:spacing w:before="0" w:after="0"/>
              <w:jc w:val="left"/>
              <w:rPr>
                <w:b/>
                <w:noProof/>
                <w:sz w:val="22"/>
              </w:rPr>
            </w:pPr>
            <w:r>
              <w:rPr>
                <w:b/>
                <w:noProof/>
              </w:rPr>
              <w:t>9-LH</w:t>
            </w:r>
          </w:p>
        </w:tc>
        <w:tc>
          <w:tcPr>
            <w:tcW w:w="709" w:type="dxa"/>
            <w:vMerge/>
          </w:tcPr>
          <w:p w:rsidR="00551955" w:rsidRDefault="00551955">
            <w:pPr>
              <w:spacing w:before="0" w:after="0"/>
              <w:jc w:val="left"/>
              <w:rPr>
                <w:noProof/>
                <w:color w:val="000000"/>
                <w:sz w:val="22"/>
              </w:rPr>
            </w:pPr>
          </w:p>
        </w:tc>
        <w:tc>
          <w:tcPr>
            <w:tcW w:w="709" w:type="dxa"/>
            <w:vMerge/>
          </w:tcPr>
          <w:p w:rsidR="00551955" w:rsidRDefault="00551955">
            <w:pPr>
              <w:spacing w:before="0" w:after="0"/>
              <w:jc w:val="left"/>
              <w:rPr>
                <w:noProof/>
                <w:color w:val="000000"/>
                <w:sz w:val="22"/>
              </w:rPr>
            </w:pPr>
          </w:p>
        </w:tc>
        <w:tc>
          <w:tcPr>
            <w:tcW w:w="709" w:type="dxa"/>
            <w:vMerge/>
          </w:tcPr>
          <w:p w:rsidR="00551955" w:rsidRDefault="00551955">
            <w:pPr>
              <w:spacing w:before="0" w:after="0"/>
              <w:jc w:val="left"/>
              <w:rPr>
                <w:noProof/>
                <w:color w:val="000000"/>
                <w:sz w:val="22"/>
              </w:rPr>
            </w:pPr>
          </w:p>
        </w:tc>
        <w:tc>
          <w:tcPr>
            <w:tcW w:w="708" w:type="dxa"/>
            <w:vMerge/>
          </w:tcPr>
          <w:p w:rsidR="00551955" w:rsidRDefault="00551955">
            <w:pPr>
              <w:spacing w:before="0" w:after="0"/>
              <w:jc w:val="left"/>
              <w:rPr>
                <w:noProof/>
                <w:color w:val="000000"/>
                <w:sz w:val="22"/>
              </w:rPr>
            </w:pPr>
          </w:p>
        </w:tc>
        <w:tc>
          <w:tcPr>
            <w:tcW w:w="709" w:type="dxa"/>
            <w:vMerge/>
          </w:tcPr>
          <w:p w:rsidR="00551955" w:rsidRDefault="00551955">
            <w:pPr>
              <w:spacing w:before="0" w:after="0"/>
              <w:contextualSpacing/>
              <w:jc w:val="left"/>
              <w:rPr>
                <w:noProof/>
                <w:sz w:val="22"/>
              </w:rPr>
            </w:pPr>
          </w:p>
        </w:tc>
        <w:tc>
          <w:tcPr>
            <w:tcW w:w="709" w:type="dxa"/>
            <w:vMerge/>
          </w:tcPr>
          <w:p w:rsidR="00551955" w:rsidRDefault="00551955">
            <w:pPr>
              <w:spacing w:before="0" w:after="0"/>
              <w:contextualSpacing/>
              <w:jc w:val="left"/>
              <w:rPr>
                <w:noProof/>
                <w:sz w:val="22"/>
              </w:rPr>
            </w:pPr>
          </w:p>
        </w:tc>
        <w:tc>
          <w:tcPr>
            <w:tcW w:w="709" w:type="dxa"/>
            <w:vMerge/>
          </w:tcPr>
          <w:p w:rsidR="00551955" w:rsidRDefault="00551955">
            <w:pPr>
              <w:spacing w:before="0" w:after="0"/>
              <w:contextualSpacing/>
              <w:jc w:val="left"/>
              <w:rPr>
                <w:noProof/>
                <w:sz w:val="22"/>
              </w:rPr>
            </w:pPr>
          </w:p>
        </w:tc>
        <w:tc>
          <w:tcPr>
            <w:tcW w:w="709" w:type="dxa"/>
            <w:vMerge/>
          </w:tcPr>
          <w:p w:rsidR="00551955" w:rsidRDefault="00551955">
            <w:pPr>
              <w:spacing w:before="0" w:after="0"/>
              <w:contextualSpacing/>
              <w:jc w:val="left"/>
              <w:rPr>
                <w:noProof/>
                <w:sz w:val="22"/>
              </w:rPr>
            </w:pPr>
          </w:p>
        </w:tc>
        <w:tc>
          <w:tcPr>
            <w:tcW w:w="709" w:type="dxa"/>
            <w:vMerge/>
          </w:tcPr>
          <w:p w:rsidR="00551955" w:rsidRDefault="00551955">
            <w:pPr>
              <w:spacing w:before="0" w:after="0"/>
              <w:contextualSpacing/>
              <w:jc w:val="left"/>
              <w:rPr>
                <w:noProof/>
                <w:sz w:val="22"/>
              </w:rPr>
            </w:pPr>
          </w:p>
        </w:tc>
        <w:tc>
          <w:tcPr>
            <w:tcW w:w="709" w:type="dxa"/>
            <w:vMerge/>
          </w:tcPr>
          <w:p w:rsidR="00551955" w:rsidRDefault="00551955">
            <w:pPr>
              <w:spacing w:before="0" w:after="0"/>
              <w:contextualSpacing/>
              <w:jc w:val="left"/>
              <w:rPr>
                <w:noProof/>
                <w:sz w:val="22"/>
              </w:rPr>
            </w:pPr>
          </w:p>
        </w:tc>
      </w:tr>
      <w:tr w:rsidR="00551955">
        <w:tc>
          <w:tcPr>
            <w:tcW w:w="1276" w:type="dxa"/>
          </w:tcPr>
          <w:p w:rsidR="00551955" w:rsidRDefault="00E33ED2">
            <w:pPr>
              <w:spacing w:before="0" w:after="0"/>
              <w:jc w:val="left"/>
              <w:rPr>
                <w:b/>
                <w:noProof/>
                <w:sz w:val="22"/>
              </w:rPr>
            </w:pPr>
            <w:r>
              <w:rPr>
                <w:b/>
                <w:noProof/>
              </w:rPr>
              <w:t>10-RD</w:t>
            </w:r>
          </w:p>
        </w:tc>
        <w:tc>
          <w:tcPr>
            <w:tcW w:w="709" w:type="dxa"/>
            <w:vMerge w:val="restart"/>
          </w:tcPr>
          <w:p w:rsidR="00551955" w:rsidRDefault="00E33ED2">
            <w:pPr>
              <w:spacing w:before="0" w:after="0"/>
              <w:jc w:val="left"/>
              <w:rPr>
                <w:noProof/>
                <w:color w:val="000000"/>
                <w:sz w:val="22"/>
              </w:rPr>
            </w:pPr>
            <w:r>
              <w:rPr>
                <w:noProof/>
                <w:color w:val="000000"/>
                <w:sz w:val="22"/>
              </w:rPr>
              <w:t>2,6</w:t>
            </w:r>
          </w:p>
          <w:p w:rsidR="00551955" w:rsidRDefault="00551955">
            <w:pPr>
              <w:spacing w:before="0" w:after="0"/>
              <w:jc w:val="left"/>
              <w:rPr>
                <w:noProof/>
                <w:color w:val="000000"/>
                <w:sz w:val="22"/>
              </w:rPr>
            </w:pPr>
          </w:p>
        </w:tc>
        <w:tc>
          <w:tcPr>
            <w:tcW w:w="709" w:type="dxa"/>
            <w:vMerge w:val="restart"/>
          </w:tcPr>
          <w:p w:rsidR="00551955" w:rsidRDefault="00E33ED2">
            <w:pPr>
              <w:spacing w:before="0" w:after="0"/>
              <w:jc w:val="left"/>
              <w:rPr>
                <w:noProof/>
                <w:color w:val="000000"/>
                <w:sz w:val="22"/>
              </w:rPr>
            </w:pPr>
            <w:r>
              <w:rPr>
                <w:noProof/>
                <w:color w:val="000000"/>
                <w:sz w:val="22"/>
              </w:rPr>
              <w:t>12,9</w:t>
            </w:r>
          </w:p>
          <w:p w:rsidR="00551955" w:rsidRDefault="00551955">
            <w:pPr>
              <w:spacing w:before="0" w:after="0"/>
              <w:jc w:val="left"/>
              <w:rPr>
                <w:noProof/>
                <w:color w:val="000000"/>
                <w:sz w:val="22"/>
              </w:rPr>
            </w:pPr>
          </w:p>
        </w:tc>
        <w:tc>
          <w:tcPr>
            <w:tcW w:w="709" w:type="dxa"/>
            <w:vMerge w:val="restart"/>
          </w:tcPr>
          <w:p w:rsidR="00551955" w:rsidRDefault="00E33ED2">
            <w:pPr>
              <w:spacing w:before="0" w:after="0"/>
              <w:jc w:val="left"/>
              <w:rPr>
                <w:noProof/>
                <w:color w:val="000000"/>
                <w:sz w:val="22"/>
              </w:rPr>
            </w:pPr>
            <w:r>
              <w:rPr>
                <w:noProof/>
                <w:color w:val="000000"/>
                <w:sz w:val="22"/>
              </w:rPr>
              <w:t>2,6</w:t>
            </w:r>
          </w:p>
        </w:tc>
        <w:tc>
          <w:tcPr>
            <w:tcW w:w="708" w:type="dxa"/>
            <w:vMerge w:val="restart"/>
          </w:tcPr>
          <w:p w:rsidR="00551955" w:rsidRDefault="00E33ED2">
            <w:pPr>
              <w:spacing w:before="0" w:after="0"/>
              <w:jc w:val="left"/>
              <w:rPr>
                <w:noProof/>
                <w:color w:val="000000"/>
                <w:sz w:val="22"/>
              </w:rPr>
            </w:pPr>
            <w:r>
              <w:rPr>
                <w:noProof/>
                <w:color w:val="000000"/>
                <w:sz w:val="22"/>
              </w:rPr>
              <w:t>19,3</w:t>
            </w:r>
          </w:p>
        </w:tc>
        <w:tc>
          <w:tcPr>
            <w:tcW w:w="709" w:type="dxa"/>
            <w:vMerge w:val="restart"/>
          </w:tcPr>
          <w:p w:rsidR="00551955" w:rsidRDefault="00E33ED2">
            <w:pPr>
              <w:spacing w:before="0" w:after="0"/>
              <w:contextualSpacing/>
              <w:jc w:val="left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2,6</w:t>
            </w:r>
          </w:p>
        </w:tc>
        <w:tc>
          <w:tcPr>
            <w:tcW w:w="709" w:type="dxa"/>
            <w:vMerge w:val="restart"/>
          </w:tcPr>
          <w:p w:rsidR="00551955" w:rsidRDefault="00E33ED2">
            <w:pPr>
              <w:spacing w:before="0" w:after="0"/>
              <w:contextualSpacing/>
              <w:jc w:val="left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12,9</w:t>
            </w:r>
          </w:p>
        </w:tc>
        <w:tc>
          <w:tcPr>
            <w:tcW w:w="709" w:type="dxa"/>
            <w:vMerge w:val="restart"/>
          </w:tcPr>
          <w:p w:rsidR="00551955" w:rsidRDefault="00E33ED2">
            <w:pPr>
              <w:spacing w:before="0" w:after="0"/>
              <w:contextualSpacing/>
              <w:jc w:val="left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3,5</w:t>
            </w:r>
          </w:p>
        </w:tc>
        <w:tc>
          <w:tcPr>
            <w:tcW w:w="709" w:type="dxa"/>
            <w:vMerge w:val="restart"/>
          </w:tcPr>
          <w:p w:rsidR="00551955" w:rsidRDefault="00E33ED2">
            <w:pPr>
              <w:spacing w:before="0" w:after="0"/>
              <w:contextualSpacing/>
              <w:jc w:val="left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17,5</w:t>
            </w:r>
          </w:p>
        </w:tc>
        <w:tc>
          <w:tcPr>
            <w:tcW w:w="709" w:type="dxa"/>
            <w:vMerge w:val="restart"/>
          </w:tcPr>
          <w:p w:rsidR="00551955" w:rsidRDefault="00E33ED2">
            <w:pPr>
              <w:spacing w:before="0" w:after="0"/>
              <w:contextualSpacing/>
              <w:jc w:val="left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3,5</w:t>
            </w:r>
          </w:p>
        </w:tc>
        <w:tc>
          <w:tcPr>
            <w:tcW w:w="709" w:type="dxa"/>
            <w:vMerge w:val="restart"/>
          </w:tcPr>
          <w:p w:rsidR="00551955" w:rsidRDefault="00E33ED2">
            <w:pPr>
              <w:spacing w:before="0" w:after="0"/>
              <w:contextualSpacing/>
              <w:jc w:val="left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26,5</w:t>
            </w:r>
          </w:p>
        </w:tc>
      </w:tr>
      <w:tr w:rsidR="00551955">
        <w:tc>
          <w:tcPr>
            <w:tcW w:w="1276" w:type="dxa"/>
          </w:tcPr>
          <w:p w:rsidR="00551955" w:rsidRDefault="00E33ED2">
            <w:pPr>
              <w:spacing w:before="0" w:after="0"/>
              <w:jc w:val="left"/>
              <w:rPr>
                <w:b/>
                <w:noProof/>
                <w:sz w:val="22"/>
              </w:rPr>
            </w:pPr>
            <w:r>
              <w:rPr>
                <w:b/>
                <w:noProof/>
              </w:rPr>
              <w:t>10-LH</w:t>
            </w:r>
          </w:p>
        </w:tc>
        <w:tc>
          <w:tcPr>
            <w:tcW w:w="709" w:type="dxa"/>
            <w:vMerge/>
          </w:tcPr>
          <w:p w:rsidR="00551955" w:rsidRDefault="00551955">
            <w:pPr>
              <w:spacing w:before="0" w:after="0"/>
              <w:jc w:val="left"/>
              <w:rPr>
                <w:noProof/>
                <w:color w:val="000000"/>
                <w:sz w:val="22"/>
              </w:rPr>
            </w:pPr>
          </w:p>
        </w:tc>
        <w:tc>
          <w:tcPr>
            <w:tcW w:w="709" w:type="dxa"/>
            <w:vMerge/>
          </w:tcPr>
          <w:p w:rsidR="00551955" w:rsidRDefault="00551955">
            <w:pPr>
              <w:spacing w:before="0" w:after="0"/>
              <w:jc w:val="left"/>
              <w:rPr>
                <w:noProof/>
                <w:color w:val="000000"/>
                <w:sz w:val="22"/>
              </w:rPr>
            </w:pPr>
          </w:p>
        </w:tc>
        <w:tc>
          <w:tcPr>
            <w:tcW w:w="709" w:type="dxa"/>
            <w:vMerge/>
          </w:tcPr>
          <w:p w:rsidR="00551955" w:rsidRDefault="00551955">
            <w:pPr>
              <w:spacing w:before="0" w:after="0"/>
              <w:jc w:val="left"/>
              <w:rPr>
                <w:noProof/>
                <w:color w:val="000000"/>
                <w:sz w:val="22"/>
              </w:rPr>
            </w:pPr>
          </w:p>
        </w:tc>
        <w:tc>
          <w:tcPr>
            <w:tcW w:w="708" w:type="dxa"/>
            <w:vMerge/>
          </w:tcPr>
          <w:p w:rsidR="00551955" w:rsidRDefault="00551955">
            <w:pPr>
              <w:spacing w:before="0" w:after="0"/>
              <w:jc w:val="left"/>
              <w:rPr>
                <w:noProof/>
                <w:color w:val="000000"/>
                <w:sz w:val="22"/>
              </w:rPr>
            </w:pPr>
          </w:p>
        </w:tc>
        <w:tc>
          <w:tcPr>
            <w:tcW w:w="709" w:type="dxa"/>
            <w:vMerge/>
          </w:tcPr>
          <w:p w:rsidR="00551955" w:rsidRDefault="00551955">
            <w:pPr>
              <w:spacing w:before="0" w:after="0"/>
              <w:contextualSpacing/>
              <w:jc w:val="left"/>
              <w:rPr>
                <w:noProof/>
                <w:sz w:val="22"/>
              </w:rPr>
            </w:pPr>
          </w:p>
        </w:tc>
        <w:tc>
          <w:tcPr>
            <w:tcW w:w="709" w:type="dxa"/>
            <w:vMerge/>
          </w:tcPr>
          <w:p w:rsidR="00551955" w:rsidRDefault="00551955">
            <w:pPr>
              <w:spacing w:before="0" w:after="0"/>
              <w:contextualSpacing/>
              <w:jc w:val="left"/>
              <w:rPr>
                <w:noProof/>
                <w:sz w:val="22"/>
              </w:rPr>
            </w:pPr>
          </w:p>
        </w:tc>
        <w:tc>
          <w:tcPr>
            <w:tcW w:w="709" w:type="dxa"/>
            <w:vMerge/>
          </w:tcPr>
          <w:p w:rsidR="00551955" w:rsidRDefault="00551955">
            <w:pPr>
              <w:spacing w:before="0" w:after="0"/>
              <w:contextualSpacing/>
              <w:jc w:val="left"/>
              <w:rPr>
                <w:noProof/>
                <w:sz w:val="22"/>
              </w:rPr>
            </w:pPr>
          </w:p>
        </w:tc>
        <w:tc>
          <w:tcPr>
            <w:tcW w:w="709" w:type="dxa"/>
            <w:vMerge/>
          </w:tcPr>
          <w:p w:rsidR="00551955" w:rsidRDefault="00551955">
            <w:pPr>
              <w:spacing w:before="0" w:after="0"/>
              <w:contextualSpacing/>
              <w:jc w:val="left"/>
              <w:rPr>
                <w:noProof/>
                <w:sz w:val="22"/>
              </w:rPr>
            </w:pPr>
          </w:p>
        </w:tc>
        <w:tc>
          <w:tcPr>
            <w:tcW w:w="709" w:type="dxa"/>
            <w:vMerge/>
          </w:tcPr>
          <w:p w:rsidR="00551955" w:rsidRDefault="00551955">
            <w:pPr>
              <w:spacing w:before="0" w:after="0"/>
              <w:contextualSpacing/>
              <w:jc w:val="left"/>
              <w:rPr>
                <w:noProof/>
                <w:sz w:val="22"/>
              </w:rPr>
            </w:pPr>
          </w:p>
        </w:tc>
        <w:tc>
          <w:tcPr>
            <w:tcW w:w="709" w:type="dxa"/>
            <w:vMerge/>
          </w:tcPr>
          <w:p w:rsidR="00551955" w:rsidRDefault="00551955">
            <w:pPr>
              <w:spacing w:before="0" w:after="0"/>
              <w:contextualSpacing/>
              <w:jc w:val="left"/>
              <w:rPr>
                <w:noProof/>
                <w:sz w:val="22"/>
              </w:rPr>
            </w:pPr>
          </w:p>
        </w:tc>
      </w:tr>
    </w:tbl>
    <w:p w:rsidR="00551955" w:rsidRDefault="00E33ED2">
      <w:pPr>
        <w:spacing w:before="0" w:after="200" w:line="276" w:lineRule="auto"/>
        <w:ind w:left="720" w:firstLine="130"/>
        <w:contextualSpacing/>
        <w:jc w:val="left"/>
        <w:rPr>
          <w:noProof/>
          <w:sz w:val="22"/>
        </w:rPr>
      </w:pPr>
      <w:r>
        <w:rPr>
          <w:noProof/>
          <w:sz w:val="22"/>
          <w:vertAlign w:val="superscript"/>
        </w:rPr>
        <w:t>1</w:t>
      </w:r>
      <w:r>
        <w:rPr>
          <w:noProof/>
          <w:sz w:val="22"/>
        </w:rPr>
        <w:t xml:space="preserve"> Voir les définitions des profils de missions sous le tableau 2 du point 2.1.</w:t>
      </w:r>
    </w:p>
    <w:p w:rsidR="00551955" w:rsidRDefault="00E33ED2">
      <w:pPr>
        <w:pStyle w:val="Heading2"/>
        <w:numPr>
          <w:ilvl w:val="1"/>
          <w:numId w:val="10"/>
        </w:numPr>
        <w:rPr>
          <w:noProof/>
        </w:rPr>
      </w:pPr>
      <w:r>
        <w:rPr>
          <w:noProof/>
        </w:rPr>
        <w:t>Calcul du facteur de pondération du kilométrage et de la charge utile</w:t>
      </w:r>
    </w:p>
    <w:p w:rsidR="00551955" w:rsidRDefault="00E33ED2">
      <w:pPr>
        <w:ind w:left="720"/>
        <w:rPr>
          <w:noProof/>
        </w:rPr>
      </w:pPr>
      <w:r>
        <w:rPr>
          <w:noProof/>
        </w:rPr>
        <w:t>Le facteur de pondération du kilométrage et de la charge utile (MPW</w:t>
      </w:r>
      <w:r>
        <w:rPr>
          <w:noProof/>
          <w:vertAlign w:val="subscript"/>
        </w:rPr>
        <w:t>sg</w:t>
      </w:r>
      <w:r>
        <w:rPr>
          <w:noProof/>
        </w:rPr>
        <w:t xml:space="preserve">) d’un sous-groupe </w:t>
      </w:r>
      <w:r>
        <w:rPr>
          <w:i/>
          <w:noProof/>
        </w:rPr>
        <w:t>sg</w:t>
      </w:r>
      <w:r>
        <w:rPr>
          <w:noProof/>
        </w:rPr>
        <w:t xml:space="preserve"> est défini comme le produit du kilométrage annuel spécifié dans le tableau 4 et de la valeur de charge utile par sous-groupe spécifiée dans le tableau 3 du point 2.5, normalisé à la valeur correspondante pour le sous-groupe 5-LH; il est calculé de la mani</w:t>
      </w:r>
      <w:r>
        <w:rPr>
          <w:noProof/>
        </w:rPr>
        <w:t>ère suivante:</w:t>
      </w:r>
    </w:p>
    <w:p w:rsidR="00551955" w:rsidRDefault="00E33ED2">
      <w:pPr>
        <w:rPr>
          <w:noProof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/>
                  <w:i/>
                  <w:noProof/>
                </w:rPr>
              </m:ctrlPr>
            </m:sSubPr>
            <m:e>
              <m:r>
                <w:rPr>
                  <w:rFonts w:ascii="Cambria Math" w:hAnsi="Cambria Math"/>
                  <w:noProof/>
                </w:rPr>
                <m:t>MPW</m:t>
              </m:r>
            </m:e>
            <m:sub>
              <m:r>
                <w:rPr>
                  <w:rFonts w:ascii="Cambria Math" w:hAnsi="Cambria Math"/>
                  <w:noProof/>
                </w:rPr>
                <m:t>sg</m:t>
              </m:r>
            </m:sub>
          </m:sSub>
          <m:r>
            <w:rPr>
              <w:rFonts w:ascii="Cambria Math" w:hAnsi="Cambria Math"/>
              <w:noProof/>
            </w:rPr>
            <m:t>=</m:t>
          </m:r>
          <m:f>
            <m:fPr>
              <m:ctrlPr>
                <w:rPr>
                  <w:rFonts w:ascii="Cambria Math" w:hAnsi="Cambria Math"/>
                  <w:i/>
                  <w:noProof/>
                </w:rPr>
              </m:ctrlPr>
            </m:fPr>
            <m:num>
              <m:r>
                <w:rPr>
                  <w:rFonts w:ascii="Cambria Math" w:hAnsi="Cambria Math"/>
                  <w:noProof/>
                </w:rPr>
                <m:t>(</m:t>
              </m:r>
              <m:sSub>
                <m:sSubPr>
                  <m:ctrlPr>
                    <w:rPr>
                      <w:rFonts w:ascii="Cambria Math" w:hAnsi="Cambria Math"/>
                      <w:i/>
                      <w:noProof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</w:rPr>
                    <m:t>AM</m:t>
                  </m:r>
                </m:e>
                <m:sub>
                  <m:r>
                    <w:rPr>
                      <w:rFonts w:ascii="Cambria Math" w:hAnsi="Cambria Math"/>
                      <w:noProof/>
                    </w:rPr>
                    <m:t>sg</m:t>
                  </m:r>
                  <m:r>
                    <w:rPr>
                      <w:rFonts w:ascii="Cambria Math" w:hAnsi="Cambria Math"/>
                      <w:noProof/>
                    </w:rPr>
                    <m:t xml:space="preserve"> </m:t>
                  </m:r>
                </m:sub>
              </m:sSub>
              <m:r>
                <w:rPr>
                  <w:rFonts w:ascii="Cambria Math" w:hAnsi="Cambria Math"/>
                  <w:noProof/>
                </w:rPr>
                <m:t>×</m:t>
              </m:r>
              <m:sSub>
                <m:sSubPr>
                  <m:ctrlPr>
                    <w:rPr>
                      <w:rFonts w:ascii="Cambria Math" w:hAnsi="Cambria Math"/>
                      <w:i/>
                      <w:noProof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</w:rPr>
                    <m:t>PL</m:t>
                  </m:r>
                </m:e>
                <m:sub>
                  <m:r>
                    <w:rPr>
                      <w:rFonts w:ascii="Cambria Math" w:hAnsi="Cambria Math"/>
                      <w:noProof/>
                    </w:rPr>
                    <m:t>sg</m:t>
                  </m:r>
                </m:sub>
              </m:sSub>
              <m:r>
                <w:rPr>
                  <w:rFonts w:ascii="Cambria Math" w:hAnsi="Cambria Math"/>
                  <w:noProof/>
                </w:rPr>
                <m:t>)</m:t>
              </m:r>
            </m:num>
            <m:den>
              <m:r>
                <w:rPr>
                  <w:rFonts w:ascii="Cambria Math" w:hAnsi="Cambria Math"/>
                  <w:noProof/>
                </w:rPr>
                <m:t>(</m:t>
              </m:r>
              <m:sSub>
                <m:sSubPr>
                  <m:ctrlPr>
                    <w:rPr>
                      <w:rFonts w:ascii="Cambria Math" w:hAnsi="Cambria Math"/>
                      <w:i/>
                      <w:noProof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</w:rPr>
                    <m:t>AM</m:t>
                  </m:r>
                </m:e>
                <m:sub>
                  <m:r>
                    <w:rPr>
                      <w:rFonts w:ascii="Cambria Math" w:hAnsi="Cambria Math"/>
                      <w:noProof/>
                    </w:rPr>
                    <m:t>5-</m:t>
                  </m:r>
                  <m:r>
                    <w:rPr>
                      <w:rFonts w:ascii="Cambria Math" w:hAnsi="Cambria Math"/>
                      <w:noProof/>
                    </w:rPr>
                    <m:t>LH</m:t>
                  </m:r>
                  <m:r>
                    <w:rPr>
                      <w:rFonts w:ascii="Cambria Math" w:hAnsi="Cambria Math"/>
                      <w:noProof/>
                    </w:rPr>
                    <m:t xml:space="preserve"> 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i/>
                      <w:noProof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</w:rPr>
                    <m:t>×</m:t>
                  </m:r>
                  <m:r>
                    <w:rPr>
                      <w:rFonts w:ascii="Cambria Math" w:hAnsi="Cambria Math"/>
                      <w:noProof/>
                    </w:rPr>
                    <m:t>PL</m:t>
                  </m:r>
                </m:e>
                <m:sub>
                  <m:r>
                    <w:rPr>
                      <w:rFonts w:ascii="Cambria Math" w:hAnsi="Cambria Math"/>
                      <w:noProof/>
                    </w:rPr>
                    <m:t>5-</m:t>
                  </m:r>
                  <m:r>
                    <w:rPr>
                      <w:rFonts w:ascii="Cambria Math" w:hAnsi="Cambria Math"/>
                      <w:noProof/>
                    </w:rPr>
                    <m:t>LH</m:t>
                  </m:r>
                </m:sub>
              </m:sSub>
              <m:r>
                <w:rPr>
                  <w:rFonts w:ascii="Cambria Math" w:hAnsi="Cambria Math"/>
                  <w:noProof/>
                </w:rPr>
                <m:t>)</m:t>
              </m:r>
            </m:den>
          </m:f>
        </m:oMath>
      </m:oMathPara>
    </w:p>
    <w:p w:rsidR="00551955" w:rsidRDefault="00E33ED2">
      <w:pPr>
        <w:ind w:left="850"/>
        <w:rPr>
          <w:noProof/>
        </w:rPr>
      </w:pPr>
      <w:r>
        <w:rPr>
          <w:noProof/>
        </w:rPr>
        <w:t>où</w:t>
      </w:r>
    </w:p>
    <w:p w:rsidR="00551955" w:rsidRDefault="00E33ED2">
      <w:pPr>
        <w:ind w:left="2155" w:hanging="1305"/>
        <w:rPr>
          <w:noProof/>
        </w:rPr>
      </w:pPr>
      <w:r>
        <w:rPr>
          <w:i/>
          <w:noProof/>
        </w:rPr>
        <w:t>AM</w:t>
      </w:r>
      <w:r>
        <w:rPr>
          <w:i/>
          <w:noProof/>
          <w:vertAlign w:val="subscript"/>
        </w:rPr>
        <w:t>sg</w:t>
      </w:r>
      <w:r>
        <w:rPr>
          <w:noProof/>
        </w:rPr>
        <w:tab/>
        <w:t>est le kilométrage annuel spécifié dans le tableau 4 pour les véhicules faisant partie du sous-groupe concerné</w:t>
      </w:r>
    </w:p>
    <w:p w:rsidR="00551955" w:rsidRDefault="00E33ED2">
      <w:pPr>
        <w:ind w:left="2155" w:hanging="1305"/>
        <w:rPr>
          <w:noProof/>
        </w:rPr>
      </w:pPr>
      <w:r>
        <w:rPr>
          <w:i/>
          <w:noProof/>
        </w:rPr>
        <w:t>AM</w:t>
      </w:r>
      <w:r>
        <w:rPr>
          <w:i/>
          <w:noProof/>
          <w:vertAlign w:val="subscript"/>
        </w:rPr>
        <w:t>5-LH</w:t>
      </w:r>
      <w:r>
        <w:rPr>
          <w:noProof/>
        </w:rPr>
        <w:tab/>
        <w:t xml:space="preserve">est le kilométrage annuel spécifié pour le sous-groupe 5-LH </w:t>
      </w:r>
      <w:r>
        <w:rPr>
          <w:noProof/>
        </w:rPr>
        <w:t>dans le tableau 4</w:t>
      </w:r>
    </w:p>
    <w:p w:rsidR="00551955" w:rsidRDefault="00E33ED2">
      <w:pPr>
        <w:ind w:left="2155" w:hanging="1305"/>
        <w:rPr>
          <w:noProof/>
        </w:rPr>
      </w:pPr>
      <w:r>
        <w:rPr>
          <w:i/>
          <w:noProof/>
        </w:rPr>
        <w:t>PL</w:t>
      </w:r>
      <w:r>
        <w:rPr>
          <w:i/>
          <w:noProof/>
          <w:vertAlign w:val="subscript"/>
        </w:rPr>
        <w:t>sg</w:t>
      </w:r>
      <w:r>
        <w:rPr>
          <w:noProof/>
        </w:rPr>
        <w:tab/>
        <w:t>est la valeur déterminée au point 2.5</w:t>
      </w:r>
    </w:p>
    <w:p w:rsidR="00551955" w:rsidRDefault="00E33ED2">
      <w:pPr>
        <w:ind w:left="2155" w:hanging="1305"/>
        <w:rPr>
          <w:noProof/>
        </w:rPr>
      </w:pPr>
      <w:r>
        <w:rPr>
          <w:i/>
          <w:noProof/>
        </w:rPr>
        <w:t>PL</w:t>
      </w:r>
      <w:r>
        <w:rPr>
          <w:i/>
          <w:noProof/>
          <w:vertAlign w:val="subscript"/>
        </w:rPr>
        <w:t>5-LH</w:t>
      </w:r>
      <w:r>
        <w:rPr>
          <w:noProof/>
        </w:rPr>
        <w:tab/>
        <w:t>est la valeur de charge utile moyenne pour le sous-groupe 5-LH telle que déterminée au point 2.5</w:t>
      </w:r>
    </w:p>
    <w:p w:rsidR="00551955" w:rsidRDefault="00E33ED2">
      <w:pPr>
        <w:ind w:left="2155" w:hanging="1305"/>
        <w:rPr>
          <w:b/>
          <w:noProof/>
        </w:rPr>
      </w:pPr>
      <w:r>
        <w:rPr>
          <w:b/>
          <w:noProof/>
        </w:rPr>
        <w:t>Tableau 4 - Kilométrages annuels</w:t>
      </w:r>
    </w:p>
    <w:tbl>
      <w:tblPr>
        <w:tblStyle w:val="TableGrid1"/>
        <w:tblW w:w="3783" w:type="dxa"/>
        <w:tblInd w:w="720" w:type="dxa"/>
        <w:tblLook w:val="04A0" w:firstRow="1" w:lastRow="0" w:firstColumn="1" w:lastColumn="0" w:noHBand="0" w:noVBand="1"/>
      </w:tblPr>
      <w:tblGrid>
        <w:gridCol w:w="1150"/>
        <w:gridCol w:w="2633"/>
      </w:tblGrid>
      <w:tr w:rsidR="00551955">
        <w:trPr>
          <w:trHeight w:val="816"/>
        </w:trPr>
        <w:tc>
          <w:tcPr>
            <w:tcW w:w="1089" w:type="dxa"/>
          </w:tcPr>
          <w:p w:rsidR="00551955" w:rsidRDefault="00E33ED2">
            <w:pPr>
              <w:spacing w:before="0" w:after="0"/>
              <w:jc w:val="center"/>
              <w:rPr>
                <w:b/>
                <w:noProof/>
                <w:szCs w:val="24"/>
              </w:rPr>
            </w:pPr>
            <w:r>
              <w:rPr>
                <w:b/>
                <w:noProof/>
              </w:rPr>
              <w:t xml:space="preserve">Sous-groupe de véhicules </w:t>
            </w:r>
            <w:r>
              <w:rPr>
                <w:b/>
                <w:i/>
                <w:noProof/>
              </w:rPr>
              <w:t>sg</w:t>
            </w:r>
          </w:p>
        </w:tc>
        <w:tc>
          <w:tcPr>
            <w:tcW w:w="2694" w:type="dxa"/>
          </w:tcPr>
          <w:p w:rsidR="00551955" w:rsidRDefault="00E33ED2">
            <w:pPr>
              <w:spacing w:before="0" w:after="0"/>
              <w:contextualSpacing/>
              <w:jc w:val="center"/>
              <w:rPr>
                <w:b/>
                <w:noProof/>
                <w:szCs w:val="24"/>
              </w:rPr>
            </w:pPr>
            <w:r>
              <w:rPr>
                <w:b/>
                <w:noProof/>
              </w:rPr>
              <w:t>Kilométrage annuel AM</w:t>
            </w:r>
            <w:r>
              <w:rPr>
                <w:b/>
                <w:noProof/>
                <w:vertAlign w:val="subscript"/>
              </w:rPr>
              <w:t>sg</w:t>
            </w:r>
            <w:r>
              <w:rPr>
                <w:b/>
                <w:noProof/>
              </w:rPr>
              <w:t xml:space="preserve"> </w:t>
            </w:r>
          </w:p>
        </w:tc>
      </w:tr>
      <w:tr w:rsidR="00551955">
        <w:tc>
          <w:tcPr>
            <w:tcW w:w="1089" w:type="dxa"/>
          </w:tcPr>
          <w:p w:rsidR="00551955" w:rsidRDefault="00E33ED2">
            <w:pPr>
              <w:spacing w:before="0" w:after="0"/>
              <w:jc w:val="left"/>
              <w:rPr>
                <w:b/>
                <w:noProof/>
                <w:szCs w:val="24"/>
              </w:rPr>
            </w:pPr>
            <w:r>
              <w:rPr>
                <w:b/>
                <w:noProof/>
              </w:rPr>
              <w:t>4-UD</w:t>
            </w:r>
          </w:p>
        </w:tc>
        <w:tc>
          <w:tcPr>
            <w:tcW w:w="2694" w:type="dxa"/>
          </w:tcPr>
          <w:p w:rsidR="00551955" w:rsidRDefault="00E33ED2">
            <w:pPr>
              <w:spacing w:before="0" w:after="0"/>
              <w:contextualSpacing/>
              <w:jc w:val="right"/>
              <w:rPr>
                <w:noProof/>
                <w:szCs w:val="24"/>
                <w:highlight w:val="yellow"/>
              </w:rPr>
            </w:pPr>
            <w:r>
              <w:rPr>
                <w:noProof/>
              </w:rPr>
              <w:t>60 000</w:t>
            </w:r>
          </w:p>
        </w:tc>
      </w:tr>
      <w:tr w:rsidR="00551955">
        <w:tc>
          <w:tcPr>
            <w:tcW w:w="1089" w:type="dxa"/>
          </w:tcPr>
          <w:p w:rsidR="00551955" w:rsidRDefault="00E33ED2">
            <w:pPr>
              <w:spacing w:before="0" w:after="0"/>
              <w:jc w:val="left"/>
              <w:rPr>
                <w:b/>
                <w:noProof/>
                <w:szCs w:val="24"/>
              </w:rPr>
            </w:pPr>
            <w:r>
              <w:rPr>
                <w:b/>
                <w:noProof/>
              </w:rPr>
              <w:t>4-RD</w:t>
            </w:r>
          </w:p>
        </w:tc>
        <w:tc>
          <w:tcPr>
            <w:tcW w:w="2694" w:type="dxa"/>
            <w:vAlign w:val="center"/>
          </w:tcPr>
          <w:p w:rsidR="00551955" w:rsidRDefault="00E33ED2">
            <w:pPr>
              <w:spacing w:before="0" w:after="0"/>
              <w:jc w:val="right"/>
              <w:rPr>
                <w:noProof/>
                <w:color w:val="000000"/>
                <w:szCs w:val="24"/>
              </w:rPr>
            </w:pPr>
            <w:r>
              <w:rPr>
                <w:noProof/>
                <w:color w:val="000000"/>
              </w:rPr>
              <w:t>78 000</w:t>
            </w:r>
          </w:p>
        </w:tc>
      </w:tr>
      <w:tr w:rsidR="00551955">
        <w:tc>
          <w:tcPr>
            <w:tcW w:w="1089" w:type="dxa"/>
          </w:tcPr>
          <w:p w:rsidR="00551955" w:rsidRDefault="00E33ED2">
            <w:pPr>
              <w:spacing w:before="0" w:after="0"/>
              <w:jc w:val="left"/>
              <w:rPr>
                <w:b/>
                <w:noProof/>
                <w:szCs w:val="24"/>
              </w:rPr>
            </w:pPr>
            <w:r>
              <w:rPr>
                <w:b/>
                <w:noProof/>
              </w:rPr>
              <w:t>4-LH</w:t>
            </w:r>
          </w:p>
        </w:tc>
        <w:tc>
          <w:tcPr>
            <w:tcW w:w="2694" w:type="dxa"/>
            <w:vAlign w:val="center"/>
          </w:tcPr>
          <w:p w:rsidR="00551955" w:rsidRDefault="00E33ED2">
            <w:pPr>
              <w:spacing w:before="0" w:after="0"/>
              <w:jc w:val="right"/>
              <w:rPr>
                <w:noProof/>
                <w:color w:val="000000"/>
                <w:szCs w:val="24"/>
              </w:rPr>
            </w:pPr>
            <w:r>
              <w:rPr>
                <w:noProof/>
                <w:color w:val="000000"/>
              </w:rPr>
              <w:t>98 000</w:t>
            </w:r>
          </w:p>
        </w:tc>
      </w:tr>
      <w:tr w:rsidR="00551955">
        <w:tc>
          <w:tcPr>
            <w:tcW w:w="1089" w:type="dxa"/>
          </w:tcPr>
          <w:p w:rsidR="00551955" w:rsidRDefault="00E33ED2">
            <w:pPr>
              <w:spacing w:before="0" w:after="0"/>
              <w:jc w:val="left"/>
              <w:rPr>
                <w:b/>
                <w:noProof/>
                <w:szCs w:val="24"/>
              </w:rPr>
            </w:pPr>
            <w:r>
              <w:rPr>
                <w:b/>
                <w:noProof/>
              </w:rPr>
              <w:t>5-RD</w:t>
            </w:r>
          </w:p>
        </w:tc>
        <w:tc>
          <w:tcPr>
            <w:tcW w:w="2694" w:type="dxa"/>
            <w:vAlign w:val="center"/>
          </w:tcPr>
          <w:p w:rsidR="00551955" w:rsidRDefault="00E33ED2">
            <w:pPr>
              <w:spacing w:before="0" w:after="0"/>
              <w:jc w:val="right"/>
              <w:rPr>
                <w:noProof/>
                <w:color w:val="000000"/>
                <w:szCs w:val="24"/>
              </w:rPr>
            </w:pPr>
            <w:r>
              <w:rPr>
                <w:noProof/>
                <w:color w:val="000000"/>
              </w:rPr>
              <w:t>78 000</w:t>
            </w:r>
          </w:p>
        </w:tc>
      </w:tr>
      <w:tr w:rsidR="00551955">
        <w:tc>
          <w:tcPr>
            <w:tcW w:w="1089" w:type="dxa"/>
          </w:tcPr>
          <w:p w:rsidR="00551955" w:rsidRDefault="00E33ED2">
            <w:pPr>
              <w:spacing w:before="0" w:after="0"/>
              <w:jc w:val="left"/>
              <w:rPr>
                <w:b/>
                <w:noProof/>
                <w:szCs w:val="24"/>
              </w:rPr>
            </w:pPr>
            <w:r>
              <w:rPr>
                <w:b/>
                <w:noProof/>
              </w:rPr>
              <w:t>5-LH</w:t>
            </w:r>
          </w:p>
        </w:tc>
        <w:tc>
          <w:tcPr>
            <w:tcW w:w="2694" w:type="dxa"/>
            <w:vAlign w:val="center"/>
          </w:tcPr>
          <w:p w:rsidR="00551955" w:rsidRDefault="00E33ED2">
            <w:pPr>
              <w:spacing w:before="0" w:after="0"/>
              <w:jc w:val="right"/>
              <w:rPr>
                <w:noProof/>
                <w:szCs w:val="24"/>
              </w:rPr>
            </w:pPr>
            <w:r>
              <w:rPr>
                <w:noProof/>
              </w:rPr>
              <w:t>116 000</w:t>
            </w:r>
          </w:p>
        </w:tc>
      </w:tr>
      <w:tr w:rsidR="00551955">
        <w:trPr>
          <w:trHeight w:val="224"/>
        </w:trPr>
        <w:tc>
          <w:tcPr>
            <w:tcW w:w="1089" w:type="dxa"/>
          </w:tcPr>
          <w:p w:rsidR="00551955" w:rsidRDefault="00E33ED2">
            <w:pPr>
              <w:spacing w:before="0" w:after="0"/>
              <w:jc w:val="left"/>
              <w:rPr>
                <w:b/>
                <w:noProof/>
                <w:szCs w:val="24"/>
              </w:rPr>
            </w:pPr>
            <w:r>
              <w:rPr>
                <w:b/>
                <w:noProof/>
              </w:rPr>
              <w:t>9-RD</w:t>
            </w:r>
          </w:p>
        </w:tc>
        <w:tc>
          <w:tcPr>
            <w:tcW w:w="2694" w:type="dxa"/>
            <w:vAlign w:val="center"/>
          </w:tcPr>
          <w:p w:rsidR="00551955" w:rsidRDefault="00E33ED2">
            <w:pPr>
              <w:spacing w:before="0" w:after="0"/>
              <w:jc w:val="right"/>
              <w:rPr>
                <w:noProof/>
                <w:color w:val="000000"/>
                <w:szCs w:val="24"/>
              </w:rPr>
            </w:pPr>
            <w:r>
              <w:rPr>
                <w:noProof/>
                <w:color w:val="000000"/>
              </w:rPr>
              <w:t>73 000</w:t>
            </w:r>
          </w:p>
        </w:tc>
      </w:tr>
      <w:tr w:rsidR="00551955">
        <w:tc>
          <w:tcPr>
            <w:tcW w:w="1089" w:type="dxa"/>
          </w:tcPr>
          <w:p w:rsidR="00551955" w:rsidRDefault="00E33ED2">
            <w:pPr>
              <w:spacing w:before="0" w:after="0"/>
              <w:jc w:val="left"/>
              <w:rPr>
                <w:b/>
                <w:noProof/>
                <w:szCs w:val="24"/>
              </w:rPr>
            </w:pPr>
            <w:r>
              <w:rPr>
                <w:b/>
                <w:noProof/>
              </w:rPr>
              <w:t>9-LH</w:t>
            </w:r>
          </w:p>
        </w:tc>
        <w:tc>
          <w:tcPr>
            <w:tcW w:w="2694" w:type="dxa"/>
            <w:vAlign w:val="center"/>
          </w:tcPr>
          <w:p w:rsidR="00551955" w:rsidRDefault="00E33ED2">
            <w:pPr>
              <w:spacing w:before="0" w:after="0"/>
              <w:jc w:val="right"/>
              <w:rPr>
                <w:noProof/>
                <w:color w:val="000000"/>
                <w:szCs w:val="24"/>
              </w:rPr>
            </w:pPr>
            <w:r>
              <w:rPr>
                <w:noProof/>
                <w:color w:val="000000"/>
              </w:rPr>
              <w:t>108 000</w:t>
            </w:r>
          </w:p>
        </w:tc>
      </w:tr>
      <w:tr w:rsidR="00551955">
        <w:tc>
          <w:tcPr>
            <w:tcW w:w="1089" w:type="dxa"/>
          </w:tcPr>
          <w:p w:rsidR="00551955" w:rsidRDefault="00E33ED2">
            <w:pPr>
              <w:spacing w:before="0" w:after="0"/>
              <w:jc w:val="left"/>
              <w:rPr>
                <w:b/>
                <w:noProof/>
                <w:szCs w:val="24"/>
              </w:rPr>
            </w:pPr>
            <w:r>
              <w:rPr>
                <w:b/>
                <w:noProof/>
              </w:rPr>
              <w:t>10-RD</w:t>
            </w:r>
          </w:p>
        </w:tc>
        <w:tc>
          <w:tcPr>
            <w:tcW w:w="2694" w:type="dxa"/>
            <w:vAlign w:val="center"/>
          </w:tcPr>
          <w:p w:rsidR="00551955" w:rsidRDefault="00E33ED2">
            <w:pPr>
              <w:spacing w:before="0" w:after="0"/>
              <w:jc w:val="right"/>
              <w:rPr>
                <w:noProof/>
                <w:color w:val="000000"/>
                <w:szCs w:val="24"/>
              </w:rPr>
            </w:pPr>
            <w:r>
              <w:rPr>
                <w:noProof/>
                <w:color w:val="000000"/>
              </w:rPr>
              <w:t>68 000</w:t>
            </w:r>
          </w:p>
        </w:tc>
      </w:tr>
      <w:tr w:rsidR="00551955">
        <w:tc>
          <w:tcPr>
            <w:tcW w:w="1089" w:type="dxa"/>
          </w:tcPr>
          <w:p w:rsidR="00551955" w:rsidRDefault="00E33ED2">
            <w:pPr>
              <w:spacing w:before="0" w:after="0"/>
              <w:jc w:val="left"/>
              <w:rPr>
                <w:b/>
                <w:noProof/>
                <w:szCs w:val="24"/>
              </w:rPr>
            </w:pPr>
            <w:r>
              <w:rPr>
                <w:b/>
                <w:noProof/>
              </w:rPr>
              <w:t>10-LH</w:t>
            </w:r>
          </w:p>
        </w:tc>
        <w:tc>
          <w:tcPr>
            <w:tcW w:w="2694" w:type="dxa"/>
            <w:vAlign w:val="center"/>
          </w:tcPr>
          <w:p w:rsidR="00551955" w:rsidRDefault="00E33ED2">
            <w:pPr>
              <w:spacing w:before="0" w:after="0"/>
              <w:jc w:val="right"/>
              <w:rPr>
                <w:noProof/>
                <w:color w:val="000000"/>
                <w:szCs w:val="24"/>
              </w:rPr>
            </w:pPr>
            <w:r>
              <w:rPr>
                <w:noProof/>
                <w:color w:val="000000"/>
              </w:rPr>
              <w:t>107 000</w:t>
            </w:r>
          </w:p>
        </w:tc>
      </w:tr>
    </w:tbl>
    <w:p w:rsidR="00551955" w:rsidRDefault="00551955">
      <w:pPr>
        <w:rPr>
          <w:noProof/>
        </w:rPr>
      </w:pPr>
    </w:p>
    <w:p w:rsidR="00551955" w:rsidRDefault="00E33ED2">
      <w:pPr>
        <w:pStyle w:val="Heading2"/>
        <w:numPr>
          <w:ilvl w:val="1"/>
          <w:numId w:val="10"/>
        </w:numPr>
        <w:rPr>
          <w:noProof/>
        </w:rPr>
      </w:pPr>
      <w:r>
        <w:rPr>
          <w:noProof/>
        </w:rPr>
        <w:t>Calcul des émissions de CO</w:t>
      </w:r>
      <w:r>
        <w:rPr>
          <w:noProof/>
          <w:vertAlign w:val="subscript"/>
        </w:rPr>
        <w:t>2</w:t>
      </w:r>
      <w:r>
        <w:rPr>
          <w:noProof/>
        </w:rPr>
        <w:t xml:space="preserve"> spécifiques moyennes en g/tkm d’un constructeur visées à l’article 4</w:t>
      </w:r>
    </w:p>
    <w:p w:rsidR="00551955" w:rsidRDefault="00E33ED2">
      <w:pPr>
        <w:ind w:left="850"/>
        <w:rPr>
          <w:noProof/>
        </w:rPr>
      </w:pPr>
      <w:r>
        <w:rPr>
          <w:noProof/>
        </w:rPr>
        <w:t>Pour chaque constructeur et chaque année</w:t>
      </w:r>
      <w:r>
        <w:rPr>
          <w:noProof/>
        </w:rPr>
        <w:t xml:space="preserve"> civile, les émissions de CO</w:t>
      </w:r>
      <w:r>
        <w:rPr>
          <w:noProof/>
          <w:vertAlign w:val="subscript"/>
        </w:rPr>
        <w:t>2</w:t>
      </w:r>
      <w:r>
        <w:rPr>
          <w:noProof/>
        </w:rPr>
        <w:t xml:space="preserve"> spécifiques moyennes en g/tkm (</w:t>
      </w:r>
      <w:r>
        <w:rPr>
          <w:i/>
          <w:noProof/>
          <w:sz w:val="22"/>
        </w:rPr>
        <w:t>CO2</w:t>
      </w:r>
      <w:r>
        <w:rPr>
          <w:noProof/>
        </w:rPr>
        <w:t xml:space="preserve">) sont calculées de la manière suivante:  </w:t>
      </w:r>
    </w:p>
    <w:p w:rsidR="00551955" w:rsidRDefault="00E33ED2">
      <w:pPr>
        <w:spacing w:before="0" w:after="200" w:line="276" w:lineRule="auto"/>
        <w:ind w:left="720" w:firstLine="720"/>
        <w:contextualSpacing/>
        <w:jc w:val="left"/>
        <w:rPr>
          <w:i/>
          <w:noProof/>
          <w:sz w:val="22"/>
        </w:rPr>
      </w:pPr>
      <w:r>
        <w:rPr>
          <w:i/>
          <w:noProof/>
          <w:sz w:val="22"/>
        </w:rPr>
        <w:t>CO2</w:t>
      </w:r>
      <w:r>
        <w:rPr>
          <w:i/>
          <w:noProof/>
          <w:sz w:val="22"/>
          <w:vertAlign w:val="subscript"/>
        </w:rPr>
        <w:t xml:space="preserve"> </w:t>
      </w:r>
      <w:r>
        <w:rPr>
          <w:i/>
          <w:noProof/>
          <w:sz w:val="22"/>
        </w:rPr>
        <w:t xml:space="preserve">= ZLEV </w:t>
      </w:r>
      <w:r>
        <w:rPr>
          <w:i/>
          <w:noProof/>
        </w:rPr>
        <w:t>×</w:t>
      </w:r>
      <w:r>
        <w:rPr>
          <w:i/>
          <w:noProof/>
          <w:sz w:val="22"/>
        </w:rPr>
        <w:t xml:space="preserve"> ∑ </w:t>
      </w:r>
      <w:r>
        <w:rPr>
          <w:i/>
          <w:noProof/>
          <w:sz w:val="22"/>
          <w:vertAlign w:val="subscript"/>
        </w:rPr>
        <w:t>sg</w:t>
      </w:r>
      <w:r>
        <w:rPr>
          <w:i/>
          <w:noProof/>
          <w:sz w:val="22"/>
        </w:rPr>
        <w:t xml:space="preserve">  share</w:t>
      </w:r>
      <w:r>
        <w:rPr>
          <w:i/>
          <w:noProof/>
          <w:sz w:val="22"/>
          <w:vertAlign w:val="subscript"/>
        </w:rPr>
        <w:t>,sg</w:t>
      </w:r>
      <w:r>
        <w:rPr>
          <w:i/>
          <w:noProof/>
          <w:sz w:val="22"/>
        </w:rPr>
        <w:t xml:space="preserve"> </w:t>
      </w:r>
      <w:r>
        <w:rPr>
          <w:i/>
          <w:noProof/>
        </w:rPr>
        <w:t>×</w:t>
      </w:r>
      <w:r>
        <w:rPr>
          <w:i/>
          <w:noProof/>
          <w:sz w:val="22"/>
        </w:rPr>
        <w:t xml:space="preserve">  </w:t>
      </w:r>
      <w:r>
        <w:rPr>
          <w:i/>
          <w:noProof/>
        </w:rPr>
        <w:t>MPW</w:t>
      </w:r>
      <w:r>
        <w:rPr>
          <w:i/>
          <w:noProof/>
          <w:vertAlign w:val="subscript"/>
        </w:rPr>
        <w:t>sg</w:t>
      </w:r>
      <w:r>
        <w:rPr>
          <w:i/>
          <w:noProof/>
          <w:sz w:val="22"/>
        </w:rPr>
        <w:t xml:space="preserve"> </w:t>
      </w:r>
      <w:r>
        <w:rPr>
          <w:i/>
          <w:noProof/>
        </w:rPr>
        <w:t>×</w:t>
      </w:r>
      <w:r>
        <w:rPr>
          <w:i/>
          <w:noProof/>
          <w:sz w:val="22"/>
        </w:rPr>
        <w:t xml:space="preserve"> avgCO2</w:t>
      </w:r>
      <w:r>
        <w:rPr>
          <w:i/>
          <w:noProof/>
          <w:sz w:val="22"/>
          <w:vertAlign w:val="subscript"/>
        </w:rPr>
        <w:t>sg</w:t>
      </w:r>
      <w:r>
        <w:rPr>
          <w:i/>
          <w:noProof/>
          <w:sz w:val="22"/>
        </w:rPr>
        <w:t xml:space="preserve"> </w:t>
      </w:r>
    </w:p>
    <w:p w:rsidR="00551955" w:rsidRDefault="00551955">
      <w:pPr>
        <w:spacing w:before="0" w:after="200" w:line="276" w:lineRule="auto"/>
        <w:ind w:left="720" w:firstLine="720"/>
        <w:contextualSpacing/>
        <w:jc w:val="left"/>
        <w:rPr>
          <w:i/>
          <w:noProof/>
          <w:sz w:val="22"/>
        </w:rPr>
      </w:pPr>
    </w:p>
    <w:p w:rsidR="00551955" w:rsidRDefault="00E33ED2">
      <w:pPr>
        <w:spacing w:before="0" w:after="200" w:line="276" w:lineRule="auto"/>
        <w:contextualSpacing/>
        <w:jc w:val="left"/>
        <w:rPr>
          <w:noProof/>
          <w:sz w:val="22"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  <w:sz w:val="22"/>
        </w:rPr>
        <w:t>où</w:t>
      </w:r>
    </w:p>
    <w:p w:rsidR="00551955" w:rsidRDefault="00E33ED2">
      <w:pPr>
        <w:ind w:left="720" w:firstLine="720"/>
        <w:jc w:val="left"/>
        <w:rPr>
          <w:noProof/>
          <w:szCs w:val="24"/>
        </w:rPr>
      </w:pPr>
      <w:r>
        <w:rPr>
          <w:i/>
          <w:noProof/>
          <w:sz w:val="22"/>
        </w:rPr>
        <w:t xml:space="preserve">∑ </w:t>
      </w:r>
      <w:r>
        <w:rPr>
          <w:i/>
          <w:noProof/>
          <w:sz w:val="22"/>
          <w:vertAlign w:val="subscript"/>
        </w:rPr>
        <w:t>sg</w:t>
      </w:r>
      <w:r>
        <w:rPr>
          <w:noProof/>
        </w:rPr>
        <w:tab/>
      </w:r>
      <w:r>
        <w:rPr>
          <w:noProof/>
        </w:rPr>
        <w:tab/>
      </w:r>
      <w:r>
        <w:rPr>
          <w:rFonts w:eastAsiaTheme="minorEastAsia"/>
          <w:noProof/>
          <w:sz w:val="20"/>
        </w:rPr>
        <w:t xml:space="preserve">est </w:t>
      </w:r>
      <w:r>
        <w:rPr>
          <w:noProof/>
        </w:rPr>
        <w:t>la sommation sur l’ensemble des sous-groupes;</w:t>
      </w:r>
    </w:p>
    <w:p w:rsidR="00551955" w:rsidRDefault="00E33ED2">
      <w:pPr>
        <w:spacing w:before="0" w:after="200" w:line="276" w:lineRule="auto"/>
        <w:contextualSpacing/>
        <w:jc w:val="left"/>
        <w:rPr>
          <w:noProof/>
          <w:sz w:val="22"/>
        </w:rPr>
      </w:pPr>
      <w:r>
        <w:rPr>
          <w:noProof/>
        </w:rPr>
        <w:tab/>
      </w:r>
      <w:r>
        <w:rPr>
          <w:noProof/>
        </w:rPr>
        <w:tab/>
      </w:r>
      <w:r>
        <w:rPr>
          <w:i/>
          <w:noProof/>
          <w:sz w:val="22"/>
        </w:rPr>
        <w:t>ZLEV</w:t>
      </w:r>
      <w:r>
        <w:rPr>
          <w:noProof/>
        </w:rPr>
        <w:tab/>
      </w:r>
      <w:r>
        <w:rPr>
          <w:noProof/>
        </w:rPr>
        <w:tab/>
      </w:r>
      <w:r>
        <w:rPr>
          <w:noProof/>
          <w:sz w:val="22"/>
        </w:rPr>
        <w:t xml:space="preserve">est la valeur déterminée au </w:t>
      </w:r>
      <w:r>
        <w:rPr>
          <w:noProof/>
          <w:sz w:val="22"/>
        </w:rPr>
        <w:t>point 2.3</w:t>
      </w:r>
    </w:p>
    <w:p w:rsidR="00551955" w:rsidRDefault="00E33ED2">
      <w:pPr>
        <w:spacing w:before="0" w:after="200" w:line="276" w:lineRule="auto"/>
        <w:contextualSpacing/>
        <w:jc w:val="left"/>
        <w:rPr>
          <w:noProof/>
          <w:sz w:val="22"/>
        </w:rPr>
      </w:pPr>
      <w:r>
        <w:rPr>
          <w:noProof/>
        </w:rPr>
        <w:tab/>
      </w:r>
      <w:r>
        <w:rPr>
          <w:noProof/>
        </w:rPr>
        <w:tab/>
      </w:r>
      <w:r>
        <w:rPr>
          <w:i/>
          <w:noProof/>
          <w:sz w:val="22"/>
        </w:rPr>
        <w:t>share</w:t>
      </w:r>
      <w:r>
        <w:rPr>
          <w:i/>
          <w:noProof/>
          <w:sz w:val="22"/>
          <w:vertAlign w:val="subscript"/>
        </w:rPr>
        <w:t>,sg</w:t>
      </w:r>
      <w:r>
        <w:rPr>
          <w:noProof/>
        </w:rPr>
        <w:tab/>
      </w:r>
      <w:r>
        <w:rPr>
          <w:noProof/>
        </w:rPr>
        <w:tab/>
      </w:r>
      <w:r>
        <w:rPr>
          <w:noProof/>
          <w:sz w:val="22"/>
        </w:rPr>
        <w:t>est la valeur déterminée au point 2.4</w:t>
      </w:r>
    </w:p>
    <w:p w:rsidR="00551955" w:rsidRDefault="00E33ED2">
      <w:pPr>
        <w:spacing w:before="0" w:after="200" w:line="276" w:lineRule="auto"/>
        <w:contextualSpacing/>
        <w:jc w:val="left"/>
        <w:rPr>
          <w:noProof/>
          <w:sz w:val="22"/>
        </w:rPr>
      </w:pPr>
      <w:r>
        <w:rPr>
          <w:noProof/>
        </w:rPr>
        <w:tab/>
      </w:r>
      <w:r>
        <w:rPr>
          <w:noProof/>
        </w:rPr>
        <w:tab/>
      </w:r>
      <w:r>
        <w:rPr>
          <w:i/>
          <w:noProof/>
        </w:rPr>
        <w:t>MPW</w:t>
      </w:r>
      <w:r>
        <w:rPr>
          <w:i/>
          <w:noProof/>
          <w:vertAlign w:val="subscript"/>
        </w:rPr>
        <w:t>sg</w:t>
      </w:r>
      <w:r>
        <w:rPr>
          <w:noProof/>
        </w:rPr>
        <w:tab/>
      </w:r>
      <w:r>
        <w:rPr>
          <w:noProof/>
        </w:rPr>
        <w:tab/>
      </w:r>
      <w:r>
        <w:rPr>
          <w:noProof/>
          <w:sz w:val="22"/>
        </w:rPr>
        <w:t>est la valeur déterminée au point 2.6</w:t>
      </w:r>
    </w:p>
    <w:p w:rsidR="00551955" w:rsidRDefault="00E33ED2">
      <w:pPr>
        <w:spacing w:before="0" w:after="200" w:line="276" w:lineRule="auto"/>
        <w:contextualSpacing/>
        <w:jc w:val="left"/>
        <w:rPr>
          <w:noProof/>
          <w:sz w:val="22"/>
        </w:rPr>
      </w:pPr>
      <w:r>
        <w:rPr>
          <w:noProof/>
        </w:rPr>
        <w:tab/>
      </w:r>
      <w:r>
        <w:rPr>
          <w:noProof/>
        </w:rPr>
        <w:tab/>
      </w:r>
      <w:r>
        <w:rPr>
          <w:i/>
          <w:noProof/>
          <w:sz w:val="22"/>
        </w:rPr>
        <w:t>avgCO2</w:t>
      </w:r>
      <w:r>
        <w:rPr>
          <w:i/>
          <w:noProof/>
          <w:sz w:val="22"/>
          <w:vertAlign w:val="subscript"/>
        </w:rPr>
        <w:t>sg</w:t>
      </w:r>
      <w:r>
        <w:rPr>
          <w:noProof/>
        </w:rPr>
        <w:tab/>
      </w:r>
      <w:r>
        <w:rPr>
          <w:noProof/>
          <w:sz w:val="22"/>
        </w:rPr>
        <w:t>est la valeur déterminée au point 2.2</w:t>
      </w:r>
    </w:p>
    <w:p w:rsidR="00551955" w:rsidRDefault="00E33ED2">
      <w:pPr>
        <w:spacing w:before="0" w:after="200" w:line="276" w:lineRule="auto"/>
        <w:contextualSpacing/>
        <w:jc w:val="left"/>
        <w:rPr>
          <w:noProof/>
          <w:sz w:val="22"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</w:p>
    <w:p w:rsidR="00551955" w:rsidRDefault="00E33ED2">
      <w:pPr>
        <w:pStyle w:val="Heading1"/>
        <w:numPr>
          <w:ilvl w:val="0"/>
          <w:numId w:val="10"/>
        </w:numPr>
        <w:rPr>
          <w:noProof/>
        </w:rPr>
      </w:pPr>
      <w:r>
        <w:rPr>
          <w:noProof/>
        </w:rPr>
        <w:t>Calcul des émissions de CO</w:t>
      </w:r>
      <w:r>
        <w:rPr>
          <w:noProof/>
          <w:vertAlign w:val="subscript"/>
        </w:rPr>
        <w:t>2</w:t>
      </w:r>
      <w:r>
        <w:rPr>
          <w:noProof/>
        </w:rPr>
        <w:t xml:space="preserve"> de référence visées à l’article 1</w:t>
      </w:r>
      <w:r>
        <w:rPr>
          <w:noProof/>
          <w:vertAlign w:val="superscript"/>
        </w:rPr>
        <w:t>er</w:t>
      </w:r>
    </w:p>
    <w:p w:rsidR="00551955" w:rsidRDefault="00E33ED2">
      <w:pPr>
        <w:spacing w:before="0" w:after="200" w:line="276" w:lineRule="auto"/>
        <w:ind w:left="720"/>
        <w:contextualSpacing/>
        <w:jc w:val="left"/>
        <w:rPr>
          <w:noProof/>
        </w:rPr>
      </w:pPr>
      <w:r>
        <w:rPr>
          <w:noProof/>
        </w:rPr>
        <w:t>Les émissions de CO</w:t>
      </w:r>
      <w:r>
        <w:rPr>
          <w:noProof/>
          <w:vertAlign w:val="subscript"/>
        </w:rPr>
        <w:t>2</w:t>
      </w:r>
      <w:r>
        <w:rPr>
          <w:noProof/>
        </w:rPr>
        <w:t xml:space="preserve"> de référenc</w:t>
      </w:r>
      <w:r>
        <w:rPr>
          <w:noProof/>
        </w:rPr>
        <w:t>e (</w:t>
      </w:r>
      <w:r>
        <w:rPr>
          <w:i/>
          <w:noProof/>
        </w:rPr>
        <w:t>rCO2</w:t>
      </w:r>
      <w:r>
        <w:rPr>
          <w:i/>
          <w:noProof/>
          <w:vertAlign w:val="subscript"/>
        </w:rPr>
        <w:t>sg</w:t>
      </w:r>
      <w:r>
        <w:rPr>
          <w:noProof/>
        </w:rPr>
        <w:t xml:space="preserve">) sont calculées pour chaque sous-groupe </w:t>
      </w:r>
      <w:r>
        <w:rPr>
          <w:i/>
          <w:noProof/>
        </w:rPr>
        <w:t>sg</w:t>
      </w:r>
      <w:r>
        <w:rPr>
          <w:noProof/>
        </w:rPr>
        <w:t xml:space="preserve"> sur la base de l’ensemble des nouveaux véhicules lourds de l’ensemble des constructeurs pour l’année 2019, de la manière suivante: </w:t>
      </w:r>
    </w:p>
    <w:p w:rsidR="00551955" w:rsidRDefault="00551955">
      <w:pPr>
        <w:spacing w:before="0" w:after="200" w:line="276" w:lineRule="auto"/>
        <w:ind w:left="720"/>
        <w:contextualSpacing/>
        <w:jc w:val="left"/>
        <w:rPr>
          <w:noProof/>
        </w:rPr>
      </w:pPr>
    </w:p>
    <w:p w:rsidR="00551955" w:rsidRDefault="00E33ED2">
      <w:pPr>
        <w:ind w:left="850"/>
        <w:rPr>
          <w:noProof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noProof/>
                </w:rPr>
              </m:ctrlPr>
            </m:sSubPr>
            <m:e>
              <m:r>
                <w:rPr>
                  <w:rFonts w:ascii="Cambria Math" w:hAnsi="Cambria Math"/>
                  <w:noProof/>
                </w:rPr>
                <m:t>rCO</m:t>
              </m:r>
              <m:r>
                <w:rPr>
                  <w:rFonts w:ascii="Cambria Math" w:hAnsi="Cambria Math"/>
                  <w:noProof/>
                </w:rPr>
                <m:t>2</m:t>
              </m:r>
            </m:e>
            <m:sub>
              <m:r>
                <w:rPr>
                  <w:rFonts w:ascii="Cambria Math" w:hAnsi="Cambria Math"/>
                  <w:noProof/>
                </w:rPr>
                <m:t>sg</m:t>
              </m:r>
            </m:sub>
          </m:sSub>
          <m:r>
            <w:rPr>
              <w:rFonts w:ascii="Cambria Math" w:eastAsiaTheme="minorEastAsia" w:hAnsi="Cambria Math"/>
              <w:noProof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noProof/>
                </w:rPr>
              </m:ctrlPr>
            </m:fPr>
            <m:num>
              <m:nary>
                <m:naryPr>
                  <m:chr m:val="∑"/>
                  <m:limLoc m:val="undOvr"/>
                  <m:supHide m:val="1"/>
                  <m:ctrlPr>
                    <w:rPr>
                      <w:rFonts w:ascii="Cambria Math" w:eastAsiaTheme="minorEastAsia" w:hAnsi="Cambria Math"/>
                      <w:i/>
                      <w:noProof/>
                    </w:rPr>
                  </m:ctrlPr>
                </m:naryPr>
                <m:sub>
                  <m:r>
                    <w:rPr>
                      <w:rFonts w:ascii="Cambria Math" w:eastAsiaTheme="minorEastAsia" w:hAnsi="Cambria Math"/>
                      <w:noProof/>
                    </w:rPr>
                    <m:t>v</m:t>
                  </m:r>
                </m:sub>
                <m:sup/>
                <m:e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noProof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noProof/>
                        </w:rPr>
                        <m:t>CO</m:t>
                      </m:r>
                      <m:r>
                        <w:rPr>
                          <w:rFonts w:ascii="Cambria Math" w:eastAsiaTheme="minorEastAsia" w:hAnsi="Cambria Math"/>
                          <w:noProof/>
                        </w:rPr>
                        <m:t>2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noProof/>
                        </w:rPr>
                        <m:t>v</m:t>
                      </m:r>
                    </m:sub>
                  </m:sSub>
                </m:e>
              </m:nary>
            </m:num>
            <m:den>
              <m:sSub>
                <m:sSubPr>
                  <m:ctrlPr>
                    <w:rPr>
                      <w:rFonts w:ascii="Cambria Math" w:eastAsiaTheme="minorEastAsia" w:hAnsi="Cambria Math"/>
                      <w:i/>
                      <w:noProof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noProof/>
                    </w:rPr>
                    <m:t>rV</m:t>
                  </m:r>
                </m:e>
                <m:sub>
                  <m:r>
                    <w:rPr>
                      <w:rFonts w:ascii="Cambria Math" w:eastAsiaTheme="minorEastAsia" w:hAnsi="Cambria Math"/>
                      <w:noProof/>
                    </w:rPr>
                    <m:t>sg</m:t>
                  </m:r>
                </m:sub>
              </m:sSub>
              <m:r>
                <w:rPr>
                  <w:rFonts w:ascii="Cambria Math" w:eastAsiaTheme="minorEastAsia" w:hAnsi="Cambria Math"/>
                  <w:noProof/>
                </w:rPr>
                <m:t xml:space="preserve"> </m:t>
              </m:r>
              <m:r>
                <w:rPr>
                  <w:rFonts w:ascii="Cambria Math" w:eastAsiaTheme="minorEastAsia" w:hAnsi="Cambria Math"/>
                  <w:noProof/>
                </w:rPr>
                <m:t>x</m:t>
              </m:r>
              <m:r>
                <w:rPr>
                  <w:rFonts w:ascii="Cambria Math" w:eastAsiaTheme="minorEastAsia" w:hAnsi="Cambria Math"/>
                  <w:noProof/>
                </w:rPr>
                <m:t xml:space="preserve"> 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  <w:noProof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noProof/>
                    </w:rPr>
                    <m:t>PL</m:t>
                  </m:r>
                </m:e>
                <m:sub>
                  <m:r>
                    <w:rPr>
                      <w:rFonts w:ascii="Cambria Math" w:eastAsiaTheme="minorEastAsia" w:hAnsi="Cambria Math"/>
                      <w:noProof/>
                    </w:rPr>
                    <m:t>sg</m:t>
                  </m:r>
                </m:sub>
              </m:sSub>
            </m:den>
          </m:f>
        </m:oMath>
      </m:oMathPara>
    </w:p>
    <w:p w:rsidR="00551955" w:rsidRDefault="00E33ED2">
      <w:pPr>
        <w:ind w:left="850"/>
        <w:jc w:val="left"/>
        <w:rPr>
          <w:noProof/>
          <w:sz w:val="22"/>
        </w:rPr>
      </w:pPr>
      <w:r>
        <w:rPr>
          <w:noProof/>
          <w:sz w:val="22"/>
        </w:rPr>
        <w:t>où</w:t>
      </w:r>
    </w:p>
    <w:p w:rsidR="00551955" w:rsidRDefault="00E33ED2">
      <w:pPr>
        <w:ind w:left="2155" w:hanging="1305"/>
        <w:jc w:val="left"/>
        <w:rPr>
          <w:noProof/>
          <w:szCs w:val="24"/>
        </w:rPr>
      </w:pPr>
      <m:oMath>
        <m:nary>
          <m:naryPr>
            <m:chr m:val="∑"/>
            <m:limLoc m:val="undOvr"/>
            <m:supHide m:val="1"/>
            <m:ctrlPr>
              <w:rPr>
                <w:rFonts w:ascii="Cambria Math" w:hAnsi="Cambria Math"/>
                <w:i/>
                <w:noProof/>
                <w:sz w:val="20"/>
                <w:szCs w:val="20"/>
              </w:rPr>
            </m:ctrlPr>
          </m:naryPr>
          <m:sub>
            <m:r>
              <w:rPr>
                <w:rFonts w:ascii="Cambria Math" w:hAnsi="Cambria Math"/>
                <w:noProof/>
                <w:sz w:val="20"/>
                <w:szCs w:val="20"/>
              </w:rPr>
              <m:t>v</m:t>
            </m:r>
          </m:sub>
          <m:sup/>
          <m:e/>
        </m:nary>
      </m:oMath>
      <w:r>
        <w:rPr>
          <w:noProof/>
        </w:rPr>
        <w:tab/>
        <w:t>est la sommation sur l</w:t>
      </w:r>
      <w:r>
        <w:rPr>
          <w:noProof/>
        </w:rPr>
        <w:t xml:space="preserve">’ensemble des nouveaux véhicules lourds immatriculés au cours de l’année 2019 dans le sous-groupe </w:t>
      </w:r>
      <w:r>
        <w:rPr>
          <w:i/>
          <w:noProof/>
        </w:rPr>
        <w:t>sg</w:t>
      </w:r>
      <w:r>
        <w:rPr>
          <w:noProof/>
        </w:rPr>
        <w:t>, à l’exclusion de tous les véhicules professionnels conformément au deuxième alinéa de l’article 1</w:t>
      </w:r>
      <w:r>
        <w:rPr>
          <w:noProof/>
          <w:vertAlign w:val="superscript"/>
        </w:rPr>
        <w:t>er</w:t>
      </w:r>
      <w:r>
        <w:rPr>
          <w:noProof/>
        </w:rPr>
        <w:t xml:space="preserve">;  </w:t>
      </w:r>
      <w:r>
        <w:rPr>
          <w:noProof/>
        </w:rPr>
        <w:tab/>
      </w:r>
    </w:p>
    <w:p w:rsidR="00551955" w:rsidRDefault="00E33ED2">
      <w:pPr>
        <w:ind w:left="2155" w:hanging="1305"/>
        <w:jc w:val="left"/>
        <w:rPr>
          <w:rFonts w:eastAsiaTheme="minorEastAsia"/>
          <w:noProof/>
          <w:szCs w:val="24"/>
          <w:vertAlign w:val="subscript"/>
        </w:rPr>
      </w:pPr>
      <w:r>
        <w:rPr>
          <w:rFonts w:eastAsiaTheme="minorEastAsia"/>
          <w:i/>
          <w:noProof/>
        </w:rPr>
        <w:t>CO2</w:t>
      </w:r>
      <w:r>
        <w:rPr>
          <w:rFonts w:eastAsiaTheme="minorEastAsia"/>
          <w:i/>
          <w:noProof/>
          <w:vertAlign w:val="subscript"/>
        </w:rPr>
        <w:t>v</w:t>
      </w:r>
      <w:r>
        <w:rPr>
          <w:noProof/>
        </w:rPr>
        <w:tab/>
        <w:t>correspond aux émissions de CO</w:t>
      </w:r>
      <w:r>
        <w:rPr>
          <w:rFonts w:eastAsiaTheme="minorEastAsia"/>
          <w:noProof/>
          <w:vertAlign w:val="subscript"/>
        </w:rPr>
        <w:t>2</w:t>
      </w:r>
      <w:r>
        <w:rPr>
          <w:noProof/>
        </w:rPr>
        <w:t xml:space="preserve"> spécifiques du véhicule </w:t>
      </w:r>
      <w:r>
        <w:rPr>
          <w:rFonts w:eastAsiaTheme="minorEastAsia"/>
          <w:i/>
          <w:noProof/>
        </w:rPr>
        <w:t>v</w:t>
      </w:r>
      <w:r>
        <w:rPr>
          <w:noProof/>
        </w:rPr>
        <w:t xml:space="preserve"> telles que déterminées conformément au point 2.1, ajustées le cas échéant conformément à l’annexe II;</w:t>
      </w:r>
    </w:p>
    <w:p w:rsidR="00551955" w:rsidRDefault="00E33ED2">
      <w:pPr>
        <w:ind w:left="2155" w:hanging="1305"/>
        <w:jc w:val="left"/>
        <w:rPr>
          <w:noProof/>
        </w:rPr>
      </w:pPr>
      <w:r>
        <w:rPr>
          <w:i/>
          <w:noProof/>
        </w:rPr>
        <w:t>rV</w:t>
      </w:r>
      <w:r>
        <w:rPr>
          <w:i/>
          <w:noProof/>
          <w:vertAlign w:val="subscript"/>
        </w:rPr>
        <w:t>sg</w:t>
      </w:r>
      <w:r>
        <w:rPr>
          <w:noProof/>
        </w:rPr>
        <w:tab/>
        <w:t xml:space="preserve">est le nombre total des nouveaux véhicules lourds immatriculés au cours de l’année 2019 dans le sous-groupe </w:t>
      </w:r>
      <w:r>
        <w:rPr>
          <w:i/>
          <w:noProof/>
        </w:rPr>
        <w:t>sg</w:t>
      </w:r>
      <w:r>
        <w:rPr>
          <w:noProof/>
        </w:rPr>
        <w:t>, à l’exclus</w:t>
      </w:r>
      <w:r>
        <w:rPr>
          <w:noProof/>
        </w:rPr>
        <w:t>ion de tous les véhicules professionnels conformément au deuxième alinéa de l’article 1</w:t>
      </w:r>
      <w:r>
        <w:rPr>
          <w:noProof/>
          <w:vertAlign w:val="superscript"/>
        </w:rPr>
        <w:t>er</w:t>
      </w:r>
      <w:r>
        <w:rPr>
          <w:noProof/>
        </w:rPr>
        <w:t>;</w:t>
      </w:r>
    </w:p>
    <w:p w:rsidR="00551955" w:rsidRDefault="00E33ED2">
      <w:pPr>
        <w:spacing w:before="0" w:after="0"/>
        <w:ind w:left="2155" w:hanging="1305"/>
        <w:rPr>
          <w:noProof/>
          <w:szCs w:val="24"/>
        </w:rPr>
      </w:pPr>
      <w:r>
        <w:rPr>
          <w:i/>
          <w:noProof/>
        </w:rPr>
        <w:t>PL</w:t>
      </w:r>
      <w:r>
        <w:rPr>
          <w:i/>
          <w:noProof/>
          <w:vertAlign w:val="subscript"/>
        </w:rPr>
        <w:t>sg</w:t>
      </w:r>
      <w:r>
        <w:rPr>
          <w:noProof/>
        </w:rPr>
        <w:tab/>
        <w:t xml:space="preserve">est la charge utile moyenne des véhicules du sous-groupe </w:t>
      </w:r>
      <w:r>
        <w:rPr>
          <w:i/>
          <w:noProof/>
        </w:rPr>
        <w:t>sg</w:t>
      </w:r>
      <w:r>
        <w:rPr>
          <w:noProof/>
        </w:rPr>
        <w:t>, telle que déterminée au point 2.5.</w:t>
      </w:r>
    </w:p>
    <w:p w:rsidR="00551955" w:rsidRDefault="00E33ED2">
      <w:pPr>
        <w:ind w:left="2155" w:hanging="1305"/>
        <w:jc w:val="left"/>
        <w:rPr>
          <w:noProof/>
          <w:sz w:val="22"/>
        </w:rPr>
      </w:pPr>
      <w:r>
        <w:rPr>
          <w:noProof/>
        </w:rPr>
        <w:t xml:space="preserve">  </w:t>
      </w:r>
    </w:p>
    <w:p w:rsidR="00551955" w:rsidRDefault="00E33ED2">
      <w:pPr>
        <w:pStyle w:val="Heading1"/>
        <w:numPr>
          <w:ilvl w:val="0"/>
          <w:numId w:val="10"/>
        </w:numPr>
        <w:rPr>
          <w:noProof/>
        </w:rPr>
      </w:pPr>
      <w:r>
        <w:rPr>
          <w:noProof/>
        </w:rPr>
        <w:t>Calcul de l’objectif d’émissions spécifiques d’un constructeu</w:t>
      </w:r>
      <w:r>
        <w:rPr>
          <w:noProof/>
        </w:rPr>
        <w:t>r visé à l’article 6</w:t>
      </w:r>
    </w:p>
    <w:p w:rsidR="00551955" w:rsidRDefault="00E33ED2">
      <w:pPr>
        <w:ind w:left="850"/>
        <w:rPr>
          <w:noProof/>
        </w:rPr>
      </w:pPr>
      <w:r>
        <w:rPr>
          <w:noProof/>
        </w:rPr>
        <w:t xml:space="preserve">Pour chaque constructeur et chaque année civile, à partir de 2025, l’objectif d’émissions spécifiques </w:t>
      </w:r>
      <w:r>
        <w:rPr>
          <w:i/>
          <w:noProof/>
        </w:rPr>
        <w:t>T</w:t>
      </w:r>
      <w:r>
        <w:rPr>
          <w:noProof/>
        </w:rPr>
        <w:t xml:space="preserve"> est calculé de la manière suivante:</w:t>
      </w:r>
    </w:p>
    <w:p w:rsidR="00551955" w:rsidRDefault="00E33ED2">
      <w:pPr>
        <w:spacing w:before="0" w:after="200" w:line="276" w:lineRule="auto"/>
        <w:ind w:left="720" w:firstLine="720"/>
        <w:jc w:val="left"/>
        <w:rPr>
          <w:i/>
          <w:noProof/>
          <w:szCs w:val="24"/>
          <w:vertAlign w:val="subscript"/>
        </w:rPr>
      </w:pPr>
      <w:r>
        <w:rPr>
          <w:i/>
          <w:noProof/>
        </w:rPr>
        <w:t xml:space="preserve">T = ∑ </w:t>
      </w:r>
      <w:r>
        <w:rPr>
          <w:i/>
          <w:noProof/>
          <w:vertAlign w:val="subscript"/>
        </w:rPr>
        <w:t>sg</w:t>
      </w:r>
      <w:r>
        <w:rPr>
          <w:i/>
          <w:noProof/>
        </w:rPr>
        <w:t xml:space="preserve">  </w:t>
      </w:r>
      <w:r>
        <w:rPr>
          <w:i/>
          <w:noProof/>
          <w:sz w:val="22"/>
        </w:rPr>
        <w:t>share</w:t>
      </w:r>
      <w:r>
        <w:rPr>
          <w:i/>
          <w:noProof/>
          <w:sz w:val="22"/>
          <w:vertAlign w:val="subscript"/>
        </w:rPr>
        <w:t>sg</w:t>
      </w:r>
      <w:r>
        <w:rPr>
          <w:i/>
          <w:noProof/>
        </w:rPr>
        <w:t xml:space="preserve"> × MPW</w:t>
      </w:r>
      <w:r>
        <w:rPr>
          <w:i/>
          <w:noProof/>
          <w:vertAlign w:val="subscript"/>
        </w:rPr>
        <w:t>sg</w:t>
      </w:r>
      <w:r>
        <w:rPr>
          <w:i/>
          <w:noProof/>
        </w:rPr>
        <w:t xml:space="preserve"> × (1 - rf)</w:t>
      </w:r>
      <w:r>
        <w:rPr>
          <w:i/>
          <w:noProof/>
          <w:vertAlign w:val="subscript"/>
        </w:rPr>
        <w:t xml:space="preserve"> </w:t>
      </w:r>
      <w:r>
        <w:rPr>
          <w:i/>
          <w:noProof/>
        </w:rPr>
        <w:t>× r</w:t>
      </w:r>
      <w:r>
        <w:rPr>
          <w:i/>
          <w:noProof/>
          <w:sz w:val="22"/>
        </w:rPr>
        <w:t>CO2</w:t>
      </w:r>
      <w:r>
        <w:rPr>
          <w:i/>
          <w:noProof/>
          <w:sz w:val="22"/>
          <w:vertAlign w:val="subscript"/>
        </w:rPr>
        <w:t>sg</w:t>
      </w:r>
      <w:r>
        <w:rPr>
          <w:i/>
          <w:noProof/>
        </w:rPr>
        <w:t xml:space="preserve"> </w:t>
      </w:r>
    </w:p>
    <w:p w:rsidR="00551955" w:rsidRDefault="00E33ED2">
      <w:pPr>
        <w:spacing w:before="0" w:after="200" w:line="276" w:lineRule="auto"/>
        <w:jc w:val="left"/>
        <w:rPr>
          <w:noProof/>
          <w:szCs w:val="24"/>
        </w:rPr>
      </w:pPr>
      <w:r>
        <w:rPr>
          <w:noProof/>
        </w:rPr>
        <w:tab/>
      </w:r>
      <w:r>
        <w:rPr>
          <w:noProof/>
        </w:rPr>
        <w:tab/>
        <w:t>où</w:t>
      </w:r>
    </w:p>
    <w:p w:rsidR="00551955" w:rsidRDefault="00E33ED2">
      <w:pPr>
        <w:spacing w:before="0" w:after="0"/>
        <w:jc w:val="left"/>
        <w:rPr>
          <w:noProof/>
          <w:szCs w:val="24"/>
        </w:rPr>
      </w:pPr>
      <w:r>
        <w:rPr>
          <w:noProof/>
        </w:rPr>
        <w:tab/>
      </w:r>
      <w:r>
        <w:rPr>
          <w:noProof/>
        </w:rPr>
        <w:tab/>
      </w:r>
      <w:r>
        <w:rPr>
          <w:i/>
          <w:noProof/>
        </w:rPr>
        <w:t xml:space="preserve">∑ </w:t>
      </w:r>
      <w:r>
        <w:rPr>
          <w:i/>
          <w:noProof/>
          <w:vertAlign w:val="subscript"/>
        </w:rPr>
        <w:t>sg</w:t>
      </w:r>
      <w:r>
        <w:rPr>
          <w:noProof/>
        </w:rPr>
        <w:tab/>
      </w:r>
      <w:r>
        <w:rPr>
          <w:noProof/>
        </w:rPr>
        <w:tab/>
      </w:r>
      <w:r>
        <w:rPr>
          <w:rFonts w:eastAsiaTheme="minorEastAsia"/>
          <w:noProof/>
          <w:sz w:val="20"/>
        </w:rPr>
        <w:t xml:space="preserve">est </w:t>
      </w:r>
      <w:r>
        <w:rPr>
          <w:noProof/>
          <w:sz w:val="22"/>
        </w:rPr>
        <w:t>la sommation sur l’ensemble des</w:t>
      </w:r>
      <w:r>
        <w:rPr>
          <w:noProof/>
          <w:sz w:val="22"/>
        </w:rPr>
        <w:t xml:space="preserve"> sous-groupes;</w:t>
      </w:r>
    </w:p>
    <w:p w:rsidR="00551955" w:rsidRDefault="00E33ED2">
      <w:pPr>
        <w:spacing w:before="0" w:after="0"/>
        <w:ind w:left="720" w:firstLine="720"/>
        <w:contextualSpacing/>
        <w:jc w:val="left"/>
        <w:rPr>
          <w:noProof/>
          <w:sz w:val="22"/>
        </w:rPr>
      </w:pPr>
      <w:r>
        <w:rPr>
          <w:i/>
          <w:noProof/>
        </w:rPr>
        <w:t>share</w:t>
      </w:r>
      <w:r>
        <w:rPr>
          <w:i/>
          <w:noProof/>
          <w:sz w:val="22"/>
          <w:vertAlign w:val="subscript"/>
        </w:rPr>
        <w:t>sg</w:t>
      </w:r>
      <w:r>
        <w:rPr>
          <w:noProof/>
        </w:rPr>
        <w:tab/>
      </w:r>
      <w:r>
        <w:rPr>
          <w:noProof/>
        </w:rPr>
        <w:tab/>
      </w:r>
      <w:r>
        <w:rPr>
          <w:noProof/>
          <w:sz w:val="22"/>
        </w:rPr>
        <w:t>est la valeur déterminée au point 4 de la section 2;</w:t>
      </w:r>
    </w:p>
    <w:p w:rsidR="00551955" w:rsidRDefault="00E33ED2">
      <w:pPr>
        <w:spacing w:before="0" w:after="0"/>
        <w:ind w:left="720" w:firstLine="720"/>
        <w:rPr>
          <w:noProof/>
          <w:szCs w:val="24"/>
        </w:rPr>
      </w:pPr>
      <w:r>
        <w:rPr>
          <w:i/>
          <w:noProof/>
        </w:rPr>
        <w:t>MPW</w:t>
      </w:r>
      <w:r>
        <w:rPr>
          <w:i/>
          <w:noProof/>
          <w:vertAlign w:val="subscript"/>
        </w:rPr>
        <w:t>sg</w:t>
      </w:r>
      <w:r>
        <w:rPr>
          <w:noProof/>
        </w:rPr>
        <w:tab/>
      </w:r>
      <w:r>
        <w:rPr>
          <w:noProof/>
        </w:rPr>
        <w:tab/>
        <w:t>est la valeur déterminée au point 6 de la section 2;</w:t>
      </w:r>
    </w:p>
    <w:p w:rsidR="00551955" w:rsidRDefault="00E33ED2">
      <w:pPr>
        <w:spacing w:before="0" w:after="0"/>
        <w:ind w:left="2880" w:hanging="1440"/>
        <w:rPr>
          <w:noProof/>
          <w:szCs w:val="24"/>
        </w:rPr>
      </w:pPr>
      <w:r>
        <w:rPr>
          <w:i/>
          <w:noProof/>
        </w:rPr>
        <w:t xml:space="preserve">rf </w:t>
      </w:r>
      <w:r>
        <w:rPr>
          <w:noProof/>
        </w:rPr>
        <w:tab/>
        <w:t>est l’objectif de réduction des émissions de CO</w:t>
      </w:r>
      <w:r>
        <w:rPr>
          <w:noProof/>
          <w:vertAlign w:val="subscript"/>
        </w:rPr>
        <w:t>2</w:t>
      </w:r>
      <w:r>
        <w:rPr>
          <w:noProof/>
        </w:rPr>
        <w:t xml:space="preserve"> (en %) tel que spécifié à l’article 1</w:t>
      </w:r>
      <w:r>
        <w:rPr>
          <w:noProof/>
          <w:vertAlign w:val="superscript"/>
        </w:rPr>
        <w:t>er</w:t>
      </w:r>
      <w:r>
        <w:rPr>
          <w:noProof/>
        </w:rPr>
        <w:t xml:space="preserve">, points a) et b), pour </w:t>
      </w:r>
      <w:r>
        <w:rPr>
          <w:noProof/>
        </w:rPr>
        <w:t>l’année civile spécifique;</w:t>
      </w:r>
    </w:p>
    <w:p w:rsidR="00551955" w:rsidRDefault="00E33ED2">
      <w:pPr>
        <w:spacing w:before="0" w:after="0"/>
        <w:ind w:left="720" w:firstLine="720"/>
        <w:rPr>
          <w:noProof/>
        </w:rPr>
      </w:pPr>
      <w:r>
        <w:rPr>
          <w:i/>
          <w:noProof/>
        </w:rPr>
        <w:t>rCO2</w:t>
      </w:r>
      <w:r>
        <w:rPr>
          <w:i/>
          <w:noProof/>
          <w:sz w:val="22"/>
          <w:vertAlign w:val="subscript"/>
        </w:rPr>
        <w:t>sg</w:t>
      </w:r>
      <w:r>
        <w:rPr>
          <w:noProof/>
        </w:rPr>
        <w:tab/>
      </w:r>
      <w:r>
        <w:rPr>
          <w:noProof/>
        </w:rPr>
        <w:tab/>
        <w:t>est la valeur déterminée dans la section 3.</w:t>
      </w:r>
    </w:p>
    <w:p w:rsidR="00551955" w:rsidRDefault="00E33ED2">
      <w:pPr>
        <w:pStyle w:val="Heading1"/>
        <w:numPr>
          <w:ilvl w:val="0"/>
          <w:numId w:val="10"/>
        </w:numPr>
        <w:rPr>
          <w:noProof/>
        </w:rPr>
      </w:pPr>
      <w:r>
        <w:rPr>
          <w:noProof/>
        </w:rPr>
        <w:t>Crédits et dettes d’émission visés à l’article 7</w:t>
      </w:r>
    </w:p>
    <w:p w:rsidR="00551955" w:rsidRDefault="00E33ED2">
      <w:pPr>
        <w:pStyle w:val="Heading2"/>
        <w:numPr>
          <w:ilvl w:val="1"/>
          <w:numId w:val="10"/>
        </w:numPr>
        <w:rPr>
          <w:noProof/>
        </w:rPr>
      </w:pPr>
      <w:r>
        <w:rPr>
          <w:noProof/>
        </w:rPr>
        <w:t>Calcul de la trajectoire de réduction des émissions de CO</w:t>
      </w:r>
      <w:r>
        <w:rPr>
          <w:noProof/>
          <w:vertAlign w:val="subscript"/>
        </w:rPr>
        <w:t>2</w:t>
      </w:r>
      <w:r>
        <w:rPr>
          <w:noProof/>
        </w:rPr>
        <w:t xml:space="preserve"> pour les crédits d’émission</w:t>
      </w:r>
    </w:p>
    <w:p w:rsidR="00551955" w:rsidRDefault="00E33ED2">
      <w:pPr>
        <w:spacing w:before="0" w:after="200" w:line="276" w:lineRule="auto"/>
        <w:jc w:val="left"/>
        <w:rPr>
          <w:noProof/>
          <w:szCs w:val="24"/>
        </w:rPr>
      </w:pPr>
      <w:r>
        <w:rPr>
          <w:noProof/>
        </w:rPr>
        <w:t xml:space="preserve">Pour chaque constructeur et chaque année </w:t>
      </w:r>
      <w:r>
        <w:rPr>
          <w:noProof/>
        </w:rPr>
        <w:t>civile Y de la période 2019 à 2029, une trajectoire de réduction des émissions de CO</w:t>
      </w:r>
      <w:r>
        <w:rPr>
          <w:noProof/>
          <w:vertAlign w:val="subscript"/>
        </w:rPr>
        <w:t>2</w:t>
      </w:r>
      <w:r>
        <w:rPr>
          <w:noProof/>
        </w:rPr>
        <w:t xml:space="preserve"> (</w:t>
      </w:r>
      <w:r>
        <w:rPr>
          <w:i/>
          <w:noProof/>
        </w:rPr>
        <w:t>ET</w:t>
      </w:r>
      <w:r>
        <w:rPr>
          <w:i/>
          <w:noProof/>
          <w:vertAlign w:val="subscript"/>
        </w:rPr>
        <w:t>Y</w:t>
      </w:r>
      <w:r>
        <w:rPr>
          <w:noProof/>
        </w:rPr>
        <w:t>) est définie de la manière suivante:</w:t>
      </w:r>
    </w:p>
    <w:p w:rsidR="00551955" w:rsidRDefault="00E33ED2">
      <w:pPr>
        <w:spacing w:before="0" w:after="200" w:line="276" w:lineRule="auto"/>
        <w:ind w:left="720" w:firstLine="130"/>
        <w:contextualSpacing/>
        <w:jc w:val="left"/>
        <w:rPr>
          <w:i/>
          <w:noProof/>
          <w:szCs w:val="24"/>
          <w:vertAlign w:val="subscript"/>
        </w:rPr>
      </w:pPr>
      <w:r>
        <w:rPr>
          <w:i/>
          <w:noProof/>
          <w:sz w:val="22"/>
        </w:rPr>
        <w:t>ET</w:t>
      </w:r>
      <w:r>
        <w:rPr>
          <w:i/>
          <w:noProof/>
          <w:sz w:val="22"/>
          <w:vertAlign w:val="subscript"/>
        </w:rPr>
        <w:t>,Y</w:t>
      </w:r>
      <w:r>
        <w:rPr>
          <w:noProof/>
          <w:sz w:val="22"/>
        </w:rPr>
        <w:t xml:space="preserve"> = </w:t>
      </w:r>
      <w:r>
        <w:rPr>
          <w:i/>
          <w:noProof/>
        </w:rPr>
        <w:t xml:space="preserve">∑ </w:t>
      </w:r>
      <w:r>
        <w:rPr>
          <w:i/>
          <w:noProof/>
          <w:vertAlign w:val="subscript"/>
        </w:rPr>
        <w:t>sg</w:t>
      </w:r>
      <w:r>
        <w:rPr>
          <w:i/>
          <w:noProof/>
        </w:rPr>
        <w:t xml:space="preserve">  </w:t>
      </w:r>
      <w:r>
        <w:rPr>
          <w:i/>
          <w:noProof/>
          <w:sz w:val="22"/>
        </w:rPr>
        <w:t>share</w:t>
      </w:r>
      <w:r>
        <w:rPr>
          <w:i/>
          <w:noProof/>
          <w:sz w:val="22"/>
          <w:vertAlign w:val="subscript"/>
        </w:rPr>
        <w:t>sg</w:t>
      </w:r>
      <w:r>
        <w:rPr>
          <w:i/>
          <w:noProof/>
        </w:rPr>
        <w:t xml:space="preserve"> × MPW</w:t>
      </w:r>
      <w:r>
        <w:rPr>
          <w:i/>
          <w:noProof/>
          <w:vertAlign w:val="subscript"/>
        </w:rPr>
        <w:t>sg</w:t>
      </w:r>
      <w:r>
        <w:rPr>
          <w:i/>
          <w:noProof/>
        </w:rPr>
        <w:t xml:space="preserve"> × </w:t>
      </w:r>
      <w:r>
        <w:rPr>
          <w:i/>
          <w:noProof/>
          <w:sz w:val="22"/>
        </w:rPr>
        <w:t>R-ET</w:t>
      </w:r>
      <w:r>
        <w:rPr>
          <w:i/>
          <w:noProof/>
          <w:sz w:val="22"/>
          <w:vertAlign w:val="subscript"/>
        </w:rPr>
        <w:t>Y</w:t>
      </w:r>
      <w:r>
        <w:rPr>
          <w:i/>
          <w:noProof/>
        </w:rPr>
        <w:t xml:space="preserve"> × r</w:t>
      </w:r>
      <w:r>
        <w:rPr>
          <w:i/>
          <w:noProof/>
          <w:sz w:val="22"/>
        </w:rPr>
        <w:t>CO2</w:t>
      </w:r>
      <w:r>
        <w:rPr>
          <w:i/>
          <w:noProof/>
          <w:sz w:val="22"/>
          <w:vertAlign w:val="subscript"/>
        </w:rPr>
        <w:t>sg</w:t>
      </w:r>
      <w:r>
        <w:rPr>
          <w:i/>
          <w:noProof/>
        </w:rPr>
        <w:t xml:space="preserve"> </w:t>
      </w:r>
    </w:p>
    <w:p w:rsidR="00551955" w:rsidRDefault="00E33ED2">
      <w:pPr>
        <w:spacing w:before="0" w:after="200" w:line="276" w:lineRule="auto"/>
        <w:ind w:firstLine="130"/>
        <w:jc w:val="left"/>
        <w:rPr>
          <w:noProof/>
          <w:szCs w:val="24"/>
        </w:rPr>
      </w:pPr>
      <w:r>
        <w:rPr>
          <w:noProof/>
        </w:rPr>
        <w:t>où</w:t>
      </w:r>
    </w:p>
    <w:p w:rsidR="00551955" w:rsidRDefault="00E33ED2">
      <w:pPr>
        <w:ind w:firstLine="130"/>
        <w:rPr>
          <w:noProof/>
        </w:rPr>
      </w:pPr>
      <w:r>
        <w:rPr>
          <w:i/>
          <w:noProof/>
        </w:rPr>
        <w:t xml:space="preserve">∑ </w:t>
      </w:r>
      <w:r>
        <w:rPr>
          <w:i/>
          <w:noProof/>
          <w:vertAlign w:val="subscript"/>
        </w:rPr>
        <w:t>sg</w:t>
      </w:r>
      <w:r>
        <w:rPr>
          <w:rFonts w:eastAsiaTheme="minorEastAsia"/>
          <w:noProof/>
          <w:sz w:val="20"/>
        </w:rPr>
        <w:t xml:space="preserve"> (…)</w:t>
      </w:r>
      <w:r>
        <w:rPr>
          <w:noProof/>
        </w:rPr>
        <w:tab/>
        <w:t>est la sommation sur l’ensemble des sous-groupes;</w:t>
      </w:r>
    </w:p>
    <w:p w:rsidR="00551955" w:rsidRDefault="00E33ED2">
      <w:pPr>
        <w:spacing w:before="0" w:after="0"/>
        <w:ind w:firstLine="130"/>
        <w:contextualSpacing/>
        <w:jc w:val="left"/>
        <w:rPr>
          <w:noProof/>
          <w:sz w:val="22"/>
        </w:rPr>
      </w:pPr>
      <w:r>
        <w:rPr>
          <w:i/>
          <w:noProof/>
          <w:sz w:val="22"/>
        </w:rPr>
        <w:t>share</w:t>
      </w:r>
      <w:r>
        <w:rPr>
          <w:i/>
          <w:noProof/>
          <w:sz w:val="22"/>
          <w:vertAlign w:val="subscript"/>
        </w:rPr>
        <w:t>,sg</w:t>
      </w:r>
      <w:r>
        <w:rPr>
          <w:noProof/>
        </w:rPr>
        <w:tab/>
        <w:t xml:space="preserve">est la </w:t>
      </w:r>
      <w:r>
        <w:rPr>
          <w:noProof/>
        </w:rPr>
        <w:t>valeur déterminée au point 4 de la section 2;</w:t>
      </w:r>
    </w:p>
    <w:p w:rsidR="00551955" w:rsidRDefault="00E33ED2">
      <w:pPr>
        <w:spacing w:before="0" w:after="0"/>
        <w:ind w:firstLine="130"/>
        <w:rPr>
          <w:noProof/>
          <w:szCs w:val="24"/>
        </w:rPr>
      </w:pPr>
      <w:r>
        <w:rPr>
          <w:i/>
          <w:noProof/>
        </w:rPr>
        <w:t>MPW</w:t>
      </w:r>
      <w:r>
        <w:rPr>
          <w:i/>
          <w:noProof/>
          <w:vertAlign w:val="subscript"/>
        </w:rPr>
        <w:t>sg</w:t>
      </w:r>
      <w:r>
        <w:rPr>
          <w:noProof/>
        </w:rPr>
        <w:tab/>
        <w:t>est la valeur déterminée au point 6 de la section 2;</w:t>
      </w:r>
    </w:p>
    <w:p w:rsidR="00551955" w:rsidRDefault="00E33ED2">
      <w:pPr>
        <w:spacing w:before="0" w:after="0"/>
        <w:ind w:firstLine="130"/>
        <w:rPr>
          <w:noProof/>
        </w:rPr>
      </w:pPr>
      <w:r>
        <w:rPr>
          <w:i/>
          <w:noProof/>
        </w:rPr>
        <w:t>r</w:t>
      </w:r>
      <w:r>
        <w:rPr>
          <w:i/>
          <w:noProof/>
          <w:sz w:val="22"/>
        </w:rPr>
        <w:t>CO2</w:t>
      </w:r>
      <w:r>
        <w:rPr>
          <w:i/>
          <w:noProof/>
          <w:sz w:val="22"/>
          <w:vertAlign w:val="subscript"/>
        </w:rPr>
        <w:t>sg</w:t>
      </w:r>
      <w:r>
        <w:rPr>
          <w:noProof/>
        </w:rPr>
        <w:tab/>
        <w:t>est la valeur déterminée dans la section 3;</w:t>
      </w:r>
    </w:p>
    <w:p w:rsidR="00551955" w:rsidRDefault="00E33ED2">
      <w:pPr>
        <w:ind w:firstLine="130"/>
        <w:rPr>
          <w:noProof/>
        </w:rPr>
      </w:pPr>
      <w:r>
        <w:rPr>
          <w:noProof/>
        </w:rPr>
        <w:t xml:space="preserve">où </w:t>
      </w:r>
    </w:p>
    <w:p w:rsidR="00551955" w:rsidRDefault="00E33ED2">
      <w:pPr>
        <w:rPr>
          <w:noProof/>
        </w:rPr>
      </w:pPr>
      <w:r>
        <w:rPr>
          <w:noProof/>
        </w:rPr>
        <w:t>pour les années civiles Y de 2019 à 2025:</w:t>
      </w:r>
    </w:p>
    <w:p w:rsidR="00551955" w:rsidRDefault="00E33ED2">
      <w:pPr>
        <w:spacing w:before="0" w:after="200" w:line="276" w:lineRule="auto"/>
        <w:ind w:firstLine="720"/>
        <w:jc w:val="left"/>
        <w:rPr>
          <w:noProof/>
          <w:sz w:val="22"/>
        </w:rPr>
      </w:pPr>
      <w:r>
        <w:rPr>
          <w:i/>
          <w:noProof/>
          <w:sz w:val="22"/>
        </w:rPr>
        <w:t>R-ET</w:t>
      </w:r>
      <w:r>
        <w:rPr>
          <w:i/>
          <w:noProof/>
          <w:sz w:val="22"/>
          <w:vertAlign w:val="subscript"/>
        </w:rPr>
        <w:t xml:space="preserve">Y, </w:t>
      </w:r>
      <w:r>
        <w:rPr>
          <w:i/>
          <w:noProof/>
          <w:sz w:val="22"/>
        </w:rPr>
        <w:t xml:space="preserve">= </w:t>
      </w:r>
      <w:r>
        <w:rPr>
          <w:i/>
          <w:noProof/>
        </w:rPr>
        <w:t>(1-rf</w:t>
      </w:r>
      <w:r>
        <w:rPr>
          <w:i/>
          <w:noProof/>
          <w:vertAlign w:val="subscript"/>
        </w:rPr>
        <w:t>2025</w:t>
      </w:r>
      <w:r>
        <w:rPr>
          <w:i/>
          <w:noProof/>
        </w:rPr>
        <w:t>)</w:t>
      </w:r>
      <w:r>
        <w:rPr>
          <w:i/>
          <w:noProof/>
          <w:sz w:val="22"/>
        </w:rPr>
        <w:t xml:space="preserve">+ </w:t>
      </w:r>
      <w:r>
        <w:rPr>
          <w:i/>
          <w:noProof/>
        </w:rPr>
        <w:t>rf</w:t>
      </w:r>
      <w:r>
        <w:rPr>
          <w:i/>
          <w:noProof/>
          <w:vertAlign w:val="subscript"/>
        </w:rPr>
        <w:t>2025</w:t>
      </w:r>
      <w:r>
        <w:rPr>
          <w:i/>
          <w:noProof/>
          <w:sz w:val="22"/>
        </w:rPr>
        <w:t xml:space="preserve"> </w:t>
      </w:r>
      <w:r>
        <w:rPr>
          <w:i/>
          <w:noProof/>
        </w:rPr>
        <w:t>×</w:t>
      </w:r>
      <w:r>
        <w:rPr>
          <w:i/>
          <w:noProof/>
          <w:sz w:val="22"/>
        </w:rPr>
        <w:t xml:space="preserve"> (2025 – Y)/6</w:t>
      </w:r>
      <w:r>
        <w:rPr>
          <w:noProof/>
          <w:sz w:val="22"/>
          <w:vertAlign w:val="subscript"/>
        </w:rPr>
        <w:t xml:space="preserve">  </w:t>
      </w:r>
    </w:p>
    <w:p w:rsidR="00551955" w:rsidRDefault="00E33ED2">
      <w:pPr>
        <w:keepNext/>
        <w:ind w:left="850" w:hanging="850"/>
        <w:outlineLvl w:val="2"/>
        <w:rPr>
          <w:rFonts w:eastAsiaTheme="majorEastAsia"/>
          <w:bCs/>
          <w:noProof/>
        </w:rPr>
      </w:pPr>
      <w:r>
        <w:rPr>
          <w:noProof/>
        </w:rPr>
        <w:t xml:space="preserve">et pour les années civiles Y de 2026 à 2030: </w:t>
      </w:r>
    </w:p>
    <w:p w:rsidR="00551955" w:rsidRDefault="00E33ED2">
      <w:pPr>
        <w:spacing w:before="0" w:after="200" w:line="276" w:lineRule="auto"/>
        <w:ind w:firstLine="720"/>
        <w:contextualSpacing/>
        <w:jc w:val="left"/>
        <w:rPr>
          <w:noProof/>
          <w:sz w:val="22"/>
          <w:vertAlign w:val="subscript"/>
        </w:rPr>
      </w:pPr>
      <w:r>
        <w:rPr>
          <w:i/>
          <w:noProof/>
          <w:sz w:val="22"/>
        </w:rPr>
        <w:t>R-ET</w:t>
      </w:r>
      <w:r>
        <w:rPr>
          <w:i/>
          <w:noProof/>
          <w:sz w:val="22"/>
          <w:vertAlign w:val="subscript"/>
        </w:rPr>
        <w:t xml:space="preserve">Y  </w:t>
      </w:r>
      <w:r>
        <w:rPr>
          <w:i/>
          <w:noProof/>
          <w:sz w:val="22"/>
        </w:rPr>
        <w:t>= (</w:t>
      </w:r>
      <w:r>
        <w:rPr>
          <w:i/>
          <w:noProof/>
        </w:rPr>
        <w:t>1-rf</w:t>
      </w:r>
      <w:r>
        <w:rPr>
          <w:i/>
          <w:noProof/>
          <w:vertAlign w:val="subscript"/>
        </w:rPr>
        <w:t xml:space="preserve">2030 </w:t>
      </w:r>
      <w:r>
        <w:rPr>
          <w:i/>
          <w:noProof/>
          <w:sz w:val="22"/>
        </w:rPr>
        <w:t>) + (</w:t>
      </w:r>
      <w:r>
        <w:rPr>
          <w:i/>
          <w:noProof/>
        </w:rPr>
        <w:t>rf</w:t>
      </w:r>
      <w:r>
        <w:rPr>
          <w:i/>
          <w:noProof/>
          <w:vertAlign w:val="subscript"/>
        </w:rPr>
        <w:t xml:space="preserve">2030 -  </w:t>
      </w:r>
      <w:r>
        <w:rPr>
          <w:i/>
          <w:noProof/>
        </w:rPr>
        <w:t>rf</w:t>
      </w:r>
      <w:r>
        <w:rPr>
          <w:i/>
          <w:noProof/>
          <w:vertAlign w:val="subscript"/>
        </w:rPr>
        <w:t>2025</w:t>
      </w:r>
      <w:r>
        <w:rPr>
          <w:i/>
          <w:noProof/>
          <w:sz w:val="22"/>
        </w:rPr>
        <w:t xml:space="preserve">) </w:t>
      </w:r>
      <w:r>
        <w:rPr>
          <w:i/>
          <w:noProof/>
        </w:rPr>
        <w:t>×</w:t>
      </w:r>
      <w:r>
        <w:rPr>
          <w:i/>
          <w:noProof/>
          <w:sz w:val="22"/>
        </w:rPr>
        <w:t xml:space="preserve"> (2030 – Y)/5</w:t>
      </w:r>
      <w:r>
        <w:rPr>
          <w:noProof/>
          <w:sz w:val="22"/>
          <w:vertAlign w:val="subscript"/>
        </w:rPr>
        <w:t xml:space="preserve"> </w:t>
      </w:r>
    </w:p>
    <w:p w:rsidR="00551955" w:rsidRDefault="00551955">
      <w:pPr>
        <w:spacing w:before="0" w:after="200" w:line="276" w:lineRule="auto"/>
        <w:ind w:left="1440"/>
        <w:contextualSpacing/>
        <w:jc w:val="left"/>
        <w:rPr>
          <w:noProof/>
          <w:sz w:val="22"/>
        </w:rPr>
      </w:pPr>
    </w:p>
    <w:p w:rsidR="00551955" w:rsidRDefault="00E33ED2">
      <w:pPr>
        <w:spacing w:before="0" w:after="0"/>
        <w:rPr>
          <w:noProof/>
          <w:szCs w:val="24"/>
        </w:rPr>
      </w:pPr>
      <w:r>
        <w:rPr>
          <w:i/>
          <w:noProof/>
        </w:rPr>
        <w:t>rf</w:t>
      </w:r>
      <w:r>
        <w:rPr>
          <w:i/>
          <w:noProof/>
          <w:vertAlign w:val="subscript"/>
        </w:rPr>
        <w:t xml:space="preserve">2025 </w:t>
      </w:r>
      <w:r>
        <w:rPr>
          <w:noProof/>
        </w:rPr>
        <w:t xml:space="preserve">et </w:t>
      </w:r>
      <w:r>
        <w:rPr>
          <w:i/>
          <w:noProof/>
        </w:rPr>
        <w:t>rf</w:t>
      </w:r>
      <w:r>
        <w:rPr>
          <w:i/>
          <w:noProof/>
          <w:vertAlign w:val="subscript"/>
        </w:rPr>
        <w:t>2030</w:t>
      </w:r>
      <w:r>
        <w:rPr>
          <w:noProof/>
        </w:rPr>
        <w:t xml:space="preserve"> sont les objectifs de réduction des émissions de CO</w:t>
      </w:r>
      <w:r>
        <w:rPr>
          <w:noProof/>
          <w:vertAlign w:val="subscript"/>
        </w:rPr>
        <w:t>2</w:t>
      </w:r>
      <w:r>
        <w:rPr>
          <w:noProof/>
        </w:rPr>
        <w:t xml:space="preserve"> (en %) pour 2025 et 2030, tels que spécifiés à l’article 1</w:t>
      </w:r>
      <w:r>
        <w:rPr>
          <w:noProof/>
          <w:vertAlign w:val="superscript"/>
        </w:rPr>
        <w:t>er</w:t>
      </w:r>
      <w:r>
        <w:rPr>
          <w:noProof/>
        </w:rPr>
        <w:t>, points a) et b), re</w:t>
      </w:r>
      <w:r>
        <w:rPr>
          <w:noProof/>
        </w:rPr>
        <w:t>spectivement.</w:t>
      </w:r>
    </w:p>
    <w:p w:rsidR="00551955" w:rsidRDefault="00551955">
      <w:pPr>
        <w:spacing w:before="0" w:after="200" w:line="276" w:lineRule="auto"/>
        <w:contextualSpacing/>
        <w:jc w:val="left"/>
        <w:rPr>
          <w:noProof/>
          <w:sz w:val="22"/>
        </w:rPr>
      </w:pPr>
    </w:p>
    <w:p w:rsidR="00551955" w:rsidRDefault="00E33ED2">
      <w:pPr>
        <w:pStyle w:val="Heading2"/>
        <w:numPr>
          <w:ilvl w:val="1"/>
          <w:numId w:val="10"/>
        </w:numPr>
        <w:rPr>
          <w:noProof/>
        </w:rPr>
      </w:pPr>
      <w:r>
        <w:rPr>
          <w:noProof/>
        </w:rPr>
        <w:t>Calcul des crédits et dettes d’émission pour chaque année civile</w:t>
      </w:r>
    </w:p>
    <w:p w:rsidR="00551955" w:rsidRDefault="00E33ED2">
      <w:pPr>
        <w:keepNext/>
        <w:outlineLvl w:val="3"/>
        <w:rPr>
          <w:rFonts w:eastAsiaTheme="majorEastAsia"/>
          <w:bCs/>
          <w:iCs/>
          <w:noProof/>
          <w:szCs w:val="24"/>
        </w:rPr>
      </w:pPr>
      <w:r>
        <w:rPr>
          <w:noProof/>
        </w:rPr>
        <w:t>Pour chaque constructeur et chaque année civile Y de la période 2019 à 2029, les crédits d’émission (</w:t>
      </w:r>
      <w:r>
        <w:rPr>
          <w:i/>
          <w:noProof/>
        </w:rPr>
        <w:t>cCO2</w:t>
      </w:r>
      <w:r>
        <w:rPr>
          <w:i/>
          <w:noProof/>
          <w:vertAlign w:val="subscript"/>
        </w:rPr>
        <w:t>Y</w:t>
      </w:r>
      <w:r>
        <w:rPr>
          <w:noProof/>
        </w:rPr>
        <w:t>) et les dettes d’émission (</w:t>
      </w:r>
      <w:r>
        <w:rPr>
          <w:i/>
          <w:noProof/>
        </w:rPr>
        <w:t>dCO2</w:t>
      </w:r>
      <w:r>
        <w:rPr>
          <w:i/>
          <w:noProof/>
          <w:vertAlign w:val="subscript"/>
        </w:rPr>
        <w:t>Y</w:t>
      </w:r>
      <w:r>
        <w:rPr>
          <w:noProof/>
        </w:rPr>
        <w:t xml:space="preserve">) sont calculées de la manière </w:t>
      </w:r>
      <w:r>
        <w:rPr>
          <w:noProof/>
        </w:rPr>
        <w:t>suivante:</w:t>
      </w:r>
    </w:p>
    <w:p w:rsidR="00551955" w:rsidRDefault="00E33ED2">
      <w:pPr>
        <w:keepNext/>
        <w:ind w:left="850" w:hanging="850"/>
        <w:outlineLvl w:val="2"/>
        <w:rPr>
          <w:rFonts w:eastAsiaTheme="majorEastAsia"/>
          <w:bCs/>
          <w:i/>
          <w:noProof/>
          <w:lang w:val="es-ES"/>
        </w:rPr>
      </w:pPr>
      <w:r>
        <w:rPr>
          <w:rFonts w:eastAsiaTheme="majorEastAsia"/>
          <w:i/>
          <w:noProof/>
          <w:lang w:val="es-ES"/>
        </w:rPr>
        <w:t>Si CO2</w:t>
      </w:r>
      <w:r>
        <w:rPr>
          <w:rFonts w:eastAsiaTheme="majorEastAsia"/>
          <w:i/>
          <w:noProof/>
          <w:vertAlign w:val="subscript"/>
          <w:lang w:val="es-ES"/>
        </w:rPr>
        <w:t>Y</w:t>
      </w:r>
      <w:r>
        <w:rPr>
          <w:rFonts w:eastAsiaTheme="majorEastAsia"/>
          <w:i/>
          <w:noProof/>
          <w:lang w:val="es-ES"/>
        </w:rPr>
        <w:t xml:space="preserve"> &lt; ET</w:t>
      </w:r>
      <w:r>
        <w:rPr>
          <w:rFonts w:eastAsiaTheme="majorEastAsia"/>
          <w:i/>
          <w:noProof/>
          <w:vertAlign w:val="subscript"/>
          <w:lang w:val="es-ES"/>
        </w:rPr>
        <w:t>Y</w:t>
      </w:r>
      <w:r>
        <w:rPr>
          <w:rFonts w:eastAsiaTheme="majorEastAsia"/>
          <w:i/>
          <w:noProof/>
          <w:lang w:val="es-ES"/>
        </w:rPr>
        <w:t>:</w:t>
      </w:r>
    </w:p>
    <w:p w:rsidR="00551955" w:rsidRDefault="00E33ED2">
      <w:pPr>
        <w:spacing w:before="0" w:after="200" w:line="276" w:lineRule="auto"/>
        <w:ind w:firstLine="720"/>
        <w:jc w:val="left"/>
        <w:rPr>
          <w:i/>
          <w:noProof/>
          <w:szCs w:val="24"/>
          <w:lang w:val="es-ES"/>
        </w:rPr>
      </w:pPr>
      <w:r>
        <w:rPr>
          <w:i/>
          <w:noProof/>
          <w:lang w:val="es-ES"/>
        </w:rPr>
        <w:t>cCO2</w:t>
      </w:r>
      <w:r>
        <w:rPr>
          <w:i/>
          <w:noProof/>
          <w:vertAlign w:val="subscript"/>
          <w:lang w:val="es-ES"/>
        </w:rPr>
        <w:t>Y</w:t>
      </w:r>
      <w:r>
        <w:rPr>
          <w:noProof/>
          <w:lang w:val="es-ES"/>
        </w:rPr>
        <w:t xml:space="preserve"> = (</w:t>
      </w:r>
      <w:r>
        <w:rPr>
          <w:i/>
          <w:noProof/>
          <w:lang w:val="es-ES"/>
        </w:rPr>
        <w:t>ET</w:t>
      </w:r>
      <w:r>
        <w:rPr>
          <w:i/>
          <w:noProof/>
          <w:vertAlign w:val="subscript"/>
          <w:lang w:val="es-ES"/>
        </w:rPr>
        <w:t>Y</w:t>
      </w:r>
      <w:r>
        <w:rPr>
          <w:noProof/>
          <w:lang w:val="es-ES"/>
        </w:rPr>
        <w:t xml:space="preserve"> </w:t>
      </w:r>
      <w:r>
        <w:rPr>
          <w:i/>
          <w:noProof/>
          <w:lang w:val="es-ES"/>
        </w:rPr>
        <w:t>– CO2</w:t>
      </w:r>
      <w:r>
        <w:rPr>
          <w:i/>
          <w:noProof/>
          <w:vertAlign w:val="subscript"/>
          <w:lang w:val="es-ES"/>
        </w:rPr>
        <w:t>Y</w:t>
      </w:r>
      <w:r>
        <w:rPr>
          <w:i/>
          <w:noProof/>
          <w:lang w:val="es-ES"/>
        </w:rPr>
        <w:t>) × V</w:t>
      </w:r>
      <w:r>
        <w:rPr>
          <w:i/>
          <w:noProof/>
          <w:vertAlign w:val="subscript"/>
          <w:lang w:val="es-ES"/>
        </w:rPr>
        <w:t>y</w:t>
      </w:r>
      <w:r>
        <w:rPr>
          <w:noProof/>
          <w:lang w:val="es-ES"/>
        </w:rPr>
        <w:tab/>
        <w:t xml:space="preserve">et </w:t>
      </w:r>
    </w:p>
    <w:p w:rsidR="00551955" w:rsidRDefault="00E33ED2">
      <w:pPr>
        <w:spacing w:before="0" w:after="200" w:line="276" w:lineRule="auto"/>
        <w:ind w:firstLine="720"/>
        <w:jc w:val="left"/>
        <w:rPr>
          <w:noProof/>
        </w:rPr>
      </w:pPr>
      <w:r>
        <w:rPr>
          <w:i/>
          <w:noProof/>
        </w:rPr>
        <w:t>dCO2</w:t>
      </w:r>
      <w:r>
        <w:rPr>
          <w:i/>
          <w:noProof/>
          <w:vertAlign w:val="subscript"/>
        </w:rPr>
        <w:t>Y</w:t>
      </w:r>
      <w:r>
        <w:rPr>
          <w:i/>
          <w:noProof/>
        </w:rPr>
        <w:t xml:space="preserve"> = 0</w:t>
      </w:r>
    </w:p>
    <w:p w:rsidR="00551955" w:rsidRDefault="00E33ED2">
      <w:pPr>
        <w:keepNext/>
        <w:ind w:left="850" w:hanging="850"/>
        <w:outlineLvl w:val="2"/>
        <w:rPr>
          <w:rFonts w:eastAsiaTheme="majorEastAsia"/>
          <w:bCs/>
          <w:i/>
          <w:noProof/>
        </w:rPr>
      </w:pPr>
      <w:r>
        <w:rPr>
          <w:rFonts w:eastAsiaTheme="majorEastAsia"/>
          <w:i/>
          <w:noProof/>
          <w:sz w:val="22"/>
        </w:rPr>
        <w:t xml:space="preserve">Si </w:t>
      </w:r>
      <w:r>
        <w:rPr>
          <w:rFonts w:eastAsiaTheme="majorEastAsia"/>
          <w:i/>
          <w:noProof/>
        </w:rPr>
        <w:t>CO2</w:t>
      </w:r>
      <w:r>
        <w:rPr>
          <w:rFonts w:eastAsiaTheme="majorEastAsia"/>
          <w:i/>
          <w:noProof/>
          <w:vertAlign w:val="subscript"/>
        </w:rPr>
        <w:t>Y</w:t>
      </w:r>
      <w:r>
        <w:rPr>
          <w:rFonts w:eastAsiaTheme="majorEastAsia"/>
          <w:i/>
          <w:noProof/>
          <w:sz w:val="22"/>
        </w:rPr>
        <w:t xml:space="preserve"> &gt; T</w:t>
      </w:r>
      <w:r>
        <w:rPr>
          <w:rFonts w:eastAsiaTheme="majorEastAsia"/>
          <w:i/>
          <w:noProof/>
          <w:sz w:val="22"/>
          <w:vertAlign w:val="subscript"/>
        </w:rPr>
        <w:t>Y</w:t>
      </w:r>
      <w:r>
        <w:rPr>
          <w:rFonts w:eastAsiaTheme="majorEastAsia"/>
          <w:i/>
          <w:noProof/>
        </w:rPr>
        <w:t xml:space="preserve"> pour les années 2025 à 2029:</w:t>
      </w:r>
    </w:p>
    <w:p w:rsidR="00551955" w:rsidRDefault="00E33ED2">
      <w:pPr>
        <w:keepNext/>
        <w:outlineLvl w:val="2"/>
        <w:rPr>
          <w:rFonts w:eastAsiaTheme="majorEastAsia"/>
          <w:bCs/>
          <w:i/>
          <w:noProof/>
          <w:vertAlign w:val="subscript"/>
          <w:lang w:val="es-ES"/>
        </w:rPr>
      </w:pPr>
      <w:r>
        <w:rPr>
          <w:noProof/>
        </w:rPr>
        <w:tab/>
      </w:r>
      <w:r>
        <w:rPr>
          <w:i/>
          <w:noProof/>
          <w:lang w:val="es-ES"/>
        </w:rPr>
        <w:t>dCO2</w:t>
      </w:r>
      <w:r>
        <w:rPr>
          <w:i/>
          <w:noProof/>
          <w:vertAlign w:val="subscript"/>
          <w:lang w:val="es-ES"/>
        </w:rPr>
        <w:t>Y</w:t>
      </w:r>
      <w:r>
        <w:rPr>
          <w:i/>
          <w:noProof/>
          <w:lang w:val="es-ES"/>
        </w:rPr>
        <w:t xml:space="preserve"> = (CO2</w:t>
      </w:r>
      <w:r>
        <w:rPr>
          <w:rFonts w:eastAsiaTheme="majorEastAsia"/>
          <w:noProof/>
          <w:vertAlign w:val="subscript"/>
          <w:lang w:val="es-ES"/>
        </w:rPr>
        <w:t>Y</w:t>
      </w:r>
      <w:r>
        <w:rPr>
          <w:rFonts w:eastAsiaTheme="majorEastAsia"/>
          <w:i/>
          <w:noProof/>
          <w:sz w:val="22"/>
          <w:lang w:val="es-ES"/>
        </w:rPr>
        <w:t xml:space="preserve"> - </w:t>
      </w:r>
      <w:r>
        <w:rPr>
          <w:rFonts w:eastAsiaTheme="majorEastAsia"/>
          <w:i/>
          <w:noProof/>
          <w:lang w:val="es-ES"/>
        </w:rPr>
        <w:t>T</w:t>
      </w:r>
      <w:r>
        <w:rPr>
          <w:rFonts w:eastAsiaTheme="majorEastAsia"/>
          <w:i/>
          <w:noProof/>
          <w:vertAlign w:val="subscript"/>
          <w:lang w:val="es-ES"/>
        </w:rPr>
        <w:t>Y</w:t>
      </w:r>
      <w:r>
        <w:rPr>
          <w:rFonts w:eastAsiaTheme="majorEastAsia"/>
          <w:i/>
          <w:noProof/>
          <w:lang w:val="es-ES"/>
        </w:rPr>
        <w:t>) ×</w:t>
      </w:r>
      <w:r>
        <w:rPr>
          <w:rFonts w:eastAsiaTheme="majorEastAsia"/>
          <w:i/>
          <w:noProof/>
          <w:sz w:val="22"/>
          <w:lang w:val="es-ES"/>
        </w:rPr>
        <w:t xml:space="preserve"> </w:t>
      </w:r>
      <w:r>
        <w:rPr>
          <w:rFonts w:eastAsiaTheme="majorEastAsia"/>
          <w:i/>
          <w:noProof/>
          <w:lang w:val="es-ES"/>
        </w:rPr>
        <w:t>V</w:t>
      </w:r>
      <w:r>
        <w:rPr>
          <w:rFonts w:eastAsiaTheme="majorEastAsia"/>
          <w:i/>
          <w:noProof/>
          <w:vertAlign w:val="subscript"/>
          <w:lang w:val="es-ES"/>
        </w:rPr>
        <w:t>Y</w:t>
      </w:r>
      <w:r>
        <w:rPr>
          <w:noProof/>
          <w:lang w:val="es-ES"/>
        </w:rPr>
        <w:tab/>
        <w:t xml:space="preserve">et </w:t>
      </w:r>
    </w:p>
    <w:p w:rsidR="00551955" w:rsidRDefault="00E33ED2">
      <w:pPr>
        <w:keepNext/>
        <w:ind w:firstLine="720"/>
        <w:outlineLvl w:val="2"/>
        <w:rPr>
          <w:rFonts w:eastAsiaTheme="majorEastAsia"/>
          <w:bCs/>
          <w:noProof/>
          <w:lang w:val="es-ES"/>
        </w:rPr>
      </w:pPr>
      <w:r>
        <w:rPr>
          <w:i/>
          <w:noProof/>
          <w:lang w:val="es-ES"/>
        </w:rPr>
        <w:t>cCO2</w:t>
      </w:r>
      <w:r>
        <w:rPr>
          <w:i/>
          <w:noProof/>
          <w:vertAlign w:val="subscript"/>
          <w:lang w:val="es-ES"/>
        </w:rPr>
        <w:t>Y</w:t>
      </w:r>
      <w:r>
        <w:rPr>
          <w:i/>
          <w:noProof/>
          <w:lang w:val="es-ES"/>
        </w:rPr>
        <w:t xml:space="preserve"> = 0</w:t>
      </w:r>
      <w:r>
        <w:rPr>
          <w:rFonts w:eastAsiaTheme="majorEastAsia"/>
          <w:i/>
          <w:noProof/>
          <w:sz w:val="22"/>
          <w:lang w:val="es-ES"/>
        </w:rPr>
        <w:t xml:space="preserve"> </w:t>
      </w:r>
    </w:p>
    <w:p w:rsidR="00551955" w:rsidRDefault="00E33ED2">
      <w:pPr>
        <w:keepNext/>
        <w:ind w:left="850" w:hanging="850"/>
        <w:outlineLvl w:val="2"/>
        <w:rPr>
          <w:rFonts w:eastAsiaTheme="majorEastAsia"/>
          <w:bCs/>
          <w:i/>
          <w:noProof/>
        </w:rPr>
      </w:pPr>
      <w:r>
        <w:rPr>
          <w:rFonts w:eastAsiaTheme="majorEastAsia"/>
          <w:i/>
          <w:noProof/>
        </w:rPr>
        <w:t>Dans tous les autres cas, dCO2</w:t>
      </w:r>
      <w:r>
        <w:rPr>
          <w:rFonts w:eastAsiaTheme="majorEastAsia"/>
          <w:i/>
          <w:noProof/>
          <w:vertAlign w:val="subscript"/>
        </w:rPr>
        <w:t>Y</w:t>
      </w:r>
      <w:r>
        <w:rPr>
          <w:rFonts w:eastAsiaTheme="majorEastAsia"/>
          <w:i/>
          <w:noProof/>
        </w:rPr>
        <w:t xml:space="preserve"> et cCO2</w:t>
      </w:r>
      <w:r>
        <w:rPr>
          <w:rFonts w:eastAsiaTheme="majorEastAsia"/>
          <w:i/>
          <w:noProof/>
          <w:vertAlign w:val="subscript"/>
        </w:rPr>
        <w:t>Y</w:t>
      </w:r>
      <w:r>
        <w:rPr>
          <w:rFonts w:eastAsiaTheme="majorEastAsia"/>
          <w:i/>
          <w:noProof/>
        </w:rPr>
        <w:t xml:space="preserve"> sont fixés à 0.</w:t>
      </w:r>
    </w:p>
    <w:p w:rsidR="00551955" w:rsidRDefault="00E33ED2">
      <w:pPr>
        <w:rPr>
          <w:noProof/>
        </w:rPr>
      </w:pPr>
      <w:r>
        <w:rPr>
          <w:noProof/>
        </w:rPr>
        <w:t>où</w:t>
      </w:r>
    </w:p>
    <w:p w:rsidR="00551955" w:rsidRDefault="00E33ED2">
      <w:pPr>
        <w:ind w:left="1438" w:hanging="1155"/>
        <w:rPr>
          <w:i/>
          <w:noProof/>
        </w:rPr>
      </w:pPr>
      <w:r>
        <w:rPr>
          <w:i/>
          <w:noProof/>
        </w:rPr>
        <w:t>ET</w:t>
      </w:r>
      <w:r>
        <w:rPr>
          <w:i/>
          <w:noProof/>
          <w:vertAlign w:val="subscript"/>
        </w:rPr>
        <w:t>Y</w:t>
      </w:r>
      <w:r>
        <w:rPr>
          <w:noProof/>
        </w:rPr>
        <w:t xml:space="preserve"> </w:t>
      </w:r>
      <w:r>
        <w:rPr>
          <w:noProof/>
        </w:rPr>
        <w:tab/>
        <w:t xml:space="preserve">est la trajectoire d’émission du </w:t>
      </w:r>
      <w:r>
        <w:rPr>
          <w:noProof/>
        </w:rPr>
        <w:t>constructeur au cours de l’année civile Y, déterminée conformément au point 5.1;</w:t>
      </w:r>
    </w:p>
    <w:p w:rsidR="00551955" w:rsidRDefault="00E33ED2">
      <w:pPr>
        <w:ind w:left="1440" w:hanging="1155"/>
        <w:rPr>
          <w:noProof/>
        </w:rPr>
      </w:pPr>
      <w:r>
        <w:rPr>
          <w:i/>
          <w:noProof/>
        </w:rPr>
        <w:t>CO2</w:t>
      </w:r>
      <w:r>
        <w:rPr>
          <w:i/>
          <w:noProof/>
          <w:vertAlign w:val="subscript"/>
        </w:rPr>
        <w:t>Y</w:t>
      </w:r>
      <w:r>
        <w:rPr>
          <w:noProof/>
        </w:rPr>
        <w:tab/>
        <w:t>correspond aux émissions spécifiques moyennes au cours de l’année civile Y, déterminées conformément au point 2.7;</w:t>
      </w:r>
    </w:p>
    <w:p w:rsidR="00551955" w:rsidRDefault="00E33ED2">
      <w:pPr>
        <w:ind w:left="1438" w:hanging="1155"/>
        <w:rPr>
          <w:i/>
          <w:noProof/>
        </w:rPr>
      </w:pPr>
      <w:r>
        <w:rPr>
          <w:i/>
          <w:noProof/>
        </w:rPr>
        <w:t>T</w:t>
      </w:r>
      <w:r>
        <w:rPr>
          <w:i/>
          <w:noProof/>
          <w:vertAlign w:val="subscript"/>
        </w:rPr>
        <w:t>Y</w:t>
      </w:r>
      <w:r>
        <w:rPr>
          <w:noProof/>
        </w:rPr>
        <w:t xml:space="preserve"> </w:t>
      </w:r>
      <w:r>
        <w:rPr>
          <w:noProof/>
        </w:rPr>
        <w:tab/>
        <w:t>est l’objectif d’émissions spécifiques du construct</w:t>
      </w:r>
      <w:r>
        <w:rPr>
          <w:noProof/>
        </w:rPr>
        <w:t>eur pour l’année civile Y, déterminées conformément à la section 4;</w:t>
      </w:r>
    </w:p>
    <w:p w:rsidR="00551955" w:rsidRDefault="00E33ED2">
      <w:pPr>
        <w:ind w:left="1438" w:hanging="1155"/>
        <w:rPr>
          <w:noProof/>
        </w:rPr>
      </w:pPr>
      <w:r>
        <w:rPr>
          <w:noProof/>
        </w:rPr>
        <w:t>V</w:t>
      </w:r>
      <w:r>
        <w:rPr>
          <w:noProof/>
          <w:vertAlign w:val="subscript"/>
        </w:rPr>
        <w:t>Y</w:t>
      </w:r>
      <w:r>
        <w:rPr>
          <w:noProof/>
        </w:rPr>
        <w:tab/>
        <w:t>est le nombre de nouveaux véhicules lourds du constructeur au cours de l’année civile Y, à l’exclusion de tous les véhicules professionnels conformément à l’article 4, point a).</w:t>
      </w:r>
    </w:p>
    <w:p w:rsidR="00551955" w:rsidRDefault="00551955">
      <w:pPr>
        <w:ind w:left="1438" w:hanging="1155"/>
        <w:rPr>
          <w:noProof/>
        </w:rPr>
      </w:pPr>
    </w:p>
    <w:p w:rsidR="00551955" w:rsidRDefault="00E33ED2">
      <w:pPr>
        <w:pStyle w:val="Heading2"/>
        <w:numPr>
          <w:ilvl w:val="1"/>
          <w:numId w:val="10"/>
        </w:numPr>
        <w:rPr>
          <w:noProof/>
        </w:rPr>
      </w:pPr>
      <w:r>
        <w:rPr>
          <w:noProof/>
        </w:rPr>
        <w:t>Limite</w:t>
      </w:r>
      <w:r>
        <w:rPr>
          <w:noProof/>
        </w:rPr>
        <w:t xml:space="preserve"> de dette d’émission</w:t>
      </w:r>
    </w:p>
    <w:p w:rsidR="00551955" w:rsidRDefault="00E33ED2">
      <w:pPr>
        <w:rPr>
          <w:noProof/>
        </w:rPr>
      </w:pPr>
      <w:r>
        <w:rPr>
          <w:noProof/>
        </w:rPr>
        <w:t>Pour chaque constructeur, la limite de dette d’émission  (</w:t>
      </w:r>
      <w:r>
        <w:rPr>
          <w:i/>
          <w:noProof/>
          <w:sz w:val="22"/>
        </w:rPr>
        <w:t>limCO2</w:t>
      </w:r>
      <w:r>
        <w:rPr>
          <w:noProof/>
        </w:rPr>
        <w:t>) est définie de la manière suivante:</w:t>
      </w:r>
    </w:p>
    <w:p w:rsidR="00551955" w:rsidRDefault="00E33ED2">
      <w:pPr>
        <w:ind w:firstLine="720"/>
        <w:rPr>
          <w:i/>
          <w:noProof/>
        </w:rPr>
      </w:pPr>
      <w:r>
        <w:rPr>
          <w:i/>
          <w:noProof/>
          <w:sz w:val="22"/>
        </w:rPr>
        <w:t>limCO2</w:t>
      </w:r>
      <w:r>
        <w:rPr>
          <w:i/>
          <w:noProof/>
        </w:rPr>
        <w:t xml:space="preserve"> = T</w:t>
      </w:r>
      <w:r>
        <w:rPr>
          <w:i/>
          <w:noProof/>
          <w:vertAlign w:val="subscript"/>
        </w:rPr>
        <w:t>2025</w:t>
      </w:r>
      <w:r>
        <w:rPr>
          <w:i/>
          <w:noProof/>
        </w:rPr>
        <w:t xml:space="preserve"> × 0,05 × V</w:t>
      </w:r>
      <w:r>
        <w:rPr>
          <w:i/>
          <w:noProof/>
          <w:vertAlign w:val="subscript"/>
        </w:rPr>
        <w:t>2025</w:t>
      </w:r>
    </w:p>
    <w:p w:rsidR="00551955" w:rsidRDefault="00E33ED2">
      <w:pPr>
        <w:ind w:firstLine="283"/>
        <w:rPr>
          <w:noProof/>
        </w:rPr>
      </w:pPr>
      <w:r>
        <w:rPr>
          <w:noProof/>
        </w:rPr>
        <w:t xml:space="preserve">où </w:t>
      </w:r>
    </w:p>
    <w:p w:rsidR="00551955" w:rsidRDefault="00E33ED2">
      <w:pPr>
        <w:ind w:left="1438" w:hanging="1155"/>
        <w:rPr>
          <w:i/>
          <w:noProof/>
        </w:rPr>
      </w:pPr>
      <w:r>
        <w:rPr>
          <w:i/>
          <w:noProof/>
        </w:rPr>
        <w:t>T</w:t>
      </w:r>
      <w:r>
        <w:rPr>
          <w:i/>
          <w:noProof/>
          <w:vertAlign w:val="subscript"/>
        </w:rPr>
        <w:t>2025</w:t>
      </w:r>
      <w:r>
        <w:rPr>
          <w:noProof/>
        </w:rPr>
        <w:t xml:space="preserve"> </w:t>
      </w:r>
      <w:r>
        <w:rPr>
          <w:noProof/>
        </w:rPr>
        <w:tab/>
        <w:t xml:space="preserve">est l’objectif d’émissions spécifiques du constructeur pour 2025, déterminé conformément à </w:t>
      </w:r>
      <w:r>
        <w:rPr>
          <w:noProof/>
        </w:rPr>
        <w:t>la section 4;</w:t>
      </w:r>
    </w:p>
    <w:p w:rsidR="00551955" w:rsidRDefault="00E33ED2">
      <w:pPr>
        <w:ind w:left="1438" w:hanging="1155"/>
        <w:rPr>
          <w:noProof/>
        </w:rPr>
      </w:pPr>
      <w:r>
        <w:rPr>
          <w:i/>
          <w:noProof/>
        </w:rPr>
        <w:t>V</w:t>
      </w:r>
      <w:r>
        <w:rPr>
          <w:i/>
          <w:noProof/>
          <w:vertAlign w:val="subscript"/>
        </w:rPr>
        <w:t>2025</w:t>
      </w:r>
      <w:r>
        <w:rPr>
          <w:noProof/>
        </w:rPr>
        <w:tab/>
        <w:t>est le nombre de nouveaux véhicules lourds du constructeur en 2025, à l’exclusion de tous les véhicules professionnels conformément à l’article 4, point a).</w:t>
      </w:r>
    </w:p>
    <w:p w:rsidR="00551955" w:rsidRDefault="00E33ED2">
      <w:pPr>
        <w:pStyle w:val="Heading2"/>
        <w:numPr>
          <w:ilvl w:val="1"/>
          <w:numId w:val="10"/>
        </w:numPr>
        <w:rPr>
          <w:noProof/>
        </w:rPr>
      </w:pPr>
      <w:r>
        <w:rPr>
          <w:noProof/>
        </w:rPr>
        <w:t>Crédits d’émission acquis avant l’année 2025</w:t>
      </w:r>
    </w:p>
    <w:p w:rsidR="00551955" w:rsidRDefault="00E33ED2">
      <w:pPr>
        <w:keepNext/>
        <w:outlineLvl w:val="1"/>
        <w:rPr>
          <w:rFonts w:eastAsiaTheme="majorEastAsia"/>
          <w:bCs/>
          <w:noProof/>
          <w:szCs w:val="26"/>
        </w:rPr>
      </w:pPr>
      <w:r>
        <w:rPr>
          <w:noProof/>
        </w:rPr>
        <w:t xml:space="preserve">Les dettes d’émission acquises en </w:t>
      </w:r>
      <w:r>
        <w:rPr>
          <w:noProof/>
        </w:rPr>
        <w:t xml:space="preserve">2025 sont diminuées d’un montant </w:t>
      </w:r>
      <w:r>
        <w:rPr>
          <w:i/>
          <w:noProof/>
        </w:rPr>
        <w:t>(redCO2)</w:t>
      </w:r>
      <w:r>
        <w:rPr>
          <w:noProof/>
        </w:rPr>
        <w:t xml:space="preserve"> correspondant aux crédits d’émission acquis avant 2025, qui est déterminé pour chaque constructeur de la manière suivante:</w:t>
      </w:r>
    </w:p>
    <w:p w:rsidR="00551955" w:rsidRDefault="00E33ED2">
      <w:pPr>
        <w:rPr>
          <w:i/>
          <w:noProof/>
          <w:sz w:val="22"/>
        </w:rPr>
      </w:pPr>
      <w:r>
        <w:rPr>
          <w:noProof/>
          <w:lang w:val="en-GB" w:eastAsia="en-GB"/>
        </w:rPr>
        <w:drawing>
          <wp:inline distT="0" distB="0" distL="0" distR="0" wp14:anchorId="3274B3AA" wp14:editId="421D4C10">
            <wp:extent cx="2724150" cy="22860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272415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51955" w:rsidRDefault="00E33ED2">
      <w:pPr>
        <w:spacing w:before="0" w:after="200" w:line="276" w:lineRule="auto"/>
        <w:jc w:val="left"/>
        <w:rPr>
          <w:noProof/>
          <w:szCs w:val="24"/>
        </w:rPr>
      </w:pPr>
      <w:r>
        <w:rPr>
          <w:noProof/>
        </w:rPr>
        <w:t>où</w:t>
      </w:r>
    </w:p>
    <w:p w:rsidR="00551955" w:rsidRDefault="00E33ED2">
      <w:pPr>
        <w:ind w:left="1418" w:hanging="1134"/>
        <w:rPr>
          <w:rFonts w:eastAsiaTheme="minorEastAsia"/>
          <w:noProof/>
          <w:szCs w:val="24"/>
        </w:rPr>
      </w:pPr>
      <w:r>
        <w:rPr>
          <w:noProof/>
        </w:rPr>
        <w:t>min</w:t>
      </w:r>
      <w:r>
        <w:rPr>
          <w:noProof/>
        </w:rPr>
        <w:tab/>
        <w:t>est le minimum des deux valeurs indiquées entre les parenthèses;</w:t>
      </w:r>
    </w:p>
    <w:p w:rsidR="00551955" w:rsidRDefault="00E33ED2">
      <w:pPr>
        <w:ind w:left="1418" w:hanging="1134"/>
        <w:rPr>
          <w:noProof/>
          <w:szCs w:val="24"/>
        </w:rPr>
      </w:pPr>
      <m:oMath>
        <m:nary>
          <m:naryPr>
            <m:chr m:val="∑"/>
            <m:grow m:val="1"/>
            <m:ctrlPr>
              <w:rPr>
                <w:rFonts w:ascii="Cambria Math" w:hAnsi="Cambria Math"/>
                <w:i/>
                <w:noProof/>
                <w:szCs w:val="24"/>
              </w:rPr>
            </m:ctrlPr>
          </m:naryPr>
          <m:sub>
            <m:r>
              <w:rPr>
                <w:rFonts w:ascii="Cambria Math" w:eastAsia="Cambria Math" w:hAnsi="Cambria Math"/>
                <w:noProof/>
                <w:szCs w:val="24"/>
              </w:rPr>
              <m:t>Y</m:t>
            </m:r>
            <m:r>
              <w:rPr>
                <w:rFonts w:ascii="Cambria Math" w:eastAsia="Cambria Math" w:hAnsi="Cambria Math"/>
                <w:noProof/>
                <w:szCs w:val="24"/>
              </w:rPr>
              <m:t>=2019</m:t>
            </m:r>
          </m:sub>
          <m:sup>
            <m:r>
              <w:rPr>
                <w:rFonts w:ascii="Cambria Math" w:eastAsia="Cambria Math" w:hAnsi="Cambria Math"/>
                <w:noProof/>
                <w:szCs w:val="24"/>
              </w:rPr>
              <m:t>2024</m:t>
            </m:r>
          </m:sup>
          <m:e>
            <m:r>
              <w:rPr>
                <w:rFonts w:ascii="Cambria Math" w:hAnsi="Cambria Math"/>
                <w:noProof/>
                <w:szCs w:val="24"/>
              </w:rPr>
              <m:t xml:space="preserve">  </m:t>
            </m:r>
          </m:e>
        </m:nary>
      </m:oMath>
      <w:r>
        <w:rPr>
          <w:noProof/>
        </w:rPr>
        <w:tab/>
        <w:t>est</w:t>
      </w:r>
      <w:r>
        <w:rPr>
          <w:noProof/>
        </w:rPr>
        <w:t xml:space="preserve"> la sommation sur les années civiles 2019 à 2024;</w:t>
      </w:r>
    </w:p>
    <w:p w:rsidR="00551955" w:rsidRDefault="00E33ED2">
      <w:pPr>
        <w:ind w:left="1418" w:hanging="1134"/>
        <w:rPr>
          <w:noProof/>
          <w:szCs w:val="24"/>
        </w:rPr>
      </w:pPr>
      <w:r>
        <w:rPr>
          <w:rFonts w:eastAsiaTheme="majorEastAsia"/>
          <w:i/>
          <w:noProof/>
        </w:rPr>
        <w:t>dCO2</w:t>
      </w:r>
      <w:r>
        <w:rPr>
          <w:rFonts w:eastAsiaTheme="majorEastAsia"/>
          <w:i/>
          <w:noProof/>
          <w:vertAlign w:val="subscript"/>
        </w:rPr>
        <w:t>2025</w:t>
      </w:r>
      <w:r>
        <w:rPr>
          <w:noProof/>
        </w:rPr>
        <w:tab/>
        <w:t>correspond aux dettes d’émission pour 2025, telles que déterminées conformément au point 5.2;</w:t>
      </w:r>
    </w:p>
    <w:p w:rsidR="00551955" w:rsidRDefault="00E33ED2">
      <w:pPr>
        <w:ind w:left="1418" w:hanging="1134"/>
        <w:rPr>
          <w:noProof/>
          <w:szCs w:val="24"/>
        </w:rPr>
      </w:pPr>
      <w:r>
        <w:rPr>
          <w:i/>
          <w:noProof/>
        </w:rPr>
        <w:t>cCO2</w:t>
      </w:r>
      <w:r>
        <w:rPr>
          <w:i/>
          <w:noProof/>
          <w:vertAlign w:val="subscript"/>
        </w:rPr>
        <w:t>Y</w:t>
      </w:r>
      <w:r>
        <w:rPr>
          <w:noProof/>
        </w:rPr>
        <w:tab/>
      </w:r>
      <w:r>
        <w:rPr>
          <w:noProof/>
        </w:rPr>
        <w:tab/>
        <w:t>correspond aux crédits d’émission pour l’année civile Y, tels que déterminés conformément au poi</w:t>
      </w:r>
      <w:r>
        <w:rPr>
          <w:noProof/>
        </w:rPr>
        <w:t>nt 5.2.</w:t>
      </w:r>
    </w:p>
    <w:p w:rsidR="00551955" w:rsidRDefault="00E33ED2">
      <w:pPr>
        <w:rPr>
          <w:i/>
          <w:noProof/>
          <w:sz w:val="22"/>
        </w:rPr>
      </w:pPr>
      <w:r>
        <w:rPr>
          <w:noProof/>
        </w:rPr>
        <w:tab/>
      </w:r>
    </w:p>
    <w:p w:rsidR="00551955" w:rsidRDefault="00E33ED2">
      <w:pPr>
        <w:pStyle w:val="Heading1"/>
        <w:numPr>
          <w:ilvl w:val="0"/>
          <w:numId w:val="10"/>
        </w:numPr>
        <w:rPr>
          <w:noProof/>
        </w:rPr>
      </w:pPr>
      <w:r>
        <w:rPr>
          <w:noProof/>
        </w:rPr>
        <w:t>Détermination des émissions excédentaires d’un constructeur visées à l’article 8, paragraphe 2</w:t>
      </w:r>
    </w:p>
    <w:p w:rsidR="00551955" w:rsidRDefault="00E33ED2">
      <w:pPr>
        <w:rPr>
          <w:noProof/>
        </w:rPr>
      </w:pPr>
      <w:r>
        <w:rPr>
          <w:noProof/>
        </w:rPr>
        <w:t>Pour chaque constructeur et chaque année civile à partir de 2025, la valeur des émissions excédentaires (</w:t>
      </w:r>
      <w:r>
        <w:rPr>
          <w:i/>
          <w:noProof/>
          <w:sz w:val="22"/>
        </w:rPr>
        <w:t>exeCO2</w:t>
      </w:r>
      <w:r>
        <w:rPr>
          <w:i/>
          <w:noProof/>
          <w:sz w:val="22"/>
          <w:vertAlign w:val="subscript"/>
        </w:rPr>
        <w:t>Y</w:t>
      </w:r>
      <w:r>
        <w:rPr>
          <w:noProof/>
        </w:rPr>
        <w:t xml:space="preserve">) est déterminée de la manière suivante, si la valeur est positive: </w:t>
      </w:r>
    </w:p>
    <w:p w:rsidR="00551955" w:rsidRDefault="00E33ED2">
      <w:pPr>
        <w:keepNext/>
        <w:ind w:left="850" w:hanging="850"/>
        <w:outlineLvl w:val="1"/>
        <w:rPr>
          <w:rFonts w:eastAsiaTheme="majorEastAsia"/>
          <w:b/>
          <w:bCs/>
          <w:noProof/>
          <w:szCs w:val="26"/>
        </w:rPr>
      </w:pPr>
      <w:r>
        <w:rPr>
          <w:rFonts w:eastAsiaTheme="majorEastAsia"/>
          <w:b/>
          <w:noProof/>
        </w:rPr>
        <w:t>Pour l’année 2025</w:t>
      </w:r>
    </w:p>
    <w:p w:rsidR="00551955" w:rsidRDefault="00E33ED2">
      <w:pPr>
        <w:ind w:firstLine="720"/>
        <w:rPr>
          <w:rFonts w:eastAsiaTheme="minorEastAsia"/>
          <w:i/>
          <w:noProof/>
          <w:sz w:val="22"/>
        </w:rPr>
      </w:pPr>
      <w:r>
        <w:rPr>
          <w:noProof/>
          <w:lang w:val="en-GB" w:eastAsia="en-GB"/>
        </w:rPr>
        <w:drawing>
          <wp:inline distT="0" distB="0" distL="0" distR="0" wp14:anchorId="78FBCA57" wp14:editId="6E8E6536">
            <wp:extent cx="3143250" cy="192052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3430989" cy="2096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51955" w:rsidRDefault="00E33ED2">
      <w:pPr>
        <w:keepNext/>
        <w:ind w:left="850" w:hanging="850"/>
        <w:outlineLvl w:val="1"/>
        <w:rPr>
          <w:rFonts w:eastAsiaTheme="majorEastAsia"/>
          <w:b/>
          <w:bCs/>
          <w:noProof/>
          <w:szCs w:val="26"/>
        </w:rPr>
      </w:pPr>
      <w:r>
        <w:rPr>
          <w:rFonts w:eastAsiaTheme="majorEastAsia"/>
          <w:b/>
          <w:noProof/>
        </w:rPr>
        <w:t>Pour les années Y de 2026 à 2028</w:t>
      </w:r>
    </w:p>
    <w:p w:rsidR="00551955" w:rsidRDefault="00E33ED2">
      <w:pPr>
        <w:ind w:firstLine="720"/>
        <w:rPr>
          <w:noProof/>
        </w:rPr>
      </w:pPr>
      <w:r>
        <w:rPr>
          <w:i/>
          <w:noProof/>
          <w:sz w:val="22"/>
        </w:rPr>
        <w:t xml:space="preserve"> </w:t>
      </w:r>
      <w:r>
        <w:rPr>
          <w:noProof/>
          <w:lang w:val="en-GB" w:eastAsia="en-GB"/>
        </w:rPr>
        <w:drawing>
          <wp:inline distT="0" distB="0" distL="0" distR="0" wp14:anchorId="67CDC153" wp14:editId="5B7E7EF8">
            <wp:extent cx="4867275" cy="200025"/>
            <wp:effectExtent l="0" t="0" r="9525" b="952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4867275" cy="200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i/>
          <w:noProof/>
          <w:sz w:val="22"/>
        </w:rPr>
        <w:t xml:space="preserve"> </w:t>
      </w:r>
    </w:p>
    <w:p w:rsidR="00551955" w:rsidRDefault="00E33ED2">
      <w:pPr>
        <w:keepNext/>
        <w:ind w:left="850" w:hanging="850"/>
        <w:outlineLvl w:val="1"/>
        <w:rPr>
          <w:rFonts w:eastAsiaTheme="majorEastAsia"/>
          <w:b/>
          <w:bCs/>
          <w:noProof/>
          <w:szCs w:val="26"/>
        </w:rPr>
      </w:pPr>
      <w:r>
        <w:rPr>
          <w:rFonts w:eastAsiaTheme="majorEastAsia"/>
          <w:b/>
          <w:noProof/>
        </w:rPr>
        <w:t>Pour l’année 2029</w:t>
      </w:r>
    </w:p>
    <w:p w:rsidR="00551955" w:rsidRDefault="00E33ED2">
      <w:pPr>
        <w:ind w:firstLine="720"/>
        <w:rPr>
          <w:noProof/>
        </w:rPr>
      </w:pPr>
      <w:r>
        <w:rPr>
          <w:noProof/>
          <w:lang w:val="en-GB" w:eastAsia="en-GB"/>
        </w:rPr>
        <w:drawing>
          <wp:inline distT="0" distB="0" distL="0" distR="0" wp14:anchorId="1ED9C690" wp14:editId="23A34D51">
            <wp:extent cx="4260850" cy="200527"/>
            <wp:effectExtent l="0" t="0" r="0" b="952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4600546" cy="2165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51955" w:rsidRDefault="00E33ED2">
      <w:pPr>
        <w:keepNext/>
        <w:ind w:left="850" w:hanging="850"/>
        <w:outlineLvl w:val="1"/>
        <w:rPr>
          <w:rFonts w:eastAsiaTheme="majorEastAsia"/>
          <w:b/>
          <w:bCs/>
          <w:noProof/>
          <w:szCs w:val="26"/>
        </w:rPr>
      </w:pPr>
      <w:r>
        <w:rPr>
          <w:rFonts w:eastAsiaTheme="majorEastAsia"/>
          <w:b/>
          <w:noProof/>
        </w:rPr>
        <w:t>Pour les années 2030 et suivantes</w:t>
      </w:r>
    </w:p>
    <w:p w:rsidR="00551955" w:rsidRDefault="00E33ED2">
      <w:pPr>
        <w:keepNext/>
        <w:ind w:firstLine="720"/>
        <w:outlineLvl w:val="3"/>
        <w:rPr>
          <w:rFonts w:eastAsiaTheme="majorEastAsia"/>
          <w:b/>
          <w:bCs/>
          <w:iCs/>
          <w:smallCaps/>
          <w:noProof/>
          <w:szCs w:val="28"/>
        </w:rPr>
      </w:pPr>
      <w:r>
        <w:rPr>
          <w:i/>
          <w:noProof/>
          <w:sz w:val="22"/>
        </w:rPr>
        <w:t>exeCO2</w:t>
      </w:r>
      <w:r>
        <w:rPr>
          <w:i/>
          <w:noProof/>
          <w:sz w:val="22"/>
          <w:vertAlign w:val="subscript"/>
        </w:rPr>
        <w:t>y</w:t>
      </w:r>
      <w:r>
        <w:rPr>
          <w:i/>
          <w:noProof/>
          <w:sz w:val="22"/>
        </w:rPr>
        <w:t xml:space="preserve"> = (</w:t>
      </w:r>
      <w:r>
        <w:rPr>
          <w:i/>
          <w:noProof/>
        </w:rPr>
        <w:t>CO2</w:t>
      </w:r>
      <w:r>
        <w:rPr>
          <w:i/>
          <w:noProof/>
          <w:vertAlign w:val="subscript"/>
        </w:rPr>
        <w:t>Y</w:t>
      </w:r>
      <w:r>
        <w:rPr>
          <w:i/>
          <w:noProof/>
          <w:sz w:val="22"/>
        </w:rPr>
        <w:t xml:space="preserve"> - </w:t>
      </w:r>
      <w:r>
        <w:rPr>
          <w:i/>
          <w:noProof/>
        </w:rPr>
        <w:t>T</w:t>
      </w:r>
      <w:r>
        <w:rPr>
          <w:i/>
          <w:noProof/>
          <w:vertAlign w:val="subscript"/>
        </w:rPr>
        <w:t>Y</w:t>
      </w:r>
      <w:r>
        <w:rPr>
          <w:i/>
          <w:noProof/>
        </w:rPr>
        <w:t xml:space="preserve">) x </w:t>
      </w:r>
      <w:r>
        <w:rPr>
          <w:noProof/>
        </w:rPr>
        <w:t>V</w:t>
      </w:r>
      <w:r>
        <w:rPr>
          <w:noProof/>
          <w:vertAlign w:val="subscript"/>
        </w:rPr>
        <w:t>Y</w:t>
      </w:r>
      <w:r>
        <w:rPr>
          <w:noProof/>
        </w:rPr>
        <w:tab/>
      </w:r>
      <w:r>
        <w:rPr>
          <w:i/>
          <w:noProof/>
          <w:sz w:val="22"/>
        </w:rPr>
        <w:t xml:space="preserve">  </w:t>
      </w:r>
      <w:r>
        <w:rPr>
          <w:noProof/>
        </w:rPr>
        <w:tab/>
      </w:r>
    </w:p>
    <w:p w:rsidR="00551955" w:rsidRDefault="00E33ED2">
      <w:pPr>
        <w:spacing w:before="0" w:after="200" w:line="276" w:lineRule="auto"/>
        <w:jc w:val="left"/>
        <w:rPr>
          <w:noProof/>
          <w:szCs w:val="24"/>
        </w:rPr>
      </w:pPr>
      <w:r>
        <w:rPr>
          <w:noProof/>
        </w:rPr>
        <w:t>où</w:t>
      </w:r>
    </w:p>
    <w:p w:rsidR="00551955" w:rsidRDefault="00E33ED2">
      <w:pPr>
        <w:ind w:left="1418" w:hanging="1134"/>
        <w:rPr>
          <w:noProof/>
          <w:szCs w:val="24"/>
        </w:rPr>
      </w:pPr>
      <m:oMath>
        <m:nary>
          <m:naryPr>
            <m:chr m:val="∑"/>
            <m:grow m:val="1"/>
            <m:ctrlPr>
              <w:rPr>
                <w:rFonts w:ascii="Cambria Math" w:hAnsi="Cambria Math"/>
                <w:i/>
                <w:noProof/>
                <w:szCs w:val="24"/>
              </w:rPr>
            </m:ctrlPr>
          </m:naryPr>
          <m:sub>
            <m:r>
              <w:rPr>
                <w:rFonts w:ascii="Cambria Math" w:eastAsia="Cambria Math" w:hAnsi="Cambria Math"/>
                <w:noProof/>
                <w:szCs w:val="24"/>
              </w:rPr>
              <m:t>Y</m:t>
            </m:r>
            <m:r>
              <w:rPr>
                <w:rFonts w:ascii="Cambria Math" w:eastAsia="Cambria Math" w:hAnsi="Cambria Math"/>
                <w:noProof/>
                <w:szCs w:val="24"/>
              </w:rPr>
              <m:t>=2019</m:t>
            </m:r>
          </m:sub>
          <m:sup>
            <m:r>
              <w:rPr>
                <w:rFonts w:ascii="Cambria Math" w:eastAsia="Cambria Math" w:hAnsi="Cambria Math"/>
                <w:noProof/>
                <w:szCs w:val="24"/>
              </w:rPr>
              <m:t>2025</m:t>
            </m:r>
          </m:sup>
          <m:e>
            <m:r>
              <w:rPr>
                <w:rFonts w:ascii="Cambria Math" w:hAnsi="Cambria Math"/>
                <w:noProof/>
                <w:szCs w:val="24"/>
              </w:rPr>
              <m:t xml:space="preserve">  </m:t>
            </m:r>
          </m:e>
        </m:nary>
      </m:oMath>
      <w:r>
        <w:rPr>
          <w:noProof/>
        </w:rPr>
        <w:tab/>
        <w:t>est la sommation sur les ann</w:t>
      </w:r>
      <w:r>
        <w:rPr>
          <w:noProof/>
        </w:rPr>
        <w:t>ées civiles 2019 à 2025;</w:t>
      </w:r>
    </w:p>
    <w:p w:rsidR="00551955" w:rsidRDefault="00E33ED2">
      <w:pPr>
        <w:ind w:left="1418" w:hanging="1134"/>
        <w:rPr>
          <w:noProof/>
          <w:szCs w:val="24"/>
        </w:rPr>
      </w:pPr>
      <m:oMath>
        <m:nary>
          <m:naryPr>
            <m:chr m:val="∑"/>
            <m:grow m:val="1"/>
            <m:ctrlPr>
              <w:rPr>
                <w:rFonts w:ascii="Cambria Math" w:hAnsi="Cambria Math"/>
                <w:i/>
                <w:noProof/>
                <w:szCs w:val="24"/>
              </w:rPr>
            </m:ctrlPr>
          </m:naryPr>
          <m:sub>
            <m:r>
              <w:rPr>
                <w:rFonts w:ascii="Cambria Math" w:eastAsia="Cambria Math" w:hAnsi="Cambria Math"/>
                <w:noProof/>
                <w:szCs w:val="24"/>
              </w:rPr>
              <m:t>I</m:t>
            </m:r>
            <m:r>
              <w:rPr>
                <w:rFonts w:ascii="Cambria Math" w:eastAsia="Cambria Math" w:hAnsi="Cambria Math"/>
                <w:noProof/>
                <w:szCs w:val="24"/>
              </w:rPr>
              <m:t>=2025</m:t>
            </m:r>
          </m:sub>
          <m:sup>
            <m:r>
              <w:rPr>
                <w:rFonts w:ascii="Cambria Math" w:eastAsia="Cambria Math" w:hAnsi="Cambria Math"/>
                <w:noProof/>
                <w:szCs w:val="24"/>
              </w:rPr>
              <m:t>Y</m:t>
            </m:r>
          </m:sup>
          <m:e>
            <m:r>
              <w:rPr>
                <w:rFonts w:ascii="Cambria Math" w:hAnsi="Cambria Math"/>
                <w:noProof/>
                <w:szCs w:val="24"/>
              </w:rPr>
              <m:t xml:space="preserve">  </m:t>
            </m:r>
          </m:e>
        </m:nary>
      </m:oMath>
      <w:r>
        <w:rPr>
          <w:noProof/>
        </w:rPr>
        <w:tab/>
        <w:t>est la sommation sur les années civiles 2025 à Y;</w:t>
      </w:r>
    </w:p>
    <w:p w:rsidR="00551955" w:rsidRDefault="00E33ED2">
      <w:pPr>
        <w:ind w:left="1418" w:hanging="1134"/>
        <w:rPr>
          <w:noProof/>
          <w:szCs w:val="24"/>
        </w:rPr>
      </w:pPr>
      <m:oMath>
        <m:nary>
          <m:naryPr>
            <m:chr m:val="∑"/>
            <m:grow m:val="1"/>
            <m:ctrlPr>
              <w:rPr>
                <w:rFonts w:ascii="Cambria Math" w:hAnsi="Cambria Math"/>
                <w:i/>
                <w:noProof/>
                <w:szCs w:val="24"/>
              </w:rPr>
            </m:ctrlPr>
          </m:naryPr>
          <m:sub>
            <m:r>
              <w:rPr>
                <w:rFonts w:ascii="Cambria Math" w:eastAsia="Cambria Math" w:hAnsi="Cambria Math"/>
                <w:noProof/>
                <w:szCs w:val="24"/>
              </w:rPr>
              <m:t>J</m:t>
            </m:r>
            <m:r>
              <w:rPr>
                <w:rFonts w:ascii="Cambria Math" w:eastAsia="Cambria Math" w:hAnsi="Cambria Math"/>
                <w:noProof/>
                <w:szCs w:val="24"/>
              </w:rPr>
              <m:t>=2025</m:t>
            </m:r>
          </m:sub>
          <m:sup>
            <m:r>
              <w:rPr>
                <w:rFonts w:ascii="Cambria Math" w:eastAsia="Cambria Math" w:hAnsi="Cambria Math"/>
                <w:noProof/>
                <w:szCs w:val="24"/>
              </w:rPr>
              <m:t>Y</m:t>
            </m:r>
            <m:r>
              <w:rPr>
                <w:rFonts w:ascii="Cambria Math" w:eastAsia="Cambria Math" w:hAnsi="Cambria Math"/>
                <w:noProof/>
                <w:szCs w:val="24"/>
              </w:rPr>
              <m:t>-</m:t>
            </m:r>
            <m:r>
              <w:rPr>
                <w:rFonts w:ascii="Cambria Math" w:eastAsia="Cambria Math" w:hAnsi="Cambria Math"/>
                <w:noProof/>
                <w:szCs w:val="24"/>
              </w:rPr>
              <m:t>1</m:t>
            </m:r>
          </m:sup>
          <m:e>
            <m:r>
              <w:rPr>
                <w:rFonts w:ascii="Cambria Math" w:hAnsi="Cambria Math"/>
                <w:noProof/>
                <w:szCs w:val="24"/>
              </w:rPr>
              <m:t xml:space="preserve">  </m:t>
            </m:r>
          </m:e>
        </m:nary>
      </m:oMath>
      <w:r>
        <w:rPr>
          <w:noProof/>
        </w:rPr>
        <w:tab/>
        <w:t>est la sommation sur les années civiles 2025 à (Y-1);</w:t>
      </w:r>
    </w:p>
    <w:p w:rsidR="00551955" w:rsidRDefault="00E33ED2">
      <w:pPr>
        <w:ind w:left="1418" w:hanging="1134"/>
        <w:rPr>
          <w:noProof/>
          <w:szCs w:val="24"/>
        </w:rPr>
      </w:pPr>
      <m:oMath>
        <m:nary>
          <m:naryPr>
            <m:chr m:val="∑"/>
            <m:grow m:val="1"/>
            <m:ctrlPr>
              <w:rPr>
                <w:rFonts w:ascii="Cambria Math" w:hAnsi="Cambria Math"/>
                <w:i/>
                <w:noProof/>
                <w:szCs w:val="24"/>
              </w:rPr>
            </m:ctrlPr>
          </m:naryPr>
          <m:sub>
            <m:r>
              <w:rPr>
                <w:rFonts w:ascii="Cambria Math" w:eastAsia="Cambria Math" w:hAnsi="Cambria Math"/>
                <w:noProof/>
                <w:szCs w:val="24"/>
              </w:rPr>
              <m:t>J</m:t>
            </m:r>
            <m:r>
              <w:rPr>
                <w:rFonts w:ascii="Cambria Math" w:eastAsia="Cambria Math" w:hAnsi="Cambria Math"/>
                <w:noProof/>
                <w:szCs w:val="24"/>
              </w:rPr>
              <m:t>=2025</m:t>
            </m:r>
          </m:sub>
          <m:sup>
            <m:r>
              <w:rPr>
                <w:rFonts w:ascii="Cambria Math" w:eastAsia="Cambria Math" w:hAnsi="Cambria Math"/>
                <w:noProof/>
                <w:szCs w:val="24"/>
              </w:rPr>
              <m:t>2028</m:t>
            </m:r>
          </m:sup>
          <m:e>
            <m:r>
              <w:rPr>
                <w:rFonts w:ascii="Cambria Math" w:hAnsi="Cambria Math"/>
                <w:noProof/>
                <w:szCs w:val="24"/>
              </w:rPr>
              <m:t xml:space="preserve">  </m:t>
            </m:r>
          </m:e>
        </m:nary>
      </m:oMath>
      <w:r>
        <w:rPr>
          <w:noProof/>
        </w:rPr>
        <w:tab/>
        <w:t>est la sommation sur les années civiles 2025 à 2028;</w:t>
      </w:r>
    </w:p>
    <w:p w:rsidR="00551955" w:rsidRDefault="00E33ED2">
      <w:pPr>
        <w:ind w:left="1418" w:hanging="1134"/>
        <w:rPr>
          <w:noProof/>
          <w:szCs w:val="24"/>
        </w:rPr>
      </w:pPr>
      <m:oMath>
        <m:nary>
          <m:naryPr>
            <m:chr m:val="∑"/>
            <m:grow m:val="1"/>
            <m:ctrlPr>
              <w:rPr>
                <w:rFonts w:ascii="Cambria Math" w:hAnsi="Cambria Math"/>
                <w:i/>
                <w:noProof/>
                <w:szCs w:val="24"/>
              </w:rPr>
            </m:ctrlPr>
          </m:naryPr>
          <m:sub>
            <m:r>
              <w:rPr>
                <w:rFonts w:ascii="Cambria Math" w:eastAsia="Cambria Math" w:hAnsi="Cambria Math"/>
                <w:noProof/>
                <w:szCs w:val="24"/>
              </w:rPr>
              <m:t>I</m:t>
            </m:r>
            <m:r>
              <w:rPr>
                <w:rFonts w:ascii="Cambria Math" w:eastAsia="Cambria Math" w:hAnsi="Cambria Math"/>
                <w:noProof/>
                <w:szCs w:val="24"/>
              </w:rPr>
              <m:t>=2025</m:t>
            </m:r>
          </m:sub>
          <m:sup>
            <m:r>
              <w:rPr>
                <w:rFonts w:ascii="Cambria Math" w:eastAsia="Cambria Math" w:hAnsi="Cambria Math"/>
                <w:noProof/>
                <w:szCs w:val="24"/>
              </w:rPr>
              <m:t>2029</m:t>
            </m:r>
          </m:sup>
          <m:e>
            <m:r>
              <w:rPr>
                <w:rFonts w:ascii="Cambria Math" w:hAnsi="Cambria Math"/>
                <w:noProof/>
                <w:szCs w:val="24"/>
              </w:rPr>
              <m:t xml:space="preserve">  </m:t>
            </m:r>
          </m:e>
        </m:nary>
      </m:oMath>
      <w:r>
        <w:rPr>
          <w:noProof/>
        </w:rPr>
        <w:tab/>
        <w:t>est la sommation sur</w:t>
      </w:r>
      <w:r>
        <w:rPr>
          <w:noProof/>
        </w:rPr>
        <w:t xml:space="preserve"> les années civiles 2025 à 2029;</w:t>
      </w:r>
    </w:p>
    <w:p w:rsidR="00551955" w:rsidRDefault="00E33ED2">
      <w:pPr>
        <w:ind w:left="1418" w:hanging="1134"/>
        <w:rPr>
          <w:noProof/>
          <w:szCs w:val="24"/>
        </w:rPr>
      </w:pPr>
      <w:r>
        <w:rPr>
          <w:rFonts w:eastAsiaTheme="majorEastAsia"/>
          <w:i/>
          <w:noProof/>
        </w:rPr>
        <w:t>dCO2</w:t>
      </w:r>
      <w:r>
        <w:rPr>
          <w:rFonts w:eastAsiaTheme="majorEastAsia"/>
          <w:i/>
          <w:noProof/>
          <w:vertAlign w:val="subscript"/>
        </w:rPr>
        <w:t>Y</w:t>
      </w:r>
      <w:r>
        <w:rPr>
          <w:noProof/>
        </w:rPr>
        <w:tab/>
        <w:t>correspond aux dettes d’émission pour l’année civile Y, telles que déterminées conformément au point 5.2;</w:t>
      </w:r>
    </w:p>
    <w:p w:rsidR="00551955" w:rsidRDefault="00E33ED2">
      <w:pPr>
        <w:ind w:left="1418" w:hanging="1134"/>
        <w:rPr>
          <w:noProof/>
          <w:szCs w:val="24"/>
        </w:rPr>
      </w:pPr>
      <w:r>
        <w:rPr>
          <w:i/>
          <w:noProof/>
        </w:rPr>
        <w:t>cCO2</w:t>
      </w:r>
      <w:r>
        <w:rPr>
          <w:i/>
          <w:noProof/>
          <w:vertAlign w:val="subscript"/>
        </w:rPr>
        <w:t>Y</w:t>
      </w:r>
      <w:r>
        <w:rPr>
          <w:noProof/>
        </w:rPr>
        <w:tab/>
        <w:t>correspond aux crédits d’émission pour l’année civile Y, tels que déterminés conformément au point 5.2;</w:t>
      </w:r>
    </w:p>
    <w:p w:rsidR="00551955" w:rsidRDefault="00E33ED2">
      <w:pPr>
        <w:ind w:left="1418" w:hanging="1134"/>
        <w:rPr>
          <w:noProof/>
          <w:szCs w:val="24"/>
        </w:rPr>
      </w:pPr>
      <w:r>
        <w:rPr>
          <w:i/>
          <w:noProof/>
        </w:rPr>
        <w:t>limCO2</w:t>
      </w:r>
      <w:r>
        <w:rPr>
          <w:noProof/>
        </w:rPr>
        <w:tab/>
      </w:r>
      <w:r>
        <w:rPr>
          <w:noProof/>
        </w:rPr>
        <w:tab/>
        <w:t>est la limite de dette d’émission telle que déterminée conformément au point 5.3;</w:t>
      </w:r>
    </w:p>
    <w:p w:rsidR="00551955" w:rsidRDefault="00E33ED2">
      <w:pPr>
        <w:ind w:left="1418" w:hanging="1134"/>
        <w:rPr>
          <w:noProof/>
          <w:szCs w:val="24"/>
        </w:rPr>
      </w:pPr>
      <w:r>
        <w:rPr>
          <w:rFonts w:eastAsiaTheme="majorEastAsia"/>
          <w:i/>
          <w:noProof/>
        </w:rPr>
        <w:t>redCO2</w:t>
      </w:r>
      <w:r>
        <w:rPr>
          <w:noProof/>
        </w:rPr>
        <w:tab/>
        <w:t>est la réduction des dettes d’émission de l’année 2025, telle que déterminée conformément au point 5.4.</w:t>
      </w:r>
    </w:p>
    <w:p w:rsidR="00551955" w:rsidRDefault="00E33ED2">
      <w:pPr>
        <w:rPr>
          <w:noProof/>
        </w:rPr>
      </w:pPr>
      <w:r>
        <w:rPr>
          <w:noProof/>
        </w:rPr>
        <w:t>Dans tous les autres cas, la valeur des émissions excéd</w:t>
      </w:r>
      <w:r>
        <w:rPr>
          <w:noProof/>
        </w:rPr>
        <w:t xml:space="preserve">entaires </w:t>
      </w:r>
      <w:r>
        <w:rPr>
          <w:i/>
          <w:noProof/>
          <w:sz w:val="22"/>
        </w:rPr>
        <w:t>exeCO2</w:t>
      </w:r>
      <w:r>
        <w:rPr>
          <w:i/>
          <w:noProof/>
          <w:sz w:val="22"/>
          <w:vertAlign w:val="subscript"/>
        </w:rPr>
        <w:t xml:space="preserve">Y   </w:t>
      </w:r>
      <w:r>
        <w:rPr>
          <w:noProof/>
        </w:rPr>
        <w:t xml:space="preserve"> est fixée à 0.</w:t>
      </w:r>
    </w:p>
    <w:p w:rsidR="00551955" w:rsidRDefault="00551955">
      <w:pPr>
        <w:rPr>
          <w:noProof/>
        </w:rPr>
        <w:sectPr w:rsidR="00551955" w:rsidSect="00E33ED2">
          <w:footerReference w:type="default" r:id="rId22"/>
          <w:footerReference w:type="first" r:id="rId23"/>
          <w:pgSz w:w="11907" w:h="16839"/>
          <w:pgMar w:top="1134" w:right="1417" w:bottom="1134" w:left="1417" w:header="709" w:footer="709" w:gutter="0"/>
          <w:cols w:space="720"/>
          <w:docGrid w:linePitch="360"/>
        </w:sectPr>
      </w:pPr>
    </w:p>
    <w:p w:rsidR="00551955" w:rsidRDefault="00E33ED2">
      <w:pPr>
        <w:pStyle w:val="Annexetitre"/>
        <w:rPr>
          <w:noProof/>
        </w:rPr>
      </w:pPr>
      <w:r>
        <w:rPr>
          <w:noProof/>
        </w:rPr>
        <w:t>ANNEXE II</w:t>
      </w:r>
    </w:p>
    <w:p w:rsidR="00551955" w:rsidRDefault="00E33ED2">
      <w:pPr>
        <w:pStyle w:val="Annexetitreexpos"/>
        <w:rPr>
          <w:noProof/>
        </w:rPr>
      </w:pPr>
      <w:r>
        <w:rPr>
          <w:noProof/>
        </w:rPr>
        <w:t>Procédures d’ajustement</w:t>
      </w:r>
    </w:p>
    <w:p w:rsidR="00551955" w:rsidRDefault="00E33ED2">
      <w:pPr>
        <w:pStyle w:val="ManualHeading1"/>
        <w:rPr>
          <w:noProof/>
        </w:rPr>
      </w:pPr>
      <w:r>
        <w:rPr>
          <w:noProof/>
        </w:rPr>
        <w:t>1.</w:t>
      </w:r>
      <w:r>
        <w:rPr>
          <w:noProof/>
        </w:rPr>
        <w:tab/>
        <w:t>Facteurs d’ajustement de la charge utile visés à l’article 12, paragraphe 1, point c)</w:t>
      </w:r>
    </w:p>
    <w:p w:rsidR="00551955" w:rsidRDefault="00E33ED2">
      <w:pPr>
        <w:rPr>
          <w:noProof/>
          <w:highlight w:val="yellow"/>
        </w:rPr>
      </w:pPr>
      <w:r>
        <w:rPr>
          <w:noProof/>
        </w:rPr>
        <w:t>Sous réserve des dispositions énoncées à l’art</w:t>
      </w:r>
      <w:r>
        <w:rPr>
          <w:noProof/>
        </w:rPr>
        <w:t>icle 10, paragraphe 2, point a), aux fins du calcul des émissions de CO</w:t>
      </w:r>
      <w:r>
        <w:rPr>
          <w:noProof/>
          <w:vertAlign w:val="subscript"/>
        </w:rPr>
        <w:t>2</w:t>
      </w:r>
      <w:r>
        <w:rPr>
          <w:noProof/>
        </w:rPr>
        <w:t xml:space="preserve"> de référence visées à l’article 1</w:t>
      </w:r>
      <w:r>
        <w:rPr>
          <w:noProof/>
          <w:vertAlign w:val="superscript"/>
        </w:rPr>
        <w:t>er</w:t>
      </w:r>
      <w:r>
        <w:rPr>
          <w:noProof/>
        </w:rPr>
        <w:t>, les émissions de CO</w:t>
      </w:r>
      <w:r>
        <w:rPr>
          <w:noProof/>
          <w:vertAlign w:val="subscript"/>
        </w:rPr>
        <w:t>2</w:t>
      </w:r>
      <w:r>
        <w:rPr>
          <w:noProof/>
        </w:rPr>
        <w:t xml:space="preserve"> en g/km d’un véhicule lourd </w:t>
      </w:r>
      <w:r>
        <w:rPr>
          <w:i/>
          <w:noProof/>
        </w:rPr>
        <w:t>v</w:t>
      </w:r>
      <w:r>
        <w:rPr>
          <w:noProof/>
        </w:rPr>
        <w:t xml:space="preserve"> déterminées pour un profil de missions </w:t>
      </w:r>
      <w:r>
        <w:rPr>
          <w:i/>
          <w:noProof/>
        </w:rPr>
        <w:t>mp</w:t>
      </w:r>
      <w:r>
        <w:rPr>
          <w:noProof/>
        </w:rPr>
        <w:t xml:space="preserve"> visé dans le tableau 2 au point 2.1 de l’annexe I sont ajustées de la manière suivante:</w:t>
      </w:r>
    </w:p>
    <w:p w:rsidR="00551955" w:rsidRDefault="00551955">
      <w:pPr>
        <w:spacing w:before="0" w:after="200" w:line="276" w:lineRule="auto"/>
        <w:contextualSpacing/>
        <w:rPr>
          <w:noProof/>
          <w:sz w:val="22"/>
        </w:rPr>
      </w:pPr>
    </w:p>
    <w:p w:rsidR="00551955" w:rsidRDefault="00E33ED2">
      <w:pPr>
        <w:ind w:left="720" w:firstLine="720"/>
        <w:rPr>
          <w:i/>
          <w:noProof/>
          <w:sz w:val="22"/>
        </w:rPr>
      </w:pPr>
      <w:r>
        <w:rPr>
          <w:rFonts w:eastAsiaTheme="minorEastAsia"/>
          <w:i/>
          <w:noProof/>
        </w:rPr>
        <w:t>CO2</w:t>
      </w:r>
      <w:r>
        <w:rPr>
          <w:rFonts w:eastAsiaTheme="minorEastAsia"/>
          <w:i/>
          <w:noProof/>
          <w:vertAlign w:val="subscript"/>
        </w:rPr>
        <w:t xml:space="preserve">v,mp </w:t>
      </w:r>
      <w:r>
        <w:rPr>
          <w:rFonts w:eastAsiaTheme="minorEastAsia"/>
          <w:i/>
          <w:noProof/>
        </w:rPr>
        <w:t>=  CO2(2019)</w:t>
      </w:r>
      <w:r>
        <w:rPr>
          <w:i/>
          <w:noProof/>
          <w:vertAlign w:val="subscript"/>
        </w:rPr>
        <w:t xml:space="preserve">v,mp  </w:t>
      </w:r>
      <w:r>
        <w:rPr>
          <w:rFonts w:eastAsiaTheme="minorEastAsia"/>
          <w:i/>
          <w:noProof/>
        </w:rPr>
        <w:t>x (1+ PLa</w:t>
      </w:r>
      <w:r>
        <w:rPr>
          <w:i/>
          <w:noProof/>
          <w:vertAlign w:val="subscript"/>
        </w:rPr>
        <w:t>sg,mp</w:t>
      </w:r>
      <w:r>
        <w:rPr>
          <w:rFonts w:eastAsiaTheme="minorEastAsia"/>
          <w:i/>
          <w:noProof/>
        </w:rPr>
        <w:t xml:space="preserve"> x (PL</w:t>
      </w:r>
      <w:r>
        <w:rPr>
          <w:i/>
          <w:noProof/>
          <w:vertAlign w:val="subscript"/>
        </w:rPr>
        <w:t>sg,mp</w:t>
      </w:r>
      <w:r>
        <w:rPr>
          <w:rFonts w:eastAsiaTheme="minorEastAsia"/>
          <w:i/>
          <w:noProof/>
        </w:rPr>
        <w:t xml:space="preserve"> – PL(2019)</w:t>
      </w:r>
      <w:r>
        <w:rPr>
          <w:i/>
          <w:noProof/>
          <w:vertAlign w:val="subscript"/>
        </w:rPr>
        <w:t>sg,mp</w:t>
      </w:r>
      <w:r>
        <w:rPr>
          <w:rFonts w:eastAsiaTheme="minorEastAsia"/>
          <w:i/>
          <w:noProof/>
        </w:rPr>
        <w:t>))</w:t>
      </w:r>
    </w:p>
    <w:p w:rsidR="00551955" w:rsidRDefault="00E33ED2">
      <w:pPr>
        <w:ind w:left="720" w:firstLine="720"/>
        <w:rPr>
          <w:noProof/>
        </w:rPr>
      </w:pPr>
      <w:r>
        <w:rPr>
          <w:noProof/>
        </w:rPr>
        <w:t>où</w:t>
      </w:r>
    </w:p>
    <w:p w:rsidR="00551955" w:rsidRDefault="00E33ED2">
      <w:pPr>
        <w:ind w:left="850" w:firstLine="590"/>
        <w:rPr>
          <w:noProof/>
          <w:szCs w:val="24"/>
        </w:rPr>
      </w:pPr>
      <w:r>
        <w:rPr>
          <w:i/>
          <w:noProof/>
        </w:rPr>
        <w:t>sg</w:t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  <w:t xml:space="preserve">est le sous-groupe auquel le véhicule </w:t>
      </w:r>
      <w:r>
        <w:rPr>
          <w:i/>
          <w:noProof/>
        </w:rPr>
        <w:t>v</w:t>
      </w:r>
      <w:r>
        <w:rPr>
          <w:noProof/>
        </w:rPr>
        <w:t xml:space="preserve"> appartient;</w:t>
      </w:r>
      <w:r>
        <w:rPr>
          <w:noProof/>
        </w:rPr>
        <w:tab/>
      </w:r>
    </w:p>
    <w:p w:rsidR="00551955" w:rsidRDefault="00E33ED2">
      <w:pPr>
        <w:ind w:left="3600" w:hanging="2160"/>
        <w:rPr>
          <w:noProof/>
          <w:szCs w:val="24"/>
        </w:rPr>
      </w:pPr>
      <w:r>
        <w:rPr>
          <w:i/>
          <w:noProof/>
        </w:rPr>
        <w:t>CO2(2019)</w:t>
      </w:r>
      <w:r>
        <w:rPr>
          <w:i/>
          <w:noProof/>
          <w:vertAlign w:val="subscript"/>
        </w:rPr>
        <w:t>v,mp</w:t>
      </w:r>
      <w:r>
        <w:rPr>
          <w:noProof/>
        </w:rPr>
        <w:tab/>
        <w:t>correspond aux émissi</w:t>
      </w:r>
      <w:r>
        <w:rPr>
          <w:noProof/>
        </w:rPr>
        <w:t>ons de CO</w:t>
      </w:r>
      <w:r>
        <w:rPr>
          <w:noProof/>
          <w:vertAlign w:val="subscript"/>
        </w:rPr>
        <w:t>2</w:t>
      </w:r>
      <w:r>
        <w:rPr>
          <w:noProof/>
        </w:rPr>
        <w:t xml:space="preserve"> spécifiques du véhicule </w:t>
      </w:r>
      <w:r>
        <w:rPr>
          <w:i/>
          <w:noProof/>
        </w:rPr>
        <w:t>v</w:t>
      </w:r>
      <w:r>
        <w:rPr>
          <w:noProof/>
        </w:rPr>
        <w:t xml:space="preserve"> en g/km, telles que déterminées sur le profil de missions </w:t>
      </w:r>
      <w:r>
        <w:rPr>
          <w:i/>
          <w:noProof/>
        </w:rPr>
        <w:t>mp</w:t>
      </w:r>
      <w:r>
        <w:rPr>
          <w:noProof/>
        </w:rPr>
        <w:t xml:space="preserve"> et basées sur les données de surveillance de 2019 communiquées conformément au règlement (UE) nº .../2018 [surveillance et communication relatives aux véhicul</w:t>
      </w:r>
      <w:r>
        <w:rPr>
          <w:noProof/>
        </w:rPr>
        <w:t xml:space="preserve">es lourds]; </w:t>
      </w:r>
    </w:p>
    <w:p w:rsidR="00551955" w:rsidRDefault="00E33ED2">
      <w:pPr>
        <w:ind w:left="3600" w:hanging="2160"/>
        <w:rPr>
          <w:noProof/>
          <w:sz w:val="22"/>
        </w:rPr>
      </w:pPr>
      <w:r>
        <w:rPr>
          <w:i/>
          <w:noProof/>
        </w:rPr>
        <w:t>PL(2019)</w:t>
      </w:r>
      <w:r>
        <w:rPr>
          <w:i/>
          <w:noProof/>
          <w:vertAlign w:val="subscript"/>
        </w:rPr>
        <w:t>sg, mp</w:t>
      </w:r>
      <w:r>
        <w:rPr>
          <w:noProof/>
        </w:rPr>
        <w:tab/>
        <w:t xml:space="preserve">est la valeur de charge utile, qui a été attribuée aux véhicules du sous-groupe </w:t>
      </w:r>
      <w:r>
        <w:rPr>
          <w:i/>
          <w:noProof/>
        </w:rPr>
        <w:t>sg</w:t>
      </w:r>
      <w:r>
        <w:rPr>
          <w:noProof/>
        </w:rPr>
        <w:t xml:space="preserve"> sur le profil de missions </w:t>
      </w:r>
      <w:r>
        <w:rPr>
          <w:i/>
          <w:noProof/>
        </w:rPr>
        <w:t>mp</w:t>
      </w:r>
      <w:r>
        <w:rPr>
          <w:noProof/>
        </w:rPr>
        <w:t xml:space="preserve"> pour l’année civile 2019, conformément au tableau 3 du point 2.5 de l’annexe I, aux fins d’établir les données de su</w:t>
      </w:r>
      <w:r>
        <w:rPr>
          <w:noProof/>
        </w:rPr>
        <w:t>rveillance de 2019 communiquées conformément au règlement (UE) nº .../2018 [surveillance et communication relatives aux véhicules lourds];</w:t>
      </w:r>
    </w:p>
    <w:p w:rsidR="00551955" w:rsidRDefault="00E33ED2">
      <w:pPr>
        <w:ind w:left="3600" w:hanging="2160"/>
        <w:rPr>
          <w:noProof/>
          <w:szCs w:val="24"/>
        </w:rPr>
      </w:pPr>
      <w:r>
        <w:rPr>
          <w:i/>
          <w:noProof/>
        </w:rPr>
        <w:t>PL</w:t>
      </w:r>
      <w:r>
        <w:rPr>
          <w:i/>
          <w:noProof/>
          <w:vertAlign w:val="subscript"/>
        </w:rPr>
        <w:t>sg, mp</w:t>
      </w:r>
      <w:r>
        <w:rPr>
          <w:noProof/>
        </w:rPr>
        <w:tab/>
        <w:t xml:space="preserve">est la valeur de charge utile attribuée aux véhicules du sous-groupe </w:t>
      </w:r>
      <w:r>
        <w:rPr>
          <w:i/>
          <w:noProof/>
        </w:rPr>
        <w:t>sg</w:t>
      </w:r>
      <w:r>
        <w:rPr>
          <w:noProof/>
        </w:rPr>
        <w:t xml:space="preserve"> sur le profil de misions </w:t>
      </w:r>
      <w:r>
        <w:rPr>
          <w:i/>
          <w:noProof/>
        </w:rPr>
        <w:t>mp</w:t>
      </w:r>
      <w:r>
        <w:rPr>
          <w:noProof/>
        </w:rPr>
        <w:t xml:space="preserve"> pour l’a</w:t>
      </w:r>
      <w:r>
        <w:rPr>
          <w:noProof/>
        </w:rPr>
        <w:t>nnée civile à partir de laquelle les changements visés à l’article 12, paragraphe 1, point c), prennent effet pour tous les nouveaux véhicules lourds, conformément au tableau 3 du point 2.5 de l’annexe I;</w:t>
      </w:r>
      <w:r>
        <w:rPr>
          <w:noProof/>
        </w:rPr>
        <w:tab/>
      </w:r>
    </w:p>
    <w:p w:rsidR="00551955" w:rsidRDefault="00E33ED2">
      <w:pPr>
        <w:ind w:left="3600" w:hanging="2160"/>
        <w:rPr>
          <w:noProof/>
        </w:rPr>
      </w:pPr>
      <w:r>
        <w:rPr>
          <w:i/>
          <w:noProof/>
        </w:rPr>
        <w:t>PLa</w:t>
      </w:r>
      <w:r>
        <w:rPr>
          <w:i/>
          <w:noProof/>
          <w:vertAlign w:val="subscript"/>
        </w:rPr>
        <w:t>sg, mp</w:t>
      </w:r>
      <w:r>
        <w:rPr>
          <w:noProof/>
        </w:rPr>
        <w:tab/>
        <w:t>est le facteur d’ajustement de la charge</w:t>
      </w:r>
      <w:r>
        <w:rPr>
          <w:noProof/>
        </w:rPr>
        <w:t xml:space="preserve"> utile défini dans le tableau 5.</w:t>
      </w:r>
    </w:p>
    <w:p w:rsidR="00551955" w:rsidRDefault="00E33ED2">
      <w:pPr>
        <w:ind w:left="720"/>
        <w:contextualSpacing/>
        <w:rPr>
          <w:noProof/>
        </w:rPr>
      </w:pPr>
      <w:r>
        <w:rPr>
          <w:b/>
          <w:noProof/>
        </w:rPr>
        <w:t xml:space="preserve">Tableau 5 - Facteurs d’ajustement de la charge utile </w:t>
      </w:r>
      <w:r>
        <w:rPr>
          <w:b/>
          <w:i/>
          <w:noProof/>
        </w:rPr>
        <w:t xml:space="preserve">PLa </w:t>
      </w:r>
      <w:r>
        <w:rPr>
          <w:b/>
          <w:i/>
          <w:noProof/>
          <w:vertAlign w:val="subscript"/>
        </w:rPr>
        <w:t>sg, mp</w:t>
      </w:r>
      <w:r>
        <w:rPr>
          <w:b/>
          <w:noProof/>
        </w:rPr>
        <w:t xml:space="preserve"> </w:t>
      </w:r>
    </w:p>
    <w:tbl>
      <w:tblPr>
        <w:tblStyle w:val="TableGrid"/>
        <w:tblW w:w="8568" w:type="dxa"/>
        <w:tblInd w:w="720" w:type="dxa"/>
        <w:tblLook w:val="04A0" w:firstRow="1" w:lastRow="0" w:firstColumn="1" w:lastColumn="0" w:noHBand="0" w:noVBand="1"/>
      </w:tblPr>
      <w:tblGrid>
        <w:gridCol w:w="1136"/>
        <w:gridCol w:w="899"/>
        <w:gridCol w:w="1296"/>
        <w:gridCol w:w="894"/>
        <w:gridCol w:w="1094"/>
        <w:gridCol w:w="1095"/>
        <w:gridCol w:w="2154"/>
      </w:tblGrid>
      <w:tr w:rsidR="00551955">
        <w:tc>
          <w:tcPr>
            <w:tcW w:w="18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955" w:rsidRDefault="00E33ED2">
            <w:pPr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PLa</w:t>
            </w:r>
            <w:r>
              <w:rPr>
                <w:b/>
                <w:noProof/>
                <w:vertAlign w:val="subscript"/>
              </w:rPr>
              <w:t>sg,mp</w:t>
            </w:r>
            <w:r>
              <w:rPr>
                <w:b/>
                <w:noProof/>
              </w:rPr>
              <w:t xml:space="preserve"> </w:t>
            </w:r>
          </w:p>
          <w:p w:rsidR="00551955" w:rsidRDefault="00E33ED2">
            <w:pPr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(en 1/tonnes)</w:t>
            </w:r>
          </w:p>
        </w:tc>
        <w:tc>
          <w:tcPr>
            <w:tcW w:w="66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955" w:rsidRDefault="00E33ED2">
            <w:pPr>
              <w:spacing w:after="0"/>
              <w:contextualSpacing/>
              <w:jc w:val="center"/>
              <w:rPr>
                <w:b/>
                <w:i/>
                <w:noProof/>
              </w:rPr>
            </w:pPr>
            <w:r>
              <w:rPr>
                <w:b/>
                <w:noProof/>
              </w:rPr>
              <w:t xml:space="preserve">Profils de missions </w:t>
            </w:r>
            <w:r>
              <w:rPr>
                <w:b/>
                <w:i/>
                <w:noProof/>
              </w:rPr>
              <w:t>mp</w:t>
            </w:r>
            <w:r>
              <w:rPr>
                <w:b/>
                <w:i/>
                <w:noProof/>
                <w:vertAlign w:val="superscript"/>
              </w:rPr>
              <w:t>1</w:t>
            </w:r>
            <w:r>
              <w:rPr>
                <w:b/>
                <w:i/>
                <w:noProof/>
              </w:rPr>
              <w:t xml:space="preserve"> </w:t>
            </w:r>
            <w:r>
              <w:rPr>
                <w:b/>
                <w:noProof/>
              </w:rPr>
              <w:t xml:space="preserve"> </w:t>
            </w:r>
          </w:p>
        </w:tc>
      </w:tr>
      <w:tr w:rsidR="00551955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955" w:rsidRDefault="00551955">
            <w:pPr>
              <w:spacing w:after="0"/>
              <w:rPr>
                <w:b/>
                <w:noProof/>
                <w:sz w:val="22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955" w:rsidRDefault="00E33ED2">
            <w:pPr>
              <w:spacing w:after="0"/>
              <w:contextualSpacing/>
              <w:rPr>
                <w:noProof/>
              </w:rPr>
            </w:pPr>
            <w:r>
              <w:rPr>
                <w:noProof/>
              </w:rPr>
              <w:t>RDL, RDR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955" w:rsidRDefault="00E33ED2">
            <w:pPr>
              <w:spacing w:after="0"/>
              <w:contextualSpacing/>
              <w:rPr>
                <w:noProof/>
              </w:rPr>
            </w:pPr>
            <w:r>
              <w:rPr>
                <w:noProof/>
              </w:rPr>
              <w:t>REL, RER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955" w:rsidRDefault="00E33ED2">
            <w:pPr>
              <w:spacing w:after="0"/>
              <w:contextualSpacing/>
              <w:rPr>
                <w:noProof/>
              </w:rPr>
            </w:pPr>
            <w:r>
              <w:rPr>
                <w:noProof/>
              </w:rPr>
              <w:t>LHL, LHR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955" w:rsidRDefault="00E33ED2">
            <w:pPr>
              <w:spacing w:after="0"/>
              <w:contextualSpacing/>
              <w:rPr>
                <w:noProof/>
              </w:rPr>
            </w:pPr>
            <w:r>
              <w:rPr>
                <w:noProof/>
              </w:rPr>
              <w:t>LEL, LER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955" w:rsidRDefault="00E33ED2">
            <w:pPr>
              <w:spacing w:after="0"/>
              <w:contextualSpacing/>
              <w:rPr>
                <w:noProof/>
              </w:rPr>
            </w:pPr>
            <w:r>
              <w:rPr>
                <w:noProof/>
              </w:rPr>
              <w:t>UDL, UDR</w:t>
            </w:r>
          </w:p>
        </w:tc>
      </w:tr>
      <w:tr w:rsidR="00551955">
        <w:tc>
          <w:tcPr>
            <w:tcW w:w="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955" w:rsidRDefault="00551955">
            <w:pPr>
              <w:spacing w:after="0"/>
              <w:rPr>
                <w:b/>
                <w:noProof/>
              </w:rPr>
            </w:pPr>
          </w:p>
          <w:p w:rsidR="00551955" w:rsidRDefault="00E33ED2">
            <w:pPr>
              <w:spacing w:after="0"/>
              <w:jc w:val="center"/>
              <w:rPr>
                <w:b/>
                <w:noProof/>
              </w:rPr>
            </w:pPr>
            <w:r>
              <w:rPr>
                <w:b/>
                <w:i/>
                <w:noProof/>
              </w:rPr>
              <w:t>Sous-groupes de véhicules sg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955" w:rsidRDefault="00E33ED2">
            <w:pPr>
              <w:spacing w:after="0"/>
              <w:rPr>
                <w:b/>
                <w:noProof/>
              </w:rPr>
            </w:pPr>
            <w:r>
              <w:rPr>
                <w:b/>
                <w:noProof/>
              </w:rPr>
              <w:t>4-UD</w:t>
            </w:r>
          </w:p>
        </w:tc>
        <w:tc>
          <w:tcPr>
            <w:tcW w:w="1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955" w:rsidRDefault="00E33ED2">
            <w:pPr>
              <w:spacing w:after="0"/>
              <w:rPr>
                <w:noProof/>
              </w:rPr>
            </w:pPr>
            <w:r>
              <w:rPr>
                <w:noProof/>
              </w:rPr>
              <w:t>0,026</w:t>
            </w:r>
          </w:p>
        </w:tc>
        <w:tc>
          <w:tcPr>
            <w:tcW w:w="9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955" w:rsidRDefault="00E33ED2">
            <w:pPr>
              <w:spacing w:after="0"/>
              <w:rPr>
                <w:noProof/>
              </w:rPr>
            </w:pPr>
            <w:r>
              <w:rPr>
                <w:noProof/>
              </w:rPr>
              <w:t>N.A.</w:t>
            </w:r>
          </w:p>
        </w:tc>
        <w:tc>
          <w:tcPr>
            <w:tcW w:w="11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51955" w:rsidRDefault="00E33ED2">
            <w:pPr>
              <w:spacing w:after="0"/>
              <w:rPr>
                <w:noProof/>
              </w:rPr>
            </w:pPr>
            <w:r>
              <w:rPr>
                <w:noProof/>
              </w:rPr>
              <w:t>0,015</w:t>
            </w:r>
          </w:p>
        </w:tc>
        <w:tc>
          <w:tcPr>
            <w:tcW w:w="11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955" w:rsidRDefault="00E33ED2">
            <w:pPr>
              <w:spacing w:after="0"/>
              <w:rPr>
                <w:noProof/>
              </w:rPr>
            </w:pPr>
            <w:r>
              <w:rPr>
                <w:noProof/>
              </w:rPr>
              <w:t>N.A.</w:t>
            </w:r>
          </w:p>
        </w:tc>
        <w:tc>
          <w:tcPr>
            <w:tcW w:w="22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955" w:rsidRDefault="00E33ED2">
            <w:pPr>
              <w:spacing w:after="0"/>
              <w:contextualSpacing/>
              <w:rPr>
                <w:noProof/>
              </w:rPr>
            </w:pPr>
            <w:r>
              <w:rPr>
                <w:noProof/>
              </w:rPr>
              <w:t>0,026</w:t>
            </w:r>
          </w:p>
        </w:tc>
      </w:tr>
      <w:tr w:rsidR="0055195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955" w:rsidRDefault="00551955">
            <w:pPr>
              <w:spacing w:after="0"/>
              <w:rPr>
                <w:b/>
                <w:noProof/>
                <w:sz w:val="22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955" w:rsidRDefault="00E33ED2">
            <w:pPr>
              <w:spacing w:after="0"/>
              <w:rPr>
                <w:b/>
                <w:noProof/>
              </w:rPr>
            </w:pPr>
            <w:r>
              <w:rPr>
                <w:b/>
                <w:noProof/>
              </w:rPr>
              <w:t>4-RD</w:t>
            </w:r>
          </w:p>
        </w:tc>
        <w:tc>
          <w:tcPr>
            <w:tcW w:w="1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955" w:rsidRDefault="00551955">
            <w:pPr>
              <w:spacing w:after="0"/>
              <w:rPr>
                <w:noProof/>
                <w:sz w:val="22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955" w:rsidRDefault="00551955">
            <w:pPr>
              <w:spacing w:after="0"/>
              <w:rPr>
                <w:noProof/>
                <w:sz w:val="22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1955" w:rsidRDefault="00551955">
            <w:pPr>
              <w:spacing w:after="0"/>
              <w:rPr>
                <w:noProof/>
                <w:sz w:val="22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1955" w:rsidRDefault="00551955">
            <w:pPr>
              <w:spacing w:after="0"/>
              <w:rPr>
                <w:noProof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955" w:rsidRDefault="00551955">
            <w:pPr>
              <w:spacing w:after="0"/>
              <w:rPr>
                <w:noProof/>
                <w:sz w:val="22"/>
              </w:rPr>
            </w:pPr>
          </w:p>
        </w:tc>
      </w:tr>
      <w:tr w:rsidR="0055195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955" w:rsidRDefault="00551955">
            <w:pPr>
              <w:spacing w:after="0"/>
              <w:rPr>
                <w:b/>
                <w:noProof/>
                <w:sz w:val="22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955" w:rsidRDefault="00E33ED2">
            <w:pPr>
              <w:spacing w:after="0"/>
              <w:rPr>
                <w:b/>
                <w:noProof/>
              </w:rPr>
            </w:pPr>
            <w:r>
              <w:rPr>
                <w:b/>
                <w:noProof/>
              </w:rPr>
              <w:t>4-LH</w:t>
            </w:r>
          </w:p>
        </w:tc>
        <w:tc>
          <w:tcPr>
            <w:tcW w:w="1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955" w:rsidRDefault="00551955">
            <w:pPr>
              <w:spacing w:after="0"/>
              <w:rPr>
                <w:noProof/>
                <w:sz w:val="22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955" w:rsidRDefault="00551955">
            <w:pPr>
              <w:spacing w:after="0"/>
              <w:rPr>
                <w:noProof/>
                <w:sz w:val="22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955" w:rsidRDefault="00551955">
            <w:pPr>
              <w:spacing w:after="0"/>
              <w:rPr>
                <w:noProof/>
                <w:sz w:val="22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955" w:rsidRDefault="00551955">
            <w:pPr>
              <w:spacing w:after="0"/>
              <w:rPr>
                <w:noProof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955" w:rsidRDefault="00551955">
            <w:pPr>
              <w:spacing w:after="0"/>
              <w:rPr>
                <w:noProof/>
                <w:sz w:val="22"/>
              </w:rPr>
            </w:pPr>
          </w:p>
        </w:tc>
      </w:tr>
      <w:tr w:rsidR="0055195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955" w:rsidRDefault="00551955">
            <w:pPr>
              <w:spacing w:after="0"/>
              <w:rPr>
                <w:b/>
                <w:noProof/>
                <w:sz w:val="22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955" w:rsidRDefault="00E33ED2">
            <w:pPr>
              <w:spacing w:after="0"/>
              <w:rPr>
                <w:b/>
                <w:noProof/>
              </w:rPr>
            </w:pPr>
            <w:r>
              <w:rPr>
                <w:b/>
                <w:noProof/>
              </w:rPr>
              <w:t>5-RD</w:t>
            </w:r>
          </w:p>
        </w:tc>
        <w:tc>
          <w:tcPr>
            <w:tcW w:w="1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955" w:rsidRDefault="00E33ED2">
            <w:pPr>
              <w:spacing w:after="0"/>
              <w:rPr>
                <w:noProof/>
                <w:color w:val="000000"/>
              </w:rPr>
            </w:pPr>
            <w:r>
              <w:rPr>
                <w:noProof/>
                <w:color w:val="000000"/>
              </w:rPr>
              <w:t>0,022</w:t>
            </w:r>
          </w:p>
        </w:tc>
        <w:tc>
          <w:tcPr>
            <w:tcW w:w="9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955" w:rsidRDefault="00E33ED2">
            <w:pPr>
              <w:spacing w:after="0"/>
              <w:rPr>
                <w:noProof/>
                <w:color w:val="000000"/>
              </w:rPr>
            </w:pPr>
            <w:r>
              <w:rPr>
                <w:noProof/>
                <w:color w:val="000000"/>
              </w:rPr>
              <w:t>0,022</w:t>
            </w:r>
          </w:p>
        </w:tc>
        <w:tc>
          <w:tcPr>
            <w:tcW w:w="11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51955" w:rsidRDefault="00E33ED2">
            <w:pPr>
              <w:spacing w:after="0"/>
              <w:rPr>
                <w:noProof/>
                <w:color w:val="000000"/>
              </w:rPr>
            </w:pPr>
            <w:r>
              <w:rPr>
                <w:noProof/>
                <w:color w:val="000000"/>
              </w:rPr>
              <w:t>0,017</w:t>
            </w:r>
          </w:p>
        </w:tc>
        <w:tc>
          <w:tcPr>
            <w:tcW w:w="11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955" w:rsidRDefault="00E33ED2">
            <w:pPr>
              <w:spacing w:after="0"/>
              <w:rPr>
                <w:noProof/>
                <w:color w:val="000000"/>
              </w:rPr>
            </w:pPr>
            <w:r>
              <w:rPr>
                <w:noProof/>
                <w:color w:val="000000"/>
              </w:rPr>
              <w:t>0,017</w:t>
            </w:r>
          </w:p>
        </w:tc>
        <w:tc>
          <w:tcPr>
            <w:tcW w:w="22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955" w:rsidRDefault="00E33ED2">
            <w:pPr>
              <w:spacing w:after="0"/>
              <w:contextualSpacing/>
              <w:rPr>
                <w:noProof/>
              </w:rPr>
            </w:pPr>
            <w:r>
              <w:rPr>
                <w:noProof/>
              </w:rPr>
              <w:t>0,022</w:t>
            </w:r>
          </w:p>
        </w:tc>
      </w:tr>
      <w:tr w:rsidR="0055195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955" w:rsidRDefault="00551955">
            <w:pPr>
              <w:spacing w:after="0"/>
              <w:rPr>
                <w:b/>
                <w:noProof/>
                <w:sz w:val="22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955" w:rsidRDefault="00E33ED2">
            <w:pPr>
              <w:spacing w:after="0"/>
              <w:rPr>
                <w:b/>
                <w:noProof/>
              </w:rPr>
            </w:pPr>
            <w:r>
              <w:rPr>
                <w:b/>
                <w:noProof/>
              </w:rPr>
              <w:t>5-LH</w:t>
            </w:r>
          </w:p>
        </w:tc>
        <w:tc>
          <w:tcPr>
            <w:tcW w:w="1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955" w:rsidRDefault="00551955">
            <w:pPr>
              <w:spacing w:after="0"/>
              <w:rPr>
                <w:noProof/>
                <w:color w:val="000000"/>
                <w:sz w:val="22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955" w:rsidRDefault="00551955">
            <w:pPr>
              <w:spacing w:after="0"/>
              <w:rPr>
                <w:noProof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955" w:rsidRDefault="00551955">
            <w:pPr>
              <w:spacing w:after="0"/>
              <w:rPr>
                <w:noProof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955" w:rsidRDefault="00551955">
            <w:pPr>
              <w:spacing w:after="0"/>
              <w:rPr>
                <w:noProof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955" w:rsidRDefault="00551955">
            <w:pPr>
              <w:spacing w:after="0"/>
              <w:rPr>
                <w:noProof/>
                <w:sz w:val="22"/>
              </w:rPr>
            </w:pPr>
          </w:p>
        </w:tc>
      </w:tr>
      <w:tr w:rsidR="00551955">
        <w:trPr>
          <w:trHeight w:val="22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955" w:rsidRDefault="00551955">
            <w:pPr>
              <w:spacing w:after="0"/>
              <w:rPr>
                <w:b/>
                <w:noProof/>
                <w:sz w:val="22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955" w:rsidRDefault="00E33ED2">
            <w:pPr>
              <w:spacing w:after="0"/>
              <w:rPr>
                <w:b/>
                <w:noProof/>
              </w:rPr>
            </w:pPr>
            <w:r>
              <w:rPr>
                <w:b/>
                <w:noProof/>
              </w:rPr>
              <w:t>9-RD</w:t>
            </w:r>
          </w:p>
        </w:tc>
        <w:tc>
          <w:tcPr>
            <w:tcW w:w="13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51955" w:rsidRDefault="00E33ED2">
            <w:pPr>
              <w:spacing w:after="0"/>
              <w:rPr>
                <w:noProof/>
                <w:color w:val="000000"/>
              </w:rPr>
            </w:pPr>
            <w:r>
              <w:rPr>
                <w:noProof/>
                <w:color w:val="000000"/>
              </w:rPr>
              <w:t>0,026</w:t>
            </w:r>
          </w:p>
        </w:tc>
        <w:tc>
          <w:tcPr>
            <w:tcW w:w="9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955" w:rsidRDefault="00E33ED2">
            <w:pPr>
              <w:spacing w:after="0"/>
              <w:rPr>
                <w:noProof/>
                <w:color w:val="000000"/>
              </w:rPr>
            </w:pPr>
            <w:r>
              <w:rPr>
                <w:noProof/>
                <w:color w:val="000000"/>
              </w:rPr>
              <w:t>0,025</w:t>
            </w:r>
          </w:p>
        </w:tc>
        <w:tc>
          <w:tcPr>
            <w:tcW w:w="11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51955" w:rsidRDefault="00E33ED2">
            <w:pPr>
              <w:spacing w:after="0"/>
              <w:rPr>
                <w:noProof/>
                <w:color w:val="000000"/>
              </w:rPr>
            </w:pPr>
            <w:r>
              <w:rPr>
                <w:noProof/>
                <w:color w:val="000000"/>
              </w:rPr>
              <w:t>0,015</w:t>
            </w:r>
          </w:p>
        </w:tc>
        <w:tc>
          <w:tcPr>
            <w:tcW w:w="11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955" w:rsidRDefault="00E33ED2">
            <w:pPr>
              <w:spacing w:after="0"/>
              <w:rPr>
                <w:noProof/>
                <w:color w:val="000000"/>
              </w:rPr>
            </w:pPr>
            <w:r>
              <w:rPr>
                <w:noProof/>
                <w:color w:val="000000"/>
              </w:rPr>
              <w:t>0,015</w:t>
            </w:r>
          </w:p>
        </w:tc>
        <w:tc>
          <w:tcPr>
            <w:tcW w:w="22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955" w:rsidRDefault="00E33ED2">
            <w:pPr>
              <w:spacing w:after="0"/>
              <w:contextualSpacing/>
              <w:rPr>
                <w:noProof/>
              </w:rPr>
            </w:pPr>
            <w:r>
              <w:rPr>
                <w:noProof/>
                <w:color w:val="000000"/>
              </w:rPr>
              <w:t>0,026</w:t>
            </w:r>
          </w:p>
        </w:tc>
      </w:tr>
      <w:tr w:rsidR="0055195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955" w:rsidRDefault="00551955">
            <w:pPr>
              <w:spacing w:after="0"/>
              <w:rPr>
                <w:b/>
                <w:noProof/>
                <w:sz w:val="22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955" w:rsidRDefault="00E33ED2">
            <w:pPr>
              <w:spacing w:after="0"/>
              <w:rPr>
                <w:b/>
                <w:noProof/>
              </w:rPr>
            </w:pPr>
            <w:r>
              <w:rPr>
                <w:b/>
                <w:noProof/>
              </w:rPr>
              <w:t>9-LH</w:t>
            </w:r>
          </w:p>
        </w:tc>
        <w:tc>
          <w:tcPr>
            <w:tcW w:w="13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955" w:rsidRDefault="00551955">
            <w:pPr>
              <w:spacing w:after="0"/>
              <w:rPr>
                <w:noProof/>
                <w:color w:val="000000"/>
                <w:sz w:val="22"/>
              </w:rPr>
            </w:pPr>
          </w:p>
        </w:tc>
        <w:tc>
          <w:tcPr>
            <w:tcW w:w="9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955" w:rsidRDefault="00551955">
            <w:pPr>
              <w:spacing w:after="0"/>
              <w:rPr>
                <w:noProof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955" w:rsidRDefault="00551955">
            <w:pPr>
              <w:spacing w:after="0"/>
              <w:rPr>
                <w:noProof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955" w:rsidRDefault="00551955">
            <w:pPr>
              <w:spacing w:after="0"/>
              <w:rPr>
                <w:noProof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955" w:rsidRDefault="00551955">
            <w:pPr>
              <w:spacing w:after="0"/>
              <w:rPr>
                <w:noProof/>
                <w:sz w:val="22"/>
              </w:rPr>
            </w:pPr>
          </w:p>
        </w:tc>
      </w:tr>
      <w:tr w:rsidR="0055195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955" w:rsidRDefault="00551955">
            <w:pPr>
              <w:spacing w:after="0"/>
              <w:rPr>
                <w:b/>
                <w:noProof/>
                <w:sz w:val="22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955" w:rsidRDefault="00E33ED2">
            <w:pPr>
              <w:spacing w:after="0"/>
              <w:rPr>
                <w:b/>
                <w:noProof/>
              </w:rPr>
            </w:pPr>
            <w:r>
              <w:rPr>
                <w:b/>
                <w:noProof/>
              </w:rPr>
              <w:t>10-RD</w:t>
            </w:r>
          </w:p>
        </w:tc>
        <w:tc>
          <w:tcPr>
            <w:tcW w:w="13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51955" w:rsidRDefault="00E33ED2">
            <w:pPr>
              <w:spacing w:after="0"/>
              <w:rPr>
                <w:noProof/>
                <w:color w:val="000000"/>
              </w:rPr>
            </w:pPr>
            <w:r>
              <w:rPr>
                <w:noProof/>
                <w:color w:val="000000"/>
              </w:rPr>
              <w:t>0,022</w:t>
            </w:r>
          </w:p>
        </w:tc>
        <w:tc>
          <w:tcPr>
            <w:tcW w:w="9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955" w:rsidRDefault="00E33ED2">
            <w:pPr>
              <w:spacing w:after="0"/>
              <w:rPr>
                <w:noProof/>
                <w:color w:val="000000"/>
              </w:rPr>
            </w:pPr>
            <w:r>
              <w:rPr>
                <w:noProof/>
                <w:color w:val="000000"/>
              </w:rPr>
              <w:t>0 021</w:t>
            </w:r>
          </w:p>
        </w:tc>
        <w:tc>
          <w:tcPr>
            <w:tcW w:w="11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51955" w:rsidRDefault="00E33ED2">
            <w:pPr>
              <w:spacing w:after="0"/>
              <w:rPr>
                <w:noProof/>
                <w:color w:val="000000"/>
              </w:rPr>
            </w:pPr>
            <w:r>
              <w:rPr>
                <w:noProof/>
                <w:color w:val="000000"/>
              </w:rPr>
              <w:t>0 016</w:t>
            </w:r>
          </w:p>
        </w:tc>
        <w:tc>
          <w:tcPr>
            <w:tcW w:w="11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955" w:rsidRDefault="00E33ED2">
            <w:pPr>
              <w:spacing w:after="0"/>
              <w:rPr>
                <w:noProof/>
                <w:color w:val="000000"/>
              </w:rPr>
            </w:pPr>
            <w:r>
              <w:rPr>
                <w:noProof/>
                <w:color w:val="000000"/>
              </w:rPr>
              <w:t>0 016</w:t>
            </w:r>
          </w:p>
        </w:tc>
        <w:tc>
          <w:tcPr>
            <w:tcW w:w="22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955" w:rsidRDefault="00E33ED2">
            <w:pPr>
              <w:spacing w:after="0"/>
              <w:contextualSpacing/>
              <w:rPr>
                <w:noProof/>
              </w:rPr>
            </w:pPr>
            <w:r>
              <w:rPr>
                <w:noProof/>
                <w:color w:val="000000"/>
              </w:rPr>
              <w:t>0 022</w:t>
            </w:r>
          </w:p>
        </w:tc>
      </w:tr>
      <w:tr w:rsidR="0055195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955" w:rsidRDefault="00551955">
            <w:pPr>
              <w:spacing w:after="0"/>
              <w:rPr>
                <w:b/>
                <w:noProof/>
                <w:sz w:val="22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955" w:rsidRDefault="00E33ED2">
            <w:pPr>
              <w:spacing w:after="0"/>
              <w:rPr>
                <w:b/>
                <w:noProof/>
              </w:rPr>
            </w:pPr>
            <w:r>
              <w:rPr>
                <w:b/>
                <w:noProof/>
              </w:rPr>
              <w:t>10-LH</w:t>
            </w:r>
          </w:p>
        </w:tc>
        <w:tc>
          <w:tcPr>
            <w:tcW w:w="13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955" w:rsidRDefault="00551955">
            <w:pPr>
              <w:spacing w:after="0"/>
              <w:rPr>
                <w:noProof/>
                <w:color w:val="000000"/>
                <w:sz w:val="22"/>
              </w:rPr>
            </w:pPr>
          </w:p>
        </w:tc>
        <w:tc>
          <w:tcPr>
            <w:tcW w:w="9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955" w:rsidRDefault="00551955">
            <w:pPr>
              <w:spacing w:after="0"/>
              <w:rPr>
                <w:noProof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955" w:rsidRDefault="00551955">
            <w:pPr>
              <w:spacing w:after="0"/>
              <w:rPr>
                <w:noProof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955" w:rsidRDefault="00551955">
            <w:pPr>
              <w:spacing w:after="0"/>
              <w:rPr>
                <w:noProof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955" w:rsidRDefault="00551955">
            <w:pPr>
              <w:spacing w:after="0"/>
              <w:rPr>
                <w:noProof/>
                <w:sz w:val="22"/>
              </w:rPr>
            </w:pPr>
          </w:p>
        </w:tc>
      </w:tr>
    </w:tbl>
    <w:p w:rsidR="00551955" w:rsidRDefault="00E33ED2">
      <w:pPr>
        <w:rPr>
          <w:b/>
          <w:noProof/>
          <w:sz w:val="22"/>
        </w:rPr>
      </w:pPr>
      <w:r>
        <w:rPr>
          <w:noProof/>
        </w:rPr>
        <w:tab/>
      </w:r>
      <w:r>
        <w:rPr>
          <w:b/>
          <w:noProof/>
          <w:vertAlign w:val="superscript"/>
        </w:rPr>
        <w:t>1</w:t>
      </w:r>
      <w:r>
        <w:rPr>
          <w:b/>
          <w:noProof/>
        </w:rPr>
        <w:t xml:space="preserve"> </w:t>
      </w:r>
      <w:r>
        <w:rPr>
          <w:noProof/>
        </w:rPr>
        <w:t xml:space="preserve">Voir les définitions des profils de missions au point 1 de la section 2 </w:t>
      </w:r>
      <w:r>
        <w:rPr>
          <w:noProof/>
        </w:rPr>
        <w:t>de l’annexe 1.</w:t>
      </w:r>
    </w:p>
    <w:p w:rsidR="00551955" w:rsidRDefault="00E33ED2">
      <w:pPr>
        <w:pStyle w:val="ManualHeading1"/>
        <w:rPr>
          <w:noProof/>
        </w:rPr>
      </w:pPr>
      <w:r>
        <w:rPr>
          <w:noProof/>
        </w:rPr>
        <w:t>2.</w:t>
      </w:r>
      <w:r>
        <w:rPr>
          <w:noProof/>
        </w:rPr>
        <w:tab/>
        <w:t xml:space="preserve">Facteurs d ajustement visés à l’article 10, paragraphe 2, point b) </w:t>
      </w:r>
    </w:p>
    <w:p w:rsidR="00551955" w:rsidRDefault="00E33ED2">
      <w:pPr>
        <w:rPr>
          <w:noProof/>
          <w:szCs w:val="24"/>
          <w:highlight w:val="yellow"/>
        </w:rPr>
      </w:pPr>
      <w:r>
        <w:rPr>
          <w:noProof/>
        </w:rPr>
        <w:t>Sous réserve des dispositions énoncées à l’article 10, paragraphe 2, point b), aux fins du calcul des émissions de CO</w:t>
      </w:r>
      <w:r>
        <w:rPr>
          <w:noProof/>
          <w:vertAlign w:val="subscript"/>
        </w:rPr>
        <w:t>2</w:t>
      </w:r>
      <w:r>
        <w:rPr>
          <w:noProof/>
        </w:rPr>
        <w:t xml:space="preserve"> de référence visées à l’article 1</w:t>
      </w:r>
      <w:r>
        <w:rPr>
          <w:noProof/>
          <w:vertAlign w:val="superscript"/>
        </w:rPr>
        <w:t>er</w:t>
      </w:r>
      <w:r>
        <w:rPr>
          <w:noProof/>
        </w:rPr>
        <w:t xml:space="preserve">, les émissions </w:t>
      </w:r>
      <w:r>
        <w:rPr>
          <w:noProof/>
        </w:rPr>
        <w:t>de CO</w:t>
      </w:r>
      <w:r>
        <w:rPr>
          <w:noProof/>
          <w:vertAlign w:val="subscript"/>
        </w:rPr>
        <w:t>2</w:t>
      </w:r>
      <w:r>
        <w:rPr>
          <w:noProof/>
        </w:rPr>
        <w:t xml:space="preserve"> en g/km d’un véhicule lourd </w:t>
      </w:r>
      <w:r>
        <w:rPr>
          <w:i/>
          <w:noProof/>
        </w:rPr>
        <w:t>v</w:t>
      </w:r>
      <w:r>
        <w:rPr>
          <w:noProof/>
        </w:rPr>
        <w:t xml:space="preserve"> déterminées pour un profil de missions </w:t>
      </w:r>
      <w:r>
        <w:rPr>
          <w:i/>
          <w:noProof/>
        </w:rPr>
        <w:t>mp</w:t>
      </w:r>
      <w:r>
        <w:rPr>
          <w:noProof/>
        </w:rPr>
        <w:t xml:space="preserve"> visées au point 2.1 de l’annexe I sont ajustées de la manière suivante:</w:t>
      </w:r>
    </w:p>
    <w:p w:rsidR="00551955" w:rsidRDefault="00E33ED2">
      <w:pPr>
        <w:ind w:left="720" w:firstLine="720"/>
        <w:rPr>
          <w:noProof/>
          <w:lang w:val="pt-PT"/>
        </w:rPr>
      </w:pPr>
      <w:r>
        <w:rPr>
          <w:rFonts w:eastAsiaTheme="minorEastAsia"/>
          <w:i/>
          <w:noProof/>
          <w:lang w:val="pt-PT"/>
        </w:rPr>
        <w:t>CO2</w:t>
      </w:r>
      <w:r>
        <w:rPr>
          <w:rFonts w:eastAsiaTheme="minorEastAsia"/>
          <w:i/>
          <w:noProof/>
          <w:vertAlign w:val="subscript"/>
          <w:lang w:val="pt-PT"/>
        </w:rPr>
        <w:t xml:space="preserve">v,mp </w:t>
      </w:r>
      <w:r>
        <w:rPr>
          <w:rFonts w:eastAsiaTheme="minorEastAsia"/>
          <w:i/>
          <w:noProof/>
          <w:lang w:val="pt-PT"/>
        </w:rPr>
        <w:t>=  CO2(2019)</w:t>
      </w:r>
      <w:r>
        <w:rPr>
          <w:i/>
          <w:noProof/>
          <w:vertAlign w:val="subscript"/>
          <w:lang w:val="pt-PT"/>
        </w:rPr>
        <w:t xml:space="preserve">v,mp  </w:t>
      </w:r>
      <w:r>
        <w:rPr>
          <w:rFonts w:eastAsiaTheme="minorEastAsia"/>
          <w:i/>
          <w:noProof/>
          <w:lang w:val="pt-PT"/>
        </w:rPr>
        <w:t xml:space="preserve">x (∑ </w:t>
      </w:r>
      <w:r>
        <w:rPr>
          <w:i/>
          <w:noProof/>
          <w:vertAlign w:val="subscript"/>
          <w:lang w:val="pt-PT"/>
        </w:rPr>
        <w:t>r</w:t>
      </w:r>
      <w:r>
        <w:rPr>
          <w:rFonts w:eastAsiaTheme="minorEastAsia"/>
          <w:i/>
          <w:noProof/>
          <w:lang w:val="pt-PT"/>
        </w:rPr>
        <w:t xml:space="preserve">  s</w:t>
      </w:r>
      <w:r>
        <w:rPr>
          <w:i/>
          <w:noProof/>
          <w:vertAlign w:val="subscript"/>
          <w:lang w:val="pt-PT"/>
        </w:rPr>
        <w:t xml:space="preserve"> r,sg</w:t>
      </w:r>
      <w:r>
        <w:rPr>
          <w:noProof/>
          <w:lang w:val="pt-PT"/>
        </w:rPr>
        <w:t xml:space="preserve"> </w:t>
      </w:r>
      <w:r>
        <w:rPr>
          <w:i/>
          <w:noProof/>
          <w:lang w:val="pt-PT"/>
        </w:rPr>
        <w:t>x CO2(2019)</w:t>
      </w:r>
      <w:r>
        <w:rPr>
          <w:i/>
          <w:noProof/>
          <w:vertAlign w:val="subscript"/>
          <w:lang w:val="pt-PT"/>
        </w:rPr>
        <w:t xml:space="preserve">r,mp  </w:t>
      </w:r>
      <w:r>
        <w:rPr>
          <w:i/>
          <w:noProof/>
          <w:lang w:val="pt-PT"/>
        </w:rPr>
        <w:t xml:space="preserve">)/ (∑ </w:t>
      </w:r>
      <w:r>
        <w:rPr>
          <w:i/>
          <w:noProof/>
          <w:vertAlign w:val="subscript"/>
          <w:lang w:val="pt-PT"/>
        </w:rPr>
        <w:t>r</w:t>
      </w:r>
      <w:r>
        <w:rPr>
          <w:i/>
          <w:noProof/>
          <w:lang w:val="pt-PT"/>
        </w:rPr>
        <w:t xml:space="preserve">  s</w:t>
      </w:r>
      <w:r>
        <w:rPr>
          <w:i/>
          <w:noProof/>
          <w:vertAlign w:val="subscript"/>
          <w:lang w:val="pt-PT"/>
        </w:rPr>
        <w:t xml:space="preserve"> r,sg</w:t>
      </w:r>
      <w:r>
        <w:rPr>
          <w:noProof/>
          <w:lang w:val="pt-PT"/>
        </w:rPr>
        <w:t xml:space="preserve"> </w:t>
      </w:r>
      <w:r>
        <w:rPr>
          <w:i/>
          <w:noProof/>
          <w:lang w:val="pt-PT"/>
        </w:rPr>
        <w:t>x CO2</w:t>
      </w:r>
      <w:r>
        <w:rPr>
          <w:i/>
          <w:noProof/>
          <w:vertAlign w:val="subscript"/>
          <w:lang w:val="pt-PT"/>
        </w:rPr>
        <w:t xml:space="preserve">r,mp  </w:t>
      </w:r>
      <w:r>
        <w:rPr>
          <w:i/>
          <w:noProof/>
          <w:lang w:val="pt-PT"/>
        </w:rPr>
        <w:t>)</w:t>
      </w:r>
    </w:p>
    <w:p w:rsidR="00551955" w:rsidRDefault="00E33ED2">
      <w:pPr>
        <w:ind w:left="720" w:firstLine="720"/>
        <w:rPr>
          <w:noProof/>
        </w:rPr>
      </w:pPr>
      <w:r>
        <w:rPr>
          <w:noProof/>
        </w:rPr>
        <w:t>où</w:t>
      </w:r>
    </w:p>
    <w:p w:rsidR="00551955" w:rsidRDefault="00E33ED2">
      <w:pPr>
        <w:ind w:left="3600" w:hanging="2160"/>
        <w:rPr>
          <w:i/>
          <w:noProof/>
          <w:szCs w:val="24"/>
        </w:rPr>
      </w:pPr>
      <w:r>
        <w:rPr>
          <w:i/>
          <w:noProof/>
        </w:rPr>
        <w:t xml:space="preserve">∑ </w:t>
      </w:r>
      <w:r>
        <w:rPr>
          <w:i/>
          <w:noProof/>
          <w:vertAlign w:val="subscript"/>
        </w:rPr>
        <w:t>r</w:t>
      </w:r>
      <w:r>
        <w:rPr>
          <w:i/>
          <w:noProof/>
        </w:rPr>
        <w:t xml:space="preserve">  </w:t>
      </w:r>
      <w:r>
        <w:rPr>
          <w:noProof/>
        </w:rPr>
        <w:tab/>
        <w:t>est la so</w:t>
      </w:r>
      <w:r>
        <w:rPr>
          <w:noProof/>
        </w:rPr>
        <w:t xml:space="preserve">mmation sur l’ensemble des véhicules représentatifs </w:t>
      </w:r>
      <w:r>
        <w:rPr>
          <w:i/>
          <w:noProof/>
        </w:rPr>
        <w:t>r</w:t>
      </w:r>
      <w:r>
        <w:rPr>
          <w:noProof/>
        </w:rPr>
        <w:t xml:space="preserve"> du sous-groupe </w:t>
      </w:r>
      <w:r>
        <w:rPr>
          <w:i/>
          <w:noProof/>
        </w:rPr>
        <w:t>sg</w:t>
      </w:r>
      <w:r>
        <w:rPr>
          <w:noProof/>
        </w:rPr>
        <w:t>;</w:t>
      </w:r>
    </w:p>
    <w:p w:rsidR="00551955" w:rsidRDefault="00E33ED2">
      <w:pPr>
        <w:ind w:left="850" w:firstLine="590"/>
        <w:rPr>
          <w:noProof/>
          <w:szCs w:val="24"/>
        </w:rPr>
      </w:pPr>
      <w:r>
        <w:rPr>
          <w:i/>
          <w:noProof/>
        </w:rPr>
        <w:t>sg</w:t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  <w:t xml:space="preserve">est le sous-groupe auquel le véhicule </w:t>
      </w:r>
      <w:r>
        <w:rPr>
          <w:i/>
          <w:noProof/>
        </w:rPr>
        <w:t>v</w:t>
      </w:r>
      <w:r>
        <w:rPr>
          <w:noProof/>
        </w:rPr>
        <w:t xml:space="preserve"> appartient;</w:t>
      </w:r>
    </w:p>
    <w:p w:rsidR="00551955" w:rsidRDefault="00E33ED2">
      <w:pPr>
        <w:spacing w:before="20" w:after="20"/>
        <w:ind w:left="851" w:firstLine="590"/>
        <w:rPr>
          <w:noProof/>
          <w:szCs w:val="24"/>
        </w:rPr>
      </w:pPr>
      <w:r>
        <w:rPr>
          <w:i/>
          <w:noProof/>
        </w:rPr>
        <w:t>s</w:t>
      </w:r>
      <w:r>
        <w:rPr>
          <w:i/>
          <w:noProof/>
          <w:vertAlign w:val="subscript"/>
        </w:rPr>
        <w:t xml:space="preserve"> r,sg</w:t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  <w:t xml:space="preserve">est la pondération statistique du véhicule représentatif </w:t>
      </w:r>
      <w:r>
        <w:rPr>
          <w:i/>
          <w:noProof/>
        </w:rPr>
        <w:t>r</w:t>
      </w:r>
      <w:r>
        <w:rPr>
          <w:noProof/>
        </w:rPr>
        <w:t xml:space="preserve"> </w:t>
      </w:r>
    </w:p>
    <w:p w:rsidR="00551955" w:rsidRDefault="00E33ED2">
      <w:pPr>
        <w:spacing w:before="20" w:after="20"/>
        <w:ind w:left="851" w:firstLine="590"/>
        <w:rPr>
          <w:i/>
          <w:noProof/>
          <w:szCs w:val="24"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  <w:t xml:space="preserve">dans le sous-groupe </w:t>
      </w:r>
      <w:r>
        <w:rPr>
          <w:i/>
          <w:noProof/>
        </w:rPr>
        <w:t>sg;</w:t>
      </w:r>
    </w:p>
    <w:p w:rsidR="00551955" w:rsidRDefault="00E33ED2">
      <w:pPr>
        <w:ind w:left="3600" w:hanging="2160"/>
        <w:rPr>
          <w:noProof/>
          <w:szCs w:val="24"/>
        </w:rPr>
      </w:pPr>
      <w:r>
        <w:rPr>
          <w:i/>
          <w:noProof/>
        </w:rPr>
        <w:t>CO2(2019)</w:t>
      </w:r>
      <w:r>
        <w:rPr>
          <w:i/>
          <w:noProof/>
          <w:vertAlign w:val="subscript"/>
        </w:rPr>
        <w:t>v,mp</w:t>
      </w:r>
      <w:r>
        <w:rPr>
          <w:noProof/>
        </w:rPr>
        <w:tab/>
        <w:t xml:space="preserve">correspond aux </w:t>
      </w:r>
      <w:r>
        <w:rPr>
          <w:noProof/>
        </w:rPr>
        <w:t>émissions de CO</w:t>
      </w:r>
      <w:r>
        <w:rPr>
          <w:noProof/>
          <w:vertAlign w:val="subscript"/>
        </w:rPr>
        <w:t>2</w:t>
      </w:r>
      <w:r>
        <w:rPr>
          <w:noProof/>
        </w:rPr>
        <w:t xml:space="preserve"> spécifiques du véhicule </w:t>
      </w:r>
      <w:r>
        <w:rPr>
          <w:i/>
          <w:noProof/>
        </w:rPr>
        <w:t>v</w:t>
      </w:r>
      <w:r>
        <w:rPr>
          <w:noProof/>
        </w:rPr>
        <w:t xml:space="preserve"> en g/km, telles que déterminées sur le profil de missions </w:t>
      </w:r>
      <w:r>
        <w:rPr>
          <w:i/>
          <w:noProof/>
        </w:rPr>
        <w:t>mp</w:t>
      </w:r>
      <w:r>
        <w:rPr>
          <w:noProof/>
        </w:rPr>
        <w:t xml:space="preserve"> et basées sur les données de surveillance de 2019 communiquées conformément au règlement (UE) nº .../2018 [surveillance et communication relatives aux véhicules lourds]; </w:t>
      </w:r>
    </w:p>
    <w:p w:rsidR="00551955" w:rsidRDefault="00E33ED2">
      <w:pPr>
        <w:ind w:left="3600" w:hanging="2160"/>
        <w:rPr>
          <w:noProof/>
          <w:szCs w:val="24"/>
        </w:rPr>
      </w:pPr>
      <w:r>
        <w:rPr>
          <w:i/>
          <w:noProof/>
        </w:rPr>
        <w:t>CO2(2019)</w:t>
      </w:r>
      <w:r>
        <w:rPr>
          <w:i/>
          <w:noProof/>
          <w:vertAlign w:val="subscript"/>
        </w:rPr>
        <w:t xml:space="preserve">r,mp  </w:t>
      </w:r>
      <w:r>
        <w:rPr>
          <w:noProof/>
        </w:rPr>
        <w:tab/>
        <w:t>correspond aux émissions de CO</w:t>
      </w:r>
      <w:r>
        <w:rPr>
          <w:noProof/>
          <w:vertAlign w:val="subscript"/>
        </w:rPr>
        <w:t>2</w:t>
      </w:r>
      <w:r>
        <w:rPr>
          <w:noProof/>
        </w:rPr>
        <w:t xml:space="preserve"> spécifiques du véhicule représentati</w:t>
      </w:r>
      <w:r>
        <w:rPr>
          <w:noProof/>
        </w:rPr>
        <w:t xml:space="preserve">f </w:t>
      </w:r>
      <w:r>
        <w:rPr>
          <w:i/>
          <w:noProof/>
        </w:rPr>
        <w:t>r</w:t>
      </w:r>
      <w:r>
        <w:rPr>
          <w:noProof/>
        </w:rPr>
        <w:t xml:space="preserve"> en g/km, telles que déterminées sur le profil de missions </w:t>
      </w:r>
      <w:r>
        <w:rPr>
          <w:i/>
          <w:noProof/>
        </w:rPr>
        <w:t xml:space="preserve">mp </w:t>
      </w:r>
      <w:r>
        <w:rPr>
          <w:noProof/>
        </w:rPr>
        <w:t xml:space="preserve">conformément au présent règlement dans sa version applicable en 2019; </w:t>
      </w:r>
    </w:p>
    <w:p w:rsidR="00551955" w:rsidRDefault="00E33ED2">
      <w:pPr>
        <w:ind w:left="3600" w:hanging="2160"/>
        <w:rPr>
          <w:noProof/>
          <w:szCs w:val="24"/>
        </w:rPr>
      </w:pPr>
      <w:r>
        <w:rPr>
          <w:i/>
          <w:noProof/>
        </w:rPr>
        <w:t>CO2</w:t>
      </w:r>
      <w:r>
        <w:rPr>
          <w:i/>
          <w:noProof/>
          <w:vertAlign w:val="subscript"/>
        </w:rPr>
        <w:t xml:space="preserve">r,mp  </w:t>
      </w:r>
      <w:r>
        <w:rPr>
          <w:noProof/>
        </w:rPr>
        <w:tab/>
        <w:t>correspond aux émissions de CO</w:t>
      </w:r>
      <w:r>
        <w:rPr>
          <w:noProof/>
          <w:vertAlign w:val="subscript"/>
        </w:rPr>
        <w:t>2</w:t>
      </w:r>
      <w:r>
        <w:rPr>
          <w:noProof/>
        </w:rPr>
        <w:t xml:space="preserve"> spécifiques du véhicule représentatif </w:t>
      </w:r>
      <w:r>
        <w:rPr>
          <w:i/>
          <w:noProof/>
        </w:rPr>
        <w:t>r</w:t>
      </w:r>
      <w:r>
        <w:rPr>
          <w:noProof/>
        </w:rPr>
        <w:t>, telles que déterminées conformément a</w:t>
      </w:r>
      <w:r>
        <w:rPr>
          <w:noProof/>
        </w:rPr>
        <w:t>u présent règlement pour l’année civile à partir de laquelle les changements visés à l’article 12, paragraphe 2, prennent effet pour tous les nouveaux véhicules lourds.</w:t>
      </w:r>
    </w:p>
    <w:p w:rsidR="00551955" w:rsidRDefault="00E33ED2">
      <w:pPr>
        <w:ind w:left="1440"/>
        <w:rPr>
          <w:noProof/>
          <w:szCs w:val="24"/>
        </w:rPr>
      </w:pPr>
      <w:r>
        <w:rPr>
          <w:noProof/>
        </w:rPr>
        <w:t>Le véhicule représentatif est défini conformément à la méthodologie visée à l’article 1</w:t>
      </w:r>
      <w:r>
        <w:rPr>
          <w:noProof/>
        </w:rPr>
        <w:t>2, paragraphe 2.</w:t>
      </w:r>
    </w:p>
    <w:sectPr w:rsidR="00551955" w:rsidSect="00E33ED2">
      <w:pgSz w:w="11907" w:h="16839"/>
      <w:pgMar w:top="1134" w:right="1417" w:bottom="1134" w:left="1417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1955" w:rsidRDefault="00E33ED2">
      <w:pPr>
        <w:spacing w:before="0" w:after="0"/>
      </w:pPr>
      <w:r>
        <w:separator/>
      </w:r>
    </w:p>
  </w:endnote>
  <w:endnote w:type="continuationSeparator" w:id="0">
    <w:p w:rsidR="00551955" w:rsidRDefault="00E33ED2">
      <w:pPr>
        <w:spacing w:before="0" w:after="0"/>
      </w:pPr>
      <w:r>
        <w:continuationSeparator/>
      </w:r>
    </w:p>
  </w:endnote>
  <w:endnote w:type="continuationNotice" w:id="1">
    <w:p w:rsidR="00551955" w:rsidRDefault="00551955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3ED2" w:rsidRPr="00E33ED2" w:rsidRDefault="00E33ED2" w:rsidP="00E33ED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1955" w:rsidRPr="00E33ED2" w:rsidRDefault="00E33ED2" w:rsidP="00E33ED2">
    <w:pPr>
      <w:pStyle w:val="Footer"/>
      <w:rPr>
        <w:rFonts w:ascii="Arial" w:hAnsi="Arial" w:cs="Arial"/>
        <w:b/>
        <w:sz w:val="48"/>
      </w:rPr>
    </w:pPr>
    <w:r w:rsidRPr="00E33ED2">
      <w:rPr>
        <w:rFonts w:ascii="Arial" w:hAnsi="Arial" w:cs="Arial"/>
        <w:b/>
        <w:sz w:val="48"/>
      </w:rPr>
      <w:t>FR</w:t>
    </w:r>
    <w:r w:rsidRPr="00E33ED2">
      <w:rPr>
        <w:rFonts w:ascii="Arial" w:hAnsi="Arial" w:cs="Arial"/>
        <w:b/>
        <w:sz w:val="48"/>
      </w:rPr>
      <w:tab/>
    </w:r>
    <w:r w:rsidRPr="00E33ED2">
      <w:rPr>
        <w:rFonts w:ascii="Arial" w:hAnsi="Arial" w:cs="Arial"/>
        <w:b/>
        <w:sz w:val="48"/>
      </w:rPr>
      <w:tab/>
    </w:r>
    <w:r w:rsidRPr="00E33ED2">
      <w:tab/>
    </w:r>
    <w:proofErr w:type="spellStart"/>
    <w:r w:rsidRPr="00E33ED2">
      <w:rPr>
        <w:rFonts w:ascii="Arial" w:hAnsi="Arial" w:cs="Arial"/>
        <w:b/>
        <w:sz w:val="48"/>
      </w:rPr>
      <w:t>FR</w:t>
    </w:r>
    <w:proofErr w:type="spellEnd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3ED2" w:rsidRPr="00E33ED2" w:rsidRDefault="00E33ED2" w:rsidP="00E33ED2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3ED2" w:rsidRPr="00E33ED2" w:rsidRDefault="00E33ED2" w:rsidP="00E33ED2">
    <w:pPr>
      <w:pStyle w:val="Footer"/>
      <w:rPr>
        <w:rFonts w:ascii="Arial" w:hAnsi="Arial" w:cs="Arial"/>
        <w:b/>
        <w:sz w:val="48"/>
      </w:rPr>
    </w:pPr>
    <w:r w:rsidRPr="00E33ED2">
      <w:rPr>
        <w:rFonts w:ascii="Arial" w:hAnsi="Arial" w:cs="Arial"/>
        <w:b/>
        <w:sz w:val="48"/>
      </w:rPr>
      <w:t>FR</w:t>
    </w:r>
    <w:r w:rsidRPr="00E33ED2">
      <w:rPr>
        <w:rFonts w:ascii="Arial" w:hAnsi="Arial" w:cs="Arial"/>
        <w:b/>
        <w:sz w:val="48"/>
      </w:rPr>
      <w:tab/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12</w:t>
    </w:r>
    <w:r>
      <w:fldChar w:fldCharType="end"/>
    </w:r>
    <w:r>
      <w:tab/>
    </w:r>
    <w:r w:rsidRPr="00E33ED2">
      <w:tab/>
    </w:r>
    <w:r w:rsidRPr="00E33ED2">
      <w:rPr>
        <w:rFonts w:ascii="Arial" w:hAnsi="Arial" w:cs="Arial"/>
        <w:b/>
        <w:sz w:val="48"/>
      </w:rPr>
      <w:t>FR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3ED2" w:rsidRPr="00E33ED2" w:rsidRDefault="00E33ED2" w:rsidP="00E33ED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1955" w:rsidRDefault="00E33ED2">
      <w:pPr>
        <w:spacing w:before="0" w:after="0"/>
      </w:pPr>
      <w:r>
        <w:separator/>
      </w:r>
    </w:p>
  </w:footnote>
  <w:footnote w:type="continuationSeparator" w:id="0">
    <w:p w:rsidR="00551955" w:rsidRDefault="00E33ED2">
      <w:pPr>
        <w:spacing w:before="0" w:after="0"/>
      </w:pPr>
      <w:r>
        <w:continuationSeparator/>
      </w:r>
    </w:p>
  </w:footnote>
  <w:footnote w:type="continuationNotice" w:id="1">
    <w:p w:rsidR="00551955" w:rsidRDefault="00551955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3ED2" w:rsidRPr="00E33ED2" w:rsidRDefault="00E33ED2" w:rsidP="00E33ED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3ED2" w:rsidRPr="00E33ED2" w:rsidRDefault="00E33ED2" w:rsidP="00E33ED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3ED2" w:rsidRPr="00E33ED2" w:rsidRDefault="00E33ED2" w:rsidP="00E33ED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D"/>
    <w:multiLevelType w:val="singleLevel"/>
    <w:tmpl w:val="5E44B5B2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>
    <w:nsid w:val="FFFFFF7E"/>
    <w:multiLevelType w:val="singleLevel"/>
    <w:tmpl w:val="1ED2E658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>
    <w:nsid w:val="FFFFFF7F"/>
    <w:multiLevelType w:val="singleLevel"/>
    <w:tmpl w:val="C6C0709A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3">
    <w:nsid w:val="FFFFFF81"/>
    <w:multiLevelType w:val="singleLevel"/>
    <w:tmpl w:val="2148429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>
    <w:nsid w:val="FFFFFF82"/>
    <w:multiLevelType w:val="singleLevel"/>
    <w:tmpl w:val="4830AF0E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>
    <w:nsid w:val="FFFFFF83"/>
    <w:multiLevelType w:val="singleLevel"/>
    <w:tmpl w:val="662C3BDE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>
    <w:nsid w:val="FFFFFF88"/>
    <w:multiLevelType w:val="singleLevel"/>
    <w:tmpl w:val="0C38FA5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FFFFFF89"/>
    <w:multiLevelType w:val="singleLevel"/>
    <w:tmpl w:val="05C6B87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1B3C78B8"/>
    <w:multiLevelType w:val="multilevel"/>
    <w:tmpl w:val="2ED4F4D0"/>
    <w:name w:val="Point"/>
    <w:lvl w:ilvl="0">
      <w:start w:val="1"/>
      <w:numFmt w:val="decimal"/>
      <w:lvlRestart w:val="0"/>
      <w:pStyle w:val="Point0number"/>
      <w:lvlText w:val="(%1)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pStyle w:val="Point0letter"/>
      <w:lvlText w:val="(%2)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Point1number"/>
      <w:lvlText w:val="(%3)"/>
      <w:lvlJc w:val="left"/>
      <w:pPr>
        <w:tabs>
          <w:tab w:val="num" w:pos="1417"/>
        </w:tabs>
        <w:ind w:left="1417" w:hanging="567"/>
      </w:pPr>
    </w:lvl>
    <w:lvl w:ilvl="3">
      <w:start w:val="1"/>
      <w:numFmt w:val="lowerLetter"/>
      <w:pStyle w:val="Point1letter"/>
      <w:lvlText w:val="(%4)"/>
      <w:lvlJc w:val="left"/>
      <w:pPr>
        <w:tabs>
          <w:tab w:val="num" w:pos="1417"/>
        </w:tabs>
        <w:ind w:left="1417" w:hanging="567"/>
      </w:pPr>
    </w:lvl>
    <w:lvl w:ilvl="4">
      <w:start w:val="1"/>
      <w:numFmt w:val="decimal"/>
      <w:pStyle w:val="Point2number"/>
      <w:lvlText w:val="(%5)"/>
      <w:lvlJc w:val="left"/>
      <w:pPr>
        <w:tabs>
          <w:tab w:val="num" w:pos="1984"/>
        </w:tabs>
        <w:ind w:left="1984" w:hanging="567"/>
      </w:pPr>
    </w:lvl>
    <w:lvl w:ilvl="5">
      <w:start w:val="1"/>
      <w:numFmt w:val="lowerLetter"/>
      <w:pStyle w:val="Point2letter"/>
      <w:lvlText w:val="(%6)"/>
      <w:lvlJc w:val="left"/>
      <w:pPr>
        <w:tabs>
          <w:tab w:val="num" w:pos="1984"/>
        </w:tabs>
        <w:ind w:left="1984" w:hanging="567"/>
      </w:pPr>
    </w:lvl>
    <w:lvl w:ilvl="6">
      <w:start w:val="1"/>
      <w:numFmt w:val="decimal"/>
      <w:pStyle w:val="Point3number"/>
      <w:lvlText w:val="(%7)"/>
      <w:lvlJc w:val="left"/>
      <w:pPr>
        <w:tabs>
          <w:tab w:val="num" w:pos="2551"/>
        </w:tabs>
        <w:ind w:left="2551" w:hanging="567"/>
      </w:pPr>
    </w:lvl>
    <w:lvl w:ilvl="7">
      <w:start w:val="1"/>
      <w:numFmt w:val="lowerLetter"/>
      <w:pStyle w:val="Point3letter"/>
      <w:lvlText w:val="(%8)"/>
      <w:lvlJc w:val="left"/>
      <w:pPr>
        <w:tabs>
          <w:tab w:val="num" w:pos="2551"/>
        </w:tabs>
        <w:ind w:left="2551" w:hanging="567"/>
      </w:pPr>
    </w:lvl>
    <w:lvl w:ilvl="8">
      <w:start w:val="1"/>
      <w:numFmt w:val="lowerLetter"/>
      <w:pStyle w:val="Point4letter"/>
      <w:lvlText w:val="(%9)"/>
      <w:lvlJc w:val="left"/>
      <w:pPr>
        <w:tabs>
          <w:tab w:val="num" w:pos="3118"/>
        </w:tabs>
        <w:ind w:left="3118" w:hanging="567"/>
      </w:pPr>
    </w:lvl>
  </w:abstractNum>
  <w:abstractNum w:abstractNumId="9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>
    <w:nsid w:val="2CB72C6E"/>
    <w:multiLevelType w:val="singleLevel"/>
    <w:tmpl w:val="10ACD464"/>
    <w:name w:val="Bullet 3"/>
    <w:lvl w:ilvl="0">
      <w:start w:val="1"/>
      <w:numFmt w:val="bullet"/>
      <w:lvlRestart w:val="0"/>
      <w:pStyle w:val="Bullet3"/>
      <w:lvlText w:val=""/>
      <w:lvlJc w:val="left"/>
      <w:pPr>
        <w:tabs>
          <w:tab w:val="num" w:pos="2551"/>
        </w:tabs>
        <w:ind w:left="2551" w:hanging="567"/>
      </w:pPr>
      <w:rPr>
        <w:rFonts w:ascii="Symbol" w:hAnsi="Symbol" w:hint="default"/>
      </w:rPr>
    </w:lvl>
  </w:abstractNum>
  <w:abstractNum w:abstractNumId="11">
    <w:nsid w:val="2CE9221F"/>
    <w:multiLevelType w:val="singleLevel"/>
    <w:tmpl w:val="9B4AFB48"/>
    <w:name w:val="Tiret 3"/>
    <w:lvl w:ilvl="0">
      <w:start w:val="1"/>
      <w:numFmt w:val="bullet"/>
      <w:lvlRestart w:val="0"/>
      <w:pStyle w:val="Tiret3"/>
      <w:lvlText w:val="–"/>
      <w:lvlJc w:val="left"/>
      <w:pPr>
        <w:tabs>
          <w:tab w:val="num" w:pos="2551"/>
        </w:tabs>
        <w:ind w:left="2551" w:hanging="567"/>
      </w:pPr>
    </w:lvl>
  </w:abstractNum>
  <w:abstractNum w:abstractNumId="12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13">
    <w:nsid w:val="42FC0772"/>
    <w:multiLevelType w:val="singleLevel"/>
    <w:tmpl w:val="4128FCF8"/>
    <w:name w:val="Tiret 4"/>
    <w:lvl w:ilvl="0">
      <w:start w:val="1"/>
      <w:numFmt w:val="bullet"/>
      <w:lvlRestart w:val="0"/>
      <w:pStyle w:val="Tiret4"/>
      <w:lvlText w:val="–"/>
      <w:lvlJc w:val="left"/>
      <w:pPr>
        <w:tabs>
          <w:tab w:val="num" w:pos="3118"/>
        </w:tabs>
        <w:ind w:left="3118" w:hanging="567"/>
      </w:pPr>
    </w:lvl>
  </w:abstractNum>
  <w:abstractNum w:abstractNumId="14">
    <w:nsid w:val="4552127F"/>
    <w:multiLevelType w:val="singleLevel"/>
    <w:tmpl w:val="057A5296"/>
    <w:name w:val="Bullet 0"/>
    <w:lvl w:ilvl="0">
      <w:start w:val="1"/>
      <w:numFmt w:val="bullet"/>
      <w:lvlRestart w:val="0"/>
      <w:pStyle w:val="Bullet0"/>
      <w:lvlText w:val=""/>
      <w:lvlJc w:val="left"/>
      <w:pPr>
        <w:tabs>
          <w:tab w:val="num" w:pos="850"/>
        </w:tabs>
        <w:ind w:left="850" w:hanging="850"/>
      </w:pPr>
      <w:rPr>
        <w:rFonts w:ascii="Symbol" w:hAnsi="Symbol" w:hint="default"/>
      </w:rPr>
    </w:lvl>
  </w:abstractNum>
  <w:abstractNum w:abstractNumId="15">
    <w:nsid w:val="556E1D63"/>
    <w:multiLevelType w:val="singleLevel"/>
    <w:tmpl w:val="493AAFF0"/>
    <w:name w:val="Bullet 4"/>
    <w:lvl w:ilvl="0">
      <w:start w:val="1"/>
      <w:numFmt w:val="bullet"/>
      <w:lvlRestart w:val="0"/>
      <w:pStyle w:val="Bullet4"/>
      <w:lvlText w:val=""/>
      <w:lvlJc w:val="left"/>
      <w:pPr>
        <w:tabs>
          <w:tab w:val="num" w:pos="3118"/>
        </w:tabs>
        <w:ind w:left="3118" w:hanging="567"/>
      </w:pPr>
      <w:rPr>
        <w:rFonts w:ascii="Symbol" w:hAnsi="Symbol" w:hint="default"/>
      </w:rPr>
    </w:lvl>
  </w:abstractNum>
  <w:abstractNum w:abstractNumId="16">
    <w:nsid w:val="5B395AAA"/>
    <w:multiLevelType w:val="singleLevel"/>
    <w:tmpl w:val="96D02E8A"/>
    <w:name w:val="Bullet 1"/>
    <w:lvl w:ilvl="0">
      <w:start w:val="1"/>
      <w:numFmt w:val="bullet"/>
      <w:lvlRestart w:val="0"/>
      <w:pStyle w:val="Bullet1"/>
      <w:lvlText w:val=""/>
      <w:lvlJc w:val="left"/>
      <w:pPr>
        <w:tabs>
          <w:tab w:val="num" w:pos="1417"/>
        </w:tabs>
        <w:ind w:left="1417" w:hanging="567"/>
      </w:pPr>
      <w:rPr>
        <w:rFonts w:ascii="Symbol" w:hAnsi="Symbol" w:hint="default"/>
      </w:rPr>
    </w:lvl>
  </w:abstractNum>
  <w:abstractNum w:abstractNumId="17">
    <w:nsid w:val="5C056EE5"/>
    <w:multiLevelType w:val="singleLevel"/>
    <w:tmpl w:val="3378D27C"/>
    <w:name w:val="Bullet 2"/>
    <w:lvl w:ilvl="0">
      <w:start w:val="1"/>
      <w:numFmt w:val="bullet"/>
      <w:lvlRestart w:val="0"/>
      <w:pStyle w:val="Bullet2"/>
      <w:lvlText w:val=""/>
      <w:lvlJc w:val="left"/>
      <w:pPr>
        <w:tabs>
          <w:tab w:val="num" w:pos="1984"/>
        </w:tabs>
        <w:ind w:left="1984" w:hanging="567"/>
      </w:pPr>
      <w:rPr>
        <w:rFonts w:ascii="Symbol" w:hAnsi="Symbol" w:hint="default"/>
      </w:rPr>
    </w:lvl>
  </w:abstractNum>
  <w:abstractNum w:abstractNumId="18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19">
    <w:nsid w:val="64A12FA4"/>
    <w:multiLevelType w:val="multilevel"/>
    <w:tmpl w:val="428ECF3E"/>
    <w:name w:val="Heading"/>
    <w:lvl w:ilvl="0">
      <w:start w:val="1"/>
      <w:numFmt w:val="decimal"/>
      <w:lvlRestart w:val="0"/>
      <w:pStyle w:val="Heading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Heading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Heading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Heading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>
    <w:nsid w:val="67B856F6"/>
    <w:multiLevelType w:val="singleLevel"/>
    <w:tmpl w:val="0AB28E9C"/>
    <w:name w:val="Tiret 2"/>
    <w:lvl w:ilvl="0">
      <w:start w:val="1"/>
      <w:numFmt w:val="bullet"/>
      <w:lvlRestart w:val="0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21">
    <w:nsid w:val="7CBE4812"/>
    <w:multiLevelType w:val="singleLevel"/>
    <w:tmpl w:val="23C821E4"/>
    <w:name w:val="Considérant"/>
    <w:lvl w:ilvl="0">
      <w:start w:val="1"/>
      <w:numFmt w:val="decimal"/>
      <w:lvlRestart w:val="0"/>
      <w:pStyle w:val="Considrant"/>
      <w:lvlText w:val="(%1)"/>
      <w:lvlJc w:val="left"/>
      <w:pPr>
        <w:tabs>
          <w:tab w:val="num" w:pos="709"/>
        </w:tabs>
        <w:ind w:left="709" w:hanging="709"/>
      </w:p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3"/>
  </w:num>
  <w:num w:numId="5">
    <w:abstractNumId w:val="6"/>
  </w:num>
  <w:num w:numId="6">
    <w:abstractNumId w:val="2"/>
  </w:num>
  <w:num w:numId="7">
    <w:abstractNumId w:val="1"/>
  </w:num>
  <w:num w:numId="8">
    <w:abstractNumId w:val="0"/>
  </w:num>
  <w:num w:numId="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9"/>
  </w:num>
  <w:num w:numId="11">
    <w:abstractNumId w:val="18"/>
  </w:num>
  <w:num w:numId="12">
    <w:abstractNumId w:val="12"/>
  </w:num>
  <w:num w:numId="13">
    <w:abstractNumId w:val="20"/>
  </w:num>
  <w:num w:numId="14">
    <w:abstractNumId w:val="11"/>
  </w:num>
  <w:num w:numId="15">
    <w:abstractNumId w:val="13"/>
  </w:num>
  <w:num w:numId="16">
    <w:abstractNumId w:val="9"/>
  </w:num>
  <w:num w:numId="17">
    <w:abstractNumId w:val="19"/>
  </w:num>
  <w:num w:numId="18">
    <w:abstractNumId w:val="8"/>
  </w:num>
  <w:num w:numId="19">
    <w:abstractNumId w:val="14"/>
  </w:num>
  <w:num w:numId="20">
    <w:abstractNumId w:val="16"/>
  </w:num>
  <w:num w:numId="21">
    <w:abstractNumId w:val="17"/>
  </w:num>
  <w:num w:numId="22">
    <w:abstractNumId w:val="10"/>
  </w:num>
  <w:num w:numId="23">
    <w:abstractNumId w:val="15"/>
  </w:num>
  <w:num w:numId="24">
    <w:abstractNumId w:val="21"/>
  </w:num>
  <w:num w:numId="25">
    <w:abstractNumId w:val="18"/>
  </w:num>
  <w:num w:numId="26">
    <w:abstractNumId w:val="12"/>
  </w:num>
  <w:num w:numId="27">
    <w:abstractNumId w:val="20"/>
  </w:num>
  <w:num w:numId="28">
    <w:abstractNumId w:val="11"/>
  </w:num>
  <w:num w:numId="29">
    <w:abstractNumId w:val="13"/>
  </w:num>
  <w:num w:numId="30">
    <w:abstractNumId w:val="9"/>
  </w:num>
  <w:num w:numId="31">
    <w:abstractNumId w:val="19"/>
  </w:num>
  <w:num w:numId="32">
    <w:abstractNumId w:val="8"/>
  </w:num>
  <w:num w:numId="33">
    <w:abstractNumId w:val="14"/>
  </w:num>
  <w:num w:numId="34">
    <w:abstractNumId w:val="16"/>
  </w:num>
  <w:num w:numId="35">
    <w:abstractNumId w:val="17"/>
  </w:num>
  <w:num w:numId="36">
    <w:abstractNumId w:val="10"/>
  </w:num>
  <w:num w:numId="37">
    <w:abstractNumId w:val="15"/>
  </w:num>
  <w:num w:numId="38">
    <w:abstractNumId w:val="21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20"/>
  <w:hideSpellingErrors/>
  <w:hideGrammaticalErrors/>
  <w:activeWritingStyle w:appName="MSWord" w:lang="pt-PT" w:vendorID="64" w:dllVersion="131078" w:nlCheck="1" w:checkStyle="0"/>
  <w:activeWritingStyle w:appName="MSWord" w:lang="fr-BE" w:vendorID="64" w:dllVersion="131078" w:nlCheck="1" w:checkStyle="0"/>
  <w:activeWritingStyle w:appName="MSWord" w:lang="es-ES" w:vendorID="64" w:dllVersion="131078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fr-FR" w:vendorID="64" w:dllVersion="131078" w:nlCheck="1" w:checkStyle="1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1638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QCDateTime" w:val="2018-07-03 15:03:03"/>
    <w:docVar w:name="DQCResult_Distribution" w:val="0;0"/>
    <w:docVar w:name="DQCResult_DocumentContent" w:val="0;0"/>
    <w:docVar w:name="DQCResult_DocumentSize" w:val="0;0"/>
    <w:docVar w:name="DQCResult_DocumentVersions" w:val="0;0"/>
    <w:docVar w:name="DQCResult_ExistenceOfMacros" w:val="0;0"/>
    <w:docVar w:name="DQCResult_InvalidFootnotes" w:val="0;0"/>
    <w:docVar w:name="DQCResult_LinkedStyles" w:val="0;0"/>
    <w:docVar w:name="DQCResult_ModifiedMargins" w:val="0;142"/>
    <w:docVar w:name="DQCResult_ModifiedMarkers" w:val="0;0"/>
    <w:docVar w:name="DQCResult_ModifiedNumbering" w:val="0;0"/>
    <w:docVar w:name="DQCResult_Objects" w:val="0;0"/>
    <w:docVar w:name="DQCResult_Sections" w:val="0;0"/>
    <w:docVar w:name="DQCResult_StructureCheck" w:val="0;0"/>
    <w:docVar w:name="DQCResult_SuperfluousWhitespace" w:val="0;81"/>
    <w:docVar w:name="DQCResult_UnknownFonts" w:val="0;0"/>
    <w:docVar w:name="DQCResult_UnknownStyles" w:val="0;0"/>
    <w:docVar w:name="DQCStatus" w:val="Yellow"/>
    <w:docVar w:name="DQCVersion" w:val="3"/>
    <w:docVar w:name="DQCWithWarnings" w:val="0"/>
    <w:docVar w:name="LW_ACCOMPAGNANT" w:val="de la"/>
    <w:docVar w:name="LW_ACCOMPAGNANT.CP" w:val="de la"/>
    <w:docVar w:name="LW_ANNEX_NBR_FIRST" w:val="1"/>
    <w:docVar w:name="LW_ANNEX_NBR_LAST" w:val="2"/>
    <w:docVar w:name="LW_ANNEX_UNIQUE" w:val="0"/>
    <w:docVar w:name="LW_CORRIGENDUM" w:val="CORRIGENDUM_x000b_This document corrects document COM(2018) 284 final of 17.05.2018_x000b_Concerns all language versions._x000b_Correction of minor non-substantial errors in the act and its annexes._x000b_The text shall read as follows:"/>
    <w:docVar w:name="LW_COVERPAGE_EXISTS" w:val="True"/>
    <w:docVar w:name="LW_COVERPAGE_GUID" w:val="AB03B53A-DC59-42EF-B4B2-6672F08D83D8"/>
    <w:docVar w:name="LW_COVERPAGE_TYPE" w:val="1"/>
    <w:docVar w:name="LW_CROSSREFERENCE" w:val="{SEC(2018) 233 final}_x000d__x000a_{SWD(2018) 185 final}_x000d__x000a_{SWD(2018) 186 final}"/>
    <w:docVar w:name="LW_DocType" w:val="ANNEX"/>
    <w:docVar w:name="LW_EMISSION" w:val="3.7.2018"/>
    <w:docVar w:name="LW_EMISSION_ISODATE" w:val="2018-07-03"/>
    <w:docVar w:name="LW_EMISSION_LOCATION" w:val="BRX"/>
    <w:docVar w:name="LW_EMISSION_PREFIX" w:val="Bruxelles, le"/>
    <w:docVar w:name="LW_EMISSION_SUFFIX" w:val="&lt;EMPTY&gt;"/>
    <w:docVar w:name="LW_ID_DOCSTRUCTURE" w:val="COM/ANNEX"/>
    <w:docVar w:name="LW_ID_DOCTYPE" w:val="SG-017"/>
    <w:docVar w:name="LW_LANGUE" w:val="FR"/>
    <w:docVar w:name="LW_LEVEL_OF_SENSITIVITY" w:val="Standard treatment"/>
    <w:docVar w:name="LW_NOM.INST" w:val="COMMISSION EUROPÉENNE"/>
    <w:docVar w:name="LW_NOM.INST_JOINTDOC" w:val="&lt;EMPTY&gt;"/>
    <w:docVar w:name="LW_OBJETACTEPRINCIPAL" w:val="établissant des normes de performance en matière d'émissions de CO2 pour les nouveaux véhicules lourds"/>
    <w:docVar w:name="LW_OBJETACTEPRINCIPAL.CP" w:val="établissant des normes de performance en matière d'émissions de CO2 pour les nouveaux véhicules lourds"/>
    <w:docVar w:name="LW_PART_NBR" w:val="&lt;UNUSED&gt;"/>
    <w:docVar w:name="LW_PART_NBR_TOTAL" w:val="&lt;UNUSED&gt;"/>
    <w:docVar w:name="LW_REF.INST.NEW" w:val="COM"/>
    <w:docVar w:name="LW_REF.INST.NEW_ADOPTED" w:val="final/2"/>
    <w:docVar w:name="LW_REF.INST.NEW_TEXT" w:val="(2018) 284"/>
    <w:docVar w:name="LW_REF.INTERNE" w:val="&lt;UNUSED&gt;"/>
    <w:docVar w:name="LW_SENSITIVITY" w:val="&lt;?xml version=&quot;1.0&quot; encoding=&quot;utf-8&quot;?&gt;_x000d__x000a_&lt;SensitivityLevel xmlns:xsi=&quot;http://www.w3.org/2001/XMLSchema-instance&quot; xmlns:xsd=&quot;http://www.w3.org/2001/XMLSchema&quot; id=&quot;standard&quot;&gt;_x000d__x000a_  &lt;nicename EN=&quot;Standard treatment&quot; FR=&quot;Traitement standard&quot; /&gt;_x000d__x000a_  &lt;documentProperty&gt;Standard treatment&lt;/documentProperty&gt;_x000d__x000a_  &lt;marking xsi:nil=&quot;true&quot; /&gt;_x000d__x000a_  &lt;limited xsi:nil=&quot;true&quot; /&gt;_x000d__x000a_  &lt;detached xsi:nil=&quot;true&quot; /&gt;_x000d__x000a_  &lt;declassify xsi:nil=&quot;true&quot; /&gt;_x000d__x000a_  &lt;headerTexts xsi:nil=&quot;true&quot; /&gt;_x000d__x000a_  &lt;footerTexts xsi:nil=&quot;true&quot; /&gt;_x000d__x000a_  &lt;footnote xsi:nil=&quot;true&quot; /&gt;_x000d__x000a_  &lt;isRestricted&gt;false&lt;/isRestricted&gt;_x000d__x000a_&lt;/SensitivityLevel&gt;"/>
    <w:docVar w:name="LW_SUPERTITRE" w:val="&lt;UNUSED&gt;"/>
    <w:docVar w:name="LW_TYPE.DOC" w:val="ANNEXES"/>
    <w:docVar w:name="LW_TYPE.DOC.CP" w:val="ANNEXES"/>
    <w:docVar w:name="LW_TYPEACTEPRINCIPAL" w:val="proposition de règlement du Parlement européen et du Conseil"/>
    <w:docVar w:name="LW_TYPEACTEPRINCIPAL.CP" w:val="proposition de règlement du Parlement européen et du Conseil"/>
  </w:docVars>
  <w:rsids>
    <w:rsidRoot w:val="00551955"/>
    <w:rsid w:val="00551955"/>
    <w:rsid w:val="00E33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before="120" w:after="120" w:line="240" w:lineRule="auto"/>
      <w:jc w:val="both"/>
    </w:pPr>
    <w:rPr>
      <w:rFonts w:ascii="Times New Roman" w:hAnsi="Times New Roman" w:cs="Times New Roman"/>
      <w:sz w:val="24"/>
      <w:lang w:val="fr-FR"/>
    </w:rPr>
  </w:style>
  <w:style w:type="paragraph" w:styleId="Heading1">
    <w:name w:val="heading 1"/>
    <w:basedOn w:val="Normal"/>
    <w:next w:val="Text1"/>
    <w:link w:val="Heading1Char"/>
    <w:uiPriority w:val="9"/>
    <w:qFormat/>
    <w:pPr>
      <w:keepNext/>
      <w:numPr>
        <w:numId w:val="31"/>
      </w:numPr>
      <w:spacing w:before="360"/>
      <w:outlineLvl w:val="0"/>
    </w:pPr>
    <w:rPr>
      <w:rFonts w:eastAsiaTheme="majorEastAsia"/>
      <w:b/>
      <w:bCs/>
      <w:smallCaps/>
      <w:szCs w:val="28"/>
    </w:rPr>
  </w:style>
  <w:style w:type="paragraph" w:styleId="Heading2">
    <w:name w:val="heading 2"/>
    <w:basedOn w:val="Normal"/>
    <w:next w:val="Text1"/>
    <w:link w:val="Heading2Char"/>
    <w:uiPriority w:val="9"/>
    <w:semiHidden/>
    <w:unhideWhenUsed/>
    <w:qFormat/>
    <w:pPr>
      <w:keepNext/>
      <w:numPr>
        <w:ilvl w:val="1"/>
        <w:numId w:val="31"/>
      </w:numPr>
      <w:outlineLvl w:val="1"/>
    </w:pPr>
    <w:rPr>
      <w:rFonts w:eastAsiaTheme="majorEastAsia"/>
      <w:b/>
      <w:bCs/>
      <w:szCs w:val="26"/>
    </w:rPr>
  </w:style>
  <w:style w:type="paragraph" w:styleId="Heading3">
    <w:name w:val="heading 3"/>
    <w:basedOn w:val="Normal"/>
    <w:next w:val="Text1"/>
    <w:link w:val="Heading3Char"/>
    <w:uiPriority w:val="9"/>
    <w:semiHidden/>
    <w:unhideWhenUsed/>
    <w:qFormat/>
    <w:pPr>
      <w:keepNext/>
      <w:numPr>
        <w:ilvl w:val="2"/>
        <w:numId w:val="31"/>
      </w:numPr>
      <w:outlineLvl w:val="2"/>
    </w:pPr>
    <w:rPr>
      <w:rFonts w:eastAsiaTheme="majorEastAsia"/>
      <w:bCs/>
      <w:i/>
    </w:rPr>
  </w:style>
  <w:style w:type="paragraph" w:styleId="Heading4">
    <w:name w:val="heading 4"/>
    <w:basedOn w:val="Normal"/>
    <w:next w:val="Text1"/>
    <w:link w:val="Heading4Char"/>
    <w:uiPriority w:val="9"/>
    <w:semiHidden/>
    <w:unhideWhenUsed/>
    <w:qFormat/>
    <w:pPr>
      <w:keepNext/>
      <w:numPr>
        <w:ilvl w:val="3"/>
        <w:numId w:val="31"/>
      </w:numPr>
      <w:outlineLvl w:val="3"/>
    </w:pPr>
    <w:rPr>
      <w:rFonts w:eastAsiaTheme="majorEastAsia"/>
      <w:bCs/>
      <w:i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pPr>
      <w:spacing w:before="0" w:after="200"/>
      <w:jc w:val="left"/>
    </w:pPr>
    <w:rPr>
      <w:rFonts w:ascii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  <w:lang w:val="en-GB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  <w:lang w:val="en-GB"/>
    </w:rPr>
  </w:style>
  <w:style w:type="table" w:customStyle="1" w:styleId="TableGrid1">
    <w:name w:val="Table Grid1"/>
    <w:basedOn w:val="TableNormal"/>
    <w:next w:val="TableGrid"/>
    <w:uiPriority w:val="59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pPr>
      <w:spacing w:before="120" w:after="120"/>
      <w:jc w:val="both"/>
    </w:pPr>
    <w:rPr>
      <w:rFonts w:ascii="Times New Roman" w:hAnsi="Times New Roman" w:cs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Times New Roman" w:hAnsi="Times New Roman" w:cs="Times New Roman"/>
      <w:b/>
      <w:bCs/>
      <w:sz w:val="20"/>
      <w:szCs w:val="20"/>
      <w:lang w:val="en-GB"/>
    </w:rPr>
  </w:style>
  <w:style w:type="paragraph" w:customStyle="1" w:styleId="Headline2">
    <w:name w:val="Headline 2"/>
    <w:basedOn w:val="Text1"/>
  </w:style>
  <w:style w:type="paragraph" w:styleId="Revision">
    <w:name w:val="Revision"/>
    <w:hidden/>
    <w:uiPriority w:val="99"/>
    <w:semiHidden/>
    <w:pPr>
      <w:spacing w:after="0" w:line="240" w:lineRule="auto"/>
    </w:pPr>
    <w:rPr>
      <w:rFonts w:ascii="Times New Roman" w:hAnsi="Times New Roman" w:cs="Times New Roman"/>
      <w:sz w:val="24"/>
      <w:lang w:val="en-GB"/>
    </w:rPr>
  </w:style>
  <w:style w:type="paragraph" w:styleId="ListBullet">
    <w:name w:val="List Bullet"/>
    <w:basedOn w:val="Normal"/>
    <w:uiPriority w:val="99"/>
    <w:semiHidden/>
    <w:unhideWhenUsed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pPr>
      <w:numPr>
        <w:numId w:val="4"/>
      </w:numPr>
      <w:contextualSpacing/>
    </w:p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before="0" w:after="200"/>
    </w:pPr>
    <w:rPr>
      <w:i/>
      <w:iCs/>
      <w:color w:val="1F497D" w:themeColor="text2"/>
      <w:sz w:val="18"/>
      <w:szCs w:val="18"/>
    </w:rPr>
  </w:style>
  <w:style w:type="paragraph" w:styleId="TableofFigures">
    <w:name w:val="table of figures"/>
    <w:basedOn w:val="Normal"/>
    <w:next w:val="Normal"/>
    <w:uiPriority w:val="99"/>
    <w:semiHidden/>
    <w:unhideWhenUsed/>
    <w:pPr>
      <w:spacing w:after="0"/>
    </w:pPr>
  </w:style>
  <w:style w:type="paragraph" w:styleId="ListNumber">
    <w:name w:val="List Number"/>
    <w:basedOn w:val="Normal"/>
    <w:uiPriority w:val="99"/>
    <w:semiHidden/>
    <w:unhideWhenUsed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pPr>
      <w:numPr>
        <w:numId w:val="7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pPr>
      <w:numPr>
        <w:numId w:val="8"/>
      </w:numPr>
      <w:contextualSpacing/>
    </w:p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33ED2"/>
    <w:pPr>
      <w:tabs>
        <w:tab w:val="center" w:pos="4535"/>
        <w:tab w:val="right" w:pos="9071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E33ED2"/>
    <w:rPr>
      <w:rFonts w:ascii="Times New Roman" w:hAnsi="Times New Roman" w:cs="Times New Roman"/>
      <w:sz w:val="24"/>
      <w:lang w:val="fr-FR"/>
    </w:rPr>
  </w:style>
  <w:style w:type="paragraph" w:styleId="Footer">
    <w:name w:val="footer"/>
    <w:basedOn w:val="Normal"/>
    <w:link w:val="FooterChar"/>
    <w:uiPriority w:val="99"/>
    <w:unhideWhenUsed/>
    <w:rsid w:val="00E33ED2"/>
    <w:pPr>
      <w:tabs>
        <w:tab w:val="center" w:pos="4535"/>
        <w:tab w:val="right" w:pos="9071"/>
        <w:tab w:val="right" w:pos="9921"/>
      </w:tabs>
      <w:spacing w:before="360" w:after="0"/>
      <w:ind w:left="-850" w:right="-850"/>
      <w:jc w:val="left"/>
    </w:pPr>
  </w:style>
  <w:style w:type="character" w:customStyle="1" w:styleId="FooterChar">
    <w:name w:val="Footer Char"/>
    <w:basedOn w:val="DefaultParagraphFont"/>
    <w:link w:val="Footer"/>
    <w:uiPriority w:val="99"/>
    <w:rsid w:val="00E33ED2"/>
    <w:rPr>
      <w:rFonts w:ascii="Times New Roman" w:hAnsi="Times New Roman" w:cs="Times New Roman"/>
      <w:sz w:val="24"/>
      <w:lang w:val="fr-FR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before="0" w:after="0"/>
      <w:ind w:left="720" w:hanging="72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rFonts w:ascii="Times New Roman" w:hAnsi="Times New Roman" w:cs="Times New Roman"/>
      <w:sz w:val="20"/>
      <w:szCs w:val="20"/>
      <w:shd w:val="clear" w:color="auto" w:fill="auto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Theme="majorEastAsia" w:hAnsi="Times New Roman" w:cs="Times New Roman"/>
      <w:b/>
      <w:bCs/>
      <w:smallCaps/>
      <w:sz w:val="24"/>
      <w:szCs w:val="28"/>
      <w:shd w:val="clear" w:color="auto" w:fill="auto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="Times New Roman" w:eastAsiaTheme="majorEastAsia" w:hAnsi="Times New Roman" w:cs="Times New Roman"/>
      <w:b/>
      <w:bCs/>
      <w:sz w:val="24"/>
      <w:szCs w:val="26"/>
      <w:shd w:val="clear" w:color="auto" w:fill="auto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="Times New Roman" w:eastAsiaTheme="majorEastAsia" w:hAnsi="Times New Roman" w:cs="Times New Roman"/>
      <w:bCs/>
      <w:i/>
      <w:sz w:val="24"/>
      <w:shd w:val="clear" w:color="auto" w:fill="auto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="Times New Roman" w:eastAsiaTheme="majorEastAsia" w:hAnsi="Times New Roman" w:cs="Times New Roman"/>
      <w:bCs/>
      <w:iCs/>
      <w:sz w:val="24"/>
      <w:shd w:val="clear" w:color="auto" w:fill="auto"/>
      <w:lang w:val="en-GB"/>
    </w:rPr>
  </w:style>
  <w:style w:type="paragraph" w:styleId="TOCHeading">
    <w:name w:val="TOC Heading"/>
    <w:basedOn w:val="Normal"/>
    <w:next w:val="Normal"/>
    <w:uiPriority w:val="39"/>
    <w:semiHidden/>
    <w:unhideWhenUsed/>
    <w:qFormat/>
    <w:pPr>
      <w:spacing w:after="240"/>
      <w:jc w:val="center"/>
    </w:pPr>
    <w:rPr>
      <w:b/>
      <w:sz w:val="28"/>
    </w:rPr>
  </w:style>
  <w:style w:type="paragraph" w:styleId="TOC1">
    <w:name w:val="toc 1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2">
    <w:name w:val="toc 2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3">
    <w:name w:val="toc 3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4">
    <w:name w:val="toc 4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5">
    <w:name w:val="toc 5"/>
    <w:basedOn w:val="Normal"/>
    <w:next w:val="Normal"/>
    <w:uiPriority w:val="39"/>
    <w:semiHidden/>
    <w:unhideWhenUsed/>
    <w:pPr>
      <w:tabs>
        <w:tab w:val="right" w:leader="dot" w:pos="9071"/>
      </w:tabs>
      <w:spacing w:before="300"/>
      <w:jc w:val="left"/>
    </w:pPr>
  </w:style>
  <w:style w:type="paragraph" w:styleId="TOC6">
    <w:name w:val="toc 6"/>
    <w:basedOn w:val="Normal"/>
    <w:next w:val="Normal"/>
    <w:uiPriority w:val="39"/>
    <w:semiHidden/>
    <w:unhideWhenUsed/>
    <w:pPr>
      <w:tabs>
        <w:tab w:val="right" w:leader="dot" w:pos="9071"/>
      </w:tabs>
      <w:spacing w:before="240"/>
      <w:jc w:val="left"/>
    </w:pPr>
  </w:style>
  <w:style w:type="paragraph" w:styleId="TOC7">
    <w:name w:val="toc 7"/>
    <w:basedOn w:val="Normal"/>
    <w:next w:val="Normal"/>
    <w:uiPriority w:val="39"/>
    <w:semiHidden/>
    <w:unhideWhenUsed/>
    <w:pPr>
      <w:tabs>
        <w:tab w:val="right" w:leader="dot" w:pos="9071"/>
      </w:tabs>
      <w:spacing w:before="180"/>
      <w:jc w:val="left"/>
    </w:pPr>
  </w:style>
  <w:style w:type="paragraph" w:styleId="TOC8">
    <w:name w:val="toc 8"/>
    <w:basedOn w:val="Normal"/>
    <w:next w:val="Normal"/>
    <w:uiPriority w:val="39"/>
    <w:semiHidden/>
    <w:unhideWhenUsed/>
    <w:pPr>
      <w:tabs>
        <w:tab w:val="right" w:leader="dot" w:pos="9071"/>
      </w:tabs>
      <w:jc w:val="left"/>
    </w:pPr>
  </w:style>
  <w:style w:type="paragraph" w:styleId="TOC9">
    <w:name w:val="toc 9"/>
    <w:basedOn w:val="Normal"/>
    <w:next w:val="Normal"/>
    <w:uiPriority w:val="39"/>
    <w:semiHidden/>
    <w:unhideWhenUsed/>
    <w:pPr>
      <w:tabs>
        <w:tab w:val="right" w:leader="dot" w:pos="9071"/>
      </w:tabs>
    </w:pPr>
  </w:style>
  <w:style w:type="paragraph" w:customStyle="1" w:styleId="HeaderLandscape">
    <w:name w:val="HeaderLandscape"/>
    <w:basedOn w:val="Normal"/>
    <w:rsid w:val="00E33ED2"/>
    <w:pPr>
      <w:tabs>
        <w:tab w:val="center" w:pos="7285"/>
        <w:tab w:val="right" w:pos="14003"/>
      </w:tabs>
      <w:spacing w:before="0"/>
    </w:pPr>
  </w:style>
  <w:style w:type="paragraph" w:customStyle="1" w:styleId="FooterLandscape">
    <w:name w:val="FooterLandscape"/>
    <w:basedOn w:val="Normal"/>
    <w:rsid w:val="00E33ED2"/>
    <w:pPr>
      <w:tabs>
        <w:tab w:val="center" w:pos="7285"/>
        <w:tab w:val="center" w:pos="10913"/>
        <w:tab w:val="right" w:pos="15137"/>
      </w:tabs>
      <w:spacing w:before="360" w:after="0"/>
      <w:ind w:left="-567" w:right="-567"/>
      <w:jc w:val="left"/>
    </w:pPr>
  </w:style>
  <w:style w:type="character" w:styleId="FootnoteReference">
    <w:name w:val="footnote reference"/>
    <w:basedOn w:val="DefaultParagraphFont"/>
    <w:uiPriority w:val="99"/>
    <w:semiHidden/>
    <w:unhideWhenUsed/>
    <w:rPr>
      <w:shd w:val="clear" w:color="auto" w:fill="auto"/>
      <w:vertAlign w:val="superscript"/>
    </w:rPr>
  </w:style>
  <w:style w:type="paragraph" w:customStyle="1" w:styleId="HeaderSensitivity">
    <w:name w:val="Header Sensitivity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0"/>
      <w:ind w:left="113" w:right="113"/>
      <w:jc w:val="center"/>
    </w:pPr>
    <w:rPr>
      <w:b/>
      <w:sz w:val="32"/>
    </w:rPr>
  </w:style>
  <w:style w:type="paragraph" w:customStyle="1" w:styleId="FooterSensitivity">
    <w:name w:val="Footer Sensitivity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360" w:after="0"/>
      <w:ind w:left="113" w:right="113"/>
      <w:jc w:val="center"/>
    </w:pPr>
    <w:rPr>
      <w:b/>
      <w:sz w:val="32"/>
    </w:rPr>
  </w:style>
  <w:style w:type="paragraph" w:customStyle="1" w:styleId="Text1">
    <w:name w:val="Text 1"/>
    <w:basedOn w:val="Normal"/>
    <w:pPr>
      <w:ind w:left="850"/>
    </w:pPr>
  </w:style>
  <w:style w:type="paragraph" w:customStyle="1" w:styleId="Text2">
    <w:name w:val="Text 2"/>
    <w:basedOn w:val="Normal"/>
    <w:pPr>
      <w:ind w:left="1417"/>
    </w:pPr>
  </w:style>
  <w:style w:type="paragraph" w:customStyle="1" w:styleId="Text3">
    <w:name w:val="Text 3"/>
    <w:basedOn w:val="Normal"/>
    <w:pPr>
      <w:ind w:left="1984"/>
    </w:pPr>
  </w:style>
  <w:style w:type="paragraph" w:customStyle="1" w:styleId="Text4">
    <w:name w:val="Text 4"/>
    <w:basedOn w:val="Normal"/>
    <w:pPr>
      <w:ind w:left="2551"/>
    </w:pPr>
  </w:style>
  <w:style w:type="paragraph" w:customStyle="1" w:styleId="NormalCentered">
    <w:name w:val="Normal Centered"/>
    <w:basedOn w:val="Normal"/>
    <w:pPr>
      <w:jc w:val="center"/>
    </w:pPr>
  </w:style>
  <w:style w:type="paragraph" w:customStyle="1" w:styleId="NormalLeft">
    <w:name w:val="Normal Left"/>
    <w:basedOn w:val="Normal"/>
    <w:pPr>
      <w:jc w:val="left"/>
    </w:pPr>
  </w:style>
  <w:style w:type="paragraph" w:customStyle="1" w:styleId="NormalRight">
    <w:name w:val="Normal Right"/>
    <w:basedOn w:val="Normal"/>
    <w:pPr>
      <w:jc w:val="right"/>
    </w:pPr>
  </w:style>
  <w:style w:type="paragraph" w:customStyle="1" w:styleId="QuotedText">
    <w:name w:val="Quoted Text"/>
    <w:basedOn w:val="Normal"/>
    <w:pPr>
      <w:ind w:left="1417"/>
    </w:pPr>
  </w:style>
  <w:style w:type="paragraph" w:customStyle="1" w:styleId="Point0">
    <w:name w:val="Point 0"/>
    <w:basedOn w:val="Normal"/>
    <w:pPr>
      <w:ind w:left="850" w:hanging="850"/>
    </w:pPr>
  </w:style>
  <w:style w:type="paragraph" w:customStyle="1" w:styleId="Point1">
    <w:name w:val="Point 1"/>
    <w:basedOn w:val="Normal"/>
    <w:pPr>
      <w:ind w:left="1417" w:hanging="567"/>
    </w:pPr>
  </w:style>
  <w:style w:type="paragraph" w:customStyle="1" w:styleId="Point2">
    <w:name w:val="Point 2"/>
    <w:basedOn w:val="Normal"/>
    <w:pPr>
      <w:ind w:left="1984" w:hanging="567"/>
    </w:pPr>
  </w:style>
  <w:style w:type="paragraph" w:customStyle="1" w:styleId="Point3">
    <w:name w:val="Point 3"/>
    <w:basedOn w:val="Normal"/>
    <w:pPr>
      <w:ind w:left="2551" w:hanging="567"/>
    </w:pPr>
  </w:style>
  <w:style w:type="paragraph" w:customStyle="1" w:styleId="Point4">
    <w:name w:val="Point 4"/>
    <w:basedOn w:val="Normal"/>
    <w:pPr>
      <w:ind w:left="3118" w:hanging="567"/>
    </w:pPr>
  </w:style>
  <w:style w:type="paragraph" w:customStyle="1" w:styleId="Tiret0">
    <w:name w:val="Tiret 0"/>
    <w:basedOn w:val="Point0"/>
    <w:pPr>
      <w:numPr>
        <w:numId w:val="25"/>
      </w:numPr>
    </w:pPr>
  </w:style>
  <w:style w:type="paragraph" w:customStyle="1" w:styleId="Tiret1">
    <w:name w:val="Tiret 1"/>
    <w:basedOn w:val="Point1"/>
    <w:pPr>
      <w:numPr>
        <w:numId w:val="26"/>
      </w:numPr>
    </w:pPr>
  </w:style>
  <w:style w:type="paragraph" w:customStyle="1" w:styleId="Tiret2">
    <w:name w:val="Tiret 2"/>
    <w:basedOn w:val="Point2"/>
    <w:pPr>
      <w:numPr>
        <w:numId w:val="27"/>
      </w:numPr>
    </w:pPr>
  </w:style>
  <w:style w:type="paragraph" w:customStyle="1" w:styleId="Tiret3">
    <w:name w:val="Tiret 3"/>
    <w:basedOn w:val="Point3"/>
    <w:pPr>
      <w:numPr>
        <w:numId w:val="28"/>
      </w:numPr>
    </w:pPr>
  </w:style>
  <w:style w:type="paragraph" w:customStyle="1" w:styleId="Tiret4">
    <w:name w:val="Tiret 4"/>
    <w:basedOn w:val="Point4"/>
    <w:pPr>
      <w:numPr>
        <w:numId w:val="29"/>
      </w:numPr>
    </w:pPr>
  </w:style>
  <w:style w:type="paragraph" w:customStyle="1" w:styleId="PointDouble0">
    <w:name w:val="PointDouble 0"/>
    <w:basedOn w:val="Normal"/>
    <w:pPr>
      <w:tabs>
        <w:tab w:val="left" w:pos="850"/>
      </w:tabs>
      <w:ind w:left="1417" w:hanging="1417"/>
    </w:pPr>
  </w:style>
  <w:style w:type="paragraph" w:customStyle="1" w:styleId="PointDouble1">
    <w:name w:val="PointDouble 1"/>
    <w:basedOn w:val="Normal"/>
    <w:pPr>
      <w:tabs>
        <w:tab w:val="left" w:pos="1417"/>
      </w:tabs>
      <w:ind w:left="1984" w:hanging="1134"/>
    </w:pPr>
  </w:style>
  <w:style w:type="paragraph" w:customStyle="1" w:styleId="PointDouble2">
    <w:name w:val="PointDouble 2"/>
    <w:basedOn w:val="Normal"/>
    <w:pPr>
      <w:tabs>
        <w:tab w:val="left" w:pos="1984"/>
      </w:tabs>
      <w:ind w:left="2551" w:hanging="1134"/>
    </w:pPr>
  </w:style>
  <w:style w:type="paragraph" w:customStyle="1" w:styleId="PointDouble3">
    <w:name w:val="PointDouble 3"/>
    <w:basedOn w:val="Normal"/>
    <w:pPr>
      <w:tabs>
        <w:tab w:val="left" w:pos="2551"/>
      </w:tabs>
      <w:ind w:left="3118" w:hanging="1134"/>
    </w:pPr>
  </w:style>
  <w:style w:type="paragraph" w:customStyle="1" w:styleId="PointDouble4">
    <w:name w:val="PointDouble 4"/>
    <w:basedOn w:val="Normal"/>
    <w:pPr>
      <w:tabs>
        <w:tab w:val="left" w:pos="3118"/>
      </w:tabs>
      <w:ind w:left="3685" w:hanging="1134"/>
    </w:pPr>
  </w:style>
  <w:style w:type="paragraph" w:customStyle="1" w:styleId="PointTriple0">
    <w:name w:val="PointTriple 0"/>
    <w:basedOn w:val="Normal"/>
    <w:pPr>
      <w:tabs>
        <w:tab w:val="left" w:pos="850"/>
        <w:tab w:val="left" w:pos="1417"/>
      </w:tabs>
      <w:ind w:left="1984" w:hanging="1984"/>
    </w:pPr>
  </w:style>
  <w:style w:type="paragraph" w:customStyle="1" w:styleId="PointTriple1">
    <w:name w:val="PointTriple 1"/>
    <w:basedOn w:val="Normal"/>
    <w:pPr>
      <w:tabs>
        <w:tab w:val="left" w:pos="1417"/>
        <w:tab w:val="left" w:pos="1984"/>
      </w:tabs>
      <w:ind w:left="2551" w:hanging="1701"/>
    </w:pPr>
  </w:style>
  <w:style w:type="paragraph" w:customStyle="1" w:styleId="PointTriple2">
    <w:name w:val="PointTriple 2"/>
    <w:basedOn w:val="Normal"/>
    <w:pPr>
      <w:tabs>
        <w:tab w:val="left" w:pos="1984"/>
        <w:tab w:val="left" w:pos="2551"/>
      </w:tabs>
      <w:ind w:left="3118" w:hanging="1701"/>
    </w:pPr>
  </w:style>
  <w:style w:type="paragraph" w:customStyle="1" w:styleId="PointTriple3">
    <w:name w:val="PointTriple 3"/>
    <w:basedOn w:val="Normal"/>
    <w:pPr>
      <w:tabs>
        <w:tab w:val="left" w:pos="2551"/>
        <w:tab w:val="left" w:pos="3118"/>
      </w:tabs>
      <w:ind w:left="3685" w:hanging="1701"/>
    </w:pPr>
  </w:style>
  <w:style w:type="paragraph" w:customStyle="1" w:styleId="PointTriple4">
    <w:name w:val="PointTriple 4"/>
    <w:basedOn w:val="Normal"/>
    <w:pPr>
      <w:tabs>
        <w:tab w:val="left" w:pos="3118"/>
        <w:tab w:val="left" w:pos="3685"/>
      </w:tabs>
      <w:ind w:left="4252" w:hanging="1701"/>
    </w:pPr>
  </w:style>
  <w:style w:type="paragraph" w:customStyle="1" w:styleId="NumPar1">
    <w:name w:val="NumPar 1"/>
    <w:basedOn w:val="Normal"/>
    <w:next w:val="Text1"/>
    <w:pPr>
      <w:numPr>
        <w:numId w:val="30"/>
      </w:numPr>
    </w:pPr>
  </w:style>
  <w:style w:type="paragraph" w:customStyle="1" w:styleId="NumPar2">
    <w:name w:val="NumPar 2"/>
    <w:basedOn w:val="Normal"/>
    <w:next w:val="Text1"/>
    <w:pPr>
      <w:numPr>
        <w:ilvl w:val="1"/>
        <w:numId w:val="30"/>
      </w:numPr>
    </w:pPr>
  </w:style>
  <w:style w:type="paragraph" w:customStyle="1" w:styleId="NumPar3">
    <w:name w:val="NumPar 3"/>
    <w:basedOn w:val="Normal"/>
    <w:next w:val="Text1"/>
    <w:pPr>
      <w:numPr>
        <w:ilvl w:val="2"/>
        <w:numId w:val="30"/>
      </w:numPr>
    </w:pPr>
  </w:style>
  <w:style w:type="paragraph" w:customStyle="1" w:styleId="NumPar4">
    <w:name w:val="NumPar 4"/>
    <w:basedOn w:val="Normal"/>
    <w:next w:val="Text1"/>
    <w:pPr>
      <w:numPr>
        <w:ilvl w:val="3"/>
        <w:numId w:val="30"/>
      </w:numPr>
    </w:pPr>
  </w:style>
  <w:style w:type="paragraph" w:customStyle="1" w:styleId="ManualNumPar1">
    <w:name w:val="Manual NumPar 1"/>
    <w:basedOn w:val="Normal"/>
    <w:next w:val="Text1"/>
    <w:pPr>
      <w:ind w:left="850" w:hanging="850"/>
    </w:pPr>
  </w:style>
  <w:style w:type="paragraph" w:customStyle="1" w:styleId="ManualNumPar2">
    <w:name w:val="Manual NumPar 2"/>
    <w:basedOn w:val="Normal"/>
    <w:next w:val="Text1"/>
    <w:pPr>
      <w:ind w:left="850" w:hanging="850"/>
    </w:pPr>
  </w:style>
  <w:style w:type="paragraph" w:customStyle="1" w:styleId="ManualNumPar3">
    <w:name w:val="Manual NumPar 3"/>
    <w:basedOn w:val="Normal"/>
    <w:next w:val="Text1"/>
    <w:pPr>
      <w:ind w:left="850" w:hanging="850"/>
    </w:pPr>
  </w:style>
  <w:style w:type="paragraph" w:customStyle="1" w:styleId="ManualNumPar4">
    <w:name w:val="Manual NumPar 4"/>
    <w:basedOn w:val="Normal"/>
    <w:next w:val="Text1"/>
    <w:pPr>
      <w:ind w:left="850" w:hanging="850"/>
    </w:pPr>
  </w:style>
  <w:style w:type="paragraph" w:customStyle="1" w:styleId="QuotedNumPar">
    <w:name w:val="Quoted NumPar"/>
    <w:basedOn w:val="Normal"/>
    <w:pPr>
      <w:ind w:left="1417" w:hanging="567"/>
    </w:pPr>
  </w:style>
  <w:style w:type="paragraph" w:customStyle="1" w:styleId="ManualHeading1">
    <w:name w:val="Manual Heading 1"/>
    <w:basedOn w:val="Normal"/>
    <w:next w:val="Text1"/>
    <w:pPr>
      <w:keepNext/>
      <w:tabs>
        <w:tab w:val="left" w:pos="850"/>
      </w:tabs>
      <w:spacing w:before="360"/>
      <w:ind w:left="850" w:hanging="850"/>
      <w:outlineLvl w:val="0"/>
    </w:pPr>
    <w:rPr>
      <w:b/>
      <w:smallCaps/>
    </w:rPr>
  </w:style>
  <w:style w:type="paragraph" w:customStyle="1" w:styleId="ManualHeading2">
    <w:name w:val="Manual Heading 2"/>
    <w:basedOn w:val="Normal"/>
    <w:next w:val="Text1"/>
    <w:pPr>
      <w:keepNext/>
      <w:tabs>
        <w:tab w:val="left" w:pos="850"/>
      </w:tabs>
      <w:ind w:left="850" w:hanging="850"/>
      <w:outlineLvl w:val="1"/>
    </w:pPr>
    <w:rPr>
      <w:b/>
    </w:rPr>
  </w:style>
  <w:style w:type="paragraph" w:customStyle="1" w:styleId="ManualHeading3">
    <w:name w:val="Manual Heading 3"/>
    <w:basedOn w:val="Normal"/>
    <w:next w:val="Text1"/>
    <w:pPr>
      <w:keepNext/>
      <w:tabs>
        <w:tab w:val="left" w:pos="850"/>
      </w:tabs>
      <w:ind w:left="850" w:hanging="850"/>
      <w:outlineLvl w:val="2"/>
    </w:pPr>
    <w:rPr>
      <w:i/>
    </w:rPr>
  </w:style>
  <w:style w:type="paragraph" w:customStyle="1" w:styleId="ManualHeading4">
    <w:name w:val="Manual Heading 4"/>
    <w:basedOn w:val="Normal"/>
    <w:next w:val="Text1"/>
    <w:pPr>
      <w:keepNext/>
      <w:tabs>
        <w:tab w:val="left" w:pos="850"/>
      </w:tabs>
      <w:ind w:left="850" w:hanging="850"/>
      <w:outlineLvl w:val="3"/>
    </w:pPr>
  </w:style>
  <w:style w:type="paragraph" w:customStyle="1" w:styleId="ChapterTitle">
    <w:name w:val="ChapterTitle"/>
    <w:basedOn w:val="Normal"/>
    <w:next w:val="Normal"/>
    <w:pPr>
      <w:keepNext/>
      <w:spacing w:after="360"/>
      <w:jc w:val="center"/>
    </w:pPr>
    <w:rPr>
      <w:b/>
      <w:sz w:val="32"/>
    </w:rPr>
  </w:style>
  <w:style w:type="paragraph" w:customStyle="1" w:styleId="PartTitle">
    <w:name w:val="PartTitle"/>
    <w:basedOn w:val="Normal"/>
    <w:next w:val="ChapterTitle"/>
    <w:pPr>
      <w:keepNext/>
      <w:pageBreakBefore/>
      <w:spacing w:after="360"/>
      <w:jc w:val="center"/>
    </w:pPr>
    <w:rPr>
      <w:b/>
      <w:sz w:val="36"/>
    </w:rPr>
  </w:style>
  <w:style w:type="paragraph" w:customStyle="1" w:styleId="SectionTitle">
    <w:name w:val="SectionTitle"/>
    <w:basedOn w:val="Normal"/>
    <w:next w:val="Heading1"/>
    <w:pPr>
      <w:keepNext/>
      <w:spacing w:after="360"/>
      <w:jc w:val="center"/>
    </w:pPr>
    <w:rPr>
      <w:b/>
      <w:smallCaps/>
      <w:sz w:val="28"/>
    </w:rPr>
  </w:style>
  <w:style w:type="paragraph" w:customStyle="1" w:styleId="TableTitle">
    <w:name w:val="Table Title"/>
    <w:basedOn w:val="Normal"/>
    <w:next w:val="Normal"/>
    <w:pPr>
      <w:jc w:val="center"/>
    </w:pPr>
    <w:rPr>
      <w:b/>
    </w:rPr>
  </w:style>
  <w:style w:type="character" w:customStyle="1" w:styleId="Marker">
    <w:name w:val="Marker"/>
    <w:basedOn w:val="DefaultParagraphFont"/>
    <w:rPr>
      <w:color w:val="0000FF"/>
      <w:shd w:val="clear" w:color="auto" w:fill="auto"/>
    </w:rPr>
  </w:style>
  <w:style w:type="character" w:customStyle="1" w:styleId="Marker1">
    <w:name w:val="Marker1"/>
    <w:basedOn w:val="DefaultParagraphFont"/>
    <w:rPr>
      <w:color w:val="008000"/>
      <w:shd w:val="clear" w:color="auto" w:fill="auto"/>
    </w:rPr>
  </w:style>
  <w:style w:type="character" w:customStyle="1" w:styleId="Marker2">
    <w:name w:val="Marker2"/>
    <w:basedOn w:val="DefaultParagraphFont"/>
    <w:rPr>
      <w:color w:val="FF0000"/>
      <w:shd w:val="clear" w:color="auto" w:fill="auto"/>
    </w:rPr>
  </w:style>
  <w:style w:type="paragraph" w:customStyle="1" w:styleId="Point0number">
    <w:name w:val="Point 0 (number)"/>
    <w:basedOn w:val="Normal"/>
    <w:pPr>
      <w:numPr>
        <w:numId w:val="32"/>
      </w:numPr>
    </w:pPr>
  </w:style>
  <w:style w:type="paragraph" w:customStyle="1" w:styleId="Point1number">
    <w:name w:val="Point 1 (number)"/>
    <w:basedOn w:val="Normal"/>
    <w:pPr>
      <w:numPr>
        <w:ilvl w:val="2"/>
        <w:numId w:val="32"/>
      </w:numPr>
    </w:pPr>
  </w:style>
  <w:style w:type="paragraph" w:customStyle="1" w:styleId="Point2number">
    <w:name w:val="Point 2 (number)"/>
    <w:basedOn w:val="Normal"/>
    <w:pPr>
      <w:numPr>
        <w:ilvl w:val="4"/>
        <w:numId w:val="32"/>
      </w:numPr>
    </w:pPr>
  </w:style>
  <w:style w:type="paragraph" w:customStyle="1" w:styleId="Point3number">
    <w:name w:val="Point 3 (number)"/>
    <w:basedOn w:val="Normal"/>
    <w:pPr>
      <w:numPr>
        <w:ilvl w:val="6"/>
        <w:numId w:val="32"/>
      </w:numPr>
    </w:pPr>
  </w:style>
  <w:style w:type="paragraph" w:customStyle="1" w:styleId="Point0letter">
    <w:name w:val="Point 0 (letter)"/>
    <w:basedOn w:val="Normal"/>
    <w:pPr>
      <w:numPr>
        <w:ilvl w:val="1"/>
        <w:numId w:val="32"/>
      </w:numPr>
    </w:pPr>
  </w:style>
  <w:style w:type="paragraph" w:customStyle="1" w:styleId="Point1letter">
    <w:name w:val="Point 1 (letter)"/>
    <w:basedOn w:val="Normal"/>
    <w:pPr>
      <w:numPr>
        <w:ilvl w:val="3"/>
        <w:numId w:val="32"/>
      </w:numPr>
    </w:pPr>
  </w:style>
  <w:style w:type="paragraph" w:customStyle="1" w:styleId="Point2letter">
    <w:name w:val="Point 2 (letter)"/>
    <w:basedOn w:val="Normal"/>
    <w:pPr>
      <w:numPr>
        <w:ilvl w:val="5"/>
        <w:numId w:val="32"/>
      </w:numPr>
    </w:pPr>
  </w:style>
  <w:style w:type="paragraph" w:customStyle="1" w:styleId="Point3letter">
    <w:name w:val="Point 3 (letter)"/>
    <w:basedOn w:val="Normal"/>
    <w:pPr>
      <w:numPr>
        <w:ilvl w:val="7"/>
        <w:numId w:val="32"/>
      </w:numPr>
    </w:pPr>
  </w:style>
  <w:style w:type="paragraph" w:customStyle="1" w:styleId="Point4letter">
    <w:name w:val="Point 4 (letter)"/>
    <w:basedOn w:val="Normal"/>
    <w:pPr>
      <w:numPr>
        <w:ilvl w:val="8"/>
        <w:numId w:val="32"/>
      </w:numPr>
    </w:pPr>
  </w:style>
  <w:style w:type="paragraph" w:customStyle="1" w:styleId="Bullet0">
    <w:name w:val="Bullet 0"/>
    <w:basedOn w:val="Normal"/>
    <w:pPr>
      <w:numPr>
        <w:numId w:val="33"/>
      </w:numPr>
    </w:pPr>
  </w:style>
  <w:style w:type="paragraph" w:customStyle="1" w:styleId="Bullet1">
    <w:name w:val="Bullet 1"/>
    <w:basedOn w:val="Normal"/>
    <w:pPr>
      <w:numPr>
        <w:numId w:val="34"/>
      </w:numPr>
    </w:pPr>
  </w:style>
  <w:style w:type="paragraph" w:customStyle="1" w:styleId="Bullet2">
    <w:name w:val="Bullet 2"/>
    <w:basedOn w:val="Normal"/>
    <w:pPr>
      <w:numPr>
        <w:numId w:val="35"/>
      </w:numPr>
    </w:pPr>
  </w:style>
  <w:style w:type="paragraph" w:customStyle="1" w:styleId="Bullet3">
    <w:name w:val="Bullet 3"/>
    <w:basedOn w:val="Normal"/>
    <w:pPr>
      <w:numPr>
        <w:numId w:val="36"/>
      </w:numPr>
    </w:pPr>
  </w:style>
  <w:style w:type="paragraph" w:customStyle="1" w:styleId="Bullet4">
    <w:name w:val="Bullet 4"/>
    <w:basedOn w:val="Normal"/>
    <w:pPr>
      <w:numPr>
        <w:numId w:val="37"/>
      </w:numPr>
    </w:pPr>
  </w:style>
  <w:style w:type="paragraph" w:customStyle="1" w:styleId="Langue">
    <w:name w:val="Langue"/>
    <w:basedOn w:val="Normal"/>
    <w:next w:val="Rfrenceinterne"/>
    <w:pPr>
      <w:framePr w:wrap="around" w:vAnchor="page" w:hAnchor="text" w:xAlign="center" w:y="14741"/>
      <w:spacing w:before="0" w:after="600"/>
      <w:jc w:val="center"/>
    </w:pPr>
    <w:rPr>
      <w:b/>
      <w:caps/>
    </w:rPr>
  </w:style>
  <w:style w:type="paragraph" w:customStyle="1" w:styleId="Nomdelinstitution">
    <w:name w:val="Nom de l'institution"/>
    <w:basedOn w:val="Normal"/>
    <w:next w:val="Emission"/>
    <w:pPr>
      <w:spacing w:before="0" w:after="0"/>
      <w:jc w:val="left"/>
    </w:pPr>
    <w:rPr>
      <w:rFonts w:ascii="Arial" w:hAnsi="Arial" w:cs="Arial"/>
    </w:rPr>
  </w:style>
  <w:style w:type="paragraph" w:customStyle="1" w:styleId="Emission">
    <w:name w:val="Emission"/>
    <w:basedOn w:val="Normal"/>
    <w:next w:val="Rfrenceinstitutionnelle"/>
    <w:pPr>
      <w:spacing w:before="0" w:after="0"/>
      <w:ind w:left="5103"/>
      <w:jc w:val="left"/>
    </w:pPr>
  </w:style>
  <w:style w:type="paragraph" w:customStyle="1" w:styleId="Rfrenceinstitutionnelle">
    <w:name w:val="Référence institutionnelle"/>
    <w:basedOn w:val="Normal"/>
    <w:next w:val="Confidentialit"/>
    <w:pPr>
      <w:spacing w:before="0" w:after="240"/>
      <w:ind w:left="5103"/>
      <w:jc w:val="left"/>
    </w:pPr>
  </w:style>
  <w:style w:type="paragraph" w:customStyle="1" w:styleId="Pagedecouverture">
    <w:name w:val="Page de couverture"/>
    <w:basedOn w:val="Normal"/>
    <w:next w:val="Normal"/>
    <w:pPr>
      <w:spacing w:before="0" w:after="0"/>
    </w:pPr>
  </w:style>
  <w:style w:type="paragraph" w:customStyle="1" w:styleId="Declassification">
    <w:name w:val="Declassification"/>
    <w:basedOn w:val="Normal"/>
    <w:next w:val="Normal"/>
    <w:pPr>
      <w:spacing w:before="0" w:after="0"/>
    </w:pPr>
  </w:style>
  <w:style w:type="paragraph" w:customStyle="1" w:styleId="Disclaimer">
    <w:name w:val="Disclaimer"/>
    <w:basedOn w:val="Normal"/>
    <w:pPr>
      <w:framePr w:w="8220" w:wrap="notBeside" w:hAnchor="margin" w:xAlign="center" w:y="10401"/>
      <w:pBdr>
        <w:top w:val="single" w:sz="6" w:space="4" w:color="auto"/>
        <w:left w:val="single" w:sz="6" w:space="7" w:color="auto"/>
        <w:bottom w:val="single" w:sz="6" w:space="4" w:color="auto"/>
        <w:right w:val="single" w:sz="6" w:space="7" w:color="auto"/>
      </w:pBdr>
      <w:shd w:val="clear" w:color="FFFFFF" w:fill="auto"/>
    </w:pPr>
  </w:style>
  <w:style w:type="paragraph" w:customStyle="1" w:styleId="Annexetitreexpos">
    <w:name w:val="Annexe titre (exposé)"/>
    <w:basedOn w:val="Normal"/>
    <w:next w:val="Normal"/>
    <w:pPr>
      <w:jc w:val="center"/>
    </w:pPr>
    <w:rPr>
      <w:b/>
      <w:u w:val="single"/>
    </w:rPr>
  </w:style>
  <w:style w:type="paragraph" w:customStyle="1" w:styleId="Annexetitre">
    <w:name w:val="Annexe titre"/>
    <w:basedOn w:val="Normal"/>
    <w:next w:val="Normal"/>
    <w:pPr>
      <w:jc w:val="center"/>
    </w:pPr>
    <w:rPr>
      <w:b/>
      <w:u w:val="single"/>
    </w:rPr>
  </w:style>
  <w:style w:type="paragraph" w:customStyle="1" w:styleId="Annexetitrefichefinancire">
    <w:name w:val="Annexe titre (fiche financière)"/>
    <w:basedOn w:val="Normal"/>
    <w:next w:val="Normal"/>
    <w:pPr>
      <w:jc w:val="center"/>
    </w:pPr>
    <w:rPr>
      <w:b/>
      <w:u w:val="single"/>
    </w:rPr>
  </w:style>
  <w:style w:type="paragraph" w:customStyle="1" w:styleId="Applicationdirecte">
    <w:name w:val="Application directe"/>
    <w:basedOn w:val="Normal"/>
    <w:next w:val="Fait"/>
    <w:pPr>
      <w:spacing w:before="480"/>
    </w:pPr>
  </w:style>
  <w:style w:type="paragraph" w:customStyle="1" w:styleId="Avertissementtitre">
    <w:name w:val="Avertissement titre"/>
    <w:basedOn w:val="Normal"/>
    <w:next w:val="Normal"/>
    <w:pPr>
      <w:keepNext/>
      <w:spacing w:before="480"/>
    </w:pPr>
    <w:rPr>
      <w:u w:val="single"/>
    </w:rPr>
  </w:style>
  <w:style w:type="paragraph" w:customStyle="1" w:styleId="Confidence">
    <w:name w:val="Confidence"/>
    <w:basedOn w:val="Normal"/>
    <w:next w:val="Normal"/>
    <w:pPr>
      <w:spacing w:before="360"/>
      <w:jc w:val="center"/>
    </w:pPr>
  </w:style>
  <w:style w:type="paragraph" w:customStyle="1" w:styleId="Confidentialit">
    <w:name w:val="Confidentialité"/>
    <w:basedOn w:val="Normal"/>
    <w:next w:val="TypedudocumentPagedecouverture"/>
    <w:pPr>
      <w:spacing w:before="240" w:after="240"/>
      <w:ind w:left="5103"/>
      <w:jc w:val="left"/>
    </w:pPr>
    <w:rPr>
      <w:i/>
      <w:sz w:val="32"/>
    </w:rPr>
  </w:style>
  <w:style w:type="paragraph" w:customStyle="1" w:styleId="Considrant">
    <w:name w:val="Considérant"/>
    <w:basedOn w:val="Normal"/>
    <w:pPr>
      <w:numPr>
        <w:numId w:val="38"/>
      </w:numPr>
    </w:pPr>
  </w:style>
  <w:style w:type="paragraph" w:customStyle="1" w:styleId="Corrigendum">
    <w:name w:val="Corrigendum"/>
    <w:basedOn w:val="Normal"/>
    <w:next w:val="Normal"/>
    <w:pPr>
      <w:spacing w:before="0" w:after="240"/>
      <w:jc w:val="left"/>
    </w:pPr>
  </w:style>
  <w:style w:type="paragraph" w:customStyle="1" w:styleId="Datedadoption">
    <w:name w:val="Date d'adoption"/>
    <w:basedOn w:val="Normal"/>
    <w:next w:val="IntrtEEE"/>
    <w:pPr>
      <w:spacing w:before="360" w:after="0"/>
      <w:jc w:val="center"/>
    </w:pPr>
    <w:rPr>
      <w:b/>
    </w:rPr>
  </w:style>
  <w:style w:type="paragraph" w:customStyle="1" w:styleId="Exposdesmotifstitre">
    <w:name w:val="Exposé des motifs titre"/>
    <w:basedOn w:val="Normal"/>
    <w:next w:val="Normal"/>
    <w:pPr>
      <w:jc w:val="center"/>
    </w:pPr>
    <w:rPr>
      <w:b/>
      <w:u w:val="single"/>
    </w:rPr>
  </w:style>
  <w:style w:type="paragraph" w:customStyle="1" w:styleId="Fait">
    <w:name w:val="Fait à"/>
    <w:basedOn w:val="Normal"/>
    <w:next w:val="Institutionquisigne"/>
    <w:pPr>
      <w:keepNext/>
      <w:spacing w:after="0"/>
    </w:pPr>
  </w:style>
  <w:style w:type="paragraph" w:customStyle="1" w:styleId="Formuledadoption">
    <w:name w:val="Formule d'adoption"/>
    <w:basedOn w:val="Normal"/>
    <w:next w:val="Titrearticle"/>
    <w:pPr>
      <w:keepNext/>
    </w:pPr>
  </w:style>
  <w:style w:type="paragraph" w:customStyle="1" w:styleId="Institutionquiagit">
    <w:name w:val="Institution qui agit"/>
    <w:basedOn w:val="Normal"/>
    <w:next w:val="Normal"/>
    <w:pPr>
      <w:keepNext/>
      <w:spacing w:before="600"/>
    </w:pPr>
  </w:style>
  <w:style w:type="paragraph" w:customStyle="1" w:styleId="Institutionquisigne">
    <w:name w:val="Institution qui signe"/>
    <w:basedOn w:val="Normal"/>
    <w:next w:val="Personnequisigne"/>
    <w:pPr>
      <w:keepNext/>
      <w:tabs>
        <w:tab w:val="left" w:pos="4252"/>
      </w:tabs>
      <w:spacing w:before="720" w:after="0"/>
    </w:pPr>
    <w:rPr>
      <w:i/>
    </w:rPr>
  </w:style>
  <w:style w:type="paragraph" w:customStyle="1" w:styleId="ManualConsidrant">
    <w:name w:val="Manual Considérant"/>
    <w:basedOn w:val="Normal"/>
    <w:pPr>
      <w:ind w:left="709" w:hanging="709"/>
    </w:pPr>
  </w:style>
  <w:style w:type="paragraph" w:customStyle="1" w:styleId="Personnequisigne">
    <w:name w:val="Personne qui signe"/>
    <w:basedOn w:val="Normal"/>
    <w:next w:val="Institutionquisigne"/>
    <w:pPr>
      <w:tabs>
        <w:tab w:val="left" w:pos="4252"/>
      </w:tabs>
      <w:spacing w:before="0" w:after="0"/>
      <w:jc w:val="left"/>
    </w:pPr>
    <w:rPr>
      <w:i/>
    </w:rPr>
  </w:style>
  <w:style w:type="paragraph" w:customStyle="1" w:styleId="Rfrenceinterinstitutionnelle">
    <w:name w:val="Référence interinstitutionnelle"/>
    <w:basedOn w:val="Normal"/>
    <w:next w:val="Statut"/>
    <w:pPr>
      <w:spacing w:before="0" w:after="0"/>
      <w:ind w:left="5103"/>
      <w:jc w:val="left"/>
    </w:pPr>
  </w:style>
  <w:style w:type="paragraph" w:customStyle="1" w:styleId="Rfrenceinterne">
    <w:name w:val="Référence interne"/>
    <w:basedOn w:val="Normal"/>
    <w:next w:val="Rfrenceinterinstitutionnelle"/>
    <w:pPr>
      <w:spacing w:before="0" w:after="0"/>
      <w:ind w:left="5103"/>
      <w:jc w:val="left"/>
    </w:pPr>
  </w:style>
  <w:style w:type="paragraph" w:customStyle="1" w:styleId="Statut">
    <w:name w:val="Statut"/>
    <w:basedOn w:val="Normal"/>
    <w:next w:val="Typedudocument"/>
    <w:pPr>
      <w:spacing w:before="0" w:after="240"/>
      <w:jc w:val="center"/>
    </w:pPr>
  </w:style>
  <w:style w:type="paragraph" w:customStyle="1" w:styleId="Titrearticle">
    <w:name w:val="Titre article"/>
    <w:basedOn w:val="Normal"/>
    <w:next w:val="Normal"/>
    <w:pPr>
      <w:keepNext/>
      <w:spacing w:before="360"/>
      <w:jc w:val="center"/>
    </w:pPr>
    <w:rPr>
      <w:i/>
    </w:rPr>
  </w:style>
  <w:style w:type="paragraph" w:customStyle="1" w:styleId="Typedudocument">
    <w:name w:val="Type du document"/>
    <w:basedOn w:val="Normal"/>
    <w:next w:val="Accompagnant"/>
    <w:pPr>
      <w:spacing w:before="360" w:after="180"/>
      <w:jc w:val="center"/>
    </w:pPr>
    <w:rPr>
      <w:b/>
    </w:rPr>
  </w:style>
  <w:style w:type="character" w:customStyle="1" w:styleId="Added">
    <w:name w:val="Added"/>
    <w:basedOn w:val="DefaultParagraphFont"/>
    <w:rPr>
      <w:b/>
      <w:u w:val="single"/>
      <w:shd w:val="clear" w:color="auto" w:fill="auto"/>
    </w:rPr>
  </w:style>
  <w:style w:type="character" w:customStyle="1" w:styleId="Deleted">
    <w:name w:val="Deleted"/>
    <w:basedOn w:val="DefaultParagraphFont"/>
    <w:rPr>
      <w:strike/>
      <w:dstrike w:val="0"/>
      <w:shd w:val="clear" w:color="auto" w:fill="auto"/>
    </w:rPr>
  </w:style>
  <w:style w:type="paragraph" w:customStyle="1" w:styleId="Address">
    <w:name w:val="Address"/>
    <w:basedOn w:val="Normal"/>
    <w:next w:val="Normal"/>
    <w:pPr>
      <w:keepLines/>
      <w:spacing w:line="360" w:lineRule="auto"/>
      <w:ind w:left="3402"/>
      <w:jc w:val="left"/>
    </w:pPr>
  </w:style>
  <w:style w:type="paragraph" w:customStyle="1" w:styleId="Objetexterne">
    <w:name w:val="Objet externe"/>
    <w:basedOn w:val="Normal"/>
    <w:next w:val="Normal"/>
    <w:rPr>
      <w:i/>
      <w:caps/>
    </w:rPr>
  </w:style>
  <w:style w:type="paragraph" w:customStyle="1" w:styleId="Supertitre">
    <w:name w:val="Supertitre"/>
    <w:basedOn w:val="Normal"/>
    <w:next w:val="Normal"/>
    <w:pPr>
      <w:spacing w:before="0" w:after="600"/>
      <w:jc w:val="center"/>
    </w:pPr>
    <w:rPr>
      <w:b/>
    </w:rPr>
  </w:style>
  <w:style w:type="paragraph" w:customStyle="1" w:styleId="Languesfaisantfoi">
    <w:name w:val="Langues faisant foi"/>
    <w:basedOn w:val="Normal"/>
    <w:next w:val="Normal"/>
    <w:pPr>
      <w:spacing w:before="360" w:after="0"/>
      <w:jc w:val="center"/>
    </w:pPr>
  </w:style>
  <w:style w:type="paragraph" w:customStyle="1" w:styleId="Rfrencecroise">
    <w:name w:val="Référence croisée"/>
    <w:basedOn w:val="Normal"/>
    <w:pPr>
      <w:spacing w:before="0" w:after="0"/>
      <w:jc w:val="center"/>
    </w:pPr>
  </w:style>
  <w:style w:type="paragraph" w:customStyle="1" w:styleId="Fichefinanciretitre">
    <w:name w:val="Fiche financière titre"/>
    <w:basedOn w:val="Normal"/>
    <w:next w:val="Normal"/>
    <w:pPr>
      <w:jc w:val="center"/>
    </w:pPr>
    <w:rPr>
      <w:b/>
      <w:u w:val="single"/>
    </w:rPr>
  </w:style>
  <w:style w:type="paragraph" w:customStyle="1" w:styleId="DatedadoptionPagedecouverture">
    <w:name w:val="Date d'adoption (Page de couverture)"/>
    <w:basedOn w:val="Datedadoption"/>
    <w:next w:val="IntrtEEEPagedecouverture"/>
  </w:style>
  <w:style w:type="paragraph" w:customStyle="1" w:styleId="RfrenceinterinstitutionnellePagedecouverture">
    <w:name w:val="Référence interinstitutionnelle (Page de couverture)"/>
    <w:basedOn w:val="Rfrenceinterinstitutionnelle"/>
    <w:next w:val="Confidentialit"/>
  </w:style>
  <w:style w:type="paragraph" w:customStyle="1" w:styleId="StatutPagedecouverture">
    <w:name w:val="Statut (Page de couverture)"/>
    <w:basedOn w:val="Statut"/>
    <w:next w:val="TypedudocumentPagedecouverture"/>
  </w:style>
  <w:style w:type="paragraph" w:customStyle="1" w:styleId="TypedudocumentPagedecouverture">
    <w:name w:val="Type du document (Page de couverture)"/>
    <w:basedOn w:val="Typedudocument"/>
    <w:next w:val="AccompagnantPagedecouverture"/>
  </w:style>
  <w:style w:type="paragraph" w:customStyle="1" w:styleId="Volume">
    <w:name w:val="Volume"/>
    <w:basedOn w:val="Normal"/>
    <w:next w:val="Confidentialit"/>
    <w:pPr>
      <w:spacing w:before="0" w:after="240"/>
      <w:ind w:left="5103"/>
      <w:jc w:val="left"/>
    </w:pPr>
  </w:style>
  <w:style w:type="paragraph" w:customStyle="1" w:styleId="IntrtEEE">
    <w:name w:val="Intérêt EEE"/>
    <w:basedOn w:val="Languesfaisantfoi"/>
    <w:next w:val="Normal"/>
    <w:pPr>
      <w:spacing w:after="240"/>
    </w:pPr>
  </w:style>
  <w:style w:type="paragraph" w:customStyle="1" w:styleId="Accompagnant">
    <w:name w:val="Accompagnant"/>
    <w:basedOn w:val="Normal"/>
    <w:next w:val="Typeacteprincipal"/>
    <w:pPr>
      <w:spacing w:before="180" w:after="240"/>
      <w:jc w:val="center"/>
    </w:pPr>
    <w:rPr>
      <w:b/>
    </w:rPr>
  </w:style>
  <w:style w:type="paragraph" w:customStyle="1" w:styleId="Typeacteprincipal">
    <w:name w:val="Type acte principal"/>
    <w:basedOn w:val="Normal"/>
    <w:next w:val="Objetacteprincipal"/>
    <w:pPr>
      <w:spacing w:before="0" w:after="240"/>
      <w:jc w:val="center"/>
    </w:pPr>
    <w:rPr>
      <w:b/>
    </w:rPr>
  </w:style>
  <w:style w:type="paragraph" w:customStyle="1" w:styleId="Objetacteprincipal">
    <w:name w:val="Objet acte principal"/>
    <w:basedOn w:val="Normal"/>
    <w:next w:val="Titrearticle"/>
    <w:pPr>
      <w:spacing w:before="0" w:after="360"/>
      <w:jc w:val="center"/>
    </w:pPr>
    <w:rPr>
      <w:b/>
    </w:rPr>
  </w:style>
  <w:style w:type="paragraph" w:customStyle="1" w:styleId="IntrtEEEPagedecouverture">
    <w:name w:val="Intérêt EEE (Page de couverture)"/>
    <w:basedOn w:val="IntrtEEE"/>
    <w:next w:val="Rfrencecroise"/>
  </w:style>
  <w:style w:type="paragraph" w:customStyle="1" w:styleId="AccompagnantPagedecouverture">
    <w:name w:val="Accompagnant (Page de couverture)"/>
    <w:basedOn w:val="Accompagnant"/>
    <w:next w:val="TypeacteprincipalPagedecouverture"/>
  </w:style>
  <w:style w:type="paragraph" w:customStyle="1" w:styleId="TypeacteprincipalPagedecouverture">
    <w:name w:val="Type acte principal (Page de couverture)"/>
    <w:basedOn w:val="Typeacteprincipal"/>
    <w:next w:val="ObjetacteprincipalPagedecouverture"/>
  </w:style>
  <w:style w:type="paragraph" w:customStyle="1" w:styleId="ObjetacteprincipalPagedecouverture">
    <w:name w:val="Objet acte principal (Page de couverture)"/>
    <w:basedOn w:val="Objetacteprincipal"/>
    <w:next w:val="Rfrencecroise"/>
  </w:style>
  <w:style w:type="paragraph" w:customStyle="1" w:styleId="LanguesfaisantfoiPagedecouverture">
    <w:name w:val="Langues faisant foi (Page de couverture)"/>
    <w:basedOn w:val="Normal"/>
    <w:next w:val="Normal"/>
    <w:pPr>
      <w:spacing w:before="360" w:after="0"/>
      <w:jc w:val="center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before="120" w:after="120" w:line="240" w:lineRule="auto"/>
      <w:jc w:val="both"/>
    </w:pPr>
    <w:rPr>
      <w:rFonts w:ascii="Times New Roman" w:hAnsi="Times New Roman" w:cs="Times New Roman"/>
      <w:sz w:val="24"/>
      <w:lang w:val="fr-FR"/>
    </w:rPr>
  </w:style>
  <w:style w:type="paragraph" w:styleId="Heading1">
    <w:name w:val="heading 1"/>
    <w:basedOn w:val="Normal"/>
    <w:next w:val="Text1"/>
    <w:link w:val="Heading1Char"/>
    <w:uiPriority w:val="9"/>
    <w:qFormat/>
    <w:pPr>
      <w:keepNext/>
      <w:numPr>
        <w:numId w:val="31"/>
      </w:numPr>
      <w:spacing w:before="360"/>
      <w:outlineLvl w:val="0"/>
    </w:pPr>
    <w:rPr>
      <w:rFonts w:eastAsiaTheme="majorEastAsia"/>
      <w:b/>
      <w:bCs/>
      <w:smallCaps/>
      <w:szCs w:val="28"/>
    </w:rPr>
  </w:style>
  <w:style w:type="paragraph" w:styleId="Heading2">
    <w:name w:val="heading 2"/>
    <w:basedOn w:val="Normal"/>
    <w:next w:val="Text1"/>
    <w:link w:val="Heading2Char"/>
    <w:uiPriority w:val="9"/>
    <w:semiHidden/>
    <w:unhideWhenUsed/>
    <w:qFormat/>
    <w:pPr>
      <w:keepNext/>
      <w:numPr>
        <w:ilvl w:val="1"/>
        <w:numId w:val="31"/>
      </w:numPr>
      <w:outlineLvl w:val="1"/>
    </w:pPr>
    <w:rPr>
      <w:rFonts w:eastAsiaTheme="majorEastAsia"/>
      <w:b/>
      <w:bCs/>
      <w:szCs w:val="26"/>
    </w:rPr>
  </w:style>
  <w:style w:type="paragraph" w:styleId="Heading3">
    <w:name w:val="heading 3"/>
    <w:basedOn w:val="Normal"/>
    <w:next w:val="Text1"/>
    <w:link w:val="Heading3Char"/>
    <w:uiPriority w:val="9"/>
    <w:semiHidden/>
    <w:unhideWhenUsed/>
    <w:qFormat/>
    <w:pPr>
      <w:keepNext/>
      <w:numPr>
        <w:ilvl w:val="2"/>
        <w:numId w:val="31"/>
      </w:numPr>
      <w:outlineLvl w:val="2"/>
    </w:pPr>
    <w:rPr>
      <w:rFonts w:eastAsiaTheme="majorEastAsia"/>
      <w:bCs/>
      <w:i/>
    </w:rPr>
  </w:style>
  <w:style w:type="paragraph" w:styleId="Heading4">
    <w:name w:val="heading 4"/>
    <w:basedOn w:val="Normal"/>
    <w:next w:val="Text1"/>
    <w:link w:val="Heading4Char"/>
    <w:uiPriority w:val="9"/>
    <w:semiHidden/>
    <w:unhideWhenUsed/>
    <w:qFormat/>
    <w:pPr>
      <w:keepNext/>
      <w:numPr>
        <w:ilvl w:val="3"/>
        <w:numId w:val="31"/>
      </w:numPr>
      <w:outlineLvl w:val="3"/>
    </w:pPr>
    <w:rPr>
      <w:rFonts w:eastAsiaTheme="majorEastAsia"/>
      <w:bCs/>
      <w:i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pPr>
      <w:spacing w:before="0" w:after="200"/>
      <w:jc w:val="left"/>
    </w:pPr>
    <w:rPr>
      <w:rFonts w:ascii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  <w:lang w:val="en-GB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  <w:lang w:val="en-GB"/>
    </w:rPr>
  </w:style>
  <w:style w:type="table" w:customStyle="1" w:styleId="TableGrid1">
    <w:name w:val="Table Grid1"/>
    <w:basedOn w:val="TableNormal"/>
    <w:next w:val="TableGrid"/>
    <w:uiPriority w:val="59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pPr>
      <w:spacing w:before="120" w:after="120"/>
      <w:jc w:val="both"/>
    </w:pPr>
    <w:rPr>
      <w:rFonts w:ascii="Times New Roman" w:hAnsi="Times New Roman" w:cs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Times New Roman" w:hAnsi="Times New Roman" w:cs="Times New Roman"/>
      <w:b/>
      <w:bCs/>
      <w:sz w:val="20"/>
      <w:szCs w:val="20"/>
      <w:lang w:val="en-GB"/>
    </w:rPr>
  </w:style>
  <w:style w:type="paragraph" w:customStyle="1" w:styleId="Headline2">
    <w:name w:val="Headline 2"/>
    <w:basedOn w:val="Text1"/>
  </w:style>
  <w:style w:type="paragraph" w:styleId="Revision">
    <w:name w:val="Revision"/>
    <w:hidden/>
    <w:uiPriority w:val="99"/>
    <w:semiHidden/>
    <w:pPr>
      <w:spacing w:after="0" w:line="240" w:lineRule="auto"/>
    </w:pPr>
    <w:rPr>
      <w:rFonts w:ascii="Times New Roman" w:hAnsi="Times New Roman" w:cs="Times New Roman"/>
      <w:sz w:val="24"/>
      <w:lang w:val="en-GB"/>
    </w:rPr>
  </w:style>
  <w:style w:type="paragraph" w:styleId="ListBullet">
    <w:name w:val="List Bullet"/>
    <w:basedOn w:val="Normal"/>
    <w:uiPriority w:val="99"/>
    <w:semiHidden/>
    <w:unhideWhenUsed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pPr>
      <w:numPr>
        <w:numId w:val="4"/>
      </w:numPr>
      <w:contextualSpacing/>
    </w:p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before="0" w:after="200"/>
    </w:pPr>
    <w:rPr>
      <w:i/>
      <w:iCs/>
      <w:color w:val="1F497D" w:themeColor="text2"/>
      <w:sz w:val="18"/>
      <w:szCs w:val="18"/>
    </w:rPr>
  </w:style>
  <w:style w:type="paragraph" w:styleId="TableofFigures">
    <w:name w:val="table of figures"/>
    <w:basedOn w:val="Normal"/>
    <w:next w:val="Normal"/>
    <w:uiPriority w:val="99"/>
    <w:semiHidden/>
    <w:unhideWhenUsed/>
    <w:pPr>
      <w:spacing w:after="0"/>
    </w:pPr>
  </w:style>
  <w:style w:type="paragraph" w:styleId="ListNumber">
    <w:name w:val="List Number"/>
    <w:basedOn w:val="Normal"/>
    <w:uiPriority w:val="99"/>
    <w:semiHidden/>
    <w:unhideWhenUsed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pPr>
      <w:numPr>
        <w:numId w:val="7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pPr>
      <w:numPr>
        <w:numId w:val="8"/>
      </w:numPr>
      <w:contextualSpacing/>
    </w:p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33ED2"/>
    <w:pPr>
      <w:tabs>
        <w:tab w:val="center" w:pos="4535"/>
        <w:tab w:val="right" w:pos="9071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E33ED2"/>
    <w:rPr>
      <w:rFonts w:ascii="Times New Roman" w:hAnsi="Times New Roman" w:cs="Times New Roman"/>
      <w:sz w:val="24"/>
      <w:lang w:val="fr-FR"/>
    </w:rPr>
  </w:style>
  <w:style w:type="paragraph" w:styleId="Footer">
    <w:name w:val="footer"/>
    <w:basedOn w:val="Normal"/>
    <w:link w:val="FooterChar"/>
    <w:uiPriority w:val="99"/>
    <w:unhideWhenUsed/>
    <w:rsid w:val="00E33ED2"/>
    <w:pPr>
      <w:tabs>
        <w:tab w:val="center" w:pos="4535"/>
        <w:tab w:val="right" w:pos="9071"/>
        <w:tab w:val="right" w:pos="9921"/>
      </w:tabs>
      <w:spacing w:before="360" w:after="0"/>
      <w:ind w:left="-850" w:right="-850"/>
      <w:jc w:val="left"/>
    </w:pPr>
  </w:style>
  <w:style w:type="character" w:customStyle="1" w:styleId="FooterChar">
    <w:name w:val="Footer Char"/>
    <w:basedOn w:val="DefaultParagraphFont"/>
    <w:link w:val="Footer"/>
    <w:uiPriority w:val="99"/>
    <w:rsid w:val="00E33ED2"/>
    <w:rPr>
      <w:rFonts w:ascii="Times New Roman" w:hAnsi="Times New Roman" w:cs="Times New Roman"/>
      <w:sz w:val="24"/>
      <w:lang w:val="fr-FR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before="0" w:after="0"/>
      <w:ind w:left="720" w:hanging="72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rFonts w:ascii="Times New Roman" w:hAnsi="Times New Roman" w:cs="Times New Roman"/>
      <w:sz w:val="20"/>
      <w:szCs w:val="20"/>
      <w:shd w:val="clear" w:color="auto" w:fill="auto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Theme="majorEastAsia" w:hAnsi="Times New Roman" w:cs="Times New Roman"/>
      <w:b/>
      <w:bCs/>
      <w:smallCaps/>
      <w:sz w:val="24"/>
      <w:szCs w:val="28"/>
      <w:shd w:val="clear" w:color="auto" w:fill="auto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="Times New Roman" w:eastAsiaTheme="majorEastAsia" w:hAnsi="Times New Roman" w:cs="Times New Roman"/>
      <w:b/>
      <w:bCs/>
      <w:sz w:val="24"/>
      <w:szCs w:val="26"/>
      <w:shd w:val="clear" w:color="auto" w:fill="auto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="Times New Roman" w:eastAsiaTheme="majorEastAsia" w:hAnsi="Times New Roman" w:cs="Times New Roman"/>
      <w:bCs/>
      <w:i/>
      <w:sz w:val="24"/>
      <w:shd w:val="clear" w:color="auto" w:fill="auto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="Times New Roman" w:eastAsiaTheme="majorEastAsia" w:hAnsi="Times New Roman" w:cs="Times New Roman"/>
      <w:bCs/>
      <w:iCs/>
      <w:sz w:val="24"/>
      <w:shd w:val="clear" w:color="auto" w:fill="auto"/>
      <w:lang w:val="en-GB"/>
    </w:rPr>
  </w:style>
  <w:style w:type="paragraph" w:styleId="TOCHeading">
    <w:name w:val="TOC Heading"/>
    <w:basedOn w:val="Normal"/>
    <w:next w:val="Normal"/>
    <w:uiPriority w:val="39"/>
    <w:semiHidden/>
    <w:unhideWhenUsed/>
    <w:qFormat/>
    <w:pPr>
      <w:spacing w:after="240"/>
      <w:jc w:val="center"/>
    </w:pPr>
    <w:rPr>
      <w:b/>
      <w:sz w:val="28"/>
    </w:rPr>
  </w:style>
  <w:style w:type="paragraph" w:styleId="TOC1">
    <w:name w:val="toc 1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2">
    <w:name w:val="toc 2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3">
    <w:name w:val="toc 3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4">
    <w:name w:val="toc 4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5">
    <w:name w:val="toc 5"/>
    <w:basedOn w:val="Normal"/>
    <w:next w:val="Normal"/>
    <w:uiPriority w:val="39"/>
    <w:semiHidden/>
    <w:unhideWhenUsed/>
    <w:pPr>
      <w:tabs>
        <w:tab w:val="right" w:leader="dot" w:pos="9071"/>
      </w:tabs>
      <w:spacing w:before="300"/>
      <w:jc w:val="left"/>
    </w:pPr>
  </w:style>
  <w:style w:type="paragraph" w:styleId="TOC6">
    <w:name w:val="toc 6"/>
    <w:basedOn w:val="Normal"/>
    <w:next w:val="Normal"/>
    <w:uiPriority w:val="39"/>
    <w:semiHidden/>
    <w:unhideWhenUsed/>
    <w:pPr>
      <w:tabs>
        <w:tab w:val="right" w:leader="dot" w:pos="9071"/>
      </w:tabs>
      <w:spacing w:before="240"/>
      <w:jc w:val="left"/>
    </w:pPr>
  </w:style>
  <w:style w:type="paragraph" w:styleId="TOC7">
    <w:name w:val="toc 7"/>
    <w:basedOn w:val="Normal"/>
    <w:next w:val="Normal"/>
    <w:uiPriority w:val="39"/>
    <w:semiHidden/>
    <w:unhideWhenUsed/>
    <w:pPr>
      <w:tabs>
        <w:tab w:val="right" w:leader="dot" w:pos="9071"/>
      </w:tabs>
      <w:spacing w:before="180"/>
      <w:jc w:val="left"/>
    </w:pPr>
  </w:style>
  <w:style w:type="paragraph" w:styleId="TOC8">
    <w:name w:val="toc 8"/>
    <w:basedOn w:val="Normal"/>
    <w:next w:val="Normal"/>
    <w:uiPriority w:val="39"/>
    <w:semiHidden/>
    <w:unhideWhenUsed/>
    <w:pPr>
      <w:tabs>
        <w:tab w:val="right" w:leader="dot" w:pos="9071"/>
      </w:tabs>
      <w:jc w:val="left"/>
    </w:pPr>
  </w:style>
  <w:style w:type="paragraph" w:styleId="TOC9">
    <w:name w:val="toc 9"/>
    <w:basedOn w:val="Normal"/>
    <w:next w:val="Normal"/>
    <w:uiPriority w:val="39"/>
    <w:semiHidden/>
    <w:unhideWhenUsed/>
    <w:pPr>
      <w:tabs>
        <w:tab w:val="right" w:leader="dot" w:pos="9071"/>
      </w:tabs>
    </w:pPr>
  </w:style>
  <w:style w:type="paragraph" w:customStyle="1" w:styleId="HeaderLandscape">
    <w:name w:val="HeaderLandscape"/>
    <w:basedOn w:val="Normal"/>
    <w:rsid w:val="00E33ED2"/>
    <w:pPr>
      <w:tabs>
        <w:tab w:val="center" w:pos="7285"/>
        <w:tab w:val="right" w:pos="14003"/>
      </w:tabs>
      <w:spacing w:before="0"/>
    </w:pPr>
  </w:style>
  <w:style w:type="paragraph" w:customStyle="1" w:styleId="FooterLandscape">
    <w:name w:val="FooterLandscape"/>
    <w:basedOn w:val="Normal"/>
    <w:rsid w:val="00E33ED2"/>
    <w:pPr>
      <w:tabs>
        <w:tab w:val="center" w:pos="7285"/>
        <w:tab w:val="center" w:pos="10913"/>
        <w:tab w:val="right" w:pos="15137"/>
      </w:tabs>
      <w:spacing w:before="360" w:after="0"/>
      <w:ind w:left="-567" w:right="-567"/>
      <w:jc w:val="left"/>
    </w:pPr>
  </w:style>
  <w:style w:type="character" w:styleId="FootnoteReference">
    <w:name w:val="footnote reference"/>
    <w:basedOn w:val="DefaultParagraphFont"/>
    <w:uiPriority w:val="99"/>
    <w:semiHidden/>
    <w:unhideWhenUsed/>
    <w:rPr>
      <w:shd w:val="clear" w:color="auto" w:fill="auto"/>
      <w:vertAlign w:val="superscript"/>
    </w:rPr>
  </w:style>
  <w:style w:type="paragraph" w:customStyle="1" w:styleId="HeaderSensitivity">
    <w:name w:val="Header Sensitivity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0"/>
      <w:ind w:left="113" w:right="113"/>
      <w:jc w:val="center"/>
    </w:pPr>
    <w:rPr>
      <w:b/>
      <w:sz w:val="32"/>
    </w:rPr>
  </w:style>
  <w:style w:type="paragraph" w:customStyle="1" w:styleId="FooterSensitivity">
    <w:name w:val="Footer Sensitivity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360" w:after="0"/>
      <w:ind w:left="113" w:right="113"/>
      <w:jc w:val="center"/>
    </w:pPr>
    <w:rPr>
      <w:b/>
      <w:sz w:val="32"/>
    </w:rPr>
  </w:style>
  <w:style w:type="paragraph" w:customStyle="1" w:styleId="Text1">
    <w:name w:val="Text 1"/>
    <w:basedOn w:val="Normal"/>
    <w:pPr>
      <w:ind w:left="850"/>
    </w:pPr>
  </w:style>
  <w:style w:type="paragraph" w:customStyle="1" w:styleId="Text2">
    <w:name w:val="Text 2"/>
    <w:basedOn w:val="Normal"/>
    <w:pPr>
      <w:ind w:left="1417"/>
    </w:pPr>
  </w:style>
  <w:style w:type="paragraph" w:customStyle="1" w:styleId="Text3">
    <w:name w:val="Text 3"/>
    <w:basedOn w:val="Normal"/>
    <w:pPr>
      <w:ind w:left="1984"/>
    </w:pPr>
  </w:style>
  <w:style w:type="paragraph" w:customStyle="1" w:styleId="Text4">
    <w:name w:val="Text 4"/>
    <w:basedOn w:val="Normal"/>
    <w:pPr>
      <w:ind w:left="2551"/>
    </w:pPr>
  </w:style>
  <w:style w:type="paragraph" w:customStyle="1" w:styleId="NormalCentered">
    <w:name w:val="Normal Centered"/>
    <w:basedOn w:val="Normal"/>
    <w:pPr>
      <w:jc w:val="center"/>
    </w:pPr>
  </w:style>
  <w:style w:type="paragraph" w:customStyle="1" w:styleId="NormalLeft">
    <w:name w:val="Normal Left"/>
    <w:basedOn w:val="Normal"/>
    <w:pPr>
      <w:jc w:val="left"/>
    </w:pPr>
  </w:style>
  <w:style w:type="paragraph" w:customStyle="1" w:styleId="NormalRight">
    <w:name w:val="Normal Right"/>
    <w:basedOn w:val="Normal"/>
    <w:pPr>
      <w:jc w:val="right"/>
    </w:pPr>
  </w:style>
  <w:style w:type="paragraph" w:customStyle="1" w:styleId="QuotedText">
    <w:name w:val="Quoted Text"/>
    <w:basedOn w:val="Normal"/>
    <w:pPr>
      <w:ind w:left="1417"/>
    </w:pPr>
  </w:style>
  <w:style w:type="paragraph" w:customStyle="1" w:styleId="Point0">
    <w:name w:val="Point 0"/>
    <w:basedOn w:val="Normal"/>
    <w:pPr>
      <w:ind w:left="850" w:hanging="850"/>
    </w:pPr>
  </w:style>
  <w:style w:type="paragraph" w:customStyle="1" w:styleId="Point1">
    <w:name w:val="Point 1"/>
    <w:basedOn w:val="Normal"/>
    <w:pPr>
      <w:ind w:left="1417" w:hanging="567"/>
    </w:pPr>
  </w:style>
  <w:style w:type="paragraph" w:customStyle="1" w:styleId="Point2">
    <w:name w:val="Point 2"/>
    <w:basedOn w:val="Normal"/>
    <w:pPr>
      <w:ind w:left="1984" w:hanging="567"/>
    </w:pPr>
  </w:style>
  <w:style w:type="paragraph" w:customStyle="1" w:styleId="Point3">
    <w:name w:val="Point 3"/>
    <w:basedOn w:val="Normal"/>
    <w:pPr>
      <w:ind w:left="2551" w:hanging="567"/>
    </w:pPr>
  </w:style>
  <w:style w:type="paragraph" w:customStyle="1" w:styleId="Point4">
    <w:name w:val="Point 4"/>
    <w:basedOn w:val="Normal"/>
    <w:pPr>
      <w:ind w:left="3118" w:hanging="567"/>
    </w:pPr>
  </w:style>
  <w:style w:type="paragraph" w:customStyle="1" w:styleId="Tiret0">
    <w:name w:val="Tiret 0"/>
    <w:basedOn w:val="Point0"/>
    <w:pPr>
      <w:numPr>
        <w:numId w:val="25"/>
      </w:numPr>
    </w:pPr>
  </w:style>
  <w:style w:type="paragraph" w:customStyle="1" w:styleId="Tiret1">
    <w:name w:val="Tiret 1"/>
    <w:basedOn w:val="Point1"/>
    <w:pPr>
      <w:numPr>
        <w:numId w:val="26"/>
      </w:numPr>
    </w:pPr>
  </w:style>
  <w:style w:type="paragraph" w:customStyle="1" w:styleId="Tiret2">
    <w:name w:val="Tiret 2"/>
    <w:basedOn w:val="Point2"/>
    <w:pPr>
      <w:numPr>
        <w:numId w:val="27"/>
      </w:numPr>
    </w:pPr>
  </w:style>
  <w:style w:type="paragraph" w:customStyle="1" w:styleId="Tiret3">
    <w:name w:val="Tiret 3"/>
    <w:basedOn w:val="Point3"/>
    <w:pPr>
      <w:numPr>
        <w:numId w:val="28"/>
      </w:numPr>
    </w:pPr>
  </w:style>
  <w:style w:type="paragraph" w:customStyle="1" w:styleId="Tiret4">
    <w:name w:val="Tiret 4"/>
    <w:basedOn w:val="Point4"/>
    <w:pPr>
      <w:numPr>
        <w:numId w:val="29"/>
      </w:numPr>
    </w:pPr>
  </w:style>
  <w:style w:type="paragraph" w:customStyle="1" w:styleId="PointDouble0">
    <w:name w:val="PointDouble 0"/>
    <w:basedOn w:val="Normal"/>
    <w:pPr>
      <w:tabs>
        <w:tab w:val="left" w:pos="850"/>
      </w:tabs>
      <w:ind w:left="1417" w:hanging="1417"/>
    </w:pPr>
  </w:style>
  <w:style w:type="paragraph" w:customStyle="1" w:styleId="PointDouble1">
    <w:name w:val="PointDouble 1"/>
    <w:basedOn w:val="Normal"/>
    <w:pPr>
      <w:tabs>
        <w:tab w:val="left" w:pos="1417"/>
      </w:tabs>
      <w:ind w:left="1984" w:hanging="1134"/>
    </w:pPr>
  </w:style>
  <w:style w:type="paragraph" w:customStyle="1" w:styleId="PointDouble2">
    <w:name w:val="PointDouble 2"/>
    <w:basedOn w:val="Normal"/>
    <w:pPr>
      <w:tabs>
        <w:tab w:val="left" w:pos="1984"/>
      </w:tabs>
      <w:ind w:left="2551" w:hanging="1134"/>
    </w:pPr>
  </w:style>
  <w:style w:type="paragraph" w:customStyle="1" w:styleId="PointDouble3">
    <w:name w:val="PointDouble 3"/>
    <w:basedOn w:val="Normal"/>
    <w:pPr>
      <w:tabs>
        <w:tab w:val="left" w:pos="2551"/>
      </w:tabs>
      <w:ind w:left="3118" w:hanging="1134"/>
    </w:pPr>
  </w:style>
  <w:style w:type="paragraph" w:customStyle="1" w:styleId="PointDouble4">
    <w:name w:val="PointDouble 4"/>
    <w:basedOn w:val="Normal"/>
    <w:pPr>
      <w:tabs>
        <w:tab w:val="left" w:pos="3118"/>
      </w:tabs>
      <w:ind w:left="3685" w:hanging="1134"/>
    </w:pPr>
  </w:style>
  <w:style w:type="paragraph" w:customStyle="1" w:styleId="PointTriple0">
    <w:name w:val="PointTriple 0"/>
    <w:basedOn w:val="Normal"/>
    <w:pPr>
      <w:tabs>
        <w:tab w:val="left" w:pos="850"/>
        <w:tab w:val="left" w:pos="1417"/>
      </w:tabs>
      <w:ind w:left="1984" w:hanging="1984"/>
    </w:pPr>
  </w:style>
  <w:style w:type="paragraph" w:customStyle="1" w:styleId="PointTriple1">
    <w:name w:val="PointTriple 1"/>
    <w:basedOn w:val="Normal"/>
    <w:pPr>
      <w:tabs>
        <w:tab w:val="left" w:pos="1417"/>
        <w:tab w:val="left" w:pos="1984"/>
      </w:tabs>
      <w:ind w:left="2551" w:hanging="1701"/>
    </w:pPr>
  </w:style>
  <w:style w:type="paragraph" w:customStyle="1" w:styleId="PointTriple2">
    <w:name w:val="PointTriple 2"/>
    <w:basedOn w:val="Normal"/>
    <w:pPr>
      <w:tabs>
        <w:tab w:val="left" w:pos="1984"/>
        <w:tab w:val="left" w:pos="2551"/>
      </w:tabs>
      <w:ind w:left="3118" w:hanging="1701"/>
    </w:pPr>
  </w:style>
  <w:style w:type="paragraph" w:customStyle="1" w:styleId="PointTriple3">
    <w:name w:val="PointTriple 3"/>
    <w:basedOn w:val="Normal"/>
    <w:pPr>
      <w:tabs>
        <w:tab w:val="left" w:pos="2551"/>
        <w:tab w:val="left" w:pos="3118"/>
      </w:tabs>
      <w:ind w:left="3685" w:hanging="1701"/>
    </w:pPr>
  </w:style>
  <w:style w:type="paragraph" w:customStyle="1" w:styleId="PointTriple4">
    <w:name w:val="PointTriple 4"/>
    <w:basedOn w:val="Normal"/>
    <w:pPr>
      <w:tabs>
        <w:tab w:val="left" w:pos="3118"/>
        <w:tab w:val="left" w:pos="3685"/>
      </w:tabs>
      <w:ind w:left="4252" w:hanging="1701"/>
    </w:pPr>
  </w:style>
  <w:style w:type="paragraph" w:customStyle="1" w:styleId="NumPar1">
    <w:name w:val="NumPar 1"/>
    <w:basedOn w:val="Normal"/>
    <w:next w:val="Text1"/>
    <w:pPr>
      <w:numPr>
        <w:numId w:val="30"/>
      </w:numPr>
    </w:pPr>
  </w:style>
  <w:style w:type="paragraph" w:customStyle="1" w:styleId="NumPar2">
    <w:name w:val="NumPar 2"/>
    <w:basedOn w:val="Normal"/>
    <w:next w:val="Text1"/>
    <w:pPr>
      <w:numPr>
        <w:ilvl w:val="1"/>
        <w:numId w:val="30"/>
      </w:numPr>
    </w:pPr>
  </w:style>
  <w:style w:type="paragraph" w:customStyle="1" w:styleId="NumPar3">
    <w:name w:val="NumPar 3"/>
    <w:basedOn w:val="Normal"/>
    <w:next w:val="Text1"/>
    <w:pPr>
      <w:numPr>
        <w:ilvl w:val="2"/>
        <w:numId w:val="30"/>
      </w:numPr>
    </w:pPr>
  </w:style>
  <w:style w:type="paragraph" w:customStyle="1" w:styleId="NumPar4">
    <w:name w:val="NumPar 4"/>
    <w:basedOn w:val="Normal"/>
    <w:next w:val="Text1"/>
    <w:pPr>
      <w:numPr>
        <w:ilvl w:val="3"/>
        <w:numId w:val="30"/>
      </w:numPr>
    </w:pPr>
  </w:style>
  <w:style w:type="paragraph" w:customStyle="1" w:styleId="ManualNumPar1">
    <w:name w:val="Manual NumPar 1"/>
    <w:basedOn w:val="Normal"/>
    <w:next w:val="Text1"/>
    <w:pPr>
      <w:ind w:left="850" w:hanging="850"/>
    </w:pPr>
  </w:style>
  <w:style w:type="paragraph" w:customStyle="1" w:styleId="ManualNumPar2">
    <w:name w:val="Manual NumPar 2"/>
    <w:basedOn w:val="Normal"/>
    <w:next w:val="Text1"/>
    <w:pPr>
      <w:ind w:left="850" w:hanging="850"/>
    </w:pPr>
  </w:style>
  <w:style w:type="paragraph" w:customStyle="1" w:styleId="ManualNumPar3">
    <w:name w:val="Manual NumPar 3"/>
    <w:basedOn w:val="Normal"/>
    <w:next w:val="Text1"/>
    <w:pPr>
      <w:ind w:left="850" w:hanging="850"/>
    </w:pPr>
  </w:style>
  <w:style w:type="paragraph" w:customStyle="1" w:styleId="ManualNumPar4">
    <w:name w:val="Manual NumPar 4"/>
    <w:basedOn w:val="Normal"/>
    <w:next w:val="Text1"/>
    <w:pPr>
      <w:ind w:left="850" w:hanging="850"/>
    </w:pPr>
  </w:style>
  <w:style w:type="paragraph" w:customStyle="1" w:styleId="QuotedNumPar">
    <w:name w:val="Quoted NumPar"/>
    <w:basedOn w:val="Normal"/>
    <w:pPr>
      <w:ind w:left="1417" w:hanging="567"/>
    </w:pPr>
  </w:style>
  <w:style w:type="paragraph" w:customStyle="1" w:styleId="ManualHeading1">
    <w:name w:val="Manual Heading 1"/>
    <w:basedOn w:val="Normal"/>
    <w:next w:val="Text1"/>
    <w:pPr>
      <w:keepNext/>
      <w:tabs>
        <w:tab w:val="left" w:pos="850"/>
      </w:tabs>
      <w:spacing w:before="360"/>
      <w:ind w:left="850" w:hanging="850"/>
      <w:outlineLvl w:val="0"/>
    </w:pPr>
    <w:rPr>
      <w:b/>
      <w:smallCaps/>
    </w:rPr>
  </w:style>
  <w:style w:type="paragraph" w:customStyle="1" w:styleId="ManualHeading2">
    <w:name w:val="Manual Heading 2"/>
    <w:basedOn w:val="Normal"/>
    <w:next w:val="Text1"/>
    <w:pPr>
      <w:keepNext/>
      <w:tabs>
        <w:tab w:val="left" w:pos="850"/>
      </w:tabs>
      <w:ind w:left="850" w:hanging="850"/>
      <w:outlineLvl w:val="1"/>
    </w:pPr>
    <w:rPr>
      <w:b/>
    </w:rPr>
  </w:style>
  <w:style w:type="paragraph" w:customStyle="1" w:styleId="ManualHeading3">
    <w:name w:val="Manual Heading 3"/>
    <w:basedOn w:val="Normal"/>
    <w:next w:val="Text1"/>
    <w:pPr>
      <w:keepNext/>
      <w:tabs>
        <w:tab w:val="left" w:pos="850"/>
      </w:tabs>
      <w:ind w:left="850" w:hanging="850"/>
      <w:outlineLvl w:val="2"/>
    </w:pPr>
    <w:rPr>
      <w:i/>
    </w:rPr>
  </w:style>
  <w:style w:type="paragraph" w:customStyle="1" w:styleId="ManualHeading4">
    <w:name w:val="Manual Heading 4"/>
    <w:basedOn w:val="Normal"/>
    <w:next w:val="Text1"/>
    <w:pPr>
      <w:keepNext/>
      <w:tabs>
        <w:tab w:val="left" w:pos="850"/>
      </w:tabs>
      <w:ind w:left="850" w:hanging="850"/>
      <w:outlineLvl w:val="3"/>
    </w:pPr>
  </w:style>
  <w:style w:type="paragraph" w:customStyle="1" w:styleId="ChapterTitle">
    <w:name w:val="ChapterTitle"/>
    <w:basedOn w:val="Normal"/>
    <w:next w:val="Normal"/>
    <w:pPr>
      <w:keepNext/>
      <w:spacing w:after="360"/>
      <w:jc w:val="center"/>
    </w:pPr>
    <w:rPr>
      <w:b/>
      <w:sz w:val="32"/>
    </w:rPr>
  </w:style>
  <w:style w:type="paragraph" w:customStyle="1" w:styleId="PartTitle">
    <w:name w:val="PartTitle"/>
    <w:basedOn w:val="Normal"/>
    <w:next w:val="ChapterTitle"/>
    <w:pPr>
      <w:keepNext/>
      <w:pageBreakBefore/>
      <w:spacing w:after="360"/>
      <w:jc w:val="center"/>
    </w:pPr>
    <w:rPr>
      <w:b/>
      <w:sz w:val="36"/>
    </w:rPr>
  </w:style>
  <w:style w:type="paragraph" w:customStyle="1" w:styleId="SectionTitle">
    <w:name w:val="SectionTitle"/>
    <w:basedOn w:val="Normal"/>
    <w:next w:val="Heading1"/>
    <w:pPr>
      <w:keepNext/>
      <w:spacing w:after="360"/>
      <w:jc w:val="center"/>
    </w:pPr>
    <w:rPr>
      <w:b/>
      <w:smallCaps/>
      <w:sz w:val="28"/>
    </w:rPr>
  </w:style>
  <w:style w:type="paragraph" w:customStyle="1" w:styleId="TableTitle">
    <w:name w:val="Table Title"/>
    <w:basedOn w:val="Normal"/>
    <w:next w:val="Normal"/>
    <w:pPr>
      <w:jc w:val="center"/>
    </w:pPr>
    <w:rPr>
      <w:b/>
    </w:rPr>
  </w:style>
  <w:style w:type="character" w:customStyle="1" w:styleId="Marker">
    <w:name w:val="Marker"/>
    <w:basedOn w:val="DefaultParagraphFont"/>
    <w:rPr>
      <w:color w:val="0000FF"/>
      <w:shd w:val="clear" w:color="auto" w:fill="auto"/>
    </w:rPr>
  </w:style>
  <w:style w:type="character" w:customStyle="1" w:styleId="Marker1">
    <w:name w:val="Marker1"/>
    <w:basedOn w:val="DefaultParagraphFont"/>
    <w:rPr>
      <w:color w:val="008000"/>
      <w:shd w:val="clear" w:color="auto" w:fill="auto"/>
    </w:rPr>
  </w:style>
  <w:style w:type="character" w:customStyle="1" w:styleId="Marker2">
    <w:name w:val="Marker2"/>
    <w:basedOn w:val="DefaultParagraphFont"/>
    <w:rPr>
      <w:color w:val="FF0000"/>
      <w:shd w:val="clear" w:color="auto" w:fill="auto"/>
    </w:rPr>
  </w:style>
  <w:style w:type="paragraph" w:customStyle="1" w:styleId="Point0number">
    <w:name w:val="Point 0 (number)"/>
    <w:basedOn w:val="Normal"/>
    <w:pPr>
      <w:numPr>
        <w:numId w:val="32"/>
      </w:numPr>
    </w:pPr>
  </w:style>
  <w:style w:type="paragraph" w:customStyle="1" w:styleId="Point1number">
    <w:name w:val="Point 1 (number)"/>
    <w:basedOn w:val="Normal"/>
    <w:pPr>
      <w:numPr>
        <w:ilvl w:val="2"/>
        <w:numId w:val="32"/>
      </w:numPr>
    </w:pPr>
  </w:style>
  <w:style w:type="paragraph" w:customStyle="1" w:styleId="Point2number">
    <w:name w:val="Point 2 (number)"/>
    <w:basedOn w:val="Normal"/>
    <w:pPr>
      <w:numPr>
        <w:ilvl w:val="4"/>
        <w:numId w:val="32"/>
      </w:numPr>
    </w:pPr>
  </w:style>
  <w:style w:type="paragraph" w:customStyle="1" w:styleId="Point3number">
    <w:name w:val="Point 3 (number)"/>
    <w:basedOn w:val="Normal"/>
    <w:pPr>
      <w:numPr>
        <w:ilvl w:val="6"/>
        <w:numId w:val="32"/>
      </w:numPr>
    </w:pPr>
  </w:style>
  <w:style w:type="paragraph" w:customStyle="1" w:styleId="Point0letter">
    <w:name w:val="Point 0 (letter)"/>
    <w:basedOn w:val="Normal"/>
    <w:pPr>
      <w:numPr>
        <w:ilvl w:val="1"/>
        <w:numId w:val="32"/>
      </w:numPr>
    </w:pPr>
  </w:style>
  <w:style w:type="paragraph" w:customStyle="1" w:styleId="Point1letter">
    <w:name w:val="Point 1 (letter)"/>
    <w:basedOn w:val="Normal"/>
    <w:pPr>
      <w:numPr>
        <w:ilvl w:val="3"/>
        <w:numId w:val="32"/>
      </w:numPr>
    </w:pPr>
  </w:style>
  <w:style w:type="paragraph" w:customStyle="1" w:styleId="Point2letter">
    <w:name w:val="Point 2 (letter)"/>
    <w:basedOn w:val="Normal"/>
    <w:pPr>
      <w:numPr>
        <w:ilvl w:val="5"/>
        <w:numId w:val="32"/>
      </w:numPr>
    </w:pPr>
  </w:style>
  <w:style w:type="paragraph" w:customStyle="1" w:styleId="Point3letter">
    <w:name w:val="Point 3 (letter)"/>
    <w:basedOn w:val="Normal"/>
    <w:pPr>
      <w:numPr>
        <w:ilvl w:val="7"/>
        <w:numId w:val="32"/>
      </w:numPr>
    </w:pPr>
  </w:style>
  <w:style w:type="paragraph" w:customStyle="1" w:styleId="Point4letter">
    <w:name w:val="Point 4 (letter)"/>
    <w:basedOn w:val="Normal"/>
    <w:pPr>
      <w:numPr>
        <w:ilvl w:val="8"/>
        <w:numId w:val="32"/>
      </w:numPr>
    </w:pPr>
  </w:style>
  <w:style w:type="paragraph" w:customStyle="1" w:styleId="Bullet0">
    <w:name w:val="Bullet 0"/>
    <w:basedOn w:val="Normal"/>
    <w:pPr>
      <w:numPr>
        <w:numId w:val="33"/>
      </w:numPr>
    </w:pPr>
  </w:style>
  <w:style w:type="paragraph" w:customStyle="1" w:styleId="Bullet1">
    <w:name w:val="Bullet 1"/>
    <w:basedOn w:val="Normal"/>
    <w:pPr>
      <w:numPr>
        <w:numId w:val="34"/>
      </w:numPr>
    </w:pPr>
  </w:style>
  <w:style w:type="paragraph" w:customStyle="1" w:styleId="Bullet2">
    <w:name w:val="Bullet 2"/>
    <w:basedOn w:val="Normal"/>
    <w:pPr>
      <w:numPr>
        <w:numId w:val="35"/>
      </w:numPr>
    </w:pPr>
  </w:style>
  <w:style w:type="paragraph" w:customStyle="1" w:styleId="Bullet3">
    <w:name w:val="Bullet 3"/>
    <w:basedOn w:val="Normal"/>
    <w:pPr>
      <w:numPr>
        <w:numId w:val="36"/>
      </w:numPr>
    </w:pPr>
  </w:style>
  <w:style w:type="paragraph" w:customStyle="1" w:styleId="Bullet4">
    <w:name w:val="Bullet 4"/>
    <w:basedOn w:val="Normal"/>
    <w:pPr>
      <w:numPr>
        <w:numId w:val="37"/>
      </w:numPr>
    </w:pPr>
  </w:style>
  <w:style w:type="paragraph" w:customStyle="1" w:styleId="Langue">
    <w:name w:val="Langue"/>
    <w:basedOn w:val="Normal"/>
    <w:next w:val="Rfrenceinterne"/>
    <w:pPr>
      <w:framePr w:wrap="around" w:vAnchor="page" w:hAnchor="text" w:xAlign="center" w:y="14741"/>
      <w:spacing w:before="0" w:after="600"/>
      <w:jc w:val="center"/>
    </w:pPr>
    <w:rPr>
      <w:b/>
      <w:caps/>
    </w:rPr>
  </w:style>
  <w:style w:type="paragraph" w:customStyle="1" w:styleId="Nomdelinstitution">
    <w:name w:val="Nom de l'institution"/>
    <w:basedOn w:val="Normal"/>
    <w:next w:val="Emission"/>
    <w:pPr>
      <w:spacing w:before="0" w:after="0"/>
      <w:jc w:val="left"/>
    </w:pPr>
    <w:rPr>
      <w:rFonts w:ascii="Arial" w:hAnsi="Arial" w:cs="Arial"/>
    </w:rPr>
  </w:style>
  <w:style w:type="paragraph" w:customStyle="1" w:styleId="Emission">
    <w:name w:val="Emission"/>
    <w:basedOn w:val="Normal"/>
    <w:next w:val="Rfrenceinstitutionnelle"/>
    <w:pPr>
      <w:spacing w:before="0" w:after="0"/>
      <w:ind w:left="5103"/>
      <w:jc w:val="left"/>
    </w:pPr>
  </w:style>
  <w:style w:type="paragraph" w:customStyle="1" w:styleId="Rfrenceinstitutionnelle">
    <w:name w:val="Référence institutionnelle"/>
    <w:basedOn w:val="Normal"/>
    <w:next w:val="Confidentialit"/>
    <w:pPr>
      <w:spacing w:before="0" w:after="240"/>
      <w:ind w:left="5103"/>
      <w:jc w:val="left"/>
    </w:pPr>
  </w:style>
  <w:style w:type="paragraph" w:customStyle="1" w:styleId="Pagedecouverture">
    <w:name w:val="Page de couverture"/>
    <w:basedOn w:val="Normal"/>
    <w:next w:val="Normal"/>
    <w:pPr>
      <w:spacing w:before="0" w:after="0"/>
    </w:pPr>
  </w:style>
  <w:style w:type="paragraph" w:customStyle="1" w:styleId="Declassification">
    <w:name w:val="Declassification"/>
    <w:basedOn w:val="Normal"/>
    <w:next w:val="Normal"/>
    <w:pPr>
      <w:spacing w:before="0" w:after="0"/>
    </w:pPr>
  </w:style>
  <w:style w:type="paragraph" w:customStyle="1" w:styleId="Disclaimer">
    <w:name w:val="Disclaimer"/>
    <w:basedOn w:val="Normal"/>
    <w:pPr>
      <w:framePr w:w="8220" w:wrap="notBeside" w:hAnchor="margin" w:xAlign="center" w:y="10401"/>
      <w:pBdr>
        <w:top w:val="single" w:sz="6" w:space="4" w:color="auto"/>
        <w:left w:val="single" w:sz="6" w:space="7" w:color="auto"/>
        <w:bottom w:val="single" w:sz="6" w:space="4" w:color="auto"/>
        <w:right w:val="single" w:sz="6" w:space="7" w:color="auto"/>
      </w:pBdr>
      <w:shd w:val="clear" w:color="FFFFFF" w:fill="auto"/>
    </w:pPr>
  </w:style>
  <w:style w:type="paragraph" w:customStyle="1" w:styleId="Annexetitreexpos">
    <w:name w:val="Annexe titre (exposé)"/>
    <w:basedOn w:val="Normal"/>
    <w:next w:val="Normal"/>
    <w:pPr>
      <w:jc w:val="center"/>
    </w:pPr>
    <w:rPr>
      <w:b/>
      <w:u w:val="single"/>
    </w:rPr>
  </w:style>
  <w:style w:type="paragraph" w:customStyle="1" w:styleId="Annexetitre">
    <w:name w:val="Annexe titre"/>
    <w:basedOn w:val="Normal"/>
    <w:next w:val="Normal"/>
    <w:pPr>
      <w:jc w:val="center"/>
    </w:pPr>
    <w:rPr>
      <w:b/>
      <w:u w:val="single"/>
    </w:rPr>
  </w:style>
  <w:style w:type="paragraph" w:customStyle="1" w:styleId="Annexetitrefichefinancire">
    <w:name w:val="Annexe titre (fiche financière)"/>
    <w:basedOn w:val="Normal"/>
    <w:next w:val="Normal"/>
    <w:pPr>
      <w:jc w:val="center"/>
    </w:pPr>
    <w:rPr>
      <w:b/>
      <w:u w:val="single"/>
    </w:rPr>
  </w:style>
  <w:style w:type="paragraph" w:customStyle="1" w:styleId="Applicationdirecte">
    <w:name w:val="Application directe"/>
    <w:basedOn w:val="Normal"/>
    <w:next w:val="Fait"/>
    <w:pPr>
      <w:spacing w:before="480"/>
    </w:pPr>
  </w:style>
  <w:style w:type="paragraph" w:customStyle="1" w:styleId="Avertissementtitre">
    <w:name w:val="Avertissement titre"/>
    <w:basedOn w:val="Normal"/>
    <w:next w:val="Normal"/>
    <w:pPr>
      <w:keepNext/>
      <w:spacing w:before="480"/>
    </w:pPr>
    <w:rPr>
      <w:u w:val="single"/>
    </w:rPr>
  </w:style>
  <w:style w:type="paragraph" w:customStyle="1" w:styleId="Confidence">
    <w:name w:val="Confidence"/>
    <w:basedOn w:val="Normal"/>
    <w:next w:val="Normal"/>
    <w:pPr>
      <w:spacing w:before="360"/>
      <w:jc w:val="center"/>
    </w:pPr>
  </w:style>
  <w:style w:type="paragraph" w:customStyle="1" w:styleId="Confidentialit">
    <w:name w:val="Confidentialité"/>
    <w:basedOn w:val="Normal"/>
    <w:next w:val="TypedudocumentPagedecouverture"/>
    <w:pPr>
      <w:spacing w:before="240" w:after="240"/>
      <w:ind w:left="5103"/>
      <w:jc w:val="left"/>
    </w:pPr>
    <w:rPr>
      <w:i/>
      <w:sz w:val="32"/>
    </w:rPr>
  </w:style>
  <w:style w:type="paragraph" w:customStyle="1" w:styleId="Considrant">
    <w:name w:val="Considérant"/>
    <w:basedOn w:val="Normal"/>
    <w:pPr>
      <w:numPr>
        <w:numId w:val="38"/>
      </w:numPr>
    </w:pPr>
  </w:style>
  <w:style w:type="paragraph" w:customStyle="1" w:styleId="Corrigendum">
    <w:name w:val="Corrigendum"/>
    <w:basedOn w:val="Normal"/>
    <w:next w:val="Normal"/>
    <w:pPr>
      <w:spacing w:before="0" w:after="240"/>
      <w:jc w:val="left"/>
    </w:pPr>
  </w:style>
  <w:style w:type="paragraph" w:customStyle="1" w:styleId="Datedadoption">
    <w:name w:val="Date d'adoption"/>
    <w:basedOn w:val="Normal"/>
    <w:next w:val="IntrtEEE"/>
    <w:pPr>
      <w:spacing w:before="360" w:after="0"/>
      <w:jc w:val="center"/>
    </w:pPr>
    <w:rPr>
      <w:b/>
    </w:rPr>
  </w:style>
  <w:style w:type="paragraph" w:customStyle="1" w:styleId="Exposdesmotifstitre">
    <w:name w:val="Exposé des motifs titre"/>
    <w:basedOn w:val="Normal"/>
    <w:next w:val="Normal"/>
    <w:pPr>
      <w:jc w:val="center"/>
    </w:pPr>
    <w:rPr>
      <w:b/>
      <w:u w:val="single"/>
    </w:rPr>
  </w:style>
  <w:style w:type="paragraph" w:customStyle="1" w:styleId="Fait">
    <w:name w:val="Fait à"/>
    <w:basedOn w:val="Normal"/>
    <w:next w:val="Institutionquisigne"/>
    <w:pPr>
      <w:keepNext/>
      <w:spacing w:after="0"/>
    </w:pPr>
  </w:style>
  <w:style w:type="paragraph" w:customStyle="1" w:styleId="Formuledadoption">
    <w:name w:val="Formule d'adoption"/>
    <w:basedOn w:val="Normal"/>
    <w:next w:val="Titrearticle"/>
    <w:pPr>
      <w:keepNext/>
    </w:pPr>
  </w:style>
  <w:style w:type="paragraph" w:customStyle="1" w:styleId="Institutionquiagit">
    <w:name w:val="Institution qui agit"/>
    <w:basedOn w:val="Normal"/>
    <w:next w:val="Normal"/>
    <w:pPr>
      <w:keepNext/>
      <w:spacing w:before="600"/>
    </w:pPr>
  </w:style>
  <w:style w:type="paragraph" w:customStyle="1" w:styleId="Institutionquisigne">
    <w:name w:val="Institution qui signe"/>
    <w:basedOn w:val="Normal"/>
    <w:next w:val="Personnequisigne"/>
    <w:pPr>
      <w:keepNext/>
      <w:tabs>
        <w:tab w:val="left" w:pos="4252"/>
      </w:tabs>
      <w:spacing w:before="720" w:after="0"/>
    </w:pPr>
    <w:rPr>
      <w:i/>
    </w:rPr>
  </w:style>
  <w:style w:type="paragraph" w:customStyle="1" w:styleId="ManualConsidrant">
    <w:name w:val="Manual Considérant"/>
    <w:basedOn w:val="Normal"/>
    <w:pPr>
      <w:ind w:left="709" w:hanging="709"/>
    </w:pPr>
  </w:style>
  <w:style w:type="paragraph" w:customStyle="1" w:styleId="Personnequisigne">
    <w:name w:val="Personne qui signe"/>
    <w:basedOn w:val="Normal"/>
    <w:next w:val="Institutionquisigne"/>
    <w:pPr>
      <w:tabs>
        <w:tab w:val="left" w:pos="4252"/>
      </w:tabs>
      <w:spacing w:before="0" w:after="0"/>
      <w:jc w:val="left"/>
    </w:pPr>
    <w:rPr>
      <w:i/>
    </w:rPr>
  </w:style>
  <w:style w:type="paragraph" w:customStyle="1" w:styleId="Rfrenceinterinstitutionnelle">
    <w:name w:val="Référence interinstitutionnelle"/>
    <w:basedOn w:val="Normal"/>
    <w:next w:val="Statut"/>
    <w:pPr>
      <w:spacing w:before="0" w:after="0"/>
      <w:ind w:left="5103"/>
      <w:jc w:val="left"/>
    </w:pPr>
  </w:style>
  <w:style w:type="paragraph" w:customStyle="1" w:styleId="Rfrenceinterne">
    <w:name w:val="Référence interne"/>
    <w:basedOn w:val="Normal"/>
    <w:next w:val="Rfrenceinterinstitutionnelle"/>
    <w:pPr>
      <w:spacing w:before="0" w:after="0"/>
      <w:ind w:left="5103"/>
      <w:jc w:val="left"/>
    </w:pPr>
  </w:style>
  <w:style w:type="paragraph" w:customStyle="1" w:styleId="Statut">
    <w:name w:val="Statut"/>
    <w:basedOn w:val="Normal"/>
    <w:next w:val="Typedudocument"/>
    <w:pPr>
      <w:spacing w:before="0" w:after="240"/>
      <w:jc w:val="center"/>
    </w:pPr>
  </w:style>
  <w:style w:type="paragraph" w:customStyle="1" w:styleId="Titrearticle">
    <w:name w:val="Titre article"/>
    <w:basedOn w:val="Normal"/>
    <w:next w:val="Normal"/>
    <w:pPr>
      <w:keepNext/>
      <w:spacing w:before="360"/>
      <w:jc w:val="center"/>
    </w:pPr>
    <w:rPr>
      <w:i/>
    </w:rPr>
  </w:style>
  <w:style w:type="paragraph" w:customStyle="1" w:styleId="Typedudocument">
    <w:name w:val="Type du document"/>
    <w:basedOn w:val="Normal"/>
    <w:next w:val="Accompagnant"/>
    <w:pPr>
      <w:spacing w:before="360" w:after="180"/>
      <w:jc w:val="center"/>
    </w:pPr>
    <w:rPr>
      <w:b/>
    </w:rPr>
  </w:style>
  <w:style w:type="character" w:customStyle="1" w:styleId="Added">
    <w:name w:val="Added"/>
    <w:basedOn w:val="DefaultParagraphFont"/>
    <w:rPr>
      <w:b/>
      <w:u w:val="single"/>
      <w:shd w:val="clear" w:color="auto" w:fill="auto"/>
    </w:rPr>
  </w:style>
  <w:style w:type="character" w:customStyle="1" w:styleId="Deleted">
    <w:name w:val="Deleted"/>
    <w:basedOn w:val="DefaultParagraphFont"/>
    <w:rPr>
      <w:strike/>
      <w:dstrike w:val="0"/>
      <w:shd w:val="clear" w:color="auto" w:fill="auto"/>
    </w:rPr>
  </w:style>
  <w:style w:type="paragraph" w:customStyle="1" w:styleId="Address">
    <w:name w:val="Address"/>
    <w:basedOn w:val="Normal"/>
    <w:next w:val="Normal"/>
    <w:pPr>
      <w:keepLines/>
      <w:spacing w:line="360" w:lineRule="auto"/>
      <w:ind w:left="3402"/>
      <w:jc w:val="left"/>
    </w:pPr>
  </w:style>
  <w:style w:type="paragraph" w:customStyle="1" w:styleId="Objetexterne">
    <w:name w:val="Objet externe"/>
    <w:basedOn w:val="Normal"/>
    <w:next w:val="Normal"/>
    <w:rPr>
      <w:i/>
      <w:caps/>
    </w:rPr>
  </w:style>
  <w:style w:type="paragraph" w:customStyle="1" w:styleId="Supertitre">
    <w:name w:val="Supertitre"/>
    <w:basedOn w:val="Normal"/>
    <w:next w:val="Normal"/>
    <w:pPr>
      <w:spacing w:before="0" w:after="600"/>
      <w:jc w:val="center"/>
    </w:pPr>
    <w:rPr>
      <w:b/>
    </w:rPr>
  </w:style>
  <w:style w:type="paragraph" w:customStyle="1" w:styleId="Languesfaisantfoi">
    <w:name w:val="Langues faisant foi"/>
    <w:basedOn w:val="Normal"/>
    <w:next w:val="Normal"/>
    <w:pPr>
      <w:spacing w:before="360" w:after="0"/>
      <w:jc w:val="center"/>
    </w:pPr>
  </w:style>
  <w:style w:type="paragraph" w:customStyle="1" w:styleId="Rfrencecroise">
    <w:name w:val="Référence croisée"/>
    <w:basedOn w:val="Normal"/>
    <w:pPr>
      <w:spacing w:before="0" w:after="0"/>
      <w:jc w:val="center"/>
    </w:pPr>
  </w:style>
  <w:style w:type="paragraph" w:customStyle="1" w:styleId="Fichefinanciretitre">
    <w:name w:val="Fiche financière titre"/>
    <w:basedOn w:val="Normal"/>
    <w:next w:val="Normal"/>
    <w:pPr>
      <w:jc w:val="center"/>
    </w:pPr>
    <w:rPr>
      <w:b/>
      <w:u w:val="single"/>
    </w:rPr>
  </w:style>
  <w:style w:type="paragraph" w:customStyle="1" w:styleId="DatedadoptionPagedecouverture">
    <w:name w:val="Date d'adoption (Page de couverture)"/>
    <w:basedOn w:val="Datedadoption"/>
    <w:next w:val="IntrtEEEPagedecouverture"/>
  </w:style>
  <w:style w:type="paragraph" w:customStyle="1" w:styleId="RfrenceinterinstitutionnellePagedecouverture">
    <w:name w:val="Référence interinstitutionnelle (Page de couverture)"/>
    <w:basedOn w:val="Rfrenceinterinstitutionnelle"/>
    <w:next w:val="Confidentialit"/>
  </w:style>
  <w:style w:type="paragraph" w:customStyle="1" w:styleId="StatutPagedecouverture">
    <w:name w:val="Statut (Page de couverture)"/>
    <w:basedOn w:val="Statut"/>
    <w:next w:val="TypedudocumentPagedecouverture"/>
  </w:style>
  <w:style w:type="paragraph" w:customStyle="1" w:styleId="TypedudocumentPagedecouverture">
    <w:name w:val="Type du document (Page de couverture)"/>
    <w:basedOn w:val="Typedudocument"/>
    <w:next w:val="AccompagnantPagedecouverture"/>
  </w:style>
  <w:style w:type="paragraph" w:customStyle="1" w:styleId="Volume">
    <w:name w:val="Volume"/>
    <w:basedOn w:val="Normal"/>
    <w:next w:val="Confidentialit"/>
    <w:pPr>
      <w:spacing w:before="0" w:after="240"/>
      <w:ind w:left="5103"/>
      <w:jc w:val="left"/>
    </w:pPr>
  </w:style>
  <w:style w:type="paragraph" w:customStyle="1" w:styleId="IntrtEEE">
    <w:name w:val="Intérêt EEE"/>
    <w:basedOn w:val="Languesfaisantfoi"/>
    <w:next w:val="Normal"/>
    <w:pPr>
      <w:spacing w:after="240"/>
    </w:pPr>
  </w:style>
  <w:style w:type="paragraph" w:customStyle="1" w:styleId="Accompagnant">
    <w:name w:val="Accompagnant"/>
    <w:basedOn w:val="Normal"/>
    <w:next w:val="Typeacteprincipal"/>
    <w:pPr>
      <w:spacing w:before="180" w:after="240"/>
      <w:jc w:val="center"/>
    </w:pPr>
    <w:rPr>
      <w:b/>
    </w:rPr>
  </w:style>
  <w:style w:type="paragraph" w:customStyle="1" w:styleId="Typeacteprincipal">
    <w:name w:val="Type acte principal"/>
    <w:basedOn w:val="Normal"/>
    <w:next w:val="Objetacteprincipal"/>
    <w:pPr>
      <w:spacing w:before="0" w:after="240"/>
      <w:jc w:val="center"/>
    </w:pPr>
    <w:rPr>
      <w:b/>
    </w:rPr>
  </w:style>
  <w:style w:type="paragraph" w:customStyle="1" w:styleId="Objetacteprincipal">
    <w:name w:val="Objet acte principal"/>
    <w:basedOn w:val="Normal"/>
    <w:next w:val="Titrearticle"/>
    <w:pPr>
      <w:spacing w:before="0" w:after="360"/>
      <w:jc w:val="center"/>
    </w:pPr>
    <w:rPr>
      <w:b/>
    </w:rPr>
  </w:style>
  <w:style w:type="paragraph" w:customStyle="1" w:styleId="IntrtEEEPagedecouverture">
    <w:name w:val="Intérêt EEE (Page de couverture)"/>
    <w:basedOn w:val="IntrtEEE"/>
    <w:next w:val="Rfrencecroise"/>
  </w:style>
  <w:style w:type="paragraph" w:customStyle="1" w:styleId="AccompagnantPagedecouverture">
    <w:name w:val="Accompagnant (Page de couverture)"/>
    <w:basedOn w:val="Accompagnant"/>
    <w:next w:val="TypeacteprincipalPagedecouverture"/>
  </w:style>
  <w:style w:type="paragraph" w:customStyle="1" w:styleId="TypeacteprincipalPagedecouverture">
    <w:name w:val="Type acte principal (Page de couverture)"/>
    <w:basedOn w:val="Typeacteprincipal"/>
    <w:next w:val="ObjetacteprincipalPagedecouverture"/>
  </w:style>
  <w:style w:type="paragraph" w:customStyle="1" w:styleId="ObjetacteprincipalPagedecouverture">
    <w:name w:val="Objet acte principal (Page de couverture)"/>
    <w:basedOn w:val="Objetacteprincipal"/>
    <w:next w:val="Rfrencecroise"/>
  </w:style>
  <w:style w:type="paragraph" w:customStyle="1" w:styleId="LanguesfaisantfoiPagedecouverture">
    <w:name w:val="Langues faisant foi (Page de couverture)"/>
    <w:basedOn w:val="Normal"/>
    <w:next w:val="Normal"/>
    <w:pPr>
      <w:spacing w:before="360" w:after="0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image" Target="media/image4.png"/><Relationship Id="rId3" Type="http://schemas.openxmlformats.org/officeDocument/2006/relationships/styles" Target="styles.xml"/><Relationship Id="rId21" Type="http://schemas.openxmlformats.org/officeDocument/2006/relationships/image" Target="media/image7.png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image" Target="media/image3.pn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2.png"/><Relationship Id="rId20" Type="http://schemas.openxmlformats.org/officeDocument/2006/relationships/image" Target="media/image6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23" Type="http://schemas.openxmlformats.org/officeDocument/2006/relationships/footer" Target="footer5.xml"/><Relationship Id="rId10" Type="http://schemas.openxmlformats.org/officeDocument/2006/relationships/header" Target="header1.xml"/><Relationship Id="rId19" Type="http://schemas.openxmlformats.org/officeDocument/2006/relationships/image" Target="media/image5.png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header" Target="header3.xml"/><Relationship Id="rId22" Type="http://schemas.openxmlformats.org/officeDocument/2006/relationships/footer" Target="foot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adhwna\AppData\Roaming\Microsoft\Templates\ANNEX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EDB96CFD-0DF8-4892-B9B1-1884EACC73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ANNEX.dotm</Template>
  <TotalTime>1</TotalTime>
  <Pages>3</Pages>
  <Words>3146</Words>
  <Characters>15921</Characters>
  <Application>Microsoft Office Word</Application>
  <DocSecurity>0</DocSecurity>
  <Lines>758</Lines>
  <Paragraphs>433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Commission</Company>
  <LinksUpToDate>false</LinksUpToDate>
  <CharactersWithSpaces>18798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Sibylle (CLIMA)</dc:creator>
  <cp:lastModifiedBy>WADHWANIA Nadia (MARE-EXT)</cp:lastModifiedBy>
  <cp:revision>12</cp:revision>
  <dcterms:created xsi:type="dcterms:W3CDTF">2018-06-06T08:26:00Z</dcterms:created>
  <dcterms:modified xsi:type="dcterms:W3CDTF">2018-07-03T13:59:00Z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 edited using">
    <vt:lpwstr>LW 6.0, Build 20171009</vt:lpwstr>
  </property>
  <property fmtid="{D5CDD505-2E9C-101B-9397-08002B2CF9AE}" pid="3" name="Category">
    <vt:lpwstr>COM/ANNEX</vt:lpwstr>
  </property>
  <property fmtid="{D5CDD505-2E9C-101B-9397-08002B2CF9AE}" pid="4" name="Level of sensitivity">
    <vt:lpwstr>Standard treatment</vt:lpwstr>
  </property>
  <property fmtid="{D5CDD505-2E9C-101B-9397-08002B2CF9AE}" pid="5" name="First annex">
    <vt:lpwstr>1</vt:lpwstr>
  </property>
  <property fmtid="{D5CDD505-2E9C-101B-9397-08002B2CF9AE}" pid="6" name="Last annex">
    <vt:lpwstr>2</vt:lpwstr>
  </property>
  <property fmtid="{D5CDD505-2E9C-101B-9397-08002B2CF9AE}" pid="7" name="Unique annex">
    <vt:lpwstr>0</vt:lpwstr>
  </property>
  <property fmtid="{D5CDD505-2E9C-101B-9397-08002B2CF9AE}" pid="8" name="Part">
    <vt:lpwstr>&lt;UNUSED&gt;</vt:lpwstr>
  </property>
  <property fmtid="{D5CDD505-2E9C-101B-9397-08002B2CF9AE}" pid="9" name="Total parts">
    <vt:lpwstr>&lt;UNUSED&gt;</vt:lpwstr>
  </property>
  <property fmtid="{D5CDD505-2E9C-101B-9397-08002B2CF9AE}" pid="10" name="LWTemplateID">
    <vt:lpwstr>SG-017</vt:lpwstr>
  </property>
  <property fmtid="{D5CDD505-2E9C-101B-9397-08002B2CF9AE}" pid="11" name="DQCStatus">
    <vt:lpwstr>Yellow (DQC version 03)</vt:lpwstr>
  </property>
</Properties>
</file>