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9548761-9954-4A1D-B7B0-47F439564F42" style="width:450.75pt;height:417pt">
            <v:imagedata r:id="rId8" o:title=""/>
          </v:shape>
        </w:pict>
      </w:r>
    </w:p>
    <w:bookmarkEnd w:id="0"/>
    <w:p>
      <w:pPr>
        <w:spacing w:after="0" w:line="240" w:lineRule="auto"/>
        <w:jc w:val="both"/>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120" w:line="240" w:lineRule="auto"/>
        <w:jc w:val="both"/>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The report and the staff working document (accompanying the report) represent the results of the interim evaluation of the first half time implementation of the Justice Programme (from 2014 to mid-2017). The Justice Programme was designed to overcome the obstacles in the functioning of an effective European Area of Justice</w:t>
      </w:r>
      <w:r>
        <w:rPr>
          <w:rFonts w:ascii="Times New Roman" w:hAnsi="Times New Roman" w:cs="Times New Roman"/>
          <w:noProof/>
          <w:sz w:val="24"/>
          <w:szCs w:val="24"/>
          <w:vertAlign w:val="superscript"/>
          <w:lang w:val="en-GB"/>
        </w:rPr>
        <w:t xml:space="preserve"> </w:t>
      </w:r>
      <w:r>
        <w:rPr>
          <w:rFonts w:ascii="Times New Roman" w:hAnsi="Times New Roman" w:cs="Times New Roman"/>
          <w:noProof/>
          <w:sz w:val="24"/>
          <w:szCs w:val="24"/>
          <w:lang w:val="en-GB"/>
        </w:rPr>
        <w:t xml:space="preserve">and to encourage national judicial systems to have faith in each other’s standards of fairness and justice. </w:t>
      </w:r>
    </w:p>
    <w:p>
      <w:pPr>
        <w:pStyle w:val="Body"/>
        <w:spacing w:before="0"/>
        <w:rPr>
          <w:rFonts w:ascii="Times New Roman" w:hAnsi="Times New Roman"/>
          <w:noProof/>
          <w:sz w:val="24"/>
          <w:szCs w:val="24"/>
        </w:rPr>
      </w:pPr>
      <w:r>
        <w:rPr>
          <w:rFonts w:ascii="Times New Roman" w:hAnsi="Times New Roman"/>
          <w:noProof/>
          <w:sz w:val="24"/>
          <w:szCs w:val="24"/>
        </w:rPr>
        <w:t xml:space="preserve">Its general objective is to contribute to the further development of a European Area of Justice based on mutual recognition and mutual trust. The Programme is further broken down into four specific objectives, namely: 1. The support to judicial cooperation in civil and criminal matters; 2.The promotion of judicial training; 3. The support to an effective access to justice for all; 4. The promotion of initiatives in the field of drug policy. </w:t>
      </w:r>
    </w:p>
    <w:p>
      <w:pPr>
        <w:pStyle w:val="Body"/>
        <w:spacing w:before="0"/>
        <w:rPr>
          <w:rFonts w:ascii="Times New Roman" w:hAnsi="Times New Roman"/>
          <w:noProof/>
          <w:sz w:val="24"/>
          <w:szCs w:val="24"/>
        </w:rPr>
      </w:pPr>
      <w:r>
        <w:rPr>
          <w:rFonts w:ascii="Times New Roman" w:hAnsi="Times New Roman"/>
          <w:noProof/>
          <w:sz w:val="24"/>
          <w:szCs w:val="24"/>
        </w:rPr>
        <w:t xml:space="preserve">The evaluation carried out assessed the Programme's current progress towards its objectives. The findings will contribute to the last work programmes for 2019-2020 and will also inform the design of the Programme for the post-2020 funding period. </w:t>
      </w:r>
    </w:p>
    <w:p>
      <w:pPr>
        <w:spacing w:after="120" w:line="240" w:lineRule="auto"/>
        <w:jc w:val="both"/>
        <w:rPr>
          <w:rFonts w:ascii="Times New Roman" w:eastAsia="Times" w:hAnsi="Times New Roman" w:cs="Times New Roman"/>
          <w:noProof/>
          <w:sz w:val="24"/>
          <w:szCs w:val="24"/>
          <w:lang w:val="en-GB" w:eastAsia="zh-CN"/>
        </w:rPr>
      </w:pPr>
      <w:r>
        <w:rPr>
          <w:rFonts w:ascii="Times New Roman" w:hAnsi="Times New Roman" w:cs="Times New Roman"/>
          <w:noProof/>
          <w:sz w:val="24"/>
          <w:szCs w:val="24"/>
          <w:lang w:val="en-GB"/>
        </w:rPr>
        <w:t xml:space="preserve">The interim evaluation illustrated that the </w:t>
      </w:r>
      <w:r>
        <w:rPr>
          <w:rFonts w:ascii="Times New Roman" w:eastAsia="Times" w:hAnsi="Times New Roman" w:cs="Times New Roman"/>
          <w:noProof/>
          <w:sz w:val="24"/>
          <w:szCs w:val="24"/>
          <w:lang w:val="en-GB" w:eastAsia="zh-CN"/>
        </w:rPr>
        <w:t>Justice Programme is performing generally well at midterm with regard to its specific objectives. In particular, in terms of:</w:t>
      </w:r>
    </w:p>
    <w:p>
      <w:pPr>
        <w:pStyle w:val="BulletBody"/>
        <w:numPr>
          <w:ilvl w:val="0"/>
          <w:numId w:val="3"/>
        </w:numPr>
        <w:rPr>
          <w:rFonts w:ascii="Times New Roman" w:hAnsi="Times New Roman"/>
          <w:b/>
          <w:noProof/>
          <w:sz w:val="24"/>
        </w:rPr>
      </w:pPr>
      <w:r>
        <w:rPr>
          <w:rFonts w:ascii="Times New Roman" w:hAnsi="Times New Roman"/>
          <w:b/>
          <w:noProof/>
          <w:sz w:val="24"/>
        </w:rPr>
        <w:t>Effectiveness</w:t>
      </w:r>
    </w:p>
    <w:p>
      <w:pPr>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t>The analysis of indicators has shown that significant progress has been achieved on several fronts since some targets are close to being achieved and others have already been achieved.</w:t>
      </w:r>
      <w:r>
        <w:rPr>
          <w:rFonts w:ascii="Times New Roman" w:eastAsia="Calibri" w:hAnsi="Times New Roman" w:cs="Times New Roman"/>
          <w:b/>
          <w:noProof/>
          <w:sz w:val="24"/>
          <w:szCs w:val="24"/>
          <w:lang w:val="en-GB"/>
        </w:rPr>
        <w:t xml:space="preserve"> </w:t>
      </w:r>
      <w:r>
        <w:rPr>
          <w:rFonts w:ascii="Times New Roman" w:eastAsia="Calibri" w:hAnsi="Times New Roman" w:cs="Times New Roman"/>
          <w:noProof/>
          <w:sz w:val="24"/>
          <w:szCs w:val="24"/>
          <w:lang w:val="en-GB"/>
        </w:rPr>
        <w:t>Therefore,</w:t>
      </w:r>
      <w:r>
        <w:rPr>
          <w:rFonts w:ascii="Times New Roman" w:eastAsia="Calibri" w:hAnsi="Times New Roman" w:cs="Times New Roman"/>
          <w:b/>
          <w:noProof/>
          <w:sz w:val="24"/>
          <w:szCs w:val="24"/>
          <w:lang w:val="en-GB"/>
        </w:rPr>
        <w:t xml:space="preserve"> the Justice Programme contributes positively to the general objective of the Programme through the progress under its specific objectives</w:t>
      </w:r>
      <w:r>
        <w:rPr>
          <w:rFonts w:ascii="Times New Roman" w:hAnsi="Times New Roman" w:cs="Times New Roman"/>
          <w:b/>
          <w:noProof/>
          <w:sz w:val="24"/>
          <w:szCs w:val="24"/>
          <w:lang w:val="en-GB"/>
        </w:rPr>
        <w:t xml:space="preserve">.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b/>
          <w:noProof/>
          <w:sz w:val="24"/>
          <w:szCs w:val="24"/>
          <w:lang w:val="en-GB"/>
        </w:rPr>
        <w:t>The Programme-specific indicators are adequate to monitor progress towards the objectives of the Programme</w:t>
      </w:r>
      <w:r>
        <w:rPr>
          <w:rFonts w:ascii="Times New Roman" w:eastAsia="Calibri" w:hAnsi="Times New Roman" w:cs="Times New Roman"/>
          <w:noProof/>
          <w:sz w:val="24"/>
          <w:szCs w:val="24"/>
          <w:lang w:val="en-GB"/>
        </w:rPr>
        <w:t>, but sometimes they are difficult to measure</w:t>
      </w:r>
      <w:r>
        <w:rPr>
          <w:rFonts w:ascii="Times New Roman" w:hAnsi="Times New Roman" w:cs="Times New Roman"/>
          <w:noProof/>
          <w:sz w:val="24"/>
          <w:szCs w:val="24"/>
          <w:lang w:val="en-GB"/>
        </w:rPr>
        <w:t xml:space="preserve"> or do not capture certain underlying dynamics.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Overall, the 2014-2020 Justice Programme is broadly perceived by applicants, beneficiaries and stakeholders as an improvement compared to the three predecessor programmes</w:t>
      </w:r>
      <w:r>
        <w:rPr>
          <w:rFonts w:ascii="Times New Roman" w:hAnsi="Times New Roman" w:cs="Times New Roman"/>
          <w:noProof/>
          <w:sz w:val="24"/>
          <w:szCs w:val="24"/>
          <w:lang w:val="en-GB"/>
        </w:rPr>
        <w:t>, both in terms of better policy targeting and better involvement of the right stakeholder groups. The merging of predecessor programmes has been particularly effective in the field of European judicial training since this has reduced the overlaps and enhanced the capacity of training providers.</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Given the wide scope of the general objective of the Programme, a large number of external factors influenced its effectiveness. This, however, did not undermine its intervention logic and its </w:t>
      </w:r>
      <w:r>
        <w:rPr>
          <w:rFonts w:ascii="Times New Roman" w:eastAsia="Calibri" w:hAnsi="Times New Roman" w:cs="Times New Roman"/>
          <w:b/>
          <w:noProof/>
          <w:sz w:val="24"/>
          <w:szCs w:val="24"/>
          <w:lang w:val="en-GB"/>
        </w:rPr>
        <w:t>operational flexibility</w:t>
      </w:r>
      <w:r>
        <w:rPr>
          <w:rFonts w:ascii="Times New Roman" w:eastAsia="Calibri" w:hAnsi="Times New Roman" w:cs="Times New Roman"/>
          <w:noProof/>
          <w:sz w:val="24"/>
          <w:szCs w:val="24"/>
          <w:lang w:val="en-GB"/>
        </w:rPr>
        <w:t>: the annual work programmes can be easily adapted to emerging needs in the area of justice.</w:t>
      </w:r>
    </w:p>
    <w:p>
      <w:pPr>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t xml:space="preserve">Finally, </w:t>
      </w:r>
      <w:r>
        <w:rPr>
          <w:rFonts w:ascii="Times New Roman" w:hAnsi="Times New Roman" w:cs="Times New Roman"/>
          <w:noProof/>
          <w:sz w:val="24"/>
          <w:szCs w:val="24"/>
          <w:lang w:val="en-GB"/>
        </w:rPr>
        <w:t xml:space="preserve">compared to the 2007-2013 period, </w:t>
      </w:r>
      <w:r>
        <w:rPr>
          <w:rFonts w:ascii="Times New Roman" w:hAnsi="Times New Roman" w:cs="Times New Roman"/>
          <w:b/>
          <w:noProof/>
          <w:sz w:val="24"/>
          <w:szCs w:val="24"/>
          <w:lang w:val="en-GB"/>
        </w:rPr>
        <w:t>the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 xml:space="preserve">sustainability of projects </w:t>
      </w:r>
      <w:r>
        <w:rPr>
          <w:rFonts w:ascii="Times New Roman" w:hAnsi="Times New Roman" w:cs="Times New Roman"/>
          <w:noProof/>
          <w:sz w:val="24"/>
          <w:szCs w:val="24"/>
          <w:lang w:val="en-GB"/>
        </w:rPr>
        <w:t>(with their results and outputs)</w:t>
      </w:r>
      <w:r>
        <w:rPr>
          <w:rFonts w:ascii="Times New Roman" w:hAnsi="Times New Roman" w:cs="Times New Roman"/>
          <w:b/>
          <w:noProof/>
          <w:sz w:val="24"/>
          <w:szCs w:val="24"/>
          <w:lang w:val="en-GB"/>
        </w:rPr>
        <w:t xml:space="preserve"> beyond the end of their life-cycle has become an</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increasingly important factor</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to consider in the evaluation process</w:t>
      </w:r>
      <w:r>
        <w:rPr>
          <w:rFonts w:ascii="Times New Roman" w:hAnsi="Times New Roman" w:cs="Times New Roman"/>
          <w:noProof/>
          <w:sz w:val="24"/>
          <w:szCs w:val="24"/>
          <w:lang w:val="en-GB"/>
        </w:rPr>
        <w:t>. However, projects focused on creating tools/outputs might have a more difficult sustainability landscape since, in these cases, sustainability depends on whether the organisations that implemented the projects can receive sufficient resources to maintain the tools once the EU funding is over.</w:t>
      </w:r>
    </w:p>
    <w:p>
      <w:pPr>
        <w:pStyle w:val="BulletBody"/>
        <w:numPr>
          <w:ilvl w:val="0"/>
          <w:numId w:val="3"/>
        </w:numPr>
        <w:rPr>
          <w:rFonts w:ascii="Times New Roman" w:hAnsi="Times New Roman"/>
          <w:b/>
          <w:noProof/>
          <w:sz w:val="24"/>
        </w:rPr>
      </w:pPr>
      <w:r>
        <w:rPr>
          <w:rFonts w:ascii="Times New Roman" w:hAnsi="Times New Roman"/>
          <w:b/>
          <w:noProof/>
          <w:sz w:val="24"/>
        </w:rPr>
        <w:t>Relevance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According to all interviewed beneficiaries, the Programme is highly relevant to address the needs of selected target groups</w:t>
      </w:r>
      <w:r>
        <w:rPr>
          <w:rFonts w:ascii="Times New Roman" w:hAnsi="Times New Roman" w:cs="Times New Roman"/>
          <w:noProof/>
          <w:sz w:val="24"/>
          <w:szCs w:val="24"/>
          <w:lang w:val="en-GB"/>
        </w:rPr>
        <w:t xml:space="preserve">. Indeed, one of the key features of the Programme has been its ability to adapt and modify the priorities in light of emerging needs. This can be </w:t>
      </w:r>
      <w:r>
        <w:rPr>
          <w:rFonts w:ascii="Times New Roman" w:hAnsi="Times New Roman" w:cs="Times New Roman"/>
          <w:noProof/>
          <w:sz w:val="24"/>
          <w:szCs w:val="24"/>
          <w:lang w:val="en-GB"/>
        </w:rPr>
        <w:lastRenderedPageBreak/>
        <w:t xml:space="preserve">achieved thanks to the unique structure of the Justice Programme, as the Programme has been devised with broad specific objectives. </w:t>
      </w:r>
    </w:p>
    <w:p>
      <w:pPr>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b/>
          <w:noProof/>
          <w:sz w:val="24"/>
          <w:szCs w:val="24"/>
          <w:lang w:val="en-GB"/>
        </w:rPr>
        <w:t>The specific objective concerning the initiatives in the field of drug policies is sometimes difficult to reconcile with other Programme priorities</w:t>
      </w:r>
      <w:r>
        <w:rPr>
          <w:rFonts w:ascii="Times New Roman" w:eastAsia="Calibri" w:hAnsi="Times New Roman" w:cs="Times New Roman"/>
          <w:noProof/>
          <w:sz w:val="24"/>
          <w:szCs w:val="24"/>
          <w:lang w:val="en-GB"/>
        </w:rPr>
        <w:t xml:space="preserve">. </w:t>
      </w:r>
      <w:r>
        <w:rPr>
          <w:rFonts w:ascii="Times New Roman" w:hAnsi="Times New Roman" w:cs="Times New Roman"/>
          <w:noProof/>
          <w:sz w:val="24"/>
          <w:szCs w:val="24"/>
          <w:lang w:val="en-GB"/>
        </w:rPr>
        <w:t xml:space="preserve">In general, however, the </w:t>
      </w:r>
      <w:r>
        <w:rPr>
          <w:rFonts w:ascii="Times New Roman" w:hAnsi="Times New Roman" w:cs="Times New Roman"/>
          <w:b/>
          <w:noProof/>
          <w:sz w:val="24"/>
          <w:szCs w:val="24"/>
          <w:lang w:val="en-GB"/>
        </w:rPr>
        <w:t>needs identified at the time of the Programme’s adoption are still actual and relevant</w:t>
      </w:r>
      <w:r>
        <w:rPr>
          <w:rFonts w:ascii="Times New Roman" w:hAnsi="Times New Roman" w:cs="Times New Roman"/>
          <w:noProof/>
          <w:sz w:val="24"/>
          <w:szCs w:val="24"/>
          <w:lang w:val="en-GB"/>
        </w:rPr>
        <w:t>.</w:t>
      </w:r>
    </w:p>
    <w:p>
      <w:pPr>
        <w:pStyle w:val="BulletBody"/>
        <w:numPr>
          <w:ilvl w:val="0"/>
          <w:numId w:val="0"/>
        </w:numPr>
        <w:rPr>
          <w:rFonts w:ascii="Times New Roman" w:hAnsi="Times New Roman"/>
          <w:noProof/>
          <w:sz w:val="24"/>
        </w:rPr>
      </w:pPr>
      <w:r>
        <w:rPr>
          <w:rFonts w:ascii="Times New Roman" w:hAnsi="Times New Roman"/>
          <w:noProof/>
          <w:sz w:val="24"/>
        </w:rPr>
        <w:t xml:space="preserve">With respect to stakeholder needs, there is still scope to further increase the relevance of the Programme so as to ensure that priorities related to each specific objective are in line with the current key needs of the stakeholders. Moreover, the Programme could include additional target groups that are relevant to the achievement of its general objective. This is however currently not possible under the legal basis of the Justice Programme. </w:t>
      </w:r>
    </w:p>
    <w:p>
      <w:pPr>
        <w:pStyle w:val="BulletBody"/>
        <w:numPr>
          <w:ilvl w:val="0"/>
          <w:numId w:val="3"/>
        </w:numPr>
        <w:rPr>
          <w:rFonts w:ascii="Times New Roman" w:hAnsi="Times New Roman"/>
          <w:noProof/>
          <w:sz w:val="24"/>
        </w:rPr>
      </w:pPr>
      <w:r>
        <w:rPr>
          <w:rFonts w:ascii="Times New Roman" w:hAnsi="Times New Roman"/>
          <w:b/>
          <w:noProof/>
          <w:sz w:val="24"/>
        </w:rPr>
        <w:t>Efficiency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Justice Programme has been cost-effective relative to the actions it has funded so far.</w:t>
      </w:r>
      <w:r>
        <w:rPr>
          <w:rFonts w:ascii="Times New Roman" w:hAnsi="Times New Roman" w:cs="Times New Roman"/>
          <w:noProof/>
          <w:sz w:val="24"/>
          <w:szCs w:val="24"/>
          <w:lang w:val="en-GB"/>
        </w:rPr>
        <w:t xml:space="preserve"> Indeed, the results of the evaluation have shown that the beneficiaries’ perception of the efficiency of the Programme is positive. This is true for the Programme as a whole, but, in particular,</w:t>
      </w:r>
      <w:r>
        <w:rPr>
          <w:rFonts w:ascii="Times New Roman" w:hAnsi="Times New Roman" w:cs="Times New Roman"/>
          <w:b/>
          <w:noProof/>
          <w:sz w:val="24"/>
          <w:szCs w:val="24"/>
          <w:lang w:val="en-GB"/>
        </w:rPr>
        <w:t xml:space="preserve"> for the specific objective on judicial training</w:t>
      </w:r>
      <w:r>
        <w:rPr>
          <w:rFonts w:ascii="Times New Roman" w:hAnsi="Times New Roman" w:cs="Times New Roman"/>
          <w:noProof/>
          <w:sz w:val="24"/>
          <w:szCs w:val="24"/>
          <w:lang w:val="en-GB"/>
        </w:rPr>
        <w:t>.</w:t>
      </w:r>
    </w:p>
    <w:p>
      <w:pPr>
        <w:spacing w:after="120" w:line="240" w:lineRule="auto"/>
        <w:jc w:val="both"/>
        <w:rPr>
          <w:rFonts w:ascii="Times New Roman" w:eastAsia="Calibri" w:hAnsi="Times New Roman" w:cs="Times New Roman"/>
          <w:noProof/>
          <w:sz w:val="24"/>
          <w:szCs w:val="24"/>
          <w:lang w:val="en-GB"/>
        </w:rPr>
      </w:pPr>
      <w:r>
        <w:rPr>
          <w:rFonts w:ascii="Times New Roman" w:eastAsia="Times New Roman" w:hAnsi="Times New Roman" w:cs="Times New Roman"/>
          <w:noProof/>
          <w:sz w:val="24"/>
          <w:szCs w:val="24"/>
          <w:lang w:val="en-GB"/>
        </w:rPr>
        <w:t xml:space="preserve">A key achievement of the Programme, compared to its predecessors, has been the </w:t>
      </w:r>
      <w:r>
        <w:rPr>
          <w:rFonts w:ascii="Times New Roman" w:eastAsia="Times New Roman" w:hAnsi="Times New Roman" w:cs="Times New Roman"/>
          <w:b/>
          <w:noProof/>
          <w:sz w:val="24"/>
          <w:szCs w:val="24"/>
          <w:lang w:val="en-GB"/>
        </w:rPr>
        <w:t>lower burden on beneficiaries in terms of time and financial resources</w:t>
      </w:r>
      <w:r>
        <w:rPr>
          <w:rFonts w:ascii="Times New Roman" w:eastAsia="Calibri" w:hAnsi="Times New Roman" w:cs="Times New Roman"/>
          <w:noProof/>
          <w:sz w:val="24"/>
          <w:szCs w:val="24"/>
          <w:lang w:val="en-GB"/>
        </w:rPr>
        <w:t xml:space="preserve">. Nevertheless, there is still room for improvement in terms of easing requirements and obligations to make the Programme even more efficient in its implementation (see more under “Scope for simplification”).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According to beneficiaries, </w:t>
      </w:r>
      <w:r>
        <w:rPr>
          <w:rFonts w:ascii="Times New Roman" w:eastAsia="Calibri" w:hAnsi="Times New Roman" w:cs="Times New Roman"/>
          <w:b/>
          <w:noProof/>
          <w:sz w:val="24"/>
          <w:szCs w:val="24"/>
          <w:lang w:val="en-GB"/>
        </w:rPr>
        <w:t>the current instruments (action grants, operating grants and procurement activities) are adequate for the needs of the Programme</w:t>
      </w:r>
      <w:r>
        <w:rPr>
          <w:rFonts w:ascii="Times New Roman" w:eastAsia="Calibri" w:hAnsi="Times New Roman" w:cs="Times New Roman"/>
          <w:noProof/>
          <w:sz w:val="24"/>
          <w:szCs w:val="24"/>
          <w:lang w:val="en-GB"/>
        </w:rPr>
        <w:t xml:space="preserve"> and, therefore, using alternative and innovative funding instruments is not necessary. However,</w:t>
      </w:r>
      <w:r>
        <w:rPr>
          <w:rFonts w:ascii="Times New Roman" w:eastAsia="Times New Roman" w:hAnsi="Times New Roman" w:cs="Times New Roman"/>
          <w:noProof/>
          <w:sz w:val="24"/>
          <w:szCs w:val="24"/>
          <w:lang w:val="en-GB"/>
        </w:rPr>
        <w:t xml:space="preserve"> the efficiency of their implementation should continue</w:t>
      </w:r>
      <w:r>
        <w:rPr>
          <w:rFonts w:ascii="Times New Roman" w:eastAsia="Calibri" w:hAnsi="Times New Roman" w:cs="Times New Roman"/>
          <w:noProof/>
          <w:sz w:val="24"/>
          <w:szCs w:val="24"/>
          <w:lang w:val="en-GB"/>
        </w:rPr>
        <w:t xml:space="preserve"> to be improved, notably with regard to procurement actions</w:t>
      </w:r>
      <w:r>
        <w:rPr>
          <w:rFonts w:ascii="Times New Roman" w:eastAsia="Times New Roman" w:hAnsi="Times New Roman" w:cs="Times New Roman"/>
          <w:noProof/>
          <w:sz w:val="24"/>
          <w:szCs w:val="24"/>
          <w:lang w:val="en-GB"/>
        </w:rPr>
        <w:t>.</w:t>
      </w:r>
      <w:r>
        <w:rPr>
          <w:rFonts w:ascii="Times New Roman" w:eastAsia="Calibri" w:hAnsi="Times New Roman" w:cs="Times New Roman"/>
          <w:noProof/>
          <w:sz w:val="24"/>
          <w:szCs w:val="24"/>
          <w:lang w:val="en-GB"/>
        </w:rPr>
        <w:t xml:space="preserve"> </w:t>
      </w:r>
    </w:p>
    <w:p>
      <w:pPr>
        <w:pStyle w:val="BulletBody"/>
        <w:numPr>
          <w:ilvl w:val="0"/>
          <w:numId w:val="3"/>
        </w:numPr>
        <w:rPr>
          <w:rFonts w:ascii="Times New Roman" w:hAnsi="Times New Roman"/>
          <w:b/>
          <w:noProof/>
          <w:sz w:val="24"/>
        </w:rPr>
      </w:pPr>
      <w:r>
        <w:rPr>
          <w:rFonts w:ascii="Times New Roman" w:hAnsi="Times New Roman"/>
          <w:b/>
          <w:noProof/>
          <w:sz w:val="24"/>
        </w:rPr>
        <w:t>Coherence, Complementarity, Synergies</w:t>
      </w:r>
    </w:p>
    <w:p>
      <w:pPr>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b/>
          <w:noProof/>
          <w:color w:val="000000" w:themeColor="text1"/>
          <w:sz w:val="24"/>
          <w:szCs w:val="24"/>
          <w:lang w:val="en-GB"/>
        </w:rPr>
        <w:t>The Programme presents a good level of coherence and complementarity with other EU instruments, programmes and actions (</w:t>
      </w:r>
      <w:r>
        <w:rPr>
          <w:rFonts w:ascii="Times New Roman" w:eastAsia="Times New Roman" w:hAnsi="Times New Roman" w:cs="Times New Roman"/>
          <w:noProof/>
          <w:color w:val="000000" w:themeColor="text1"/>
          <w:sz w:val="24"/>
          <w:szCs w:val="24"/>
          <w:lang w:val="en-GB"/>
        </w:rPr>
        <w:t>for instance, there is a very high coherence with the European Agenda for Justice 2020</w:t>
      </w:r>
      <w:r>
        <w:rPr>
          <w:rFonts w:ascii="Times New Roman" w:eastAsia="Times New Roman" w:hAnsi="Times New Roman" w:cs="Times New Roman"/>
          <w:b/>
          <w:noProof/>
          <w:color w:val="000000" w:themeColor="text1"/>
          <w:sz w:val="24"/>
          <w:szCs w:val="24"/>
          <w:lang w:val="en-GB"/>
        </w:rPr>
        <w:t>) and the risk of duplications or incoherence is very low</w:t>
      </w:r>
      <w:r>
        <w:rPr>
          <w:rFonts w:ascii="Times New Roman" w:eastAsia="Times New Roman" w:hAnsi="Times New Roman" w:cs="Times New Roman"/>
          <w:noProof/>
          <w:color w:val="000000" w:themeColor="text1"/>
          <w:sz w:val="24"/>
          <w:szCs w:val="24"/>
          <w:lang w:val="en-GB"/>
        </w:rPr>
        <w:t xml:space="preserve">. Especially in the case of judicial training, the merging of the predecessor programmes has increased the coherence with other EU initiatives and </w:t>
      </w:r>
      <w:r>
        <w:rPr>
          <w:rFonts w:ascii="Times New Roman" w:hAnsi="Times New Roman" w:cs="Times New Roman"/>
          <w:noProof/>
          <w:color w:val="000000" w:themeColor="text1"/>
          <w:sz w:val="24"/>
          <w:szCs w:val="24"/>
          <w:lang w:val="en-GB"/>
        </w:rPr>
        <w:t>among different training objectives and reduced the possibility of duplications, both in scope and in funding</w:t>
      </w:r>
      <w:r>
        <w:rPr>
          <w:rFonts w:ascii="Times New Roman" w:eastAsia="Times New Roman" w:hAnsi="Times New Roman" w:cs="Times New Roman"/>
          <w:noProof/>
          <w:color w:val="000000" w:themeColor="text1"/>
          <w:sz w:val="24"/>
          <w:szCs w:val="24"/>
          <w:lang w:val="en-GB"/>
        </w:rPr>
        <w:t xml:space="preserve">. Some exceptional overlaps in terms </w:t>
      </w:r>
      <w:r>
        <w:rPr>
          <w:rFonts w:ascii="Times New Roman" w:hAnsi="Times New Roman" w:cs="Times New Roman"/>
          <w:noProof/>
          <w:color w:val="000000" w:themeColor="text1"/>
          <w:sz w:val="24"/>
          <w:szCs w:val="24"/>
          <w:lang w:val="en-GB"/>
        </w:rPr>
        <w:t>of objectives, target groups and actions</w:t>
      </w:r>
      <w:r>
        <w:rPr>
          <w:rFonts w:ascii="Times New Roman" w:eastAsia="Times New Roman" w:hAnsi="Times New Roman" w:cs="Times New Roman"/>
          <w:noProof/>
          <w:color w:val="000000" w:themeColor="text1"/>
          <w:sz w:val="24"/>
          <w:szCs w:val="24"/>
          <w:lang w:val="en-GB"/>
        </w:rPr>
        <w:t xml:space="preserve"> still exist as a natural consequence of the broad objectives and target groups covered by the Programme.</w:t>
      </w:r>
    </w:p>
    <w:p>
      <w:pPr>
        <w:spacing w:after="120"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 xml:space="preserve">In any case, there is still potential for strengthening the synergies with other EU funding programmes and initiatives. </w:t>
      </w:r>
      <w:r>
        <w:rPr>
          <w:rFonts w:ascii="Times New Roman" w:hAnsi="Times New Roman" w:cs="Times New Roman"/>
          <w:noProof/>
          <w:color w:val="000000" w:themeColor="text1"/>
          <w:sz w:val="24"/>
          <w:szCs w:val="24"/>
          <w:lang w:val="en-GB"/>
        </w:rPr>
        <w:t>This is the case, for instance, of the drugs policy area, where the coordination with the Health for Growth Programme could be increased.</w:t>
      </w:r>
    </w:p>
    <w:p>
      <w:pPr>
        <w:spacing w:after="120" w:line="240" w:lineRule="auto"/>
        <w:jc w:val="both"/>
        <w:rPr>
          <w:rFonts w:ascii="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eastAsia="ro-RO"/>
        </w:rPr>
        <w:t>According to interviewed stakeholders,</w:t>
      </w:r>
      <w:r>
        <w:rPr>
          <w:rFonts w:ascii="Times New Roman" w:eastAsia="Times New Roman" w:hAnsi="Times New Roman" w:cs="Times New Roman"/>
          <w:b/>
          <w:noProof/>
          <w:color w:val="000000" w:themeColor="text1"/>
          <w:sz w:val="24"/>
          <w:szCs w:val="24"/>
          <w:lang w:val="en-GB" w:eastAsia="ro-RO"/>
        </w:rPr>
        <w:t xml:space="preserve"> the coherence with national </w:t>
      </w:r>
      <w:r>
        <w:rPr>
          <w:rFonts w:ascii="Times New Roman" w:hAnsi="Times New Roman" w:cs="Times New Roman"/>
          <w:b/>
          <w:noProof/>
          <w:color w:val="000000" w:themeColor="text1"/>
          <w:sz w:val="24"/>
          <w:szCs w:val="24"/>
          <w:lang w:val="en-GB"/>
        </w:rPr>
        <w:t>policies and initiatives with similar objectives and/or targeting the same areas</w:t>
      </w:r>
      <w:r>
        <w:rPr>
          <w:rFonts w:ascii="Times New Roman" w:eastAsia="Times New Roman" w:hAnsi="Times New Roman" w:cs="Times New Roman"/>
          <w:b/>
          <w:noProof/>
          <w:color w:val="000000" w:themeColor="text1"/>
          <w:sz w:val="24"/>
          <w:szCs w:val="24"/>
          <w:lang w:val="en-GB" w:eastAsia="ro-RO"/>
        </w:rPr>
        <w:t xml:space="preserve"> is high. </w:t>
      </w:r>
      <w:r>
        <w:rPr>
          <w:rFonts w:ascii="Times New Roman" w:hAnsi="Times New Roman" w:cs="Times New Roman"/>
          <w:b/>
          <w:noProof/>
          <w:color w:val="000000" w:themeColor="text1"/>
          <w:sz w:val="24"/>
          <w:szCs w:val="24"/>
          <w:lang w:val="en-GB"/>
        </w:rPr>
        <w:t>The Programme fills the gaps left by national actions</w:t>
      </w:r>
      <w:r>
        <w:rPr>
          <w:rFonts w:ascii="Times New Roman" w:hAnsi="Times New Roman" w:cs="Times New Roman"/>
          <w:noProof/>
          <w:color w:val="000000" w:themeColor="text1"/>
          <w:sz w:val="24"/>
          <w:szCs w:val="24"/>
          <w:lang w:val="en-GB"/>
        </w:rPr>
        <w:t xml:space="preserve">, while existing national projects and initiatives complement the Programme rather than being in contrast with it or a mere duplication. </w:t>
      </w:r>
    </w:p>
    <w:p>
      <w:pPr>
        <w:spacing w:after="120" w:line="240" w:lineRule="auto"/>
        <w:jc w:val="both"/>
        <w:rPr>
          <w:rFonts w:ascii="Times New Roman"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The</w:t>
      </w:r>
      <w:r>
        <w:rPr>
          <w:rFonts w:ascii="Times New Roman" w:hAnsi="Times New Roman" w:cs="Times New Roman"/>
          <w:noProof/>
          <w:color w:val="000000" w:themeColor="text1"/>
          <w:sz w:val="24"/>
          <w:szCs w:val="24"/>
          <w:lang w:val="en-GB"/>
        </w:rPr>
        <w:t xml:space="preserve"> </w:t>
      </w:r>
      <w:r>
        <w:rPr>
          <w:rFonts w:ascii="Times New Roman" w:hAnsi="Times New Roman" w:cs="Times New Roman"/>
          <w:b/>
          <w:noProof/>
          <w:color w:val="000000" w:themeColor="text1"/>
          <w:sz w:val="24"/>
          <w:szCs w:val="24"/>
          <w:lang w:val="en-GB"/>
        </w:rPr>
        <w:t>Justice Programme is coherent also with international obligations</w:t>
      </w:r>
      <w:r>
        <w:rPr>
          <w:rFonts w:ascii="Times New Roman" w:hAnsi="Times New Roman" w:cs="Times New Roman"/>
          <w:noProof/>
          <w:color w:val="000000" w:themeColor="text1"/>
          <w:sz w:val="24"/>
          <w:szCs w:val="24"/>
          <w:lang w:val="en-GB"/>
        </w:rPr>
        <w:t xml:space="preserve">, such as the UN 2030 Sustainable Development Agenda. Moreover, the EU is party to The Hague Conference </w:t>
      </w:r>
      <w:r>
        <w:rPr>
          <w:rFonts w:ascii="Times New Roman" w:hAnsi="Times New Roman" w:cs="Times New Roman"/>
          <w:noProof/>
          <w:color w:val="000000" w:themeColor="text1"/>
          <w:sz w:val="24"/>
          <w:szCs w:val="24"/>
          <w:lang w:val="en-GB"/>
        </w:rPr>
        <w:lastRenderedPageBreak/>
        <w:t>on Private International Law and pursues its international action in relation to civil justice mainly through this international organisation.</w:t>
      </w:r>
    </w:p>
    <w:p>
      <w:pPr>
        <w:pStyle w:val="BulletBody"/>
        <w:numPr>
          <w:ilvl w:val="0"/>
          <w:numId w:val="3"/>
        </w:numPr>
        <w:rPr>
          <w:rFonts w:ascii="Times New Roman" w:eastAsia="Calibri" w:hAnsi="Times New Roman"/>
          <w:b/>
          <w:noProof/>
          <w:sz w:val="24"/>
        </w:rPr>
      </w:pPr>
      <w:r>
        <w:rPr>
          <w:rFonts w:ascii="Times New Roman" w:eastAsia="Calibri" w:hAnsi="Times New Roman"/>
          <w:b/>
          <w:noProof/>
          <w:sz w:val="24"/>
        </w:rPr>
        <w:t>EU added value</w:t>
      </w:r>
    </w:p>
    <w:p>
      <w:pPr>
        <w:tabs>
          <w:tab w:val="num" w:pos="283"/>
        </w:tabs>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b/>
          <w:noProof/>
          <w:color w:val="000000" w:themeColor="text1"/>
          <w:sz w:val="24"/>
          <w:szCs w:val="24"/>
          <w:lang w:val="en-GB"/>
        </w:rPr>
        <w:t>All evidence collected confirms the high added value of the Programme intervention</w:t>
      </w:r>
      <w:r>
        <w:rPr>
          <w:rFonts w:ascii="Times New Roman" w:eastAsia="Times New Roman" w:hAnsi="Times New Roman" w:cs="Times New Roman"/>
          <w:noProof/>
          <w:color w:val="000000" w:themeColor="text1"/>
          <w:sz w:val="24"/>
          <w:szCs w:val="24"/>
          <w:lang w:val="en-GB"/>
        </w:rPr>
        <w:t xml:space="preserve">, which is considered </w:t>
      </w:r>
      <w:r>
        <w:rPr>
          <w:rFonts w:ascii="Times New Roman" w:eastAsia="Times New Roman" w:hAnsi="Times New Roman" w:cs="Times New Roman"/>
          <w:i/>
          <w:noProof/>
          <w:color w:val="000000" w:themeColor="text1"/>
          <w:sz w:val="24"/>
          <w:szCs w:val="24"/>
          <w:lang w:val="en-GB"/>
        </w:rPr>
        <w:t>de facto</w:t>
      </w:r>
      <w:r>
        <w:rPr>
          <w:rFonts w:ascii="Times New Roman" w:eastAsia="Times New Roman" w:hAnsi="Times New Roman" w:cs="Times New Roman"/>
          <w:noProof/>
          <w:color w:val="000000" w:themeColor="text1"/>
          <w:sz w:val="24"/>
          <w:szCs w:val="24"/>
          <w:lang w:val="en-GB"/>
        </w:rPr>
        <w:t xml:space="preserve"> instrumental for a good and effective achievement of objectives in the area of justice. </w:t>
      </w:r>
    </w:p>
    <w:p>
      <w:pPr>
        <w:tabs>
          <w:tab w:val="num" w:pos="283"/>
        </w:tabs>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The results of the evaluation show that the survey respondents agree in saying that not only the funded activities would have not been possible without the EU intervention, but also confirmed that the same results would have not been achieved with Member States intervention only. T</w:t>
      </w:r>
      <w:r>
        <w:rPr>
          <w:rFonts w:ascii="Times New Roman" w:eastAsia="Times New Roman" w:hAnsi="Times New Roman" w:cs="Times New Roman"/>
          <w:noProof/>
          <w:color w:val="000000" w:themeColor="text1"/>
          <w:sz w:val="24"/>
          <w:szCs w:val="24"/>
          <w:lang w:val="en-GB"/>
        </w:rPr>
        <w:t xml:space="preserve">he EU added value of the Justice Programme is evident, above all, in the promotion of transnational projects with a European dimension to tackle cross-border issues and in the provision of financial resources to fund activities in key areas that are not necessarily high on the agenda of </w:t>
      </w:r>
      <w:r>
        <w:rPr>
          <w:rFonts w:ascii="Times New Roman" w:hAnsi="Times New Roman" w:cs="Times New Roman"/>
          <w:noProof/>
          <w:color w:val="000000" w:themeColor="text1"/>
          <w:sz w:val="24"/>
          <w:szCs w:val="24"/>
          <w:lang w:val="en-GB"/>
        </w:rPr>
        <w:t xml:space="preserve">Member States, due to lack of political will </w:t>
      </w:r>
      <w:r>
        <w:rPr>
          <w:rFonts w:ascii="Times New Roman" w:eastAsia="Times New Roman" w:hAnsi="Times New Roman" w:cs="Times New Roman"/>
          <w:noProof/>
          <w:color w:val="000000" w:themeColor="text1"/>
          <w:sz w:val="24"/>
          <w:szCs w:val="24"/>
          <w:lang w:val="en-GB"/>
        </w:rPr>
        <w:t>or to</w:t>
      </w:r>
      <w:r>
        <w:rPr>
          <w:rFonts w:ascii="Times New Roman" w:hAnsi="Times New Roman" w:cs="Times New Roman"/>
          <w:noProof/>
          <w:color w:val="000000" w:themeColor="text1"/>
          <w:sz w:val="24"/>
          <w:szCs w:val="24"/>
          <w:lang w:val="en-GB"/>
        </w:rPr>
        <w:t xml:space="preserve"> lack of national funding. Moreover, the Justice Programme ensures the continued existence of European networks, such as the European Judicial Training Network.</w:t>
      </w:r>
    </w:p>
    <w:p>
      <w:pPr>
        <w:pStyle w:val="Body"/>
        <w:spacing w:before="0"/>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The results of the evaluation show that the </w:t>
      </w:r>
      <w:r>
        <w:rPr>
          <w:rFonts w:ascii="Times New Roman" w:hAnsi="Times New Roman"/>
          <w:b/>
          <w:noProof/>
          <w:color w:val="000000" w:themeColor="text1"/>
          <w:sz w:val="24"/>
          <w:szCs w:val="24"/>
        </w:rPr>
        <w:t>issues and areas addressed by the Justice Programme would require further action</w:t>
      </w:r>
      <w:r>
        <w:rPr>
          <w:rFonts w:ascii="Times New Roman" w:hAnsi="Times New Roman"/>
          <w:noProof/>
          <w:color w:val="000000" w:themeColor="text1"/>
          <w:sz w:val="24"/>
          <w:szCs w:val="24"/>
        </w:rPr>
        <w:t xml:space="preserve"> </w:t>
      </w:r>
      <w:r>
        <w:rPr>
          <w:rFonts w:ascii="Times New Roman" w:hAnsi="Times New Roman"/>
          <w:b/>
          <w:noProof/>
          <w:color w:val="000000" w:themeColor="text1"/>
          <w:sz w:val="24"/>
          <w:szCs w:val="24"/>
        </w:rPr>
        <w:t>and involvement at EU level</w:t>
      </w:r>
      <w:r>
        <w:rPr>
          <w:rFonts w:ascii="Times New Roman" w:hAnsi="Times New Roman"/>
          <w:noProof/>
          <w:color w:val="000000" w:themeColor="text1"/>
          <w:sz w:val="24"/>
          <w:szCs w:val="24"/>
        </w:rPr>
        <w:t>. Indeed, the demand of EU action in these fields and the fact that the number of applications to the Programme are still higher than the number of awarded grants demonstrate a clear interest in the priorities addressed by the Programme.</w:t>
      </w:r>
    </w:p>
    <w:p>
      <w:pPr>
        <w:pStyle w:val="BulletBody"/>
        <w:numPr>
          <w:ilvl w:val="0"/>
          <w:numId w:val="3"/>
        </w:numPr>
        <w:rPr>
          <w:rFonts w:ascii="Times New Roman" w:hAnsi="Times New Roman"/>
          <w:b/>
          <w:noProof/>
          <w:sz w:val="24"/>
        </w:rPr>
      </w:pPr>
      <w:r>
        <w:rPr>
          <w:rFonts w:ascii="Times New Roman" w:hAnsi="Times New Roman"/>
          <w:b/>
          <w:noProof/>
          <w:sz w:val="24"/>
        </w:rPr>
        <w:t>Equity</w:t>
      </w:r>
    </w:p>
    <w:p>
      <w:pPr>
        <w:spacing w:after="120" w:line="240" w:lineRule="auto"/>
        <w:jc w:val="both"/>
        <w:rPr>
          <w:rFonts w:ascii="Times New Roman" w:eastAsia="Calibri" w:hAnsi="Times New Roman" w:cs="Times New Roman"/>
          <w:noProof/>
          <w:color w:val="000000" w:themeColor="text1"/>
          <w:sz w:val="24"/>
          <w:szCs w:val="24"/>
          <w:lang w:val="en-GB"/>
        </w:rPr>
      </w:pPr>
      <w:r>
        <w:rPr>
          <w:rFonts w:ascii="Times New Roman" w:hAnsi="Times New Roman" w:cs="Times New Roman"/>
          <w:b/>
          <w:noProof/>
          <w:color w:val="000000" w:themeColor="text1"/>
          <w:sz w:val="24"/>
          <w:szCs w:val="24"/>
          <w:lang w:val="en-GB"/>
        </w:rPr>
        <w:t xml:space="preserve">The promotion of the cross-cutting priorities of gender equality, rights of child and rights of people with disabilities is highly significant for the Justice Programme and it’s enshrined in its legal basis. </w:t>
      </w:r>
      <w:r>
        <w:rPr>
          <w:rFonts w:ascii="Times New Roman" w:hAnsi="Times New Roman" w:cs="Times New Roman"/>
          <w:noProof/>
          <w:color w:val="000000" w:themeColor="text1"/>
          <w:sz w:val="24"/>
          <w:szCs w:val="24"/>
          <w:lang w:val="en-GB"/>
        </w:rPr>
        <w:t>In particular, the principles of</w:t>
      </w:r>
      <w:r>
        <w:rPr>
          <w:rFonts w:ascii="Times New Roman" w:hAnsi="Times New Roman" w:cs="Times New Roman"/>
          <w:b/>
          <w:noProof/>
          <w:color w:val="000000" w:themeColor="text1"/>
          <w:sz w:val="24"/>
          <w:szCs w:val="24"/>
          <w:lang w:val="en-GB"/>
        </w:rPr>
        <w:t xml:space="preserve"> </w:t>
      </w:r>
      <w:r>
        <w:rPr>
          <w:rFonts w:ascii="Times New Roman" w:hAnsi="Times New Roman" w:cs="Times New Roman"/>
          <w:noProof/>
          <w:color w:val="000000" w:themeColor="text1"/>
          <w:sz w:val="24"/>
          <w:szCs w:val="24"/>
          <w:lang w:val="en-GB"/>
        </w:rPr>
        <w:t xml:space="preserve">gender and child rights mainstreaming are evaluated during the evaluation process under the quality of proposals. However, the evaluation showed that, </w:t>
      </w:r>
      <w:r>
        <w:rPr>
          <w:rFonts w:ascii="Times New Roman" w:eastAsia="Calibri" w:hAnsi="Times New Roman" w:cs="Times New Roman"/>
          <w:noProof/>
          <w:color w:val="000000" w:themeColor="text1"/>
          <w:sz w:val="24"/>
          <w:szCs w:val="24"/>
          <w:lang w:val="en-GB"/>
        </w:rPr>
        <w:t xml:space="preserve">in terms of projects developed, gender issues and equality are hardly a major theme in most of them. </w:t>
      </w:r>
    </w:p>
    <w:p>
      <w:pPr>
        <w:spacing w:after="120" w:line="240" w:lineRule="auto"/>
        <w:jc w:val="both"/>
        <w:rPr>
          <w:rFonts w:ascii="Times New Roman" w:eastAsia="Calibri" w:hAnsi="Times New Roman" w:cs="Times New Roman"/>
          <w:noProof/>
          <w:sz w:val="24"/>
          <w:szCs w:val="24"/>
          <w:lang w:val="en-GB"/>
        </w:rPr>
      </w:pPr>
      <w:r>
        <w:rPr>
          <w:rFonts w:ascii="Times New Roman" w:hAnsi="Times New Roman" w:cs="Times New Roman"/>
          <w:noProof/>
          <w:sz w:val="24"/>
          <w:szCs w:val="24"/>
          <w:lang w:val="en-GB"/>
        </w:rPr>
        <w:t>The Justice Programme supports the rights of the child both in the programming phase (design of the calls for proposals) and by means of the activities of projects selected for funding.</w:t>
      </w:r>
      <w:r>
        <w:rPr>
          <w:rFonts w:ascii="Times New Roman" w:eastAsia="Calibri" w:hAnsi="Times New Roman" w:cs="Times New Roman"/>
          <w:noProof/>
          <w:color w:val="000000" w:themeColor="text1"/>
          <w:sz w:val="24"/>
          <w:szCs w:val="24"/>
          <w:lang w:val="en-GB"/>
        </w:rPr>
        <w:t xml:space="preserve"> </w:t>
      </w:r>
      <w:r>
        <w:rPr>
          <w:rFonts w:ascii="Times New Roman" w:eastAsia="Times New Roman" w:hAnsi="Times New Roman" w:cs="Times New Roman"/>
          <w:noProof/>
          <w:color w:val="000000" w:themeColor="text1"/>
          <w:sz w:val="24"/>
          <w:szCs w:val="24"/>
          <w:lang w:val="en-GB"/>
        </w:rPr>
        <w:t>T</w:t>
      </w:r>
      <w:r>
        <w:rPr>
          <w:rFonts w:ascii="Times New Roman" w:hAnsi="Times New Roman" w:cs="Times New Roman"/>
          <w:noProof/>
          <w:color w:val="000000" w:themeColor="text1"/>
          <w:sz w:val="24"/>
          <w:szCs w:val="24"/>
          <w:lang w:val="en-GB"/>
        </w:rPr>
        <w:t xml:space="preserve">he respect of the rights of the child is further enhanced by the fact that organisations applying for funding, which will work directly with children during the project implementation, must provide the Commission with a description of their child protection policy. </w:t>
      </w:r>
      <w:r>
        <w:rPr>
          <w:rFonts w:ascii="Times New Roman" w:hAnsi="Times New Roman" w:cs="Times New Roman"/>
          <w:noProof/>
          <w:sz w:val="24"/>
          <w:szCs w:val="24"/>
          <w:lang w:val="en-GB"/>
        </w:rPr>
        <w:t>Moreover, calls for proposals funded under the Justice Programme contain topics that are relevant to the subject.</w:t>
      </w:r>
      <w:r>
        <w:rPr>
          <w:rFonts w:ascii="Times New Roman" w:eastAsia="Calibri" w:hAnsi="Times New Roman" w:cs="Times New Roman"/>
          <w:noProof/>
          <w:sz w:val="24"/>
          <w:szCs w:val="24"/>
          <w:lang w:val="en-GB"/>
        </w:rPr>
        <w:t xml:space="preserve">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color w:val="000000" w:themeColor="text1"/>
          <w:sz w:val="24"/>
          <w:szCs w:val="24"/>
          <w:lang w:val="en-GB"/>
        </w:rPr>
        <w:t xml:space="preserve">Concerning the priority of rights of people with disabilities, it seems </w:t>
      </w:r>
      <w:r>
        <w:rPr>
          <w:rFonts w:ascii="Times New Roman" w:eastAsia="Calibri" w:hAnsi="Times New Roman" w:cs="Times New Roman"/>
          <w:noProof/>
          <w:sz w:val="24"/>
          <w:szCs w:val="24"/>
          <w:lang w:val="en-GB"/>
        </w:rPr>
        <w:t xml:space="preserve">more in the background compared to the previous two. </w:t>
      </w:r>
    </w:p>
    <w:p>
      <w:pPr>
        <w:spacing w:after="120" w:line="240" w:lineRule="auto"/>
        <w:jc w:val="both"/>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To understand how the Programme promotes equity through the funded activities, participants' data broken down by sex, disability status or age, as required by the Regulation, shall be collected. This is however not yet done.</w:t>
      </w:r>
    </w:p>
    <w:p>
      <w:pPr>
        <w:spacing w:after="120" w:line="240" w:lineRule="auto"/>
        <w:jc w:val="both"/>
        <w:rPr>
          <w:rFonts w:ascii="Times New Roman" w:hAnsi="Times New Roman" w:cs="Times New Roman"/>
          <w:noProof/>
          <w:sz w:val="24"/>
          <w:szCs w:val="24"/>
          <w:lang w:val="en-GB"/>
        </w:rPr>
      </w:pPr>
      <w:r>
        <w:rPr>
          <w:rFonts w:ascii="Times New Roman" w:eastAsia="Calibri" w:hAnsi="Times New Roman" w:cs="Times New Roman"/>
          <w:noProof/>
          <w:sz w:val="24"/>
          <w:szCs w:val="24"/>
          <w:lang w:val="en-GB"/>
        </w:rPr>
        <w:t>Finally, in the future, the Programme should try to distribute its resources in a more balanced manner across the different target groups of beneficiaries and Member States</w:t>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p>
    <w:p>
      <w:pPr>
        <w:pStyle w:val="BulletBody"/>
        <w:numPr>
          <w:ilvl w:val="0"/>
          <w:numId w:val="3"/>
        </w:numPr>
        <w:rPr>
          <w:rFonts w:ascii="Times New Roman" w:hAnsi="Times New Roman"/>
          <w:b/>
          <w:noProof/>
          <w:sz w:val="24"/>
        </w:rPr>
      </w:pPr>
      <w:r>
        <w:rPr>
          <w:rFonts w:ascii="Times New Roman" w:hAnsi="Times New Roman"/>
          <w:b/>
          <w:noProof/>
          <w:sz w:val="24"/>
        </w:rPr>
        <w:lastRenderedPageBreak/>
        <w:t>Scope for simplification</w:t>
      </w:r>
    </w:p>
    <w:p>
      <w:pPr>
        <w:spacing w:after="120" w:line="240" w:lineRule="auto"/>
        <w:jc w:val="both"/>
        <w:rPr>
          <w:rFonts w:ascii="Times New Roman" w:eastAsia="Times New Roman" w:hAnsi="Times New Roman" w:cs="Times New Roman"/>
          <w:noProof/>
          <w:color w:val="000000" w:themeColor="text1"/>
          <w:sz w:val="24"/>
          <w:szCs w:val="24"/>
          <w:lang w:val="en-GB" w:eastAsia="ro-RO"/>
        </w:rPr>
      </w:pPr>
      <w:r>
        <w:rPr>
          <w:rFonts w:ascii="Times New Roman" w:eastAsia="Times New Roman" w:hAnsi="Times New Roman" w:cs="Times New Roman"/>
          <w:b/>
          <w:noProof/>
          <w:color w:val="000000" w:themeColor="text1"/>
          <w:sz w:val="24"/>
          <w:szCs w:val="24"/>
          <w:lang w:val="en-GB" w:eastAsia="ro-RO"/>
        </w:rPr>
        <w:t>The evaluation did not identify clear scope for further simplifications concerning the management mode of the Programme</w:t>
      </w:r>
      <w:r>
        <w:rPr>
          <w:rFonts w:ascii="Times New Roman" w:eastAsia="Times New Roman" w:hAnsi="Times New Roman" w:cs="Times New Roman"/>
          <w:noProof/>
          <w:color w:val="000000" w:themeColor="text1"/>
          <w:sz w:val="24"/>
          <w:szCs w:val="24"/>
          <w:lang w:val="en-GB" w:eastAsia="ro-RO"/>
        </w:rPr>
        <w:t xml:space="preserve">. The current direct management mode appears adequate given the size of the Programme. </w:t>
      </w:r>
    </w:p>
    <w:p>
      <w:pPr>
        <w:spacing w:after="120" w:line="240" w:lineRule="auto"/>
        <w:jc w:val="both"/>
        <w:rPr>
          <w:rFonts w:ascii="Times New Roman" w:eastAsia="Calibri" w:hAnsi="Times New Roman" w:cs="Times New Roman"/>
          <w:noProof/>
          <w:color w:val="000000" w:themeColor="text1"/>
          <w:sz w:val="24"/>
          <w:szCs w:val="24"/>
          <w:lang w:val="en-GB"/>
        </w:rPr>
      </w:pPr>
      <w:r>
        <w:rPr>
          <w:rFonts w:ascii="Times New Roman" w:hAnsi="Times New Roman" w:cs="Times New Roman"/>
          <w:noProof/>
          <w:color w:val="000000" w:themeColor="text1"/>
          <w:sz w:val="24"/>
          <w:szCs w:val="24"/>
          <w:lang w:val="en-GB"/>
        </w:rPr>
        <w:t xml:space="preserve">However, notwithstanding the improvements made with the current Programme, both Commission officials and beneficiaries interviewed expressed critical opinions on the implementation process, with specific regard to budget management and reporting duties. </w:t>
      </w:r>
      <w:r>
        <w:rPr>
          <w:rFonts w:ascii="Times New Roman" w:hAnsi="Times New Roman" w:cs="Times New Roman"/>
          <w:noProof/>
          <w:color w:val="000000" w:themeColor="text1"/>
          <w:sz w:val="24"/>
          <w:szCs w:val="24"/>
          <w:lang w:val="en-GB" w:eastAsia="nl-BE"/>
        </w:rPr>
        <w:t xml:space="preserve">According to beneficiaries, </w:t>
      </w:r>
      <w:r>
        <w:rPr>
          <w:rFonts w:ascii="Times New Roman" w:hAnsi="Times New Roman" w:cs="Times New Roman"/>
          <w:noProof/>
          <w:color w:val="000000" w:themeColor="text1"/>
          <w:sz w:val="24"/>
          <w:szCs w:val="24"/>
          <w:lang w:val="en-GB"/>
        </w:rPr>
        <w:t xml:space="preserve">the duration of projects financed by the Programme could be extended, especially with regards to action grants. Moreover, beneficiaries mentioned that also operating grants could be extended to cover at least two years (instead of one) in order to reduce the administrative burden, in terms of application and reporting. </w:t>
      </w:r>
      <w:r>
        <w:rPr>
          <w:rFonts w:ascii="Times New Roman" w:eastAsia="Times New Roman" w:hAnsi="Times New Roman" w:cs="Times New Roman"/>
          <w:noProof/>
          <w:color w:val="000000" w:themeColor="text1"/>
          <w:sz w:val="24"/>
          <w:szCs w:val="24"/>
          <w:lang w:val="en-GB"/>
        </w:rPr>
        <w:t>A</w:t>
      </w:r>
      <w:r>
        <w:rPr>
          <w:rFonts w:ascii="Times New Roman" w:hAnsi="Times New Roman" w:cs="Times New Roman"/>
          <w:noProof/>
          <w:color w:val="000000" w:themeColor="text1"/>
          <w:sz w:val="24"/>
          <w:szCs w:val="24"/>
          <w:lang w:val="en-GB"/>
        </w:rPr>
        <w:t xml:space="preserve">nother </w:t>
      </w:r>
      <w:r>
        <w:rPr>
          <w:rFonts w:ascii="Times New Roman" w:hAnsi="Times New Roman" w:cs="Times New Roman"/>
          <w:noProof/>
          <w:color w:val="000000" w:themeColor="text1"/>
          <w:sz w:val="24"/>
          <w:szCs w:val="24"/>
          <w:lang w:val="en-US"/>
        </w:rPr>
        <w:t xml:space="preserve">key issue, according to </w:t>
      </w:r>
      <w:r>
        <w:rPr>
          <w:rFonts w:ascii="Times New Roman" w:eastAsia="Calibri" w:hAnsi="Times New Roman" w:cs="Times New Roman"/>
          <w:noProof/>
          <w:color w:val="000000" w:themeColor="text1"/>
          <w:sz w:val="24"/>
          <w:szCs w:val="24"/>
          <w:lang w:val="en-GB"/>
        </w:rPr>
        <w:t>small civil society organisations</w:t>
      </w:r>
      <w:r>
        <w:rPr>
          <w:rFonts w:ascii="Times New Roman" w:hAnsi="Times New Roman" w:cs="Times New Roman"/>
          <w:noProof/>
          <w:color w:val="000000" w:themeColor="text1"/>
          <w:sz w:val="24"/>
          <w:szCs w:val="24"/>
          <w:lang w:val="en-US"/>
        </w:rPr>
        <w:t xml:space="preserve">, is the difficulty to find </w:t>
      </w:r>
      <w:r>
        <w:rPr>
          <w:rFonts w:ascii="Times New Roman" w:eastAsia="Calibri" w:hAnsi="Times New Roman" w:cs="Times New Roman"/>
          <w:noProof/>
          <w:color w:val="000000" w:themeColor="text1"/>
          <w:sz w:val="24"/>
          <w:szCs w:val="24"/>
          <w:lang w:val="en-GB"/>
        </w:rPr>
        <w:t xml:space="preserve">the co-financing amounts required. </w:t>
      </w:r>
    </w:p>
    <w:p>
      <w:pPr>
        <w:spacing w:after="120" w:line="240" w:lineRule="auto"/>
        <w:jc w:val="both"/>
        <w:rPr>
          <w:rFonts w:ascii="Times New Roman" w:eastAsia="Times New Roman" w:hAnsi="Times New Roman" w:cs="Times New Roman"/>
          <w:noProof/>
          <w:color w:val="000000" w:themeColor="text1"/>
          <w:sz w:val="24"/>
          <w:szCs w:val="24"/>
          <w:lang w:val="en-GB" w:eastAsia="ro-RO"/>
        </w:rPr>
      </w:pPr>
      <w:r>
        <w:rPr>
          <w:rFonts w:ascii="Times New Roman" w:hAnsi="Times New Roman" w:cs="Times New Roman"/>
          <w:noProof/>
          <w:color w:val="000000" w:themeColor="text1"/>
          <w:sz w:val="24"/>
          <w:szCs w:val="24"/>
          <w:lang w:val="en-GB"/>
        </w:rPr>
        <w:t>Even if, at first, the rollout of the new Participant Portal created some difficulties, currently stakeholders consider the submission of proposals via the Participant Portal an improvement, compared to the previous IT system</w:t>
      </w:r>
      <w:r>
        <w:rPr>
          <w:rFonts w:ascii="Times New Roman" w:eastAsia="Times New Roman" w:hAnsi="Times New Roman" w:cs="Times New Roman"/>
          <w:noProof/>
          <w:color w:val="000000" w:themeColor="text1"/>
          <w:sz w:val="24"/>
          <w:szCs w:val="24"/>
          <w:lang w:val="en-GB" w:eastAsia="ro-RO"/>
        </w:rPr>
        <w:t xml:space="preserve">, since the number of documents required for the eligibility check has decreased and, therefore, also the related administrative burden. However, in its current form, the Portal appears ill-adapted to typical Justice Programme applicants and there is, therefore, scope for some improvements in this regard. </w:t>
      </w:r>
    </w:p>
    <w:p>
      <w:pPr>
        <w:spacing w:after="120" w:line="240" w:lineRule="auto"/>
        <w:jc w:val="both"/>
        <w:rPr>
          <w:rFonts w:ascii="Times New Roman" w:eastAsia="Times New Roman" w:hAnsi="Times New Roman" w:cs="Times New Roman"/>
          <w:noProof/>
          <w:color w:val="000000" w:themeColor="text1"/>
          <w:sz w:val="24"/>
          <w:szCs w:val="24"/>
          <w:lang w:val="en-GB"/>
        </w:rPr>
      </w:pPr>
      <w:r>
        <w:rPr>
          <w:rFonts w:ascii="Times New Roman" w:eastAsia="Times New Roman" w:hAnsi="Times New Roman" w:cs="Times New Roman"/>
          <w:noProof/>
          <w:color w:val="000000" w:themeColor="text1"/>
          <w:sz w:val="24"/>
          <w:szCs w:val="24"/>
          <w:lang w:val="en-GB"/>
        </w:rPr>
        <w:t>Finally, monitoring requirements and indicators, both at Programme and project level, could be simplified and streamlined.</w:t>
      </w:r>
    </w:p>
    <w:p>
      <w:pPr>
        <w:pStyle w:val="Body"/>
        <w:spacing w:before="0"/>
        <w:rPr>
          <w:rFonts w:ascii="Times New Roman" w:hAnsi="Times New Roman"/>
          <w:i/>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09571"/>
      <w:docPartObj>
        <w:docPartGallery w:val="Page Numbers (Bottom of Page)"/>
        <w:docPartUnique/>
      </w:docPartObj>
    </w:sdtPr>
    <w:sdtEndPr>
      <w:rPr>
        <w:noProof/>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42F"/>
    <w:multiLevelType w:val="hybridMultilevel"/>
    <w:tmpl w:val="79C03B3E"/>
    <w:lvl w:ilvl="0" w:tplc="48B8267E">
      <w:start w:val="1"/>
      <w:numFmt w:val="bullet"/>
      <w:pStyle w:val="BulletBody"/>
      <w:lvlText w:val=""/>
      <w:lvlJc w:val="left"/>
      <w:pPr>
        <w:ind w:left="1080" w:hanging="360"/>
      </w:pPr>
      <w:rPr>
        <w:rFonts w:ascii="Symbol" w:hAnsi="Symbol" w:hint="default"/>
        <w:color w:val="00B0F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F734306"/>
    <w:multiLevelType w:val="multilevel"/>
    <w:tmpl w:val="DE9A40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C492565"/>
    <w:multiLevelType w:val="hybridMultilevel"/>
    <w:tmpl w:val="AA5401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DB83652"/>
    <w:multiLevelType w:val="hybridMultilevel"/>
    <w:tmpl w:val="8B46A1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9548761-9954-4A1D-B7B0-47F439564F42"/>
    <w:docVar w:name="LW_COVERPAGE_TYPE" w:val="1"/>
    <w:docVar w:name="LW_CROSSREFERENCE" w:val="{COM(2018) 507 final}_x000b_{SWD(2018) 356 final}"/>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nterim evaluation of the implementation of the Justice Programme 2014-2020 "/>
    <w:docVar w:name="LW_PART_NBR" w:val="1"/>
    <w:docVar w:name="LW_PART_NBR_TOTAL" w:val="1"/>
    <w:docVar w:name="LW_REF.INST.NEW" w:val="SWD"/>
    <w:docVar w:name="LW_REF.INST.NEW_ADOPTED" w:val="final"/>
    <w:docVar w:name="LW_REF.INST.NEW_TEXT" w:val="(2018)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lang w:val="en-GB"/>
    </w:rPr>
  </w:style>
  <w:style w:type="character" w:customStyle="1" w:styleId="BodyChar">
    <w:name w:val="Body Char"/>
    <w:link w:val="Body"/>
    <w:rPr>
      <w:rFonts w:ascii="Verdana" w:eastAsia="Times New Roman" w:hAnsi="Verdana" w:cs="Times New Roman"/>
      <w:sz w:val="20"/>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fr-FR"/>
    </w:rPr>
  </w:style>
  <w:style w:type="paragraph" w:customStyle="1" w:styleId="BulletBody">
    <w:name w:val="Bullet Body"/>
    <w:basedOn w:val="Normal"/>
    <w:link w:val="BulletBodyChar"/>
    <w:qFormat/>
    <w:pPr>
      <w:numPr>
        <w:numId w:val="2"/>
      </w:numPr>
      <w:tabs>
        <w:tab w:val="right" w:pos="5387"/>
      </w:tabs>
      <w:spacing w:after="120" w:line="240" w:lineRule="auto"/>
      <w:jc w:val="both"/>
    </w:pPr>
    <w:rPr>
      <w:rFonts w:ascii="Verdana" w:eastAsia="Times New Roman" w:hAnsi="Verdana" w:cs="Times New Roman"/>
      <w:sz w:val="20"/>
      <w:szCs w:val="24"/>
      <w:lang w:val="en-GB"/>
    </w:rPr>
  </w:style>
  <w:style w:type="character" w:customStyle="1" w:styleId="BulletBodyChar">
    <w:name w:val="Bullet Body Char"/>
    <w:basedOn w:val="DefaultParagraphFont"/>
    <w:link w:val="BulletBody"/>
    <w:rPr>
      <w:rFonts w:ascii="Verdana" w:eastAsia="Times New Roman" w:hAnsi="Verdana" w:cs="Times New Roman"/>
      <w:sz w:val="20"/>
      <w:szCs w:val="24"/>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lang w:val="en-GB"/>
    </w:rPr>
  </w:style>
  <w:style w:type="character" w:customStyle="1" w:styleId="BodyChar">
    <w:name w:val="Body Char"/>
    <w:link w:val="Body"/>
    <w:rPr>
      <w:rFonts w:ascii="Verdana" w:eastAsia="Times New Roman" w:hAnsi="Verdana" w:cs="Times New Roman"/>
      <w:sz w:val="20"/>
      <w:szCs w:val="20"/>
      <w:lang w:val="en-GB"/>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fr-FR"/>
    </w:rPr>
  </w:style>
  <w:style w:type="paragraph" w:customStyle="1" w:styleId="BulletBody">
    <w:name w:val="Bullet Body"/>
    <w:basedOn w:val="Normal"/>
    <w:link w:val="BulletBodyChar"/>
    <w:qFormat/>
    <w:pPr>
      <w:numPr>
        <w:numId w:val="2"/>
      </w:numPr>
      <w:tabs>
        <w:tab w:val="right" w:pos="5387"/>
      </w:tabs>
      <w:spacing w:after="120" w:line="240" w:lineRule="auto"/>
      <w:jc w:val="both"/>
    </w:pPr>
    <w:rPr>
      <w:rFonts w:ascii="Verdana" w:eastAsia="Times New Roman" w:hAnsi="Verdana" w:cs="Times New Roman"/>
      <w:sz w:val="20"/>
      <w:szCs w:val="24"/>
      <w:lang w:val="en-GB"/>
    </w:rPr>
  </w:style>
  <w:style w:type="character" w:customStyle="1" w:styleId="BulletBodyChar">
    <w:name w:val="Bullet Body Char"/>
    <w:basedOn w:val="DefaultParagraphFont"/>
    <w:link w:val="BulletBody"/>
    <w:rPr>
      <w:rFonts w:ascii="Verdana" w:eastAsia="Times New Roman" w:hAnsi="Verdana" w:cs="Times New Roman"/>
      <w:sz w:val="20"/>
      <w:szCs w:val="24"/>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1756</Words>
  <Characters>9854</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dcterms:created xsi:type="dcterms:W3CDTF">2018-05-07T09:35:00Z</dcterms:created>
  <dcterms:modified xsi:type="dcterms:W3CDTF">2018-06-27T05:49:00Z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