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00C4A57-F360-479A-8EA9-F065817B5EE2" style="width:450.75pt;height:348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after="120" w:line="240" w:lineRule="auto"/>
        <w:jc w:val="center"/>
        <w:rPr>
          <w:rFonts w:ascii="Times New Roman" w:eastAsia="Times New Roman" w:hAnsi="Times New Roman" w:cs="Times New Roman"/>
          <w:b/>
          <w:noProof/>
          <w:sz w:val="24"/>
          <w:szCs w:val="24"/>
        </w:rPr>
      </w:pPr>
      <w:bookmarkStart w:id="1" w:name="_GoBack"/>
      <w:bookmarkEnd w:id="1"/>
      <w:r>
        <w:rPr>
          <w:rFonts w:ascii="Times New Roman" w:eastAsia="Times New Roman" w:hAnsi="Times New Roman" w:cs="Times New Roman"/>
          <w:b/>
          <w:noProof/>
          <w:sz w:val="24"/>
          <w:szCs w:val="24"/>
        </w:rPr>
        <w:lastRenderedPageBreak/>
        <w:t>REPORT FROM THE COMMISSION TO THE EUROPEAN PARLIAMENT, THE COUNCIL, THE EUROPEAN ECONOMIC AND SOCIAL COMMITTEE AND THE COMMITTEE OF THE REGIONS</w:t>
      </w:r>
    </w:p>
    <w:p>
      <w:pPr>
        <w:spacing w:after="12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on the interim evaluation of the implementation of the Justice Programme 2014-2020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Treaty on the Functioning of the European Union provides for the creation of a European area of freedom, security and justice based on mutual recognition of judicial decisions and mutual trust among Member States, in which persons are free to move and can rely on the respect of fundamental rights, as well as of common principles (such as non-discrimination, gender equality, effective access to justice for all, the rule of law and well-functioning independent judicial systems).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ambitious goals, set by the Treaty, have also been reaffirmed by the European Council in the Stockholm Programme</w:t>
      </w:r>
      <w:r>
        <w:rPr>
          <w:rFonts w:ascii="Times New Roman" w:hAnsi="Times New Roman" w:cs="Times New Roman"/>
          <w:noProof/>
          <w:sz w:val="24"/>
          <w:szCs w:val="24"/>
          <w:vertAlign w:val="superscript"/>
          <w:lang w:val="fr-BE"/>
        </w:rPr>
        <w:footnoteReference w:id="1"/>
      </w:r>
      <w:r>
        <w:rPr>
          <w:rFonts w:ascii="Times New Roman" w:hAnsi="Times New Roman" w:cs="Times New Roman"/>
          <w:noProof/>
          <w:sz w:val="24"/>
          <w:szCs w:val="24"/>
        </w:rPr>
        <w:t xml:space="preserve">. The achievement of a Europe of law and justice is one of the political priorities of the EU and the 2014-2020 Justice Programme is one of the instruments that contribute achieving this objective. </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report sets out the mid-term results obtained by the Justice Programme and the qualitative and quantitative aspects of the implementation of the Programme, as required by </w:t>
      </w:r>
      <w:r>
        <w:rPr>
          <w:rFonts w:ascii="Times New Roman" w:hAnsi="Times New Roman" w:cs="Times New Roman"/>
          <w:noProof/>
          <w:sz w:val="24"/>
          <w:szCs w:val="24"/>
        </w:rPr>
        <w:t>Article 14(2)(b) of Regulation establishing the Justice Programme for the period 2014-2020</w:t>
      </w:r>
      <w:r>
        <w:rPr>
          <w:rFonts w:ascii="Times New Roman" w:hAnsi="Times New Roman" w:cs="Times New Roman"/>
          <w:noProof/>
          <w:sz w:val="24"/>
          <w:szCs w:val="24"/>
          <w:vertAlign w:val="superscript"/>
        </w:rPr>
        <w:footnoteReference w:id="2"/>
      </w:r>
      <w:r>
        <w:rPr>
          <w:rFonts w:ascii="Times New Roman" w:eastAsia="Times New Roman" w:hAnsi="Times New Roman" w:cs="Times New Roman"/>
          <w:noProof/>
          <w:sz w:val="24"/>
          <w:szCs w:val="24"/>
          <w:lang w:eastAsia="en-GB"/>
        </w:rPr>
        <w:t xml:space="preserve">. </w:t>
      </w:r>
    </w:p>
    <w:p>
      <w:pPr>
        <w:pStyle w:val="Body"/>
        <w:spacing w:before="0"/>
        <w:rPr>
          <w:rFonts w:ascii="Times New Roman" w:hAnsi="Times New Roman"/>
          <w:noProof/>
          <w:sz w:val="24"/>
          <w:szCs w:val="24"/>
        </w:rPr>
      </w:pPr>
      <w:r>
        <w:rPr>
          <w:rFonts w:ascii="Times New Roman" w:hAnsi="Times New Roman"/>
          <w:noProof/>
          <w:sz w:val="24"/>
          <w:szCs w:val="24"/>
        </w:rPr>
        <w:t xml:space="preserve">The reference period for the interim evaluation is the first half time of the Programme’s implementation from 2014 to mid-2017. The evaluation covered the 2014, 2015 and 2016 Annual Work Programmes. The 2017 Annual Work Programme, on the other hand, has been analysed chiefly in terms of design and structure, but not in terms of execution. </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report is based on the findings of the evaluation prepared by the European Commission</w:t>
      </w:r>
      <w:r>
        <w:rPr>
          <w:rStyle w:val="FootnoteReference"/>
          <w:rFonts w:ascii="Times New Roman" w:eastAsia="Times New Roman" w:hAnsi="Times New Roman" w:cs="Times New Roman"/>
          <w:noProof/>
          <w:sz w:val="24"/>
          <w:szCs w:val="24"/>
          <w:lang w:eastAsia="en-GB"/>
        </w:rPr>
        <w:footnoteReference w:id="3"/>
      </w:r>
      <w:r>
        <w:rPr>
          <w:rFonts w:ascii="Times New Roman" w:eastAsia="Times New Roman" w:hAnsi="Times New Roman" w:cs="Times New Roman"/>
          <w:noProof/>
          <w:sz w:val="24"/>
          <w:szCs w:val="24"/>
          <w:lang w:eastAsia="en-GB"/>
        </w:rPr>
        <w:t xml:space="preserve"> and supported by an external evaluation</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w:t>
      </w:r>
    </w:p>
    <w:p>
      <w:pPr>
        <w:spacing w:after="120" w:line="240" w:lineRule="auto"/>
        <w:jc w:val="both"/>
        <w:rPr>
          <w:rFonts w:ascii="Times New Roman" w:eastAsia="Times New Roman" w:hAnsi="Times New Roman" w:cs="Times New Roman"/>
          <w:noProof/>
          <w:sz w:val="24"/>
          <w:szCs w:val="24"/>
          <w:lang w:eastAsia="en-GB"/>
        </w:rPr>
      </w:pPr>
    </w:p>
    <w:p>
      <w:pPr>
        <w:pStyle w:val="ListParagraph"/>
        <w:keepNext/>
        <w:numPr>
          <w:ilvl w:val="0"/>
          <w:numId w:val="9"/>
        </w:numPr>
        <w:tabs>
          <w:tab w:val="left" w:pos="850"/>
        </w:tabs>
        <w:spacing w:after="120" w:line="240" w:lineRule="auto"/>
        <w:contextualSpacing w:val="0"/>
        <w:jc w:val="both"/>
        <w:outlineLvl w:val="0"/>
        <w:rPr>
          <w:rStyle w:val="Heading1Char"/>
          <w:rFonts w:ascii="Times New Roman" w:hAnsi="Times New Roman" w:cs="Times New Roman"/>
          <w:smallCaps/>
          <w:noProof/>
          <w:color w:val="auto"/>
          <w:sz w:val="24"/>
          <w:szCs w:val="24"/>
        </w:rPr>
      </w:pPr>
      <w:r>
        <w:rPr>
          <w:rStyle w:val="Heading1Char"/>
          <w:rFonts w:ascii="Times New Roman" w:hAnsi="Times New Roman" w:cs="Times New Roman"/>
          <w:smallCaps/>
          <w:noProof/>
          <w:color w:val="auto"/>
          <w:sz w:val="24"/>
          <w:szCs w:val="24"/>
        </w:rPr>
        <w:t>Introduction and background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Justice Programme 2014-2020 was established by Regulation (EU) No </w:t>
      </w:r>
      <w:r>
        <w:rPr>
          <w:rStyle w:val="Strong"/>
          <w:rFonts w:ascii="Times New Roman" w:hAnsi="Times New Roman" w:cs="Times New Roman"/>
          <w:b w:val="0"/>
          <w:noProof/>
          <w:sz w:val="24"/>
          <w:szCs w:val="24"/>
          <w:lang w:val="en"/>
        </w:rPr>
        <w:t xml:space="preserve">1382/2013 of the </w:t>
      </w:r>
      <w:r>
        <w:rPr>
          <w:rFonts w:ascii="Times New Roman" w:hAnsi="Times New Roman" w:cs="Times New Roman"/>
          <w:noProof/>
          <w:sz w:val="24"/>
          <w:szCs w:val="24"/>
        </w:rPr>
        <w:t>European Parliament and Council.</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sets its </w:t>
      </w:r>
      <w:r>
        <w:rPr>
          <w:rFonts w:ascii="Times New Roman" w:hAnsi="Times New Roman" w:cs="Times New Roman"/>
          <w:b/>
          <w:noProof/>
          <w:sz w:val="24"/>
          <w:szCs w:val="24"/>
        </w:rPr>
        <w:t>general objective</w:t>
      </w:r>
      <w:r>
        <w:rPr>
          <w:rFonts w:ascii="Times New Roman" w:hAnsi="Times New Roman" w:cs="Times New Roman"/>
          <w:noProof/>
          <w:sz w:val="24"/>
          <w:szCs w:val="24"/>
        </w:rPr>
        <w:t xml:space="preserve"> as being to:</w:t>
      </w:r>
    </w:p>
    <w:p>
      <w:pPr>
        <w:pStyle w:val="ListParagraph"/>
        <w:numPr>
          <w:ilvl w:val="0"/>
          <w:numId w:val="3"/>
        </w:numPr>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color w:val="000000"/>
          <w:sz w:val="24"/>
          <w:szCs w:val="24"/>
        </w:rPr>
        <w:t>contribute to the further development of a European area of justice based on mutual recognition and mutual trust, in particular by promoting judicial cooperation in civil and criminal matters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Its </w:t>
      </w:r>
      <w:r>
        <w:rPr>
          <w:rFonts w:ascii="Times New Roman" w:hAnsi="Times New Roman" w:cs="Times New Roman"/>
          <w:b/>
          <w:noProof/>
          <w:sz w:val="24"/>
          <w:szCs w:val="24"/>
        </w:rPr>
        <w:t>specific objectives</w:t>
      </w:r>
      <w:r>
        <w:rPr>
          <w:rFonts w:ascii="Times New Roman" w:hAnsi="Times New Roman" w:cs="Times New Roman"/>
          <w:noProof/>
          <w:sz w:val="24"/>
          <w:szCs w:val="24"/>
        </w:rPr>
        <w:t xml:space="preserve"> are to:</w:t>
      </w:r>
    </w:p>
    <w:p>
      <w:pPr>
        <w:numPr>
          <w:ilvl w:val="0"/>
          <w:numId w:val="4"/>
        </w:numPr>
        <w:tabs>
          <w:tab w:val="left" w:pos="284"/>
        </w:tabs>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facilitate and support </w:t>
      </w:r>
      <w:r>
        <w:rPr>
          <w:rFonts w:ascii="Times New Roman" w:hAnsi="Times New Roman" w:cs="Times New Roman"/>
          <w:noProof/>
          <w:sz w:val="24"/>
          <w:szCs w:val="24"/>
          <w:u w:val="single"/>
        </w:rPr>
        <w:t>judicial cooperation</w:t>
      </w:r>
      <w:r>
        <w:rPr>
          <w:rFonts w:ascii="Times New Roman" w:hAnsi="Times New Roman" w:cs="Times New Roman"/>
          <w:noProof/>
          <w:sz w:val="24"/>
          <w:szCs w:val="24"/>
        </w:rPr>
        <w:t xml:space="preserve"> in civil and criminal matters;</w:t>
      </w:r>
    </w:p>
    <w:p>
      <w:pPr>
        <w:numPr>
          <w:ilvl w:val="0"/>
          <w:numId w:val="4"/>
        </w:numPr>
        <w:tabs>
          <w:tab w:val="left" w:pos="284"/>
        </w:tabs>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support and promote </w:t>
      </w:r>
      <w:r>
        <w:rPr>
          <w:rFonts w:ascii="Times New Roman" w:hAnsi="Times New Roman" w:cs="Times New Roman"/>
          <w:noProof/>
          <w:sz w:val="24"/>
          <w:szCs w:val="24"/>
          <w:u w:val="single"/>
        </w:rPr>
        <w:t>judicial training</w:t>
      </w:r>
      <w:r>
        <w:rPr>
          <w:rFonts w:ascii="Times New Roman" w:hAnsi="Times New Roman" w:cs="Times New Roman"/>
          <w:noProof/>
          <w:sz w:val="24"/>
          <w:szCs w:val="24"/>
        </w:rPr>
        <w:t xml:space="preserve"> of professionals (such as judges, prosecutors, notaries, prison staff and lawyers) on civil and criminal law EU instruments, fundamental rights, judicial ethics and the rule of law, including language training on legal terminology, with a view to fostering a common legal and judicial culture;</w:t>
      </w:r>
    </w:p>
    <w:p>
      <w:pPr>
        <w:numPr>
          <w:ilvl w:val="0"/>
          <w:numId w:val="4"/>
        </w:numPr>
        <w:tabs>
          <w:tab w:val="left" w:pos="284"/>
        </w:tabs>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facilitate effective </w:t>
      </w:r>
      <w:r>
        <w:rPr>
          <w:rFonts w:ascii="Times New Roman" w:hAnsi="Times New Roman" w:cs="Times New Roman"/>
          <w:noProof/>
          <w:sz w:val="24"/>
          <w:szCs w:val="24"/>
          <w:u w:val="single"/>
        </w:rPr>
        <w:t>access to justice</w:t>
      </w:r>
      <w:r>
        <w:rPr>
          <w:rFonts w:ascii="Times New Roman" w:hAnsi="Times New Roman" w:cs="Times New Roman"/>
          <w:noProof/>
          <w:sz w:val="24"/>
          <w:szCs w:val="24"/>
        </w:rPr>
        <w:t xml:space="preserve"> for all, including to promote and support the rights of victims of crime as well as the procedural rights of suspects and accused persons in criminal proceedings;</w:t>
      </w:r>
    </w:p>
    <w:p>
      <w:pPr>
        <w:numPr>
          <w:ilvl w:val="0"/>
          <w:numId w:val="4"/>
        </w:numPr>
        <w:tabs>
          <w:tab w:val="left" w:pos="284"/>
        </w:tabs>
        <w:spacing w:after="120" w:line="240" w:lineRule="auto"/>
        <w:ind w:left="284" w:hanging="284"/>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promote </w:t>
      </w:r>
      <w:r>
        <w:rPr>
          <w:rFonts w:ascii="Times New Roman" w:eastAsia="Calibri" w:hAnsi="Times New Roman" w:cs="Times New Roman"/>
          <w:noProof/>
          <w:sz w:val="24"/>
          <w:szCs w:val="24"/>
          <w:u w:val="single"/>
        </w:rPr>
        <w:t>initiatives in the field of drug policy</w:t>
      </w:r>
      <w:r>
        <w:rPr>
          <w:rFonts w:ascii="Times New Roman" w:eastAsia="Calibri" w:hAnsi="Times New Roman" w:cs="Times New Roman"/>
          <w:noProof/>
          <w:sz w:val="24"/>
          <w:szCs w:val="24"/>
        </w:rPr>
        <w:t xml:space="preserve"> as regards judicial cooperation and crime prevention aspects, insofar as this kind of initiatives are not covered by the Internal Security Fund for financial support for police cooperation, preventing and combating crime, and crisis management or by the Health for Growth Programme</w:t>
      </w:r>
      <w:r>
        <w:rPr>
          <w:rStyle w:val="FootnoteReference"/>
          <w:rFonts w:ascii="Times New Roman" w:eastAsia="Calibri" w:hAnsi="Times New Roman" w:cs="Times New Roman"/>
          <w:noProof/>
          <w:sz w:val="24"/>
          <w:szCs w:val="24"/>
        </w:rPr>
        <w:footnoteReference w:id="5"/>
      </w:r>
      <w:r>
        <w:rPr>
          <w:rFonts w:ascii="Times New Roman" w:eastAsia="Calibri"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Programme is implemented by the European Commission via direct centralised management. </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Geographically,</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the Programme is open to all EU Member States (</w:t>
      </w:r>
      <w:r>
        <w:rPr>
          <w:rFonts w:ascii="Times New Roman" w:hAnsi="Times New Roman" w:cs="Times New Roman"/>
          <w:noProof/>
          <w:sz w:val="24"/>
          <w:szCs w:val="24"/>
        </w:rPr>
        <w:t>the United Kingdom and Denmark don't participate</w:t>
      </w:r>
      <w:r>
        <w:rPr>
          <w:rFonts w:ascii="Times New Roman" w:eastAsia="Times New Roman" w:hAnsi="Times New Roman" w:cs="Times New Roman"/>
          <w:noProof/>
          <w:sz w:val="24"/>
          <w:szCs w:val="24"/>
        </w:rPr>
        <w:t>), but also to the European Free Trade Association States that are party to the European Economic Area, candidate countries, potential candidates and countries acceding to the Union, provided that they conclude an agreement with the Union laying down the details of their respective participation in the Programme.</w:t>
      </w:r>
      <w:r>
        <w:rPr>
          <w:rFonts w:ascii="Times New Roman" w:hAnsi="Times New Roman" w:cs="Times New Roman"/>
          <w:noProof/>
          <w:sz w:val="24"/>
          <w:szCs w:val="24"/>
        </w:rPr>
        <w:t xml:space="preserve"> Albania joined the Programme as of 2017. </w:t>
      </w:r>
    </w:p>
    <w:p>
      <w:pPr>
        <w:spacing w:after="120" w:line="240" w:lineRule="auto"/>
        <w:jc w:val="both"/>
        <w:rPr>
          <w:rFonts w:ascii="Times New Roman" w:hAnsi="Times New Roman" w:cs="Times New Roman"/>
          <w:noProof/>
          <w:sz w:val="24"/>
          <w:szCs w:val="24"/>
        </w:rPr>
      </w:pPr>
    </w:p>
    <w:p>
      <w:pPr>
        <w:pStyle w:val="ListParagraph"/>
        <w:keepNext/>
        <w:numPr>
          <w:ilvl w:val="0"/>
          <w:numId w:val="9"/>
        </w:numPr>
        <w:tabs>
          <w:tab w:val="left" w:pos="850"/>
        </w:tabs>
        <w:spacing w:after="120" w:line="240" w:lineRule="auto"/>
        <w:contextualSpacing w:val="0"/>
        <w:jc w:val="both"/>
        <w:outlineLvl w:val="0"/>
        <w:rPr>
          <w:rStyle w:val="Heading1Char"/>
          <w:rFonts w:ascii="Times New Roman" w:hAnsi="Times New Roman" w:cs="Times New Roman"/>
          <w:smallCaps/>
          <w:noProof/>
          <w:color w:val="auto"/>
          <w:sz w:val="24"/>
          <w:szCs w:val="24"/>
        </w:rPr>
      </w:pPr>
      <w:r>
        <w:rPr>
          <w:rStyle w:val="Heading1Char"/>
          <w:rFonts w:ascii="Times New Roman" w:hAnsi="Times New Roman" w:cs="Times New Roman"/>
          <w:smallCaps/>
          <w:noProof/>
          <w:color w:val="auto"/>
          <w:sz w:val="24"/>
          <w:szCs w:val="24"/>
        </w:rPr>
        <w:t>Key elements and implementation of the programme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Article 6 of the Regulation, the Programme </w:t>
      </w:r>
      <w:r>
        <w:rPr>
          <w:rFonts w:ascii="Times New Roman" w:hAnsi="Times New Roman" w:cs="Times New Roman"/>
          <w:b/>
          <w:noProof/>
          <w:sz w:val="24"/>
          <w:szCs w:val="24"/>
        </w:rPr>
        <w:t>finances a wide range of activities</w:t>
      </w:r>
      <w:r>
        <w:rPr>
          <w:rFonts w:ascii="Times New Roman" w:hAnsi="Times New Roman" w:cs="Times New Roman"/>
          <w:noProof/>
          <w:sz w:val="24"/>
          <w:szCs w:val="24"/>
        </w:rPr>
        <w:t xml:space="preserve"> such as analytical activities, mutual learning, cooperation, awareness raising and dissemination activities, training activities and actions to support the main actors whose activities contribute to the implementation of its specific objectives. The Programme </w:t>
      </w:r>
      <w:r>
        <w:rPr>
          <w:rFonts w:ascii="Times New Roman" w:hAnsi="Times New Roman" w:cs="Times New Roman"/>
          <w:b/>
          <w:noProof/>
          <w:sz w:val="24"/>
          <w:szCs w:val="24"/>
        </w:rPr>
        <w:t>supports organisations</w:t>
      </w:r>
      <w:r>
        <w:rPr>
          <w:rFonts w:ascii="Times New Roman" w:hAnsi="Times New Roman" w:cs="Times New Roman"/>
          <w:noProof/>
          <w:sz w:val="24"/>
          <w:szCs w:val="24"/>
        </w:rPr>
        <w:t xml:space="preserve"> active in the area of judicial cooperation, judicial training, access to justice and drugs prevention across Europe such as, European networks, public or private organisations that are usually non-profit-oriented, national, regional and local authorities in EU Member States, non-governmental organisations; universities and research institutions as well as international organisations. </w:t>
      </w:r>
    </w:p>
    <w:p>
      <w:pPr>
        <w:pStyle w:val="Body"/>
        <w:rPr>
          <w:rFonts w:ascii="Times New Roman" w:hAnsi="Times New Roman"/>
          <w:noProof/>
          <w:sz w:val="24"/>
          <w:szCs w:val="24"/>
        </w:rPr>
      </w:pPr>
      <w:r>
        <w:rPr>
          <w:rFonts w:ascii="Times New Roman" w:hAnsi="Times New Roman"/>
          <w:noProof/>
          <w:sz w:val="24"/>
          <w:szCs w:val="24"/>
        </w:rPr>
        <w:t xml:space="preserve">In terms of </w:t>
      </w:r>
      <w:r>
        <w:rPr>
          <w:rFonts w:ascii="Times New Roman" w:hAnsi="Times New Roman"/>
          <w:b/>
          <w:noProof/>
          <w:sz w:val="24"/>
          <w:szCs w:val="24"/>
        </w:rPr>
        <w:t>target groups</w:t>
      </w:r>
      <w:r>
        <w:rPr>
          <w:rFonts w:ascii="Times New Roman" w:hAnsi="Times New Roman"/>
          <w:noProof/>
          <w:sz w:val="24"/>
          <w:szCs w:val="24"/>
        </w:rPr>
        <w:t>, intended as the groups that can benefit, directly (by participating in Justice projects' activities) or indirectly from the implementation of the Programme, potentially all EU citizens are included, since the Justice Programme aims at creating a European Area of Justice where all citizens are aware of and can exercise their rights.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provided in the Regulation, the Programme uses action grants, operating grants and procurement actions as main funding mechanisms to support actions related with its objectives.</w:t>
      </w:r>
    </w:p>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cs="Times New Roman"/>
          <w:noProof/>
          <w:color w:val="auto"/>
          <w:sz w:val="24"/>
          <w:szCs w:val="24"/>
        </w:rPr>
        <w:t>The Programme’s specific objectives</w:t>
      </w:r>
    </w:p>
    <w:p>
      <w:pPr>
        <w:numPr>
          <w:ilvl w:val="0"/>
          <w:numId w:val="5"/>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i/>
          <w:noProof/>
          <w:sz w:val="24"/>
          <w:szCs w:val="24"/>
        </w:rPr>
        <w:t>Specific objective</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b/>
          <w:i/>
          <w:noProof/>
          <w:sz w:val="24"/>
          <w:szCs w:val="24"/>
        </w:rPr>
        <w:t xml:space="preserve">1: Judicial cooperation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Programme supports activities that </w:t>
      </w:r>
      <w:r>
        <w:rPr>
          <w:rFonts w:ascii="Times New Roman" w:hAnsi="Times New Roman" w:cs="Times New Roman"/>
          <w:noProof/>
          <w:color w:val="000000"/>
          <w:sz w:val="24"/>
          <w:szCs w:val="24"/>
        </w:rPr>
        <w:t xml:space="preserve">contribute to the effective and coherent application of the EU acquis relating to judicial cooperation in civil and criminal matters, </w:t>
      </w:r>
      <w:r>
        <w:rPr>
          <w:rFonts w:ascii="Times New Roman" w:hAnsi="Times New Roman" w:cs="Times New Roman"/>
          <w:noProof/>
          <w:sz w:val="24"/>
          <w:szCs w:val="24"/>
        </w:rPr>
        <w:t>also by building-up and/or improving data collection and statistics on the application of the EU acquis</w:t>
      </w:r>
      <w:r>
        <w:rPr>
          <w:rFonts w:ascii="Times New Roman" w:hAnsi="Times New Roman" w:cs="Times New Roman"/>
          <w:noProof/>
          <w:color w:val="000000"/>
          <w:sz w:val="24"/>
          <w:szCs w:val="24"/>
        </w:rPr>
        <w:t>. Funded activities also contribute to the enforcement of EU instruments and</w:t>
      </w:r>
      <w:r>
        <w:rPr>
          <w:rFonts w:ascii="Times New Roman" w:hAnsi="Times New Roman" w:cs="Times New Roman"/>
          <w:noProof/>
          <w:sz w:val="24"/>
          <w:szCs w:val="24"/>
        </w:rPr>
        <w:t xml:space="preserve"> judicial decisions, in particular resulting from cross-border disputes. </w:t>
      </w:r>
      <w:r>
        <w:rPr>
          <w:rFonts w:ascii="Times New Roman" w:hAnsi="Times New Roman" w:cs="Times New Roman"/>
          <w:noProof/>
          <w:color w:val="000000" w:themeColor="text1"/>
          <w:sz w:val="24"/>
          <w:szCs w:val="24"/>
        </w:rPr>
        <w:t xml:space="preserve">The Programme also finances projects aiming </w:t>
      </w:r>
      <w:r>
        <w:rPr>
          <w:rFonts w:ascii="Times New Roman" w:hAnsi="Times New Roman" w:cs="Times New Roman"/>
          <w:noProof/>
          <w:color w:val="000000" w:themeColor="text1"/>
          <w:sz w:val="24"/>
          <w:szCs w:val="24"/>
        </w:rPr>
        <w:lastRenderedPageBreak/>
        <w:t>to improve the exchange of information among professionals in order to enhance the operational cooperation and mutual trust in the EU.</w:t>
      </w:r>
      <w:r>
        <w:rPr>
          <w:rFonts w:ascii="Times New Roman" w:hAnsi="Times New Roman" w:cs="Times New Roman"/>
          <w:noProof/>
          <w:sz w:val="24"/>
          <w:szCs w:val="24"/>
        </w:rPr>
        <w:t xml:space="preserve"> </w:t>
      </w:r>
    </w:p>
    <w:p>
      <w:pPr>
        <w:pStyle w:val="ListParagraph"/>
        <w:numPr>
          <w:ilvl w:val="0"/>
          <w:numId w:val="6"/>
        </w:numPr>
        <w:spacing w:after="120" w:line="240" w:lineRule="auto"/>
        <w:contextualSpacing w:val="0"/>
        <w:jc w:val="both"/>
        <w:rPr>
          <w:rFonts w:ascii="Times New Roman" w:hAnsi="Times New Roman" w:cs="Times New Roman"/>
          <w:noProof/>
          <w:sz w:val="24"/>
          <w:szCs w:val="24"/>
        </w:rPr>
      </w:pPr>
      <w:r>
        <w:rPr>
          <w:rFonts w:ascii="Times New Roman" w:eastAsia="Times New Roman" w:hAnsi="Times New Roman" w:cs="Times New Roman"/>
          <w:b/>
          <w:i/>
          <w:noProof/>
          <w:sz w:val="24"/>
          <w:szCs w:val="24"/>
        </w:rPr>
        <w:t xml:space="preserve">Specific objective 2: Judicial training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Programme supports actions which encourage the training of justice professionals on EU law, including language training on legal terminology, with a view to fostering a common legal and judicial culture in the EU. Judicial training can involve “basic” components, such as linguistic skills and terminology, and more specialised aspects, such as seminars on specific aspects of both civil and criminal law, e-learning and exchanges</w:t>
      </w:r>
      <w:r>
        <w:rPr>
          <w:noProof/>
        </w:rPr>
        <w:t xml:space="preserve"> </w:t>
      </w:r>
      <w:r>
        <w:rPr>
          <w:rFonts w:ascii="Times New Roman" w:hAnsi="Times New Roman" w:cs="Times New Roman"/>
          <w:noProof/>
          <w:sz w:val="24"/>
          <w:szCs w:val="24"/>
        </w:rPr>
        <w:t xml:space="preserve">of staff and experience. Activities funded mainly </w:t>
      </w:r>
      <w:r>
        <w:rPr>
          <w:rFonts w:ascii="Times New Roman" w:hAnsi="Times New Roman" w:cs="Times New Roman"/>
          <w:noProof/>
          <w:color w:val="000000"/>
          <w:sz w:val="24"/>
          <w:szCs w:val="24"/>
        </w:rPr>
        <w:t xml:space="preserve">support training of the members of the judiciary and judicial staff, but also other justice practitioners associated with the judiciary, as well as </w:t>
      </w:r>
      <w:r>
        <w:rPr>
          <w:rFonts w:ascii="Times New Roman" w:hAnsi="Times New Roman" w:cs="Times New Roman"/>
          <w:noProof/>
          <w:sz w:val="24"/>
          <w:szCs w:val="24"/>
        </w:rPr>
        <w:t>the development of tools for training providers.</w:t>
      </w:r>
    </w:p>
    <w:p>
      <w:pPr>
        <w:pStyle w:val="ListParagraph"/>
        <w:numPr>
          <w:ilvl w:val="0"/>
          <w:numId w:val="6"/>
        </w:numPr>
        <w:spacing w:after="120" w:line="240" w:lineRule="auto"/>
        <w:contextualSpacing w:val="0"/>
        <w:jc w:val="both"/>
        <w:rPr>
          <w:rFonts w:ascii="Times New Roman" w:hAnsi="Times New Roman" w:cs="Times New Roman"/>
          <w:noProof/>
        </w:rPr>
      </w:pPr>
      <w:r>
        <w:rPr>
          <w:rFonts w:ascii="Times New Roman" w:eastAsia="Times New Roman" w:hAnsi="Times New Roman" w:cs="Times New Roman"/>
          <w:b/>
          <w:i/>
          <w:noProof/>
          <w:sz w:val="24"/>
          <w:szCs w:val="24"/>
        </w:rPr>
        <w:t xml:space="preserve">Objective 3: Access to justice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Actions financed in this area aim at providing EU citizens with effective remedies in case of violation of EU law, especially where national procedures are too difficult for citizens to be enabled. In particular, the Programme promotes the use of other types of remedies and non-remedies developed in the EU that can provide a quick, efficient and less costly solution to disputes, as supported, for example, by the e-Justice Portal. It aims also to encourage a close cooperation between national authorities or administrative bodies, which is particularly important for the effectiveness of certain EU rights. </w:t>
      </w:r>
    </w:p>
    <w:p>
      <w:pPr>
        <w:pStyle w:val="ListParagraph"/>
        <w:numPr>
          <w:ilvl w:val="0"/>
          <w:numId w:val="6"/>
        </w:numPr>
        <w:spacing w:after="120" w:line="240" w:lineRule="auto"/>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i/>
          <w:noProof/>
          <w:sz w:val="24"/>
          <w:szCs w:val="24"/>
        </w:rPr>
        <w:t>Objective 4: Drugs policy</w:t>
      </w:r>
    </w:p>
    <w:p>
      <w:pPr>
        <w:autoSpaceDE w:val="0"/>
        <w:autoSpaceDN w:val="0"/>
        <w:adjustRightInd w:val="0"/>
        <w:spacing w:after="0" w:line="240" w:lineRule="auto"/>
        <w:jc w:val="both"/>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1"/>
          <w:cols w:space="720"/>
          <w:docGrid w:linePitch="360"/>
        </w:sectPr>
      </w:pPr>
      <w:r>
        <w:rPr>
          <w:rFonts w:ascii="Times New Roman" w:hAnsi="Times New Roman" w:cs="Times New Roman"/>
          <w:noProof/>
          <w:sz w:val="24"/>
          <w:szCs w:val="24"/>
        </w:rPr>
        <w:t>In the area of drugs policy, the Justice Programme promotes initiatives that focus on judicial cooperation and crime prevention. The main priorities are to promote practical application of drug-related research, support civil society organisations and key stakeholders and expand the knowledge base and develop innovative methods of addressing the phenomenon of new psychoactive substances.</w:t>
      </w:r>
    </w:p>
    <w:p>
      <w:pPr>
        <w:spacing w:after="120" w:line="240" w:lineRule="auto"/>
        <w:jc w:val="both"/>
        <w:rPr>
          <w:rFonts w:ascii="Times New Roman" w:hAnsi="Times New Roman" w:cs="Times New Roman"/>
          <w:noProof/>
          <w:sz w:val="24"/>
          <w:szCs w:val="24"/>
          <w:highlight w:val="yellow"/>
        </w:rPr>
      </w:pPr>
    </w:p>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cs="Times New Roman"/>
          <w:noProof/>
          <w:color w:val="auto"/>
          <w:sz w:val="24"/>
          <w:szCs w:val="24"/>
        </w:rPr>
        <w:t>Budget</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 initial total Justice Programme's budget for the period 2014-2020 is </w:t>
      </w:r>
      <w:r>
        <w:rPr>
          <w:rFonts w:ascii="Times New Roman" w:eastAsia="Times New Roman" w:hAnsi="Times New Roman" w:cs="Times New Roman"/>
          <w:b/>
          <w:noProof/>
          <w:sz w:val="24"/>
          <w:szCs w:val="24"/>
        </w:rPr>
        <w:t>EUR 377 604 000.</w:t>
      </w:r>
      <w:r>
        <w:rPr>
          <w:rFonts w:ascii="Times New Roman" w:hAnsi="Times New Roman" w:cs="Times New Roman"/>
          <w:noProof/>
          <w:sz w:val="24"/>
          <w:szCs w:val="24"/>
        </w:rPr>
        <w:t xml:space="preserve"> The highest commitment rate was met in 2016 (</w:t>
      </w:r>
      <w:r>
        <w:rPr>
          <w:rFonts w:ascii="Times New Roman" w:hAnsi="Times New Roman" w:cs="Times New Roman"/>
          <w:noProof/>
          <w:lang w:eastAsia="it-IT"/>
        </w:rPr>
        <w:t>94.60</w:t>
      </w:r>
      <w:r>
        <w:rPr>
          <w:rFonts w:ascii="Times New Roman" w:hAnsi="Times New Roman" w:cs="Times New Roman"/>
          <w:noProof/>
          <w:color w:val="000000"/>
          <w:sz w:val="24"/>
          <w:szCs w:val="24"/>
          <w:lang w:eastAsia="it-IT"/>
        </w:rPr>
        <w:t>%</w:t>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bCs/>
          <w:noProof/>
          <w:sz w:val="24"/>
          <w:szCs w:val="24"/>
          <w:lang w:eastAsia="it-IT"/>
        </w:rPr>
      </w:pPr>
      <w:r>
        <w:rPr>
          <w:rFonts w:ascii="Times New Roman" w:hAnsi="Times New Roman" w:cs="Times New Roman"/>
          <w:bCs/>
          <w:noProof/>
          <w:sz w:val="24"/>
          <w:szCs w:val="24"/>
          <w:lang w:eastAsia="it-IT"/>
        </w:rPr>
        <w:t>EUR 143 million have been planned in the 2014-2016 Annual Work Programmes.</w:t>
      </w:r>
      <w:r>
        <w:rPr>
          <w:rFonts w:ascii="Times New Roman" w:hAnsi="Times New Roman" w:cs="Times New Roman"/>
          <w:noProof/>
          <w:sz w:val="24"/>
          <w:szCs w:val="24"/>
        </w:rPr>
        <w:t xml:space="preserve"> According to available sources, the </w:t>
      </w:r>
      <w:r>
        <w:rPr>
          <w:rFonts w:ascii="Times New Roman" w:hAnsi="Times New Roman" w:cs="Times New Roman"/>
          <w:b/>
          <w:noProof/>
          <w:sz w:val="24"/>
          <w:szCs w:val="24"/>
        </w:rPr>
        <w:t xml:space="preserve">total requested and committed EU contribution still not reached the amount planned </w:t>
      </w:r>
      <w:r>
        <w:rPr>
          <w:rFonts w:ascii="Times New Roman" w:hAnsi="Times New Roman" w:cs="Times New Roman"/>
          <w:noProof/>
          <w:sz w:val="24"/>
          <w:szCs w:val="24"/>
        </w:rPr>
        <w:t>(see Table 1)</w:t>
      </w:r>
      <w:r>
        <w:rPr>
          <w:rFonts w:ascii="Times New Roman" w:eastAsia="Times New Roman" w:hAnsi="Times New Roman" w:cs="Times New Roman"/>
          <w:noProof/>
          <w:sz w:val="24"/>
          <w:szCs w:val="24"/>
        </w:rPr>
        <w:t xml:space="preserve">. </w:t>
      </w:r>
      <w:r>
        <w:rPr>
          <w:rFonts w:ascii="Times New Roman" w:hAnsi="Times New Roman" w:cs="Times New Roman"/>
          <w:bCs/>
          <w:noProof/>
          <w:sz w:val="24"/>
          <w:szCs w:val="24"/>
          <w:lang w:eastAsia="it-IT"/>
        </w:rPr>
        <w:t>In general, most resources allocated to grants have been committed (with a commitment rate of close to 90%), but the commitment rate for procurement activities was much lower, hovering around 60%-70%.</w:t>
      </w:r>
    </w:p>
    <w:p>
      <w:pPr>
        <w:spacing w:after="0" w:line="240" w:lineRule="auto"/>
        <w:jc w:val="both"/>
        <w:rPr>
          <w:rFonts w:ascii="Times New Roman" w:hAnsi="Times New Roman" w:cs="Times New Roman"/>
          <w:bCs/>
          <w:noProof/>
          <w:sz w:val="24"/>
          <w:szCs w:val="24"/>
          <w:lang w:eastAsia="it-IT"/>
        </w:rPr>
      </w:pPr>
    </w:p>
    <w:p>
      <w:pPr>
        <w:spacing w:after="0" w:line="240" w:lineRule="auto"/>
        <w:jc w:val="center"/>
        <w:rPr>
          <w:rFonts w:ascii="Times New Roman" w:eastAsia="Times New Roman" w:hAnsi="Times New Roman" w:cs="Times New Roman"/>
          <w:b/>
          <w:noProof/>
          <w:sz w:val="20"/>
          <w:szCs w:val="20"/>
        </w:rPr>
      </w:pPr>
      <w:bookmarkStart w:id="2" w:name="Table_1"/>
      <w:r>
        <w:rPr>
          <w:rFonts w:ascii="Times New Roman" w:eastAsia="Times New Roman" w:hAnsi="Times New Roman" w:cs="Times New Roman"/>
          <w:b/>
          <w:noProof/>
          <w:sz w:val="20"/>
          <w:szCs w:val="20"/>
        </w:rPr>
        <w:t>Table 1: 2014 – 2016 Programme’s annual commitment</w:t>
      </w:r>
    </w:p>
    <w:p>
      <w:pPr>
        <w:spacing w:after="0" w:line="240" w:lineRule="auto"/>
        <w:jc w:val="center"/>
        <w:rPr>
          <w:rFonts w:ascii="Times New Roman" w:eastAsia="Times New Roman" w:hAnsi="Times New Roman" w:cs="Times New Roman"/>
          <w:b/>
          <w:noProof/>
          <w:sz w:val="20"/>
          <w:szCs w:val="20"/>
        </w:rPr>
      </w:pPr>
    </w:p>
    <w:tbl>
      <w:tblPr>
        <w:tblStyle w:val="TableGrid"/>
        <w:tblW w:w="5000" w:type="pct"/>
        <w:tblLook w:val="04A0" w:firstRow="1" w:lastRow="0" w:firstColumn="1" w:lastColumn="0" w:noHBand="0" w:noVBand="1"/>
      </w:tblPr>
      <w:tblGrid>
        <w:gridCol w:w="4585"/>
        <w:gridCol w:w="4704"/>
      </w:tblGrid>
      <w:tr>
        <w:trPr>
          <w:trHeight w:val="397"/>
        </w:trPr>
        <w:tc>
          <w:tcPr>
            <w:tcW w:w="2468" w:type="pct"/>
            <w:shd w:val="clear" w:color="auto" w:fill="DBE5F1" w:themeFill="accent1" w:themeFillTint="33"/>
            <w:vAlign w:val="center"/>
          </w:tcPr>
          <w:bookmarkEnd w:id="2"/>
          <w:p>
            <w:pPr>
              <w:jc w:val="center"/>
              <w:rPr>
                <w:b/>
                <w:noProof/>
                <w:sz w:val="24"/>
                <w:szCs w:val="24"/>
              </w:rPr>
            </w:pPr>
            <w:r>
              <w:rPr>
                <w:b/>
                <w:noProof/>
                <w:sz w:val="24"/>
                <w:szCs w:val="24"/>
              </w:rPr>
              <w:t>Year</w:t>
            </w:r>
          </w:p>
        </w:tc>
        <w:tc>
          <w:tcPr>
            <w:tcW w:w="2532" w:type="pct"/>
            <w:shd w:val="clear" w:color="auto" w:fill="DBE5F1" w:themeFill="accent1" w:themeFillTint="33"/>
            <w:vAlign w:val="center"/>
          </w:tcPr>
          <w:p>
            <w:pPr>
              <w:jc w:val="center"/>
              <w:rPr>
                <w:b/>
                <w:noProof/>
                <w:sz w:val="24"/>
                <w:szCs w:val="24"/>
              </w:rPr>
            </w:pPr>
            <w:r>
              <w:rPr>
                <w:b/>
                <w:noProof/>
                <w:sz w:val="24"/>
                <w:szCs w:val="24"/>
              </w:rPr>
              <w:t>Amount committed (EUR)</w:t>
            </w:r>
          </w:p>
        </w:tc>
      </w:tr>
      <w:tr>
        <w:trPr>
          <w:trHeight w:val="397"/>
        </w:trPr>
        <w:tc>
          <w:tcPr>
            <w:tcW w:w="2468" w:type="pct"/>
            <w:vAlign w:val="center"/>
          </w:tcPr>
          <w:p>
            <w:pPr>
              <w:rPr>
                <w:noProof/>
                <w:sz w:val="24"/>
                <w:szCs w:val="24"/>
              </w:rPr>
            </w:pPr>
            <w:r>
              <w:rPr>
                <w:noProof/>
                <w:sz w:val="24"/>
                <w:szCs w:val="24"/>
              </w:rPr>
              <w:t>2014</w:t>
            </w:r>
          </w:p>
        </w:tc>
        <w:tc>
          <w:tcPr>
            <w:tcW w:w="2532" w:type="pct"/>
          </w:tcPr>
          <w:p>
            <w:pPr>
              <w:keepNext/>
              <w:spacing w:after="120"/>
              <w:rPr>
                <w:noProof/>
                <w:sz w:val="24"/>
                <w:szCs w:val="24"/>
              </w:rPr>
            </w:pPr>
            <w:r>
              <w:rPr>
                <w:rFonts w:cs="Calibri"/>
                <w:noProof/>
                <w:sz w:val="24"/>
                <w:szCs w:val="24"/>
                <w:lang w:eastAsia="it-IT"/>
              </w:rPr>
              <w:t xml:space="preserve">                                                 36 671 240.16 </w:t>
            </w:r>
          </w:p>
        </w:tc>
      </w:tr>
      <w:tr>
        <w:trPr>
          <w:trHeight w:val="397"/>
        </w:trPr>
        <w:tc>
          <w:tcPr>
            <w:tcW w:w="2468" w:type="pct"/>
            <w:vAlign w:val="center"/>
          </w:tcPr>
          <w:p>
            <w:pPr>
              <w:rPr>
                <w:noProof/>
                <w:sz w:val="24"/>
                <w:szCs w:val="24"/>
              </w:rPr>
            </w:pPr>
            <w:r>
              <w:rPr>
                <w:noProof/>
                <w:sz w:val="24"/>
                <w:szCs w:val="24"/>
              </w:rPr>
              <w:t>2015</w:t>
            </w:r>
          </w:p>
        </w:tc>
        <w:tc>
          <w:tcPr>
            <w:tcW w:w="2532" w:type="pct"/>
            <w:vAlign w:val="center"/>
          </w:tcPr>
          <w:p>
            <w:pPr>
              <w:ind w:left="2880"/>
              <w:rPr>
                <w:noProof/>
                <w:sz w:val="24"/>
                <w:szCs w:val="24"/>
              </w:rPr>
            </w:pPr>
            <w:r>
              <w:rPr>
                <w:noProof/>
                <w:sz w:val="24"/>
                <w:szCs w:val="24"/>
              </w:rPr>
              <w:t xml:space="preserve"> </w:t>
            </w:r>
            <w:r>
              <w:rPr>
                <w:rFonts w:cs="Calibri"/>
                <w:noProof/>
                <w:sz w:val="24"/>
                <w:szCs w:val="24"/>
                <w:lang w:eastAsia="it-IT"/>
              </w:rPr>
              <w:t>39 675 719.11</w:t>
            </w:r>
          </w:p>
        </w:tc>
      </w:tr>
      <w:tr>
        <w:trPr>
          <w:trHeight w:val="397"/>
        </w:trPr>
        <w:tc>
          <w:tcPr>
            <w:tcW w:w="2468" w:type="pct"/>
            <w:tcBorders>
              <w:bottom w:val="single" w:sz="4" w:space="0" w:color="auto"/>
            </w:tcBorders>
            <w:vAlign w:val="center"/>
          </w:tcPr>
          <w:p>
            <w:pPr>
              <w:rPr>
                <w:noProof/>
                <w:sz w:val="24"/>
                <w:szCs w:val="24"/>
              </w:rPr>
            </w:pPr>
            <w:r>
              <w:rPr>
                <w:noProof/>
                <w:sz w:val="24"/>
                <w:szCs w:val="24"/>
              </w:rPr>
              <w:t>2016</w:t>
            </w:r>
          </w:p>
        </w:tc>
        <w:tc>
          <w:tcPr>
            <w:tcW w:w="2532" w:type="pct"/>
            <w:tcBorders>
              <w:bottom w:val="single" w:sz="4" w:space="0" w:color="auto"/>
            </w:tcBorders>
            <w:vAlign w:val="center"/>
          </w:tcPr>
          <w:p>
            <w:pPr>
              <w:ind w:left="2880"/>
              <w:rPr>
                <w:noProof/>
                <w:sz w:val="24"/>
                <w:szCs w:val="24"/>
              </w:rPr>
            </w:pPr>
            <w:r>
              <w:rPr>
                <w:noProof/>
                <w:sz w:val="24"/>
                <w:szCs w:val="24"/>
              </w:rPr>
              <w:t xml:space="preserve"> </w:t>
            </w:r>
            <w:r>
              <w:rPr>
                <w:rFonts w:cs="Calibri"/>
                <w:noProof/>
                <w:sz w:val="24"/>
                <w:szCs w:val="24"/>
                <w:lang w:eastAsia="it-IT"/>
              </w:rPr>
              <w:t>47 535 032.81</w:t>
            </w:r>
          </w:p>
        </w:tc>
      </w:tr>
      <w:tr>
        <w:trPr>
          <w:trHeight w:val="397"/>
        </w:trPr>
        <w:tc>
          <w:tcPr>
            <w:tcW w:w="2468" w:type="pct"/>
            <w:shd w:val="clear" w:color="auto" w:fill="B8CCE4" w:themeFill="accent1" w:themeFillTint="66"/>
            <w:vAlign w:val="center"/>
          </w:tcPr>
          <w:p>
            <w:pPr>
              <w:rPr>
                <w:b/>
                <w:noProof/>
                <w:sz w:val="24"/>
                <w:szCs w:val="24"/>
              </w:rPr>
            </w:pPr>
            <w:r>
              <w:rPr>
                <w:b/>
                <w:noProof/>
                <w:sz w:val="24"/>
                <w:szCs w:val="24"/>
              </w:rPr>
              <w:t>Total 2014-2016</w:t>
            </w:r>
          </w:p>
        </w:tc>
        <w:tc>
          <w:tcPr>
            <w:tcW w:w="2532" w:type="pct"/>
            <w:shd w:val="clear" w:color="auto" w:fill="B8CCE4" w:themeFill="accent1" w:themeFillTint="66"/>
            <w:vAlign w:val="center"/>
          </w:tcPr>
          <w:p>
            <w:pPr>
              <w:jc w:val="right"/>
              <w:rPr>
                <w:noProof/>
                <w:sz w:val="24"/>
                <w:szCs w:val="24"/>
              </w:rPr>
            </w:pPr>
            <w:r>
              <w:rPr>
                <w:rFonts w:cs="Calibri"/>
                <w:b/>
                <w:noProof/>
                <w:sz w:val="24"/>
                <w:szCs w:val="24"/>
                <w:lang w:eastAsia="it-IT"/>
              </w:rPr>
              <w:t>123 881 992.08</w:t>
            </w:r>
          </w:p>
        </w:tc>
      </w:tr>
    </w:tbl>
    <w:p>
      <w:pPr>
        <w:spacing w:after="120" w:line="240" w:lineRule="auto"/>
        <w:rPr>
          <w:rFonts w:ascii="Times New Roman" w:hAnsi="Times New Roman" w:cs="Times New Roman"/>
          <w:i/>
          <w:noProof/>
          <w:sz w:val="16"/>
          <w:szCs w:val="16"/>
        </w:rPr>
      </w:pPr>
      <w:r>
        <w:rPr>
          <w:rFonts w:ascii="Times New Roman" w:hAnsi="Times New Roman" w:cs="Times New Roman"/>
          <w:i/>
          <w:noProof/>
          <w:sz w:val="16"/>
          <w:szCs w:val="16"/>
        </w:rPr>
        <w:t>Sources: Annual monitoring reports (reports on the implementation of the Annual Work Programmes (AWP) and data extracted from Sygma for 2016)</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In particular,</w:t>
      </w:r>
      <w:r>
        <w:rPr>
          <w:rFonts w:ascii="Times New Roman" w:eastAsia="Times New Roman" w:hAnsi="Times New Roman" w:cs="Times New Roman"/>
          <w:noProof/>
          <w:sz w:val="24"/>
          <w:szCs w:val="24"/>
        </w:rPr>
        <w:t xml:space="preserve"> the budget committed to grants has been divided between the Programme’s specific objectives as shown in Figure 1.</w:t>
      </w:r>
    </w:p>
    <w:p>
      <w:pPr>
        <w:spacing w:after="120" w:line="240" w:lineRule="auto"/>
        <w:jc w:val="center"/>
        <w:rPr>
          <w:rFonts w:ascii="Times New Roman" w:eastAsia="Times New Roman" w:hAnsi="Times New Roman" w:cs="Times New Roman"/>
          <w:noProof/>
          <w:sz w:val="20"/>
          <w:szCs w:val="20"/>
        </w:rPr>
      </w:pPr>
    </w:p>
    <w:p>
      <w:pPr>
        <w:pStyle w:val="Caption"/>
        <w:spacing w:before="0" w:after="120"/>
        <w:rPr>
          <w:rFonts w:ascii="Times New Roman" w:hAnsi="Times New Roman"/>
          <w:b/>
          <w:i w:val="0"/>
          <w:noProof/>
          <w:color w:val="auto"/>
          <w:szCs w:val="20"/>
        </w:rPr>
      </w:pPr>
      <w:bookmarkStart w:id="3" w:name="_Ref510466334"/>
      <w:bookmarkStart w:id="4" w:name="Figure_2"/>
      <w:r>
        <w:rPr>
          <w:rFonts w:ascii="Times New Roman" w:hAnsi="Times New Roman"/>
          <w:b/>
          <w:i w:val="0"/>
          <w:noProof/>
          <w:color w:val="auto"/>
          <w:szCs w:val="20"/>
        </w:rPr>
        <w:t xml:space="preserve">Figure </w:t>
      </w:r>
      <w:bookmarkEnd w:id="3"/>
      <w:r>
        <w:rPr>
          <w:rFonts w:ascii="Times New Roman" w:hAnsi="Times New Roman"/>
          <w:b/>
          <w:i w:val="0"/>
          <w:noProof/>
          <w:color w:val="auto"/>
          <w:szCs w:val="20"/>
        </w:rPr>
        <w:t>1: Budget committed per typology of intervention by specific objective</w:t>
      </w:r>
    </w:p>
    <w:bookmarkEnd w:id="4"/>
    <w:p>
      <w:pPr>
        <w:pStyle w:val="Text4"/>
        <w:spacing w:after="120"/>
        <w:ind w:left="0"/>
        <w:rPr>
          <w:noProof/>
          <w:lang w:val="en-GB" w:eastAsia="it-IT"/>
        </w:rPr>
      </w:pPr>
      <w:r>
        <w:rPr>
          <w:noProof/>
          <w:shd w:val="clear" w:color="auto" w:fill="D9D9D9"/>
          <w:lang w:val="en-US"/>
        </w:rPr>
        <w:drawing>
          <wp:inline distT="0" distB="0" distL="0" distR="0">
            <wp:extent cx="5769864" cy="1844675"/>
            <wp:effectExtent l="0" t="0" r="2540" b="3175"/>
            <wp:docPr id="10" name="Chart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Sourcetables"/>
        <w:spacing w:after="120" w:line="240" w:lineRule="auto"/>
        <w:rPr>
          <w:rFonts w:ascii="Times New Roman" w:hAnsi="Times New Roman"/>
          <w:noProof/>
          <w:sz w:val="16"/>
          <w:szCs w:val="16"/>
        </w:rPr>
      </w:pPr>
      <w:r>
        <w:rPr>
          <w:rFonts w:ascii="Times New Roman" w:hAnsi="Times New Roman"/>
          <w:noProof/>
          <w:sz w:val="16"/>
          <w:szCs w:val="16"/>
        </w:rPr>
        <w:t>Source: Annual Working Programme Monitoring Reports for 2014 and 2015, Project database for 2016. AG (action grant), OG (operating grant), PROC (procurement), JCOO (judicial cooperation), JTRA (judicial training), JACC (access to justice), JDRU (drugs policy).</w:t>
      </w:r>
    </w:p>
    <w:p>
      <w:pPr>
        <w:pStyle w:val="Sourcetables"/>
        <w:spacing w:after="120" w:line="240" w:lineRule="auto"/>
        <w:rPr>
          <w:rFonts w:ascii="Times New Roman" w:hAnsi="Times New Roman"/>
          <w:noProof/>
          <w:sz w:val="16"/>
          <w:szCs w:val="16"/>
        </w:rPr>
      </w:pPr>
    </w:p>
    <w:p>
      <w:pPr>
        <w:pStyle w:val="Sourcetables"/>
        <w:spacing w:after="120" w:line="240" w:lineRule="auto"/>
        <w:jc w:val="both"/>
        <w:rPr>
          <w:rFonts w:ascii="Times New Roman" w:hAnsi="Times New Roman"/>
          <w:i w:val="0"/>
          <w:noProof/>
          <w:sz w:val="24"/>
          <w:szCs w:val="24"/>
        </w:rPr>
      </w:pPr>
      <w:r>
        <w:rPr>
          <w:rFonts w:ascii="Times New Roman" w:hAnsi="Times New Roman"/>
          <w:bCs/>
          <w:i w:val="0"/>
          <w:noProof/>
          <w:sz w:val="24"/>
          <w:szCs w:val="24"/>
          <w:lang w:eastAsia="it-IT"/>
        </w:rPr>
        <w:t>The specific objectives concerning "drug policy" and "judicial training" are those which are most closely aligned, in terms of committed expenses, to the corresponding Annual Work Programmes and the specific objective concerning "Judicial training" has also achieved the highest commitment rate.</w:t>
      </w:r>
      <w:r>
        <w:rPr>
          <w:rFonts w:ascii="Times New Roman" w:hAnsi="Times New Roman"/>
          <w:i w:val="0"/>
          <w:noProof/>
          <w:sz w:val="24"/>
          <w:szCs w:val="24"/>
        </w:rPr>
        <w:t xml:space="preserve"> The commitment rate of the specific objective on "effective access to justice" was initially relatively low; h</w:t>
      </w:r>
      <w:r>
        <w:rPr>
          <w:rFonts w:ascii="Times New Roman" w:hAnsi="Times New Roman"/>
          <w:bCs/>
          <w:i w:val="0"/>
          <w:noProof/>
          <w:sz w:val="24"/>
          <w:szCs w:val="24"/>
          <w:lang w:eastAsia="it-IT"/>
        </w:rPr>
        <w:t>owever the situation has been improving over the years.</w:t>
      </w:r>
      <w:r>
        <w:rPr>
          <w:rFonts w:ascii="Times New Roman" w:hAnsi="Times New Roman"/>
          <w:i w:val="0"/>
          <w:noProof/>
          <w:sz w:val="24"/>
          <w:szCs w:val="24"/>
        </w:rPr>
        <w:t xml:space="preserve"> </w:t>
      </w:r>
      <w:r>
        <w:rPr>
          <w:rFonts w:ascii="Times New Roman" w:hAnsi="Times New Roman"/>
          <w:bCs/>
          <w:i w:val="0"/>
          <w:noProof/>
          <w:sz w:val="24"/>
          <w:szCs w:val="24"/>
          <w:lang w:eastAsia="it-IT"/>
        </w:rPr>
        <w:t xml:space="preserve">Finally, the specific objective with the widest gap in terms of planned vs. committed resources was judicial cooperation in civil and criminal matters, due to the high reliance on procurement actions. </w:t>
      </w:r>
    </w:p>
    <w:p>
      <w:pPr>
        <w:pStyle w:val="Sourcetables"/>
        <w:spacing w:after="120" w:line="240" w:lineRule="auto"/>
        <w:rPr>
          <w:rFonts w:ascii="Times New Roman" w:hAnsi="Times New Roman"/>
          <w:noProof/>
          <w:sz w:val="16"/>
          <w:szCs w:val="16"/>
        </w:rPr>
      </w:pPr>
    </w:p>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cs="Times New Roman"/>
          <w:noProof/>
          <w:color w:val="auto"/>
          <w:sz w:val="24"/>
          <w:szCs w:val="24"/>
        </w:rPr>
        <w:t>Applications received and projects selected</w:t>
      </w:r>
    </w:p>
    <w:p>
      <w:pPr>
        <w:spacing w:after="0" w:line="240" w:lineRule="auto"/>
        <w:jc w:val="both"/>
        <w:rPr>
          <w:rFonts w:ascii="Times New Roman" w:hAnsi="Times New Roman" w:cs="Times New Roman"/>
          <w:noProof/>
          <w:sz w:val="24"/>
          <w:szCs w:val="24"/>
        </w:rPr>
      </w:pPr>
      <w:bookmarkStart w:id="5" w:name="_Toc491182727"/>
      <w:r>
        <w:rPr>
          <w:rFonts w:ascii="Times New Roman" w:hAnsi="Times New Roman" w:cs="Times New Roman"/>
          <w:noProof/>
          <w:sz w:val="24"/>
          <w:szCs w:val="24"/>
        </w:rPr>
        <w:t xml:space="preserve">Data for 2014 and 2015, concerning both action grants and operating grants, show that the demand for funding outstripped supply significantly for the initiatives in the field of drugs policy SO (see Figure 2). </w:t>
      </w:r>
    </w:p>
    <w:p>
      <w:pPr>
        <w:pStyle w:val="Caption"/>
        <w:spacing w:before="0" w:after="0"/>
        <w:jc w:val="both"/>
        <w:rPr>
          <w:rFonts w:ascii="Times New Roman" w:hAnsi="Times New Roman"/>
          <w:i w:val="0"/>
          <w:iCs w:val="0"/>
          <w:noProof/>
          <w:color w:val="auto"/>
          <w:sz w:val="24"/>
          <w:szCs w:val="20"/>
          <w:lang w:val="en-GB"/>
        </w:rPr>
      </w:pPr>
      <w:bookmarkStart w:id="6" w:name="Figure_3"/>
    </w:p>
    <w:p>
      <w:pPr>
        <w:pStyle w:val="Caption"/>
        <w:spacing w:before="0" w:after="0"/>
        <w:jc w:val="both"/>
        <w:rPr>
          <w:rFonts w:ascii="Times New Roman" w:hAnsi="Times New Roman"/>
          <w:b/>
          <w:i w:val="0"/>
          <w:noProof/>
          <w:color w:val="000000" w:themeColor="text1"/>
          <w:szCs w:val="20"/>
        </w:rPr>
      </w:pPr>
      <w:r>
        <w:rPr>
          <w:rFonts w:ascii="Times New Roman" w:hAnsi="Times New Roman"/>
          <w:b/>
          <w:i w:val="0"/>
          <w:noProof/>
          <w:color w:val="auto"/>
          <w:szCs w:val="20"/>
          <w:lang w:val="en-GB"/>
        </w:rPr>
        <w:t xml:space="preserve">Figure 2: </w:t>
      </w:r>
      <w:r>
        <w:rPr>
          <w:rFonts w:ascii="Times New Roman" w:hAnsi="Times New Roman"/>
          <w:b/>
          <w:i w:val="0"/>
          <w:noProof/>
          <w:color w:val="auto"/>
          <w:szCs w:val="20"/>
        </w:rPr>
        <w:t xml:space="preserve">Number of </w:t>
      </w:r>
      <w:r>
        <w:rPr>
          <w:rFonts w:ascii="Times New Roman" w:hAnsi="Times New Roman"/>
          <w:b/>
          <w:i w:val="0"/>
          <w:noProof/>
          <w:color w:val="000000" w:themeColor="text1"/>
          <w:szCs w:val="20"/>
        </w:rPr>
        <w:t>action grants and operating grants awarded and number of applications by specific objective and year (2014, 2015 and 2016)</w:t>
      </w:r>
    </w:p>
    <w:p>
      <w:pPr>
        <w:spacing w:after="0" w:line="240" w:lineRule="auto"/>
        <w:jc w:val="both"/>
        <w:rPr>
          <w:rFonts w:ascii="Times New Roman" w:hAnsi="Times New Roman" w:cs="Times New Roman"/>
          <w:noProof/>
          <w:lang w:val="en-IE"/>
        </w:rPr>
      </w:pPr>
    </w:p>
    <w:bookmarkEnd w:id="6"/>
    <w:p>
      <w:pPr>
        <w:pStyle w:val="ListParagraph"/>
        <w:spacing w:after="120" w:line="240" w:lineRule="auto"/>
        <w:ind w:left="360"/>
        <w:jc w:val="center"/>
        <w:rPr>
          <w:rFonts w:ascii="Times New Roman" w:hAnsi="Times New Roman" w:cs="Times New Roman"/>
          <w:noProof/>
          <w:lang w:val="en-IE"/>
        </w:rPr>
      </w:pPr>
      <w:r>
        <w:rPr>
          <w:rFonts w:ascii="Times New Roman" w:hAnsi="Times New Roman" w:cs="Times New Roman"/>
          <w:noProof/>
          <w:lang w:val="en-US"/>
        </w:rPr>
        <w:drawing>
          <wp:inline distT="0" distB="0" distL="0" distR="0">
            <wp:extent cx="5536800" cy="2966400"/>
            <wp:effectExtent l="0" t="0" r="26035" b="24765"/>
            <wp:docPr id="9"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after="0" w:line="240" w:lineRule="auto"/>
        <w:jc w:val="both"/>
        <w:rPr>
          <w:rFonts w:ascii="Times New Roman" w:hAnsi="Times New Roman" w:cs="Times New Roman"/>
          <w:i/>
          <w:noProof/>
          <w:sz w:val="16"/>
          <w:szCs w:val="16"/>
        </w:rPr>
      </w:pPr>
      <w:r>
        <w:rPr>
          <w:rFonts w:ascii="Times New Roman" w:hAnsi="Times New Roman" w:cs="Times New Roman"/>
          <w:i/>
          <w:noProof/>
          <w:sz w:val="16"/>
          <w:szCs w:val="16"/>
        </w:rPr>
        <w:t xml:space="preserve">Source: Annual reports on the implementation of the 2014 and 2015 AWPs, analysis of 2016 awarded projects and Sygma data (no complete data on applicants for 2016 were available). </w:t>
      </w:r>
      <w:r>
        <w:rPr>
          <w:rFonts w:ascii="Times New Roman" w:hAnsi="Times New Roman"/>
          <w:noProof/>
          <w:sz w:val="16"/>
          <w:szCs w:val="16"/>
        </w:rPr>
        <w:t>JCOO (judicial cooperation), JTRA (judicial training), JACC (access to justice), JDRU (drugs policy).</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average, by looking at the awarding rate of calls for proposal of years 2014 and 2015, the awarding rate of almost all specific objectives ranged between around 16% and about 47%</w:t>
      </w:r>
      <w:r>
        <w:rPr>
          <w:rStyle w:val="CommentReference"/>
          <w:rFonts w:ascii="Times New Roman" w:hAnsi="Times New Roman" w:cs="Times New Roman"/>
          <w:noProof/>
          <w:sz w:val="24"/>
          <w:szCs w:val="24"/>
        </w:rPr>
        <w:t xml:space="preserve">. However, </w:t>
      </w:r>
      <w:r>
        <w:rPr>
          <w:rFonts w:ascii="Times New Roman" w:hAnsi="Times New Roman" w:cs="Times New Roman"/>
          <w:noProof/>
          <w:sz w:val="24"/>
          <w:szCs w:val="24"/>
        </w:rPr>
        <w:t>under the judicial cooperation and judicial training objectives, almost half of the applications submitted were awarded.</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slight decrease in the number of grant applications received (and therefore awarded), was been observed for 2015 for almost all the specific objectives. Moreover, for 2016 calls for proposal, a significant drop in applications (almost 51%) was registered: in total, only 127 applications for action grants were received, compared to 262 applications in the 2015 calls. This is partly explained by the rollout of the Participant Portal that, according to the evaluation results, is not adapted to typical Justice Programme applicants (such as training organisations), as the Portal was initially designed with research institutions and voluminous grants in mind</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r>
        <w:rPr>
          <w:rFonts w:ascii="Times New Roman" w:hAnsi="Times New Roman" w:cs="Times New Roman"/>
          <w:noProof/>
          <w:sz w:val="20"/>
        </w:rPr>
        <w:t xml:space="preserve"> </w:t>
      </w:r>
      <w:r>
        <w:rPr>
          <w:rFonts w:ascii="Times New Roman" w:hAnsi="Times New Roman" w:cs="Times New Roman"/>
          <w:noProof/>
          <w:sz w:val="24"/>
          <w:szCs w:val="24"/>
        </w:rPr>
        <w:t>This drop in applications notwithstanding, the number of awarded projects remained, in general, stable across the four specific objectives and even increased significantly in the case of judicial cooperation projects. The drop also</w:t>
      </w:r>
      <w:r>
        <w:rPr>
          <w:rFonts w:ascii="Times New Roman" w:hAnsi="Times New Roman"/>
          <w:noProof/>
          <w:sz w:val="24"/>
          <w:szCs w:val="24"/>
        </w:rPr>
        <w:t xml:space="preserve"> </w:t>
      </w:r>
      <w:r>
        <w:rPr>
          <w:rFonts w:ascii="Times New Roman" w:hAnsi="Times New Roman" w:cs="Times New Roman"/>
          <w:noProof/>
          <w:sz w:val="24"/>
          <w:szCs w:val="24"/>
        </w:rPr>
        <w:t>led to an increase of the awarding rate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bookmarkEnd w:id="5"/>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cs="Times New Roman"/>
          <w:noProof/>
          <w:color w:val="auto"/>
          <w:sz w:val="24"/>
          <w:szCs w:val="24"/>
        </w:rPr>
        <w:lastRenderedPageBreak/>
        <w:t>Main achievements of the Programme</w:t>
      </w:r>
    </w:p>
    <w:p>
      <w:pPr>
        <w:keepNext/>
        <w:spacing w:after="12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introduction of a system of indicators for the current Justice Programme has proved to be adequate for measuring the achievements of the Programme. </w:t>
      </w:r>
    </w:p>
    <w:p>
      <w:pPr>
        <w:spacing w:after="120" w:line="240" w:lineRule="auto"/>
        <w:jc w:val="both"/>
        <w:rPr>
          <w:rStyle w:val="Heading1Char"/>
          <w:rFonts w:ascii="Times New Roman" w:eastAsia="Times New Roman" w:hAnsi="Times New Roman" w:cs="Times New Roman"/>
          <w:bCs w:val="0"/>
          <w:noProof/>
          <w:color w:val="auto"/>
          <w:sz w:val="24"/>
          <w:szCs w:val="24"/>
        </w:rPr>
      </w:pPr>
      <w:r>
        <w:rPr>
          <w:rStyle w:val="Heading1Char"/>
          <w:rFonts w:ascii="Times New Roman" w:hAnsi="Times New Roman" w:cs="Times New Roman"/>
          <w:b w:val="0"/>
          <w:noProof/>
          <w:color w:val="auto"/>
          <w:sz w:val="24"/>
          <w:szCs w:val="24"/>
        </w:rPr>
        <w:t>The "Judicial training" related indicator</w:t>
      </w:r>
      <w:r>
        <w:rPr>
          <w:rStyle w:val="Heading1Char"/>
          <w:rFonts w:ascii="Times New Roman" w:hAnsi="Times New Roman" w:cs="Times New Roman"/>
          <w:noProof/>
          <w:color w:val="auto"/>
          <w:sz w:val="24"/>
          <w:szCs w:val="24"/>
        </w:rPr>
        <w:t xml:space="preserve"> </w:t>
      </w:r>
      <w:r>
        <w:rPr>
          <w:rFonts w:ascii="Times New Roman" w:hAnsi="Times New Roman" w:cs="Times New Roman"/>
          <w:noProof/>
          <w:sz w:val="24"/>
          <w:szCs w:val="24"/>
        </w:rPr>
        <w:t>is measured through the number and percentage of members of the judiciary and judicial staff that participated in training activities, staff exchanges, study visits, workshops and seminars funded by the Programme.</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rPr>
        <w:t xml:space="preserve">"Judicial cooperation in civil and criminal matters"-related indicators focus on the streamlined application of European-level instruments in criminal law (average time of the surrender procedure under the European Arrest Warrant) and the use of IT systems (number of exchanges of information in </w:t>
      </w:r>
      <w:r>
        <w:rPr>
          <w:rFonts w:ascii="Times New Roman" w:hAnsi="Times New Roman" w:cs="Times New Roman"/>
          <w:noProof/>
          <w:sz w:val="24"/>
          <w:szCs w:val="24"/>
        </w:rPr>
        <w:t>the European Criminal Records Information System</w:t>
      </w:r>
      <w:r>
        <w:rPr>
          <w:rStyle w:val="FootnoteReference"/>
          <w:rFonts w:ascii="Times New Roman" w:hAnsi="Times New Roman" w:cs="Times New Roman"/>
          <w:noProof/>
          <w:sz w:val="24"/>
          <w:szCs w:val="24"/>
        </w:rPr>
        <w:footnoteReference w:id="8"/>
      </w:r>
      <w:r>
        <w:rPr>
          <w:rFonts w:ascii="Times New Roman" w:eastAsia="Calibri" w:hAnsi="Times New Roman" w:cs="Times New Roman"/>
          <w:noProof/>
          <w:sz w:val="24"/>
          <w:szCs w:val="24"/>
        </w:rPr>
        <w:t>). "Access to justice"-related indicators are likewise focused on the role of IT systems (number of hits on the E-Justice portal</w:t>
      </w:r>
      <w:r>
        <w:rPr>
          <w:rStyle w:val="FootnoteReference"/>
          <w:rFonts w:ascii="Times New Roman" w:eastAsia="Calibri" w:hAnsi="Times New Roman" w:cs="Times New Roman"/>
          <w:noProof/>
          <w:sz w:val="24"/>
          <w:szCs w:val="24"/>
        </w:rPr>
        <w:footnoteReference w:id="9"/>
      </w:r>
      <w:r>
        <w:rPr>
          <w:rFonts w:ascii="Times New Roman" w:eastAsia="Calibri" w:hAnsi="Times New Roman" w:cs="Times New Roman"/>
          <w:noProof/>
          <w:sz w:val="24"/>
          <w:szCs w:val="24"/>
        </w:rPr>
        <w:t xml:space="preserve">), as well as on the issue of victims’ rights (number of </w:t>
      </w:r>
      <w:r>
        <w:rPr>
          <w:rFonts w:ascii="Times New Roman" w:hAnsi="Times New Roman" w:cs="Times New Roman"/>
          <w:noProof/>
          <w:sz w:val="24"/>
          <w:szCs w:val="24"/>
        </w:rPr>
        <w:t>Victim Support Organisations</w:t>
      </w:r>
      <w:r>
        <w:rPr>
          <w:rFonts w:ascii="Times New Roman" w:eastAsia="Calibri" w:hAnsi="Times New Roman" w:cs="Times New Roman"/>
          <w:noProof/>
          <w:sz w:val="24"/>
          <w:szCs w:val="24"/>
        </w:rPr>
        <w:t xml:space="preserve"> per Member States). Finally, the "drugs policy" indicators focus on the number of new psychoactive substances researched and the number of opioid users in drug treatment.</w:t>
      </w:r>
    </w:p>
    <w:p>
      <w:pPr>
        <w:spacing w:after="120" w:line="240" w:lineRule="auto"/>
        <w:jc w:val="both"/>
        <w:rPr>
          <w:rFonts w:ascii="Times New Roman" w:eastAsia="Times New Roman" w:hAnsi="Times New Roman" w:cs="Times New Roman"/>
          <w:b/>
          <w:noProof/>
          <w:sz w:val="24"/>
          <w:szCs w:val="24"/>
        </w:rPr>
      </w:pPr>
      <w:r>
        <w:rPr>
          <w:rFonts w:ascii="Times New Roman" w:eastAsia="Calibri" w:hAnsi="Times New Roman" w:cs="Times New Roman"/>
          <w:b/>
          <w:noProof/>
          <w:sz w:val="24"/>
          <w:szCs w:val="24"/>
        </w:rPr>
        <w:t>Concerning the attainment of the general objective of the Programme</w:t>
      </w:r>
      <w:r>
        <w:rPr>
          <w:rFonts w:ascii="Times New Roman" w:eastAsia="Calibri" w:hAnsi="Times New Roman" w:cs="Times New Roman"/>
          <w:noProof/>
          <w:sz w:val="24"/>
          <w:szCs w:val="24"/>
        </w:rPr>
        <w:t xml:space="preserve"> (namely "to contribute to the further development of a European Area of Justice based on mutual recognition and mutual trust, in particular by promoting judicial cooperation in civil and criminal matters"), </w:t>
      </w:r>
      <w:r>
        <w:rPr>
          <w:rFonts w:ascii="Times New Roman" w:hAnsi="Times New Roman" w:cs="Times New Roman"/>
          <w:b/>
          <w:noProof/>
          <w:sz w:val="24"/>
          <w:szCs w:val="24"/>
        </w:rPr>
        <w:t>the main indicator</w:t>
      </w:r>
      <w:r>
        <w:rPr>
          <w:rFonts w:ascii="Times New Roman" w:hAnsi="Times New Roman" w:cs="Times New Roman"/>
          <w:noProof/>
          <w:sz w:val="24"/>
          <w:szCs w:val="24"/>
        </w:rPr>
        <w:t xml:space="preserve"> (i.e. the percentage of legal practitioners trained, not only through this Programme, </w:t>
      </w:r>
      <w:r>
        <w:rPr>
          <w:rFonts w:ascii="Times New Roman" w:eastAsia="Calibri" w:hAnsi="Times New Roman" w:cs="Times New Roman"/>
          <w:noProof/>
          <w:sz w:val="24"/>
          <w:szCs w:val="24"/>
        </w:rPr>
        <w:t>on EU law or law of another Member States</w:t>
      </w:r>
      <w:r>
        <w:rPr>
          <w:rFonts w:ascii="Times New Roman" w:hAnsi="Times New Roman" w:cs="Times New Roman"/>
          <w:noProof/>
          <w:sz w:val="24"/>
          <w:szCs w:val="24"/>
        </w:rPr>
        <w:t xml:space="preserve">, including civil justice, criminal justice and fundamental rights) </w:t>
      </w:r>
      <w:r>
        <w:rPr>
          <w:rFonts w:ascii="Times New Roman" w:eastAsia="Calibri" w:hAnsi="Times New Roman" w:cs="Times New Roman"/>
          <w:b/>
          <w:noProof/>
          <w:sz w:val="24"/>
          <w:szCs w:val="24"/>
        </w:rPr>
        <w:t xml:space="preserve">has shown constantly significant progress towards the achievements of its target </w:t>
      </w:r>
      <w:r>
        <w:rPr>
          <w:rFonts w:ascii="Times New Roman" w:eastAsia="Calibri" w:hAnsi="Times New Roman" w:cs="Times New Roman"/>
          <w:noProof/>
          <w:sz w:val="24"/>
          <w:szCs w:val="24"/>
        </w:rPr>
        <w:t xml:space="preserve">(i.e. 700 000 legal practitioners trained by 2020). Indeed, </w:t>
      </w:r>
      <w:r>
        <w:rPr>
          <w:rFonts w:ascii="Times New Roman" w:hAnsi="Times New Roman" w:cs="Times New Roman"/>
          <w:noProof/>
          <w:sz w:val="24"/>
          <w:szCs w:val="24"/>
        </w:rPr>
        <w:t xml:space="preserve">the number of legal practitioners trained has constantly increased between 2013 and 2016 and </w:t>
      </w:r>
      <w:r>
        <w:rPr>
          <w:rFonts w:ascii="Times New Roman" w:hAnsi="Times New Roman" w:cs="Times New Roman"/>
          <w:noProof/>
          <w:sz w:val="24"/>
          <w:szCs w:val="24"/>
          <w:lang w:eastAsia="en-GB"/>
        </w:rPr>
        <w:t>t</w:t>
      </w:r>
      <w:r>
        <w:rPr>
          <w:rFonts w:ascii="Times New Roman" w:eastAsia="Times New Roman" w:hAnsi="Times New Roman" w:cs="Times New Roman"/>
          <w:noProof/>
          <w:sz w:val="24"/>
          <w:szCs w:val="24"/>
        </w:rPr>
        <w:t>he 2020 target was almost reached already in 2017.</w:t>
      </w:r>
    </w:p>
    <w:p>
      <w:pPr>
        <w:spacing w:after="0" w:line="240" w:lineRule="auto"/>
        <w:jc w:val="both"/>
        <w:rPr>
          <w:rFonts w:ascii="Times New Roman" w:hAnsi="Times New Roman" w:cs="Times New Roman"/>
          <w:noProof/>
          <w:sz w:val="24"/>
          <w:szCs w:val="24"/>
          <w:lang w:eastAsia="nl-BE"/>
        </w:rPr>
      </w:pPr>
      <w:r>
        <w:rPr>
          <w:rFonts w:ascii="Times New Roman" w:eastAsia="Calibri" w:hAnsi="Times New Roman" w:cs="Times New Roman"/>
          <w:noProof/>
          <w:sz w:val="24"/>
          <w:szCs w:val="24"/>
        </w:rPr>
        <w:t xml:space="preserve">Moreover, also the main indicator used to measure the achieving of the specific objective on judicial training (i.e. the number </w:t>
      </w:r>
      <w:r>
        <w:rPr>
          <w:rFonts w:ascii="Times New Roman" w:hAnsi="Times New Roman" w:cs="Times New Roman"/>
          <w:noProof/>
          <w:sz w:val="24"/>
          <w:szCs w:val="24"/>
        </w:rPr>
        <w:t>and percentage of members of the judiciary and judicial staff that participated in training activities, staff exchanges, study visits, workshops and seminars funded by the Programme) has shown relevant progress and the goal of training 20 000 practitioners (for the whole Commission) by 2020 has been already achieved in 2015</w:t>
      </w:r>
      <w:r>
        <w:rPr>
          <w:rFonts w:ascii="Times New Roman" w:eastAsia="Calibri" w:hAnsi="Times New Roman" w:cs="Times New Roman"/>
          <w:noProof/>
          <w:sz w:val="24"/>
          <w:szCs w:val="24"/>
        </w:rPr>
        <w:t xml:space="preserve">. </w:t>
      </w:r>
      <w:r>
        <w:rPr>
          <w:rFonts w:ascii="Times New Roman" w:hAnsi="Times New Roman" w:cs="Times New Roman"/>
          <w:noProof/>
          <w:sz w:val="24"/>
          <w:szCs w:val="24"/>
          <w:lang w:eastAsia="nl-BE"/>
        </w:rPr>
        <w:t xml:space="preserve">In this regard, the Justice Programme has provided the single greatest contribution to achieving the training targets set for 2020. The number of judicial staff trained yearly in the Justice Programme stands at about 14 000 as of 2016 (2017 data as of yet not available). </w:t>
      </w:r>
    </w:p>
    <w:p>
      <w:pPr>
        <w:spacing w:after="0" w:line="240" w:lineRule="auto"/>
        <w:jc w:val="both"/>
        <w:rPr>
          <w:rFonts w:ascii="Times New Roman" w:hAnsi="Times New Roman" w:cs="Times New Roman"/>
          <w:noProof/>
          <w:sz w:val="24"/>
          <w:szCs w:val="24"/>
          <w:lang w:eastAsia="nl-BE"/>
        </w:rPr>
      </w:pPr>
      <w:r>
        <w:rPr>
          <w:rFonts w:ascii="Times New Roman" w:hAnsi="Times New Roman" w:cs="Times New Roman"/>
          <w:noProof/>
          <w:sz w:val="24"/>
          <w:szCs w:val="24"/>
        </w:rPr>
        <w:t>All these achievements reflect the judicial training priority of the Programme.</w:t>
      </w:r>
    </w:p>
    <w:p>
      <w:pPr>
        <w:spacing w:after="0" w:line="240" w:lineRule="auto"/>
        <w:jc w:val="both"/>
        <w:rPr>
          <w:rFonts w:ascii="Times New Roman" w:eastAsia="Calibri" w:hAnsi="Times New Roman" w:cs="Times New Roman"/>
          <w:b/>
          <w:noProof/>
          <w:sz w:val="24"/>
          <w:szCs w:val="24"/>
        </w:rPr>
      </w:pPr>
    </w:p>
    <w:p>
      <w:pPr>
        <w:spacing w:after="0" w:line="240" w:lineRule="auto"/>
        <w:jc w:val="both"/>
        <w:rPr>
          <w:rFonts w:ascii="Times New Roman" w:hAnsi="Times New Roman" w:cs="Times New Roman"/>
          <w:noProof/>
          <w:sz w:val="24"/>
          <w:szCs w:val="24"/>
          <w:lang w:eastAsia="nl-BE"/>
        </w:rPr>
      </w:pPr>
      <w:r>
        <w:rPr>
          <w:rFonts w:ascii="Times New Roman" w:eastAsia="Calibri" w:hAnsi="Times New Roman" w:cs="Times New Roman"/>
          <w:b/>
          <w:noProof/>
          <w:sz w:val="24"/>
          <w:szCs w:val="24"/>
        </w:rPr>
        <w:t xml:space="preserve">Concerning the specific objectives of the Programme, </w:t>
      </w:r>
      <w:r>
        <w:rPr>
          <w:rFonts w:ascii="Times New Roman" w:eastAsia="Calibri" w:hAnsi="Times New Roman" w:cs="Times New Roman"/>
          <w:noProof/>
          <w:sz w:val="24"/>
          <w:szCs w:val="24"/>
        </w:rPr>
        <w:t xml:space="preserve">in general, </w:t>
      </w:r>
      <w:r>
        <w:rPr>
          <w:rFonts w:ascii="Times New Roman" w:eastAsia="Calibri" w:hAnsi="Times New Roman" w:cs="Times New Roman"/>
          <w:b/>
          <w:noProof/>
          <w:sz w:val="24"/>
          <w:szCs w:val="24"/>
        </w:rPr>
        <w:t>the indicators adequately reflect the priorities</w:t>
      </w:r>
      <w:r>
        <w:rPr>
          <w:rFonts w:ascii="Times New Roman" w:eastAsia="Calibri" w:hAnsi="Times New Roman" w:cs="Times New Roman"/>
          <w:noProof/>
          <w:sz w:val="24"/>
          <w:szCs w:val="24"/>
        </w:rPr>
        <w:t xml:space="preserve"> for each specific objective </w:t>
      </w:r>
      <w:r>
        <w:rPr>
          <w:rFonts w:ascii="Times New Roman" w:eastAsia="Calibri" w:hAnsi="Times New Roman" w:cs="Times New Roman"/>
          <w:b/>
          <w:noProof/>
          <w:sz w:val="24"/>
          <w:szCs w:val="24"/>
        </w:rPr>
        <w:t>and are measurable with respect to their baseline</w:t>
      </w:r>
      <w:r>
        <w:rPr>
          <w:rFonts w:ascii="Times New Roman" w:eastAsia="Calibri" w:hAnsi="Times New Roman" w:cs="Times New Roman"/>
          <w:noProof/>
          <w:sz w:val="24"/>
          <w:szCs w:val="24"/>
        </w:rPr>
        <w:t xml:space="preserve">. Moreover, </w:t>
      </w:r>
      <w:r>
        <w:rPr>
          <w:rFonts w:ascii="Times New Roman" w:eastAsia="Calibri" w:hAnsi="Times New Roman" w:cs="Times New Roman"/>
          <w:b/>
          <w:noProof/>
          <w:sz w:val="24"/>
          <w:szCs w:val="24"/>
        </w:rPr>
        <w:t>the evaluation carried out has shown</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significant progress on several fronts</w:t>
      </w:r>
      <w:r>
        <w:rPr>
          <w:rFonts w:ascii="Times New Roman" w:eastAsia="Calibri" w:hAnsi="Times New Roman" w:cs="Times New Roman"/>
          <w:noProof/>
          <w:sz w:val="24"/>
          <w:szCs w:val="24"/>
        </w:rPr>
        <w:t>, since a number of targets are close to being achieved.</w:t>
      </w:r>
    </w:p>
    <w:p>
      <w:pPr>
        <w:spacing w:after="0" w:line="240" w:lineRule="auto"/>
        <w:jc w:val="both"/>
        <w:rPr>
          <w:rStyle w:val="Heading1Char"/>
          <w:rFonts w:ascii="Times New Roman" w:eastAsiaTheme="minorHAnsi" w:hAnsi="Times New Roman" w:cs="Times New Roman"/>
          <w:b w:val="0"/>
          <w:bCs w:val="0"/>
          <w:noProof/>
          <w:color w:val="auto"/>
          <w:sz w:val="24"/>
          <w:szCs w:val="24"/>
          <w:lang w:eastAsia="nl-BE"/>
        </w:rPr>
      </w:pPr>
      <w:r>
        <w:rPr>
          <w:rFonts w:ascii="Times New Roman" w:eastAsia="Calibri" w:hAnsi="Times New Roman" w:cs="Times New Roman"/>
          <w:noProof/>
          <w:sz w:val="24"/>
          <w:szCs w:val="24"/>
        </w:rPr>
        <w:t xml:space="preserve">More specifically, </w:t>
      </w:r>
      <w:r>
        <w:rPr>
          <w:rFonts w:ascii="Times New Roman" w:eastAsia="Times New Roman" w:hAnsi="Times New Roman" w:cs="Times New Roman"/>
          <w:noProof/>
          <w:sz w:val="24"/>
          <w:szCs w:val="24"/>
        </w:rPr>
        <w:t>important achievements can be observed regarding the specific objective "</w:t>
      </w:r>
      <w:r>
        <w:rPr>
          <w:rFonts w:ascii="Times New Roman" w:hAnsi="Times New Roman" w:cs="Times New Roman"/>
          <w:noProof/>
          <w:sz w:val="24"/>
          <w:szCs w:val="24"/>
        </w:rPr>
        <w:t>judicial cooperation in civil and criminal matters</w:t>
      </w:r>
      <w:r>
        <w:rPr>
          <w:rFonts w:ascii="Times New Roman" w:eastAsia="Times New Roman" w:hAnsi="Times New Roman" w:cs="Times New Roman"/>
          <w:noProof/>
          <w:sz w:val="24"/>
          <w:szCs w:val="24"/>
        </w:rPr>
        <w:t xml:space="preserve">", where </w:t>
      </w:r>
      <w:r>
        <w:rPr>
          <w:rFonts w:ascii="Times New Roman" w:hAnsi="Times New Roman" w:cs="Times New Roman"/>
          <w:noProof/>
          <w:sz w:val="24"/>
          <w:szCs w:val="24"/>
        </w:rPr>
        <w:t xml:space="preserve">the 2020 target (i.e. the number of </w:t>
      </w:r>
      <w:r>
        <w:rPr>
          <w:rFonts w:ascii="Times New Roman" w:hAnsi="Times New Roman" w:cs="Times New Roman"/>
          <w:noProof/>
          <w:sz w:val="24"/>
          <w:szCs w:val="24"/>
        </w:rPr>
        <w:lastRenderedPageBreak/>
        <w:t>exchanges of information in the European Criminal Records Information System), is likely that will be reached. Also concerning the specific objective "access to justice", the 2020 target (i.e. the number of hits on the e-justice portal and the number of Victim Support Organisations with national coverage) has already exceeded the stated goals.</w:t>
      </w:r>
    </w:p>
    <w:p>
      <w:pPr>
        <w:keepNext/>
        <w:tabs>
          <w:tab w:val="left" w:pos="850"/>
        </w:tabs>
        <w:spacing w:after="120" w:line="240" w:lineRule="auto"/>
        <w:jc w:val="both"/>
        <w:outlineLvl w:val="0"/>
        <w:rPr>
          <w:rFonts w:ascii="Times New Roman" w:hAnsi="Times New Roman" w:cs="Times New Roman"/>
          <w:noProof/>
          <w:sz w:val="24"/>
          <w:szCs w:val="24"/>
        </w:rPr>
      </w:pPr>
      <w:r>
        <w:rPr>
          <w:rStyle w:val="Heading1Char"/>
          <w:rFonts w:ascii="Times New Roman" w:hAnsi="Times New Roman" w:cs="Times New Roman"/>
          <w:noProof/>
          <w:color w:val="auto"/>
          <w:sz w:val="24"/>
          <w:szCs w:val="24"/>
        </w:rPr>
        <w:t xml:space="preserve">However, sometimes </w:t>
      </w:r>
      <w:r>
        <w:rPr>
          <w:rFonts w:ascii="Times New Roman" w:eastAsia="Calibri" w:hAnsi="Times New Roman" w:cs="Times New Roman"/>
          <w:b/>
          <w:noProof/>
          <w:sz w:val="24"/>
          <w:szCs w:val="24"/>
        </w:rPr>
        <w:t xml:space="preserve">the selected indicators are difficult to measure </w:t>
      </w:r>
      <w:r>
        <w:rPr>
          <w:rFonts w:ascii="Times New Roman" w:eastAsia="Calibri" w:hAnsi="Times New Roman" w:cs="Times New Roman"/>
          <w:noProof/>
          <w:sz w:val="24"/>
          <w:szCs w:val="24"/>
        </w:rPr>
        <w:t>because, for example, they are influenced by</w:t>
      </w:r>
      <w:r>
        <w:rPr>
          <w:rFonts w:ascii="Times New Roman" w:eastAsia="Calibri" w:hAnsi="Times New Roman" w:cs="Times New Roman"/>
          <w:b/>
          <w:noProof/>
          <w:sz w:val="24"/>
          <w:szCs w:val="24"/>
        </w:rPr>
        <w:t xml:space="preserve"> </w:t>
      </w:r>
      <w:r>
        <w:rPr>
          <w:rFonts w:ascii="Times New Roman" w:hAnsi="Times New Roman" w:cs="Times New Roman"/>
          <w:noProof/>
          <w:sz w:val="24"/>
          <w:szCs w:val="24"/>
        </w:rPr>
        <w:t xml:space="preserve">exogenous factors (such as the </w:t>
      </w:r>
      <w:r>
        <w:rPr>
          <w:rFonts w:ascii="Times New Roman" w:hAnsi="Times New Roman" w:cs="Times New Roman"/>
          <w:bCs/>
          <w:noProof/>
          <w:sz w:val="24"/>
          <w:szCs w:val="24"/>
          <w:lang w:val="en-US"/>
        </w:rPr>
        <w:t>different degree of incorporation of EU directives</w:t>
      </w:r>
      <w:r>
        <w:rPr>
          <w:rFonts w:ascii="Times New Roman" w:hAnsi="Times New Roman" w:cs="Times New Roman"/>
          <w:noProof/>
          <w:sz w:val="24"/>
          <w:szCs w:val="24"/>
          <w:lang w:val="en-US"/>
        </w:rPr>
        <w:t xml:space="preserve"> at national level, different national political priorities and emergencies, macroeconomics conditions etc.</w:t>
      </w:r>
      <w:r>
        <w:rPr>
          <w:rFonts w:ascii="Times New Roman" w:hAnsi="Times New Roman" w:cs="Times New Roman"/>
          <w:noProof/>
          <w:sz w:val="24"/>
          <w:szCs w:val="24"/>
        </w:rPr>
        <w:t>) and, therefore, it is difficult to estimate the exact contribution of the Programme to their realization.</w:t>
      </w:r>
    </w:p>
    <w:p>
      <w:pPr>
        <w:keepNext/>
        <w:tabs>
          <w:tab w:val="left" w:pos="850"/>
        </w:tabs>
        <w:spacing w:after="120" w:line="240" w:lineRule="auto"/>
        <w:jc w:val="both"/>
        <w:outlineLvl w:val="0"/>
        <w:rPr>
          <w:rFonts w:ascii="Times New Roman" w:eastAsiaTheme="majorEastAsia" w:hAnsi="Times New Roman" w:cs="Times New Roman"/>
          <w:b/>
          <w:bCs/>
          <w:noProof/>
          <w:sz w:val="24"/>
          <w:szCs w:val="24"/>
        </w:rPr>
      </w:pPr>
      <w:r>
        <w:rPr>
          <w:rFonts w:ascii="Times New Roman" w:hAnsi="Times New Roman" w:cs="Times New Roman"/>
          <w:b/>
          <w:noProof/>
          <w:sz w:val="24"/>
          <w:szCs w:val="24"/>
        </w:rPr>
        <w:t>There is still room for further improvements</w:t>
      </w:r>
      <w:r>
        <w:rPr>
          <w:rFonts w:ascii="Times New Roman" w:hAnsi="Times New Roman" w:cs="Times New Roman"/>
          <w:noProof/>
          <w:sz w:val="24"/>
          <w:szCs w:val="24"/>
        </w:rPr>
        <w:t xml:space="preserve"> also due to a lack of adequate tools (e.g. </w:t>
      </w:r>
      <w:r>
        <w:rPr>
          <w:rFonts w:ascii="Times New Roman" w:eastAsia="Calibri" w:hAnsi="Times New Roman" w:cs="Times New Roman"/>
          <w:noProof/>
          <w:sz w:val="24"/>
          <w:szCs w:val="24"/>
        </w:rPr>
        <w:t>there is no satisfaction survey to help gauge the perception of participants that took part in training activities</w:t>
      </w:r>
      <w:r>
        <w:rPr>
          <w:rFonts w:ascii="Times New Roman" w:hAnsi="Times New Roman" w:cs="Times New Roman"/>
          <w:noProof/>
          <w:sz w:val="24"/>
          <w:szCs w:val="24"/>
        </w:rPr>
        <w:t>)</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Moreover, some indicators, concerning for instance the geographical coverage of the Programme, do not capture certain underlying dynamics, such as the fact that the Programme, so far, has been dominated by beneficiaries from a small number of Member States.</w:t>
      </w:r>
    </w:p>
    <w:p>
      <w:pPr>
        <w:keepNext/>
        <w:tabs>
          <w:tab w:val="left" w:pos="850"/>
        </w:tabs>
        <w:spacing w:after="120" w:line="240" w:lineRule="auto"/>
        <w:jc w:val="both"/>
        <w:outlineLvl w:val="0"/>
        <w:rPr>
          <w:rStyle w:val="Heading1Char"/>
          <w:rFonts w:ascii="Times New Roman" w:hAnsi="Times New Roman" w:cs="Times New Roman"/>
          <w:noProof/>
          <w:color w:val="auto"/>
          <w:sz w:val="24"/>
          <w:szCs w:val="24"/>
        </w:rPr>
      </w:pPr>
    </w:p>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cs="Times New Roman"/>
          <w:noProof/>
          <w:color w:val="auto"/>
          <w:sz w:val="24"/>
          <w:szCs w:val="24"/>
        </w:rPr>
        <w:t>Participants and partnerships</w:t>
      </w:r>
    </w:p>
    <w:p>
      <w:pPr>
        <w:pStyle w:val="ListParagraph"/>
        <w:keepNext/>
        <w:tabs>
          <w:tab w:val="left" w:pos="850"/>
        </w:tabs>
        <w:spacing w:after="12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data collected in the interim evaluation suggest that </w:t>
      </w:r>
      <w:r>
        <w:rPr>
          <w:rFonts w:ascii="Times New Roman" w:eastAsia="Times New Roman" w:hAnsi="Times New Roman" w:cs="Times New Roman"/>
          <w:b/>
          <w:noProof/>
          <w:sz w:val="24"/>
          <w:szCs w:val="24"/>
        </w:rPr>
        <w:t xml:space="preserve">the Programme is successful in attracting more transnational partnerships </w:t>
      </w:r>
      <w:r>
        <w:rPr>
          <w:rFonts w:ascii="Times New Roman" w:eastAsia="Times New Roman" w:hAnsi="Times New Roman" w:cs="Times New Roman"/>
          <w:noProof/>
          <w:sz w:val="24"/>
          <w:szCs w:val="24"/>
        </w:rPr>
        <w:t>and that this is one of the key vectors through which</w:t>
      </w:r>
      <w:r>
        <w:rPr>
          <w:rFonts w:ascii="Times New Roman" w:eastAsia="Calibri" w:hAnsi="Times New Roman" w:cs="Times New Roman"/>
          <w:noProof/>
          <w:sz w:val="24"/>
          <w:szCs w:val="24"/>
        </w:rPr>
        <w:t xml:space="preserve"> the area of justice in Europe</w:t>
      </w:r>
      <w:r>
        <w:rPr>
          <w:rFonts w:ascii="Times New Roman" w:eastAsia="Times New Roman" w:hAnsi="Times New Roman" w:cs="Times New Roman"/>
          <w:noProof/>
          <w:sz w:val="24"/>
          <w:szCs w:val="24"/>
        </w:rPr>
        <w:t xml:space="preserve"> is supported. </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According to beneficiaries, </w:t>
      </w:r>
      <w:r>
        <w:rPr>
          <w:rFonts w:ascii="Times New Roman" w:eastAsia="Calibri" w:hAnsi="Times New Roman" w:cs="Times New Roman"/>
          <w:b/>
          <w:noProof/>
          <w:sz w:val="24"/>
          <w:szCs w:val="24"/>
          <w:lang w:eastAsia="en-GB" w:bidi="en-GB"/>
        </w:rPr>
        <w:t>p</w:t>
      </w:r>
      <w:r>
        <w:rPr>
          <w:rFonts w:ascii="Times New Roman" w:hAnsi="Times New Roman" w:cs="Times New Roman"/>
          <w:b/>
          <w:noProof/>
          <w:sz w:val="24"/>
          <w:szCs w:val="24"/>
        </w:rPr>
        <w:t>artnerships developed through operating grants and action grants under the Justice Programme have had beneficial effects on the capabilities of their respective organisations</w:t>
      </w:r>
      <w:r>
        <w:rPr>
          <w:rFonts w:ascii="Times New Roman" w:hAnsi="Times New Roman" w:cs="Times New Roman"/>
          <w:noProof/>
          <w:sz w:val="24"/>
          <w:szCs w:val="24"/>
        </w:rPr>
        <w:t xml:space="preserve">, especially on their capacity to ensure the sustainability of results and to implement the projects. </w:t>
      </w:r>
      <w:r>
        <w:rPr>
          <w:rFonts w:ascii="Times New Roman" w:hAnsi="Times New Roman" w:cs="Times New Roman"/>
          <w:noProof/>
          <w:sz w:val="24"/>
          <w:szCs w:val="24"/>
          <w:lang w:eastAsia="it-IT"/>
        </w:rPr>
        <w:t xml:space="preserve">Through operating grants, the Programme </w:t>
      </w:r>
      <w:r>
        <w:rPr>
          <w:rFonts w:ascii="Times New Roman" w:hAnsi="Times New Roman" w:cs="Times New Roman"/>
          <w:noProof/>
          <w:sz w:val="24"/>
          <w:szCs w:val="24"/>
        </w:rPr>
        <w:t xml:space="preserve">funds mainly European networks active in the areas of facilitating and supporting judicial cooperation in civil and/or criminal matters and access to justice that have signed Framework Partnership Agreements with the Commission. </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A</w:t>
      </w:r>
      <w:r>
        <w:rPr>
          <w:rFonts w:ascii="Times New Roman" w:hAnsi="Times New Roman" w:cs="Times New Roman"/>
          <w:b/>
          <w:noProof/>
          <w:sz w:val="24"/>
          <w:szCs w:val="24"/>
        </w:rPr>
        <w:t xml:space="preserve"> number of organisations participating in the Justice Programme are also active in the Rights, Equality and Citizenship Programme</w:t>
      </w:r>
      <w:r>
        <w:rPr>
          <w:rFonts w:ascii="Times New Roman" w:hAnsi="Times New Roman" w:cs="Times New Roman"/>
          <w:noProof/>
          <w:sz w:val="24"/>
          <w:szCs w:val="24"/>
        </w:rPr>
        <w:t>.</w:t>
      </w:r>
      <w:r>
        <w:rPr>
          <w:rFonts w:ascii="Times New Roman" w:eastAsia="Calibri" w:hAnsi="Times New Roman" w:cs="Times New Roman"/>
          <w:noProof/>
          <w:sz w:val="24"/>
          <w:szCs w:val="24"/>
        </w:rPr>
        <w:t xml:space="preserve"> It thus appears that the Justice Programme has facilitated the growth of durable European networks in the area of justice policy and that structured networks of collaborations exist also in relation to other EU funding programmes.</w:t>
      </w: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However</w:t>
      </w:r>
      <w:r>
        <w:rPr>
          <w:rFonts w:ascii="Times New Roman" w:hAnsi="Times New Roman" w:cs="Times New Roman"/>
          <w:noProof/>
          <w:sz w:val="24"/>
          <w:szCs w:val="24"/>
        </w:rPr>
        <w:t xml:space="preserve">, it emerged that </w:t>
      </w:r>
      <w:r>
        <w:rPr>
          <w:rFonts w:ascii="Times New Roman" w:hAnsi="Times New Roman" w:cs="Times New Roman"/>
          <w:b/>
          <w:noProof/>
          <w:sz w:val="24"/>
          <w:szCs w:val="24"/>
        </w:rPr>
        <w:t>the Justice Programme did not involve all the Member States in a homogeneous way</w:t>
      </w:r>
      <w:r>
        <w:rPr>
          <w:rFonts w:ascii="Times New Roman" w:hAnsi="Times New Roman" w:cs="Times New Roman"/>
          <w:noProof/>
          <w:sz w:val="24"/>
          <w:szCs w:val="24"/>
        </w:rPr>
        <w:t xml:space="preserve">. Indeed, about 25% of all beneficiaries come from either Italy or Belgium and about half of the partner organisations come from five countries. The remaining 50% are organisations from the remaining 21 Member States. This entails an </w:t>
      </w:r>
      <w:r>
        <w:rPr>
          <w:rFonts w:ascii="Times New Roman" w:hAnsi="Times New Roman" w:cs="Times New Roman"/>
          <w:b/>
          <w:noProof/>
          <w:sz w:val="24"/>
          <w:szCs w:val="24"/>
        </w:rPr>
        <w:t>uneven distribution of Programme resources</w:t>
      </w:r>
      <w:r>
        <w:rPr>
          <w:rFonts w:ascii="Times New Roman" w:hAnsi="Times New Roman" w:cs="Times New Roman"/>
          <w:noProof/>
          <w:sz w:val="24"/>
          <w:szCs w:val="24"/>
        </w:rPr>
        <w:t xml:space="preserve">, especially in relation to organisations in Central and Eastern European Member States. </w:t>
      </w:r>
    </w:p>
    <w:p>
      <w:pPr>
        <w:keepNext/>
        <w:tabs>
          <w:tab w:val="left" w:pos="850"/>
        </w:tabs>
        <w:spacing w:after="120" w:line="240" w:lineRule="auto"/>
        <w:jc w:val="both"/>
        <w:outlineLvl w:val="0"/>
        <w:rPr>
          <w:rStyle w:val="Heading1Char"/>
          <w:rFonts w:ascii="Times New Roman" w:hAnsi="Times New Roman" w:cs="Times New Roman"/>
          <w:b w:val="0"/>
          <w:noProof/>
          <w:color w:val="auto"/>
          <w:sz w:val="24"/>
          <w:szCs w:val="24"/>
        </w:rPr>
      </w:pPr>
    </w:p>
    <w:p>
      <w:pPr>
        <w:pStyle w:val="ListParagraph"/>
        <w:keepNext/>
        <w:numPr>
          <w:ilvl w:val="0"/>
          <w:numId w:val="9"/>
        </w:numPr>
        <w:tabs>
          <w:tab w:val="left" w:pos="850"/>
        </w:tabs>
        <w:spacing w:after="120" w:line="240" w:lineRule="auto"/>
        <w:contextualSpacing w:val="0"/>
        <w:jc w:val="both"/>
        <w:outlineLvl w:val="0"/>
        <w:rPr>
          <w:rStyle w:val="Heading1Char"/>
          <w:rFonts w:ascii="Times New Roman" w:hAnsi="Times New Roman" w:cs="Times New Roman"/>
          <w:smallCaps/>
          <w:noProof/>
          <w:color w:val="auto"/>
          <w:sz w:val="24"/>
          <w:szCs w:val="24"/>
        </w:rPr>
      </w:pPr>
      <w:r>
        <w:rPr>
          <w:rStyle w:val="Heading1Char"/>
          <w:rFonts w:ascii="Times New Roman" w:hAnsi="Times New Roman" w:cs="Times New Roman"/>
          <w:smallCaps/>
          <w:noProof/>
          <w:color w:val="auto"/>
          <w:sz w:val="24"/>
          <w:szCs w:val="24"/>
        </w:rPr>
        <w:t>What has the Justice Programme achieved?</w:t>
      </w:r>
    </w:p>
    <w:p>
      <w:pPr>
        <w:spacing w:after="0" w:line="240" w:lineRule="auto"/>
        <w:jc w:val="both"/>
        <w:rPr>
          <w:rFonts w:ascii="Times New Roman" w:eastAsia="Calibri" w:hAnsi="Times New Roman" w:cs="Times New Roman"/>
          <w:noProof/>
          <w:sz w:val="24"/>
          <w:szCs w:val="24"/>
          <w:lang w:eastAsia="en-GB" w:bidi="en-GB"/>
        </w:rPr>
      </w:pPr>
      <w:r>
        <w:rPr>
          <w:rFonts w:ascii="Times New Roman" w:eastAsia="Calibri" w:hAnsi="Times New Roman" w:cs="Times New Roman"/>
          <w:noProof/>
          <w:sz w:val="24"/>
          <w:szCs w:val="24"/>
          <w:lang w:eastAsia="en-GB" w:bidi="en-GB"/>
        </w:rPr>
        <w:t>As demonstrated by the evaluation, the Justice Programme is performing generally well at mid-term with regard to its specific objectives, in terms of effectiveness, efficiency, relevance, coherence, complementarity, and synergies and EU added value. Improvements are needed, in particular, regarding its equity.</w:t>
      </w: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cs="Times New Roman"/>
          <w:noProof/>
          <w:color w:val="auto"/>
          <w:sz w:val="24"/>
          <w:szCs w:val="24"/>
        </w:rPr>
        <w:lastRenderedPageBreak/>
        <w:t>Effectiveness</w:t>
      </w:r>
      <w:r>
        <w:rPr>
          <w:rStyle w:val="FootnoteReference"/>
          <w:rFonts w:ascii="Times New Roman" w:eastAsiaTheme="majorEastAsia" w:hAnsi="Times New Roman" w:cs="Times New Roman"/>
          <w:b/>
          <w:bCs/>
          <w:noProof/>
          <w:sz w:val="24"/>
          <w:szCs w:val="24"/>
        </w:rPr>
        <w:footnoteReference w:id="10"/>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The analysis of indicators has shown that significant progress has been achieved on several fronts since some targets are close to being achieved and others have already been achieved.</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Therefore,</w:t>
      </w:r>
      <w:r>
        <w:rPr>
          <w:rFonts w:ascii="Times New Roman" w:eastAsia="Calibri" w:hAnsi="Times New Roman" w:cs="Times New Roman"/>
          <w:b/>
          <w:noProof/>
          <w:sz w:val="24"/>
          <w:szCs w:val="24"/>
        </w:rPr>
        <w:t xml:space="preserve"> the Justice Programme contributes positively to the general objective of the Programme through the progress under its specific objectives</w:t>
      </w:r>
      <w:r>
        <w:rPr>
          <w:rFonts w:ascii="Times New Roman" w:hAnsi="Times New Roman" w:cs="Times New Roman"/>
          <w:b/>
          <w:noProof/>
          <w:sz w:val="24"/>
          <w:szCs w:val="24"/>
        </w:rPr>
        <w:t xml:space="preserve">. </w:t>
      </w:r>
    </w:p>
    <w:p>
      <w:p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The Programme-specific indicators are adequate to monitor progress towards the objectives of the Programme</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but sometimes they are difficult to measure</w:t>
      </w:r>
      <w:r>
        <w:rPr>
          <w:rFonts w:ascii="Times New Roman" w:hAnsi="Times New Roman" w:cs="Times New Roman"/>
          <w:b/>
          <w:noProof/>
          <w:sz w:val="24"/>
          <w:szCs w:val="24"/>
        </w:rPr>
        <w:t xml:space="preserve"> or need some improvements.</w:t>
      </w:r>
    </w:p>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rPr>
        <w:t>Overall, the 2014-2020 Justice Programme is broadly perceived by applicants, beneficiaries and stakeholders as an improvement compared to the three predecessor programmes (</w:t>
      </w:r>
      <w:r>
        <w:rPr>
          <w:rFonts w:ascii="Times New Roman" w:hAnsi="Times New Roman" w:cs="Times New Roman"/>
          <w:noProof/>
          <w:sz w:val="24"/>
          <w:szCs w:val="24"/>
        </w:rPr>
        <w:t>namely the Civil justice programme, the Criminal justice programme and the Drug prevention and information programme</w:t>
      </w:r>
      <w:r>
        <w:rPr>
          <w:rFonts w:ascii="Times New Roman" w:eastAsia="Times New Roman" w:hAnsi="Times New Roman" w:cs="Times New Roman"/>
          <w:noProof/>
          <w:sz w:val="24"/>
          <w:szCs w:val="24"/>
        </w:rPr>
        <w:t xml:space="preserve">), both in terms of better policy targeting and better involvement of the right stakeholder groups. </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Given the wide scope of the general objective of the Programme, a large number of external factors influenced its effectiveness, such as the migration crisis (concerning, in particular, the specific objective on “access to justice”) and, in general, the uneven pace at which Member States transpose and enforce the </w:t>
      </w:r>
      <w:r>
        <w:rPr>
          <w:rFonts w:ascii="Times New Roman" w:eastAsia="Calibri" w:hAnsi="Times New Roman" w:cs="Times New Roman"/>
          <w:i/>
          <w:noProof/>
          <w:sz w:val="24"/>
          <w:szCs w:val="24"/>
        </w:rPr>
        <w:t>EU acquis</w:t>
      </w:r>
      <w:r>
        <w:rPr>
          <w:rFonts w:ascii="Times New Roman" w:eastAsia="Calibri" w:hAnsi="Times New Roman" w:cs="Times New Roman"/>
          <w:noProof/>
          <w:sz w:val="24"/>
          <w:szCs w:val="24"/>
        </w:rPr>
        <w:t xml:space="preserve">. This, however, did not undermine its intervention logic and its </w:t>
      </w:r>
      <w:r>
        <w:rPr>
          <w:rFonts w:ascii="Times New Roman" w:eastAsia="Calibri" w:hAnsi="Times New Roman" w:cs="Times New Roman"/>
          <w:b/>
          <w:noProof/>
          <w:sz w:val="24"/>
          <w:szCs w:val="24"/>
        </w:rPr>
        <w:t>operational flexibility</w:t>
      </w:r>
      <w:r>
        <w:rPr>
          <w:rFonts w:ascii="Times New Roman" w:eastAsia="Calibri" w:hAnsi="Times New Roman" w:cs="Times New Roman"/>
          <w:noProof/>
          <w:sz w:val="24"/>
          <w:szCs w:val="24"/>
        </w:rPr>
        <w:t>: the annual work programmes can be easily adapted to emerging needs in the area of justice (see more under “Relevance”).</w:t>
      </w:r>
    </w:p>
    <w:p>
      <w:pPr>
        <w:spacing w:after="0" w:line="240" w:lineRule="auto"/>
        <w:jc w:val="both"/>
        <w:rPr>
          <w:rFonts w:ascii="Times New Roman" w:hAnsi="Times New Roman" w:cs="Times New Roman"/>
          <w:noProof/>
          <w:sz w:val="24"/>
          <w:szCs w:val="24"/>
          <w:lang w:eastAsia="fr-FR"/>
        </w:rPr>
      </w:pPr>
      <w:r>
        <w:rPr>
          <w:rFonts w:ascii="Times New Roman" w:eastAsia="Calibri" w:hAnsi="Times New Roman" w:cs="Times New Roman"/>
          <w:noProof/>
          <w:sz w:val="24"/>
          <w:szCs w:val="24"/>
        </w:rPr>
        <w:t xml:space="preserve">Finally, </w:t>
      </w:r>
      <w:r>
        <w:rPr>
          <w:rFonts w:ascii="Times New Roman" w:eastAsia="Times New Roman" w:hAnsi="Times New Roman" w:cs="Times New Roman"/>
          <w:noProof/>
          <w:sz w:val="24"/>
          <w:szCs w:val="20"/>
        </w:rPr>
        <w:t xml:space="preserve">compared to the 2007-2013 period, </w:t>
      </w:r>
      <w:r>
        <w:rPr>
          <w:rFonts w:ascii="Times New Roman" w:eastAsia="Times New Roman" w:hAnsi="Times New Roman" w:cs="Times New Roman"/>
          <w:b/>
          <w:noProof/>
          <w:sz w:val="24"/>
          <w:szCs w:val="20"/>
        </w:rPr>
        <w:t>the</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sustainability of projects (with their results and outputs) beyond the end of their life-cycle has become an</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increasingly important factor</w:t>
      </w:r>
      <w:r>
        <w:rPr>
          <w:rFonts w:ascii="Times New Roman" w:eastAsia="Times New Roman" w:hAnsi="Times New Roman" w:cs="Times New Roman"/>
          <w:noProof/>
          <w:sz w:val="24"/>
          <w:szCs w:val="20"/>
        </w:rPr>
        <w:t xml:space="preserve"> to consider in the evaluation process. </w:t>
      </w:r>
      <w:r>
        <w:rPr>
          <w:rFonts w:ascii="Times New Roman" w:hAnsi="Times New Roman" w:cs="Times New Roman"/>
          <w:noProof/>
          <w:sz w:val="24"/>
          <w:szCs w:val="24"/>
        </w:rPr>
        <w:t>However, projects focused on creating tools/outputs might have a more difficult sustainability landscape since, in these cases, sustainability depends on whether the organisations that implemented the projects can receive sufficient resources to maintain the tools once the EU funding is over.</w:t>
      </w:r>
    </w:p>
    <w:p>
      <w:pPr>
        <w:spacing w:after="0" w:line="240" w:lineRule="auto"/>
        <w:jc w:val="both"/>
        <w:rPr>
          <w:rFonts w:ascii="Times New Roman" w:eastAsia="Calibri" w:hAnsi="Times New Roman" w:cs="Times New Roman"/>
          <w:noProof/>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cs="Times New Roman"/>
          <w:noProof/>
          <w:color w:val="auto"/>
          <w:sz w:val="24"/>
          <w:szCs w:val="24"/>
        </w:rPr>
        <w:t>Efficiency</w:t>
      </w:r>
      <w:r>
        <w:rPr>
          <w:rStyle w:val="FootnoteReference"/>
          <w:rFonts w:ascii="Times New Roman" w:eastAsiaTheme="majorEastAsia" w:hAnsi="Times New Roman" w:cs="Times New Roman"/>
          <w:b/>
          <w:bCs/>
          <w:noProof/>
          <w:sz w:val="24"/>
          <w:szCs w:val="24"/>
        </w:rPr>
        <w:footnoteReference w:id="11"/>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Justice Programme has been cost-effective relative to the actions it has funded so far.</w:t>
      </w:r>
      <w:r>
        <w:rPr>
          <w:rFonts w:ascii="Times New Roman" w:hAnsi="Times New Roman" w:cs="Times New Roman"/>
          <w:noProof/>
          <w:sz w:val="24"/>
          <w:szCs w:val="24"/>
        </w:rPr>
        <w:t xml:space="preserve"> Indeed, the results of the evaluation have shown that the beneficiaries’ perception of the efficiency of the Programme is positive. This is true for the Programme as a whole, but, in particular,</w:t>
      </w:r>
      <w:r>
        <w:rPr>
          <w:rFonts w:ascii="Times New Roman" w:hAnsi="Times New Roman" w:cs="Times New Roman"/>
          <w:b/>
          <w:noProof/>
          <w:sz w:val="24"/>
          <w:szCs w:val="24"/>
        </w:rPr>
        <w:t xml:space="preserve"> for the specific objective on judicial training</w:t>
      </w:r>
      <w:r>
        <w:rPr>
          <w:rFonts w:ascii="Times New Roman" w:hAnsi="Times New Roman" w:cs="Times New Roman"/>
          <w:noProof/>
          <w:sz w:val="24"/>
          <w:szCs w:val="24"/>
        </w:rPr>
        <w:t>.</w:t>
      </w:r>
    </w:p>
    <w:p>
      <w:pPr>
        <w:spacing w:after="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A key achievement of the Programme, compared to its predecessors, has been the </w:t>
      </w:r>
      <w:r>
        <w:rPr>
          <w:rFonts w:ascii="Times New Roman" w:eastAsia="Times New Roman" w:hAnsi="Times New Roman" w:cs="Times New Roman"/>
          <w:b/>
          <w:noProof/>
          <w:sz w:val="24"/>
          <w:szCs w:val="24"/>
        </w:rPr>
        <w:t>lower burden on beneficiaries in terms of time and financial resources</w:t>
      </w:r>
      <w:r>
        <w:rPr>
          <w:rFonts w:ascii="Times New Roman" w:eastAsia="Calibri" w:hAnsi="Times New Roman" w:cs="Times New Roman"/>
          <w:noProof/>
          <w:sz w:val="24"/>
          <w:szCs w:val="24"/>
        </w:rPr>
        <w:t xml:space="preserve">. Nevertheless, there is still room for improvement in terms of easing requirements and obligations to make the Programme even more efficient in its implementation (see more under “Scope for simplification”). </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According to beneficiaries, </w:t>
      </w:r>
      <w:r>
        <w:rPr>
          <w:rFonts w:ascii="Times New Roman" w:eastAsia="Calibri" w:hAnsi="Times New Roman" w:cs="Times New Roman"/>
          <w:b/>
          <w:noProof/>
          <w:sz w:val="24"/>
          <w:szCs w:val="24"/>
        </w:rPr>
        <w:t>the current instruments (action grants, operating grants and procurement activities) are adequate for the needs of the Programme</w:t>
      </w:r>
      <w:r>
        <w:rPr>
          <w:rFonts w:ascii="Times New Roman" w:eastAsia="Calibri" w:hAnsi="Times New Roman" w:cs="Times New Roman"/>
          <w:noProof/>
          <w:sz w:val="24"/>
          <w:szCs w:val="24"/>
        </w:rPr>
        <w:t xml:space="preserve"> and, therefore, using alternative and innovative funding instruments is not necessary. However,</w:t>
      </w:r>
      <w:r>
        <w:rPr>
          <w:rFonts w:ascii="Times New Roman" w:eastAsia="Times New Roman" w:hAnsi="Times New Roman" w:cs="Times New Roman"/>
          <w:noProof/>
          <w:sz w:val="24"/>
          <w:szCs w:val="24"/>
        </w:rPr>
        <w:t xml:space="preserve"> the efficiency of their implementation should continue</w:t>
      </w:r>
      <w:r>
        <w:rPr>
          <w:rFonts w:ascii="Times New Roman" w:eastAsia="Calibri" w:hAnsi="Times New Roman" w:cs="Times New Roman"/>
          <w:noProof/>
          <w:sz w:val="24"/>
          <w:szCs w:val="24"/>
        </w:rPr>
        <w:t xml:space="preserve"> to be improved, notably with regard to procurement actions, to ensure that the allocated funding is indeed used</w:t>
      </w:r>
      <w:r>
        <w:rPr>
          <w:rFonts w:ascii="Times New Roman" w:eastAsia="Times New Roman" w:hAnsi="Times New Roman" w:cs="Times New Roman"/>
          <w:noProof/>
          <w:sz w:val="24"/>
          <w:szCs w:val="24"/>
        </w:rPr>
        <w:t>.</w:t>
      </w:r>
      <w:r>
        <w:rPr>
          <w:rFonts w:ascii="Times New Roman" w:eastAsia="Calibri" w:hAnsi="Times New Roman" w:cs="Times New Roman"/>
          <w:noProof/>
          <w:sz w:val="24"/>
          <w:szCs w:val="24"/>
        </w:rPr>
        <w:t xml:space="preserve"> </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cs="Times New Roman"/>
          <w:noProof/>
          <w:color w:val="auto"/>
          <w:sz w:val="24"/>
          <w:szCs w:val="24"/>
        </w:rPr>
        <w:lastRenderedPageBreak/>
        <w:t>Relevance</w:t>
      </w:r>
      <w:r>
        <w:rPr>
          <w:rStyle w:val="FootnoteReference"/>
          <w:rFonts w:ascii="Times New Roman" w:eastAsiaTheme="majorEastAsia" w:hAnsi="Times New Roman" w:cs="Times New Roman"/>
          <w:b/>
          <w:bCs/>
          <w:noProof/>
          <w:sz w:val="24"/>
          <w:szCs w:val="24"/>
        </w:rPr>
        <w:footnoteReference w:id="12"/>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According to all interviewed beneficiaries, the Programme is highly relevant to address the needs of selected target groups</w:t>
      </w:r>
      <w:r>
        <w:rPr>
          <w:rFonts w:ascii="Times New Roman" w:hAnsi="Times New Roman" w:cs="Times New Roman"/>
          <w:noProof/>
          <w:sz w:val="24"/>
          <w:szCs w:val="24"/>
        </w:rPr>
        <w:t>. Indeed, one of the key features of the Programme has been its ability to adapt and modify the priorities in light of emerging needs. For instance, following a string of terrorist attacks in Europe, two calls were issued to combat the radicalisation of inmates in prison. This can be achieved thanks to the unique structure of the Justice Programme, as the Programme has been devised with broad specific objectives, due to the fact that it has aggregated the three programmes from the previous programming period. The general and specific objectives allowed the Commission to adapt the Programme to evolving needs within the EU, especially in terms of the judicial cooperation.</w:t>
      </w:r>
      <w:r>
        <w:rPr>
          <w:noProof/>
        </w:rPr>
        <w:t xml:space="preserve"> </w:t>
      </w:r>
      <w:r>
        <w:rPr>
          <w:rFonts w:ascii="Times New Roman" w:eastAsia="Calibri" w:hAnsi="Times New Roman" w:cs="Times New Roman"/>
          <w:b/>
          <w:noProof/>
          <w:sz w:val="24"/>
          <w:szCs w:val="24"/>
        </w:rPr>
        <w:t>However, the specific objective concerning the initiatives in the field of drug policies is sometimes difficult to reconcile with other Programme priorities</w:t>
      </w:r>
      <w:r>
        <w:rPr>
          <w:rFonts w:ascii="Times New Roman" w:eastAsia="Calibri" w:hAnsi="Times New Roman" w:cs="Times New Roman"/>
          <w:noProof/>
          <w:sz w:val="24"/>
          <w:szCs w:val="24"/>
        </w:rPr>
        <w:t xml:space="preserve">, such as judicial cooperation and access to justice, as drug-related prevention policies tend to be broader in scope. </w:t>
      </w:r>
    </w:p>
    <w:p>
      <w:pPr>
        <w:spacing w:after="0" w:line="240" w:lineRule="auto"/>
        <w:jc w:val="both"/>
        <w:rPr>
          <w:rFonts w:ascii="Times New Roman" w:hAnsi="Times New Roman" w:cs="Times New Roman"/>
          <w:noProof/>
          <w:color w:val="000000"/>
          <w:sz w:val="24"/>
          <w:szCs w:val="24"/>
          <w:lang w:eastAsia="ro-RO"/>
        </w:rPr>
      </w:pPr>
      <w:r>
        <w:rPr>
          <w:rFonts w:ascii="Times New Roman" w:hAnsi="Times New Roman" w:cs="Times New Roman"/>
          <w:noProof/>
          <w:color w:val="000000"/>
          <w:sz w:val="24"/>
          <w:szCs w:val="24"/>
          <w:lang w:eastAsia="ro-RO"/>
        </w:rPr>
        <w:t xml:space="preserve">In general, however, the </w:t>
      </w:r>
      <w:r>
        <w:rPr>
          <w:rFonts w:ascii="Times New Roman" w:hAnsi="Times New Roman" w:cs="Times New Roman"/>
          <w:b/>
          <w:noProof/>
          <w:color w:val="000000"/>
          <w:sz w:val="24"/>
          <w:szCs w:val="24"/>
          <w:lang w:eastAsia="ro-RO"/>
        </w:rPr>
        <w:t>needs identified at the time of the Programme’s adoption are still actual and relevant</w:t>
      </w:r>
      <w:r>
        <w:rPr>
          <w:rFonts w:ascii="Times New Roman" w:hAnsi="Times New Roman" w:cs="Times New Roman"/>
          <w:noProof/>
          <w:color w:val="000000"/>
          <w:sz w:val="24"/>
          <w:szCs w:val="24"/>
          <w:lang w:eastAsia="ro-RO"/>
        </w:rPr>
        <w:t>, in particular</w:t>
      </w:r>
      <w:r>
        <w:rPr>
          <w:rFonts w:ascii="Times New Roman" w:hAnsi="Times New Roman" w:cs="Times New Roman"/>
          <w:b/>
          <w:noProof/>
          <w:color w:val="000000"/>
          <w:sz w:val="24"/>
          <w:szCs w:val="24"/>
          <w:lang w:eastAsia="ro-RO"/>
        </w:rPr>
        <w:t xml:space="preserve"> </w:t>
      </w:r>
      <w:r>
        <w:rPr>
          <w:rFonts w:ascii="Times New Roman" w:hAnsi="Times New Roman" w:cs="Times New Roman"/>
          <w:noProof/>
          <w:color w:val="000000"/>
          <w:sz w:val="24"/>
          <w:szCs w:val="24"/>
          <w:lang w:eastAsia="ro-RO"/>
        </w:rPr>
        <w:t>the general objective of further developing a European Area of Justice based on mutual recognition and mutual trust.</w:t>
      </w:r>
    </w:p>
    <w:p>
      <w:pPr>
        <w:spacing w:after="0" w:line="240" w:lineRule="auto"/>
        <w:jc w:val="both"/>
        <w:rPr>
          <w:rFonts w:ascii="Times New Roman" w:eastAsia="Times New Roman" w:hAnsi="Times New Roman" w:cs="Times New Roman"/>
          <w:noProof/>
          <w:color w:val="000000"/>
          <w:sz w:val="24"/>
          <w:szCs w:val="24"/>
          <w:lang w:eastAsia="ro-RO"/>
        </w:rPr>
      </w:pPr>
      <w:r>
        <w:rPr>
          <w:rFonts w:ascii="Times New Roman" w:eastAsia="Times New Roman" w:hAnsi="Times New Roman" w:cs="Times New Roman"/>
          <w:noProof/>
          <w:color w:val="000000"/>
          <w:sz w:val="24"/>
          <w:szCs w:val="24"/>
          <w:lang w:eastAsia="ro-RO"/>
        </w:rPr>
        <w:t xml:space="preserve">With respect to stakeholder needs, there is still scope to further increase the relevance of the Programme through systematic analyses per main stakeholder type, as well as per specific objective and Member States, so as to ensure that priorities related to each specific objective for each call, as set out in the annual work programmes, are in line with the current key needs of the stakeholders. Moreover, the Programme could include additional target groups that are relevant to the achievement of its general objective. These groups include staff in regulatory agencies, young judicial professionals and students and judicial professionals in candidate countries and countries within the scope of the European Neighbourhood policy. This is however currently not possible under the legal basis of the Justice Programme. </w:t>
      </w:r>
    </w:p>
    <w:p>
      <w:pPr>
        <w:pStyle w:val="BulletBody"/>
        <w:numPr>
          <w:ilvl w:val="0"/>
          <w:numId w:val="0"/>
        </w:numPr>
        <w:spacing w:before="0" w:after="0"/>
        <w:rPr>
          <w:rFonts w:ascii="Times New Roman" w:hAnsi="Times New Roman" w:cs="Times New Roman"/>
          <w:b/>
          <w:noProof/>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cs="Times New Roman"/>
          <w:noProof/>
          <w:color w:val="auto"/>
          <w:sz w:val="24"/>
          <w:szCs w:val="24"/>
        </w:rPr>
        <w:t>Coherence, Complementarity, Synergies</w:t>
      </w:r>
      <w:r>
        <w:rPr>
          <w:rStyle w:val="FootnoteReference"/>
          <w:rFonts w:ascii="Times New Roman" w:eastAsiaTheme="majorEastAsia" w:hAnsi="Times New Roman" w:cs="Times New Roman"/>
          <w:b/>
          <w:bCs/>
          <w:noProof/>
          <w:sz w:val="24"/>
          <w:szCs w:val="24"/>
        </w:rPr>
        <w:footnoteReference w:id="13"/>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The Programme presents a good level of coherence and complementarity with other EU instruments, programmes and actions (</w:t>
      </w:r>
      <w:r>
        <w:rPr>
          <w:rFonts w:ascii="Times New Roman" w:eastAsia="Times New Roman" w:hAnsi="Times New Roman" w:cs="Times New Roman"/>
          <w:noProof/>
          <w:color w:val="000000" w:themeColor="text1"/>
          <w:sz w:val="24"/>
          <w:szCs w:val="24"/>
        </w:rPr>
        <w:t>for instance, there is a very high coherence with the European Agenda for Justice 2020</w:t>
      </w:r>
      <w:r>
        <w:rPr>
          <w:rFonts w:ascii="Times New Roman" w:eastAsia="Times New Roman" w:hAnsi="Times New Roman" w:cs="Times New Roman"/>
          <w:noProof/>
          <w:color w:val="000000" w:themeColor="text1"/>
          <w:sz w:val="24"/>
          <w:szCs w:val="24"/>
          <w:vertAlign w:val="superscript"/>
        </w:rPr>
        <w:footnoteReference w:id="14"/>
      </w:r>
      <w:r>
        <w:rPr>
          <w:rFonts w:ascii="Times New Roman" w:eastAsia="Times New Roman" w:hAnsi="Times New Roman" w:cs="Times New Roman"/>
          <w:b/>
          <w:noProof/>
          <w:color w:val="000000" w:themeColor="text1"/>
          <w:sz w:val="24"/>
          <w:szCs w:val="24"/>
        </w:rPr>
        <w:t>) and the risk of duplications or incoherence is very low</w:t>
      </w:r>
      <w:r>
        <w:rPr>
          <w:rFonts w:ascii="Times New Roman" w:eastAsia="Times New Roman" w:hAnsi="Times New Roman" w:cs="Times New Roman"/>
          <w:noProof/>
          <w:color w:val="000000" w:themeColor="text1"/>
          <w:sz w:val="24"/>
          <w:szCs w:val="24"/>
        </w:rPr>
        <w:t xml:space="preserve">. Especially in the case of judicial training, the merging of the predecessor programmes has increased the coherence with other EU initiatives and </w:t>
      </w:r>
      <w:r>
        <w:rPr>
          <w:rFonts w:ascii="Times New Roman" w:hAnsi="Times New Roman" w:cs="Times New Roman"/>
          <w:noProof/>
          <w:color w:val="000000" w:themeColor="text1"/>
          <w:sz w:val="24"/>
          <w:szCs w:val="24"/>
        </w:rPr>
        <w:t>among different training objectives and reduced the possibility of duplications, both in scope and in funding</w:t>
      </w:r>
      <w:r>
        <w:rPr>
          <w:rFonts w:ascii="Times New Roman" w:eastAsia="Times New Roman" w:hAnsi="Times New Roman" w:cs="Times New Roman"/>
          <w:noProof/>
          <w:color w:val="000000" w:themeColor="text1"/>
          <w:sz w:val="24"/>
          <w:szCs w:val="24"/>
        </w:rPr>
        <w:t xml:space="preserve">. A strong coherence and complementarity in the access to justice specific objective exist with Connecting Europe Facility Telecommunications Programme that also contributed to the development of e-Justice Portal and e-Codex. </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Some exceptional overlaps in terms </w:t>
      </w:r>
      <w:r>
        <w:rPr>
          <w:rFonts w:ascii="Times New Roman" w:hAnsi="Times New Roman" w:cs="Times New Roman"/>
          <w:noProof/>
          <w:color w:val="000000" w:themeColor="text1"/>
          <w:sz w:val="24"/>
          <w:szCs w:val="24"/>
        </w:rPr>
        <w:t>of objectives, target groups and actions</w:t>
      </w:r>
      <w:r>
        <w:rPr>
          <w:rFonts w:ascii="Times New Roman" w:eastAsia="Times New Roman" w:hAnsi="Times New Roman" w:cs="Times New Roman"/>
          <w:noProof/>
          <w:color w:val="000000" w:themeColor="text1"/>
          <w:sz w:val="24"/>
          <w:szCs w:val="24"/>
        </w:rPr>
        <w:t xml:space="preserve"> still exist as a natural consequence of the broad objectives and target groups covered by the Programme, </w:t>
      </w:r>
      <w:r>
        <w:rPr>
          <w:rFonts w:ascii="Times New Roman" w:hAnsi="Times New Roman" w:cs="Times New Roman"/>
          <w:noProof/>
          <w:color w:val="000000" w:themeColor="text1"/>
          <w:sz w:val="24"/>
          <w:szCs w:val="24"/>
        </w:rPr>
        <w:t xml:space="preserve">ranging from judicial cooperation in civil and criminal matters (thus essentially the full </w:t>
      </w:r>
      <w:r>
        <w:rPr>
          <w:rFonts w:ascii="Times New Roman" w:hAnsi="Times New Roman" w:cs="Times New Roman"/>
          <w:noProof/>
          <w:color w:val="000000" w:themeColor="text1"/>
          <w:sz w:val="24"/>
          <w:szCs w:val="24"/>
        </w:rPr>
        <w:lastRenderedPageBreak/>
        <w:t>spectrum of judicial activity) to drug policy and judicial training, as well as since it targets all EU citizens</w:t>
      </w:r>
      <w:r>
        <w:rPr>
          <w:rFonts w:ascii="Times New Roman" w:eastAsia="Times New Roman" w:hAnsi="Times New Roman" w:cs="Times New Roman"/>
          <w:noProof/>
          <w:color w:val="000000" w:themeColor="text1"/>
          <w:sz w:val="24"/>
          <w:szCs w:val="24"/>
        </w:rPr>
        <w:t>.</w:t>
      </w:r>
    </w:p>
    <w:p>
      <w:pPr>
        <w:spacing w:after="0"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In any case, there is still potential for strengthening the synergies with other EU funding programmes and initiatives. </w:t>
      </w:r>
      <w:r>
        <w:rPr>
          <w:rFonts w:ascii="Times New Roman" w:hAnsi="Times New Roman" w:cs="Times New Roman"/>
          <w:noProof/>
          <w:color w:val="000000" w:themeColor="text1"/>
          <w:sz w:val="24"/>
          <w:szCs w:val="24"/>
        </w:rPr>
        <w:t>This is the case, for instance, of the drugs policy area, where the coordination with the Health for Growth Programme could be increased.</w:t>
      </w:r>
    </w:p>
    <w:p>
      <w:pPr>
        <w:spacing w:after="0" w:line="240" w:lineRule="auto"/>
        <w:jc w:val="both"/>
        <w:rPr>
          <w:rFonts w:ascii="Times New Roman" w:eastAsia="Times New Roman" w:hAnsi="Times New Roman" w:cs="Times New Roman"/>
          <w:b/>
          <w:noProof/>
          <w:color w:val="000000" w:themeColor="text1"/>
          <w:sz w:val="24"/>
          <w:szCs w:val="24"/>
          <w:lang w:eastAsia="ro-RO"/>
        </w:rPr>
      </w:pPr>
      <w:r>
        <w:rPr>
          <w:rFonts w:ascii="Times New Roman" w:eastAsia="Times New Roman" w:hAnsi="Times New Roman" w:cs="Times New Roman"/>
          <w:noProof/>
          <w:color w:val="000000" w:themeColor="text1"/>
          <w:sz w:val="24"/>
          <w:szCs w:val="24"/>
          <w:lang w:eastAsia="ro-RO"/>
        </w:rPr>
        <w:t>According to interviewed stakeholders,</w:t>
      </w:r>
      <w:r>
        <w:rPr>
          <w:rFonts w:ascii="Times New Roman" w:eastAsia="Times New Roman" w:hAnsi="Times New Roman" w:cs="Times New Roman"/>
          <w:b/>
          <w:noProof/>
          <w:color w:val="000000" w:themeColor="text1"/>
          <w:sz w:val="24"/>
          <w:szCs w:val="24"/>
          <w:lang w:eastAsia="ro-RO"/>
        </w:rPr>
        <w:t xml:space="preserve"> the coherence with national </w:t>
      </w:r>
      <w:r>
        <w:rPr>
          <w:rFonts w:ascii="Times New Roman" w:hAnsi="Times New Roman" w:cs="Times New Roman"/>
          <w:b/>
          <w:noProof/>
          <w:color w:val="000000" w:themeColor="text1"/>
          <w:sz w:val="24"/>
          <w:szCs w:val="24"/>
        </w:rPr>
        <w:t>policies and initiatives with similar objectives and/or targeting the same areas</w:t>
      </w:r>
      <w:r>
        <w:rPr>
          <w:rFonts w:ascii="Times New Roman" w:eastAsia="Times New Roman" w:hAnsi="Times New Roman" w:cs="Times New Roman"/>
          <w:b/>
          <w:noProof/>
          <w:color w:val="000000" w:themeColor="text1"/>
          <w:sz w:val="24"/>
          <w:szCs w:val="24"/>
          <w:lang w:eastAsia="ro-RO"/>
        </w:rPr>
        <w:t xml:space="preserve"> is high. </w:t>
      </w:r>
      <w:r>
        <w:rPr>
          <w:rFonts w:ascii="Times New Roman" w:hAnsi="Times New Roman" w:cs="Times New Roman"/>
          <w:b/>
          <w:noProof/>
          <w:color w:val="000000" w:themeColor="text1"/>
          <w:sz w:val="24"/>
          <w:szCs w:val="24"/>
        </w:rPr>
        <w:t>The Programme fills the gaps left by national actions</w:t>
      </w:r>
      <w:r>
        <w:rPr>
          <w:rFonts w:ascii="Times New Roman" w:hAnsi="Times New Roman" w:cs="Times New Roman"/>
          <w:noProof/>
          <w:color w:val="000000" w:themeColor="text1"/>
          <w:sz w:val="24"/>
          <w:szCs w:val="24"/>
        </w:rPr>
        <w:t>, while existing national projects and initiatives complement the Programme rather than being in contrast with it or a mere duplication. Indeed, when both the Justice Programme and national initiatives have the same (or similar) objectives and target groups, there are always differences between them, in terms of size of geographical scope (with enlarged scope in terms of target groups), available resources and number of projects funded.</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The</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Justice Programme is coherent also with international obligations</w:t>
      </w:r>
      <w:r>
        <w:rPr>
          <w:rFonts w:ascii="Times New Roman" w:hAnsi="Times New Roman" w:cs="Times New Roman"/>
          <w:noProof/>
          <w:color w:val="000000" w:themeColor="text1"/>
          <w:sz w:val="24"/>
          <w:szCs w:val="24"/>
        </w:rPr>
        <w:t>, such as the UN 2030 Sustainable Development Agenda. Indeed, some general principles of the UN agenda can be linked to objectives and areas targeted by the Justice Programme. This is the case of the UN objective of ensuring peace and security, to be achieved through just and inclusive societies that provide equal access to justice, effective rule of law, as well as transparent and effective judicial institutions. All these elements can be found as integrative parts of the Justice Programme, both in terms of access to justice and judicial training. Moreover, the EU is party to The Hague Conference on Private International Law and pursues its international action in relation to civil justice mainly through this international organisation.</w:t>
      </w:r>
    </w:p>
    <w:p>
      <w:pPr>
        <w:spacing w:after="0" w:line="240" w:lineRule="auto"/>
        <w:jc w:val="both"/>
        <w:rPr>
          <w:rFonts w:ascii="Times New Roman" w:hAnsi="Times New Roman" w:cs="Times New Roman"/>
          <w:noProof/>
          <w:color w:val="000000" w:themeColor="text1"/>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cs="Times New Roman"/>
          <w:noProof/>
          <w:color w:val="auto"/>
          <w:sz w:val="24"/>
          <w:szCs w:val="24"/>
        </w:rPr>
        <w:t>EU added value</w:t>
      </w:r>
      <w:r>
        <w:rPr>
          <w:rStyle w:val="FootnoteReference"/>
          <w:rFonts w:ascii="Times New Roman" w:eastAsiaTheme="majorEastAsia" w:hAnsi="Times New Roman" w:cs="Times New Roman"/>
          <w:b/>
          <w:bCs/>
          <w:noProof/>
          <w:sz w:val="24"/>
          <w:szCs w:val="24"/>
        </w:rPr>
        <w:footnoteReference w:id="15"/>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All evidence collected confirms the high added value of the Programme intervention</w:t>
      </w:r>
      <w:r>
        <w:rPr>
          <w:rFonts w:ascii="Times New Roman" w:eastAsia="Times New Roman" w:hAnsi="Times New Roman" w:cs="Times New Roman"/>
          <w:noProof/>
          <w:color w:val="000000" w:themeColor="text1"/>
          <w:sz w:val="24"/>
          <w:szCs w:val="24"/>
        </w:rPr>
        <w:t xml:space="preserve">, which is considered </w:t>
      </w:r>
      <w:r>
        <w:rPr>
          <w:rFonts w:ascii="Times New Roman" w:eastAsia="Times New Roman" w:hAnsi="Times New Roman" w:cs="Times New Roman"/>
          <w:i/>
          <w:noProof/>
          <w:color w:val="000000" w:themeColor="text1"/>
          <w:sz w:val="24"/>
          <w:szCs w:val="24"/>
        </w:rPr>
        <w:t>de facto</w:t>
      </w:r>
      <w:r>
        <w:rPr>
          <w:rFonts w:ascii="Times New Roman" w:eastAsia="Times New Roman" w:hAnsi="Times New Roman" w:cs="Times New Roman"/>
          <w:noProof/>
          <w:color w:val="000000" w:themeColor="text1"/>
          <w:sz w:val="24"/>
          <w:szCs w:val="24"/>
        </w:rPr>
        <w:t xml:space="preserve"> instrumental for a good and effective achievement of objectives in the area of justice. </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results of the evaluation show that the survey respondents agree in saying that not only the funded activities would have not been possible without the EU intervention, but also confirmed that the same results would have not been achieved with Member States intervention only, in terms of creation of partnerships, realisation of outputs, funding of innovative actions, sustainability of results, and, especially, implementation of projects of transnational size and scale. Indeed, </w:t>
      </w:r>
      <w:r>
        <w:rPr>
          <w:rFonts w:ascii="Times New Roman" w:eastAsia="Times New Roman" w:hAnsi="Times New Roman" w:cs="Times New Roman"/>
          <w:noProof/>
          <w:color w:val="000000" w:themeColor="text1"/>
          <w:sz w:val="24"/>
          <w:szCs w:val="24"/>
        </w:rPr>
        <w:t xml:space="preserve">the EU added value of the Justice Programme is evident, above all, in the promotion of transnational projects with a European dimension to tackle cross-border issues and in the provision of financial resources to fund activities in key areas that are not necessarily high on the agenda of </w:t>
      </w:r>
      <w:r>
        <w:rPr>
          <w:rFonts w:ascii="Times New Roman" w:hAnsi="Times New Roman" w:cs="Times New Roman"/>
          <w:noProof/>
          <w:color w:val="000000" w:themeColor="text1"/>
          <w:sz w:val="24"/>
          <w:szCs w:val="24"/>
        </w:rPr>
        <w:t xml:space="preserve">Member States due to lack of political will </w:t>
      </w:r>
      <w:r>
        <w:rPr>
          <w:rFonts w:ascii="Times New Roman" w:eastAsia="Times New Roman" w:hAnsi="Times New Roman" w:cs="Times New Roman"/>
          <w:noProof/>
          <w:color w:val="000000" w:themeColor="text1"/>
          <w:sz w:val="24"/>
          <w:szCs w:val="24"/>
        </w:rPr>
        <w:t xml:space="preserve">(according to stakeholders, this is particularly true for the specific objective on access to justice). </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According to beneficiaries interviewed, the Programme can influence and align, at least to a moderate extent, national actions in the targeted areas.</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Programme makes also beneficiaries able to work with partners in other Member States, a possibility that increased their knowledge and understanding of the issues covered by the Programme, widened their approach and range of skills, and provided them with access to good practice examples and tools developed in other Member States. As already mentioned </w:t>
      </w:r>
      <w:r>
        <w:rPr>
          <w:rFonts w:ascii="Times New Roman" w:hAnsi="Times New Roman" w:cs="Times New Roman"/>
          <w:noProof/>
          <w:color w:val="000000" w:themeColor="text1"/>
          <w:sz w:val="24"/>
          <w:szCs w:val="24"/>
        </w:rPr>
        <w:lastRenderedPageBreak/>
        <w:t>above, partnerships are a key element for the success of the Justice Programme and are present in the majority of projects.</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lack of national funding is one of the main reasons why the Programmes’ funded activities would not have been possible through single Member States action. This is particularly true for the initiatives in the field of drug policies, where national initiatives are often missing a crucial transnational dimension that is pivotal in this field, and for EU-level judicial training that, usually, is not provided at national level. Moreover, the Justice Programme ensures the continued existence of European networks such as the European Judicial Training Network.</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perceived importance of the Programme can be explained also by the high number of projects awarded after just three years, compared to the three predecessor programmes</w:t>
      </w:r>
      <w:r>
        <w:rPr>
          <w:rFonts w:ascii="Times New Roman" w:eastAsia="Times New Roman" w:hAnsi="Times New Roman" w:cs="Times New Roman"/>
          <w:noProof/>
          <w:color w:val="000000" w:themeColor="text1"/>
          <w:sz w:val="24"/>
          <w:szCs w:val="24"/>
          <w:vertAlign w:val="superscript"/>
        </w:rPr>
        <w:footnoteReference w:id="16"/>
      </w:r>
      <w:r>
        <w:rPr>
          <w:rFonts w:ascii="Times New Roman" w:eastAsia="Times New Roman" w:hAnsi="Times New Roman" w:cs="Times New Roman"/>
          <w:noProof/>
          <w:color w:val="000000" w:themeColor="text1"/>
          <w:sz w:val="24"/>
          <w:szCs w:val="24"/>
        </w:rPr>
        <w:t xml:space="preserve"> and the </w:t>
      </w:r>
      <w:r>
        <w:rPr>
          <w:rFonts w:ascii="Times New Roman" w:eastAsia="Times New Roman" w:hAnsi="Times New Roman" w:cs="Times New Roman"/>
          <w:noProof/>
          <w:color w:val="000000" w:themeColor="text1"/>
          <w:sz w:val="24"/>
          <w:szCs w:val="24"/>
          <w:lang w:eastAsia="en-GB"/>
        </w:rPr>
        <w:t xml:space="preserve">increase in the number of yearly applications received from potential beneficiaries </w:t>
      </w:r>
      <w:r>
        <w:rPr>
          <w:rFonts w:ascii="Times New Roman" w:eastAsia="Times New Roman" w:hAnsi="Times New Roman" w:cs="Times New Roman"/>
          <w:noProof/>
          <w:color w:val="000000" w:themeColor="text1"/>
          <w:sz w:val="24"/>
          <w:szCs w:val="24"/>
        </w:rPr>
        <w:t xml:space="preserve">indicates that the Programme remains a key source of funding across the EU. </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Moreover, </w:t>
      </w:r>
      <w:r>
        <w:rPr>
          <w:rFonts w:ascii="Times New Roman" w:eastAsia="Times New Roman" w:hAnsi="Times New Roman" w:cs="Times New Roman"/>
          <w:b/>
          <w:noProof/>
          <w:color w:val="000000" w:themeColor="text1"/>
          <w:sz w:val="24"/>
          <w:szCs w:val="24"/>
        </w:rPr>
        <w:t>judicial training</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b/>
          <w:noProof/>
          <w:color w:val="000000" w:themeColor="text1"/>
          <w:sz w:val="24"/>
          <w:szCs w:val="24"/>
        </w:rPr>
        <w:t>figures more</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b/>
          <w:noProof/>
          <w:color w:val="000000" w:themeColor="text1"/>
          <w:sz w:val="24"/>
          <w:szCs w:val="24"/>
        </w:rPr>
        <w:t xml:space="preserve">prominently </w:t>
      </w:r>
      <w:r>
        <w:rPr>
          <w:rFonts w:ascii="Times New Roman" w:eastAsia="Times New Roman" w:hAnsi="Times New Roman" w:cs="Times New Roman"/>
          <w:noProof/>
          <w:color w:val="000000" w:themeColor="text1"/>
          <w:sz w:val="24"/>
          <w:szCs w:val="24"/>
        </w:rPr>
        <w:t>in the intervention logic of the Justice Programme, compared to the predecessor programmes. This is an important step forward for the EU added value of the Programme since judicial training is central to build mutual trust, improve cooperation between judicial authorities and practitioners in the Member States and increase the coherence in the application of the EU legislation.</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results of the evaluation show that the </w:t>
      </w:r>
      <w:r>
        <w:rPr>
          <w:rFonts w:ascii="Times New Roman" w:eastAsia="Times New Roman" w:hAnsi="Times New Roman" w:cs="Times New Roman"/>
          <w:b/>
          <w:noProof/>
          <w:color w:val="000000" w:themeColor="text1"/>
          <w:sz w:val="24"/>
          <w:szCs w:val="24"/>
        </w:rPr>
        <w:t>issues and areas addressed by the Justice Programme would require further action</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b/>
          <w:noProof/>
          <w:color w:val="000000" w:themeColor="text1"/>
          <w:sz w:val="24"/>
          <w:szCs w:val="24"/>
        </w:rPr>
        <w:t>and involvement at EU level</w:t>
      </w:r>
      <w:r>
        <w:rPr>
          <w:rFonts w:ascii="Times New Roman" w:eastAsia="Times New Roman" w:hAnsi="Times New Roman" w:cs="Times New Roman"/>
          <w:noProof/>
          <w:color w:val="000000" w:themeColor="text1"/>
          <w:sz w:val="24"/>
          <w:szCs w:val="24"/>
        </w:rPr>
        <w:t xml:space="preserve">. Indeed, the demand of EU action in these fields and the fact that the number of applications to the Programme are still higher than the number of awarded grants demonstrate a clear interest in the priorities addressed by the Programme. </w:t>
      </w:r>
    </w:p>
    <w:p>
      <w:pPr>
        <w:pStyle w:val="ListParagraph"/>
        <w:tabs>
          <w:tab w:val="num" w:pos="283"/>
        </w:tabs>
        <w:spacing w:after="0" w:line="240" w:lineRule="auto"/>
        <w:ind w:left="0"/>
        <w:jc w:val="both"/>
        <w:rPr>
          <w:rFonts w:ascii="Times New Roman" w:eastAsia="Times New Roman" w:hAnsi="Times New Roman" w:cs="Times New Roman"/>
          <w:b/>
          <w:noProof/>
          <w:sz w:val="24"/>
          <w:szCs w:val="24"/>
        </w:rPr>
      </w:pPr>
    </w:p>
    <w:p>
      <w:pPr>
        <w:pStyle w:val="ListParagraph"/>
        <w:keepNext/>
        <w:numPr>
          <w:ilvl w:val="1"/>
          <w:numId w:val="9"/>
        </w:numPr>
        <w:tabs>
          <w:tab w:val="left" w:pos="850"/>
        </w:tabs>
        <w:spacing w:after="0" w:line="240" w:lineRule="auto"/>
        <w:contextualSpacing w:val="0"/>
        <w:jc w:val="both"/>
        <w:outlineLvl w:val="0"/>
        <w:rPr>
          <w:rFonts w:ascii="Times New Roman" w:hAnsi="Times New Roman" w:cs="Times New Roman"/>
          <w:b/>
          <w:noProof/>
          <w:sz w:val="24"/>
          <w:szCs w:val="24"/>
        </w:rPr>
      </w:pPr>
      <w:r>
        <w:rPr>
          <w:rFonts w:ascii="Times New Roman" w:hAnsi="Times New Roman" w:cs="Times New Roman"/>
          <w:b/>
          <w:noProof/>
          <w:sz w:val="24"/>
          <w:szCs w:val="24"/>
        </w:rPr>
        <w:t>Equity</w:t>
      </w:r>
      <w:r>
        <w:rPr>
          <w:rStyle w:val="FootnoteReference"/>
          <w:rFonts w:ascii="Times New Roman" w:eastAsia="Calibri" w:hAnsi="Times New Roman" w:cs="Times New Roman"/>
          <w:noProof/>
          <w:sz w:val="24"/>
          <w:szCs w:val="24"/>
          <w:lang w:eastAsia="en-GB" w:bidi="en-GB"/>
        </w:rPr>
        <w:footnoteReference w:id="17"/>
      </w:r>
    </w:p>
    <w:p>
      <w:pPr>
        <w:pStyle w:val="ListParagraph"/>
        <w:keepNext/>
        <w:tabs>
          <w:tab w:val="left" w:pos="850"/>
        </w:tabs>
        <w:spacing w:after="0" w:line="240" w:lineRule="auto"/>
        <w:ind w:left="792"/>
        <w:contextualSpacing w:val="0"/>
        <w:jc w:val="both"/>
        <w:outlineLvl w:val="0"/>
        <w:rPr>
          <w:rFonts w:ascii="Times New Roman" w:hAnsi="Times New Roman" w:cs="Times New Roman"/>
          <w:b/>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Times New Roman" w:hAnsi="Times New Roman" w:cs="Times New Roman"/>
          <w:b/>
          <w:noProof/>
          <w:color w:val="000000" w:themeColor="text1"/>
          <w:sz w:val="24"/>
          <w:szCs w:val="24"/>
        </w:rPr>
        <w:t xml:space="preserve">The promotion of the cross-cutting priorities of gender equality, rights of child and rights of people with disabilities is highly significant for the Justice Programme and it’s enshrined in its legal basis. </w:t>
      </w:r>
      <w:r>
        <w:rPr>
          <w:rFonts w:ascii="Times New Roman" w:eastAsia="Times New Roman" w:hAnsi="Times New Roman" w:cs="Times New Roman"/>
          <w:noProof/>
          <w:color w:val="000000" w:themeColor="text1"/>
          <w:sz w:val="24"/>
          <w:szCs w:val="24"/>
        </w:rPr>
        <w:t>In particular, the principles of</w:t>
      </w:r>
      <w:r>
        <w:rPr>
          <w:rFonts w:ascii="Times New Roman" w:eastAsia="Times New Roman" w:hAnsi="Times New Roman" w:cs="Times New Roman"/>
          <w:b/>
          <w:noProof/>
          <w:color w:val="000000" w:themeColor="text1"/>
          <w:sz w:val="24"/>
          <w:szCs w:val="24"/>
        </w:rPr>
        <w:t xml:space="preserve"> </w:t>
      </w:r>
      <w:r>
        <w:rPr>
          <w:rFonts w:ascii="Times New Roman" w:eastAsia="Times New Roman" w:hAnsi="Times New Roman" w:cs="Times New Roman"/>
          <w:noProof/>
          <w:color w:val="000000" w:themeColor="text1"/>
          <w:sz w:val="24"/>
          <w:szCs w:val="24"/>
        </w:rPr>
        <w:t xml:space="preserve">gender and child rights mainstreaming are evaluated during the evaluation process under the quality of proposals. </w:t>
      </w:r>
      <w:r>
        <w:rPr>
          <w:rFonts w:ascii="Times New Roman" w:hAnsi="Times New Roman" w:cs="Times New Roman"/>
          <w:noProof/>
          <w:color w:val="000000" w:themeColor="text1"/>
          <w:sz w:val="24"/>
          <w:szCs w:val="24"/>
        </w:rPr>
        <w:t>The issue of gender mainstreaming is specifically mentioned in the “part B” of the application form.</w:t>
      </w:r>
      <w:r>
        <w:rPr>
          <w:rFonts w:ascii="Times New Roman" w:eastAsia="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However, the evaluation showed that, </w:t>
      </w:r>
      <w:r>
        <w:rPr>
          <w:rFonts w:ascii="Times New Roman" w:eastAsia="Calibri" w:hAnsi="Times New Roman" w:cs="Times New Roman"/>
          <w:noProof/>
          <w:color w:val="000000" w:themeColor="text1"/>
          <w:sz w:val="24"/>
          <w:szCs w:val="24"/>
        </w:rPr>
        <w:t xml:space="preserve">in terms of projects developed, gender issues and equality are hardly a major theme in most of them. Reference to women and gender equality are nonetheless found in five-six projects, which, still not focusing directly on the matter, take into account such element in their implementation. </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noProof/>
          <w:sz w:val="24"/>
          <w:szCs w:val="24"/>
        </w:rPr>
        <w:t>The Justice Programme supports the rights of the child both in the programming phase (design of the calls for proposals) and by means of the activities of projects selected for funding.</w:t>
      </w:r>
      <w:r>
        <w:rPr>
          <w:rFonts w:ascii="Times New Roman" w:eastAsia="Calibri"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T</w:t>
      </w:r>
      <w:r>
        <w:rPr>
          <w:rFonts w:ascii="Times New Roman" w:hAnsi="Times New Roman" w:cs="Times New Roman"/>
          <w:noProof/>
          <w:color w:val="000000" w:themeColor="text1"/>
          <w:sz w:val="24"/>
          <w:szCs w:val="24"/>
        </w:rPr>
        <w:t xml:space="preserve">he respect of the rights of the child is therefore enhanced by the fact that organisations applying for funding (and any of their partners), which will work directly with children during the project implementation, must provide the Commission with a description of their child protection policy. </w:t>
      </w:r>
      <w:r>
        <w:rPr>
          <w:rFonts w:ascii="Times New Roman" w:hAnsi="Times New Roman" w:cs="Times New Roman"/>
          <w:noProof/>
          <w:sz w:val="24"/>
          <w:szCs w:val="24"/>
        </w:rPr>
        <w:t>Moreover, calls for proposals funded under the Justice Programme contain topics that are relevant to the subject.</w:t>
      </w:r>
      <w:r>
        <w:rPr>
          <w:rFonts w:ascii="Times New Roman" w:eastAsia="Calibri" w:hAnsi="Times New Roman" w:cs="Times New Roman"/>
          <w:noProof/>
          <w:sz w:val="24"/>
          <w:szCs w:val="24"/>
        </w:rPr>
        <w:t xml:space="preserve"> The results of the evaluation show that the majority of respondents agree to further mainstream and promote the rights of the child in the Programme.</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lastRenderedPageBreak/>
        <w:t xml:space="preserve">Concerning the priority of rights of people with disabilities, it seems </w:t>
      </w:r>
      <w:r>
        <w:rPr>
          <w:rFonts w:ascii="Times New Roman" w:eastAsia="Calibri" w:hAnsi="Times New Roman" w:cs="Times New Roman"/>
          <w:noProof/>
          <w:sz w:val="24"/>
          <w:szCs w:val="24"/>
        </w:rPr>
        <w:t xml:space="preserve">more in the background compared to the previous two. </w:t>
      </w:r>
      <w:r>
        <w:rPr>
          <w:rFonts w:ascii="Times New Roman" w:eastAsia="Calibri" w:hAnsi="Times New Roman" w:cs="Times New Roman"/>
          <w:noProof/>
          <w:color w:val="000000" w:themeColor="text1"/>
          <w:sz w:val="24"/>
          <w:szCs w:val="24"/>
        </w:rPr>
        <w:t>Indeed, among the projects funded, only one directly targeted at people with disabilities, under the specific objective access to justice</w:t>
      </w:r>
      <w:r>
        <w:rPr>
          <w:rFonts w:ascii="Times New Roman" w:eastAsia="Calibri" w:hAnsi="Times New Roman" w:cs="Times New Roman"/>
          <w:noProof/>
          <w:color w:val="000000" w:themeColor="text1"/>
          <w:sz w:val="24"/>
          <w:szCs w:val="24"/>
          <w:vertAlign w:val="superscript"/>
        </w:rPr>
        <w:footnoteReference w:id="18"/>
      </w:r>
      <w:r>
        <w:rPr>
          <w:rFonts w:ascii="Times New Roman" w:eastAsia="Calibri" w:hAnsi="Times New Roman" w:cs="Times New Roman"/>
          <w:noProof/>
          <w:color w:val="000000" w:themeColor="text1"/>
          <w:sz w:val="24"/>
          <w:szCs w:val="24"/>
        </w:rPr>
        <w:t>. In terms of the need to further promote the rights of people with disability in the Programme, stakeholders have quite heterogeneous opinions, but all categories tend to think there is at least a “moderate” need to do it.</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 understand how the Programme promotes equity through the funded activities, participants' data broken down by sex, disability status or age, as required by the Regulation, shall be collected. This is however not yet done.</w:t>
      </w:r>
    </w:p>
    <w:p>
      <w:pPr>
        <w:spacing w:after="0" w:line="240" w:lineRule="auto"/>
        <w:jc w:val="both"/>
        <w:rPr>
          <w:rFonts w:ascii="Times New Roman" w:eastAsia="Times New Roman" w:hAnsi="Times New Roman" w:cs="Times New Roman"/>
          <w:b/>
          <w:noProof/>
          <w:sz w:val="24"/>
          <w:szCs w:val="24"/>
        </w:rPr>
      </w:pPr>
      <w:r>
        <w:rPr>
          <w:rFonts w:ascii="Times New Roman" w:eastAsia="Calibri" w:hAnsi="Times New Roman" w:cs="Times New Roman"/>
          <w:noProof/>
          <w:sz w:val="24"/>
          <w:szCs w:val="24"/>
        </w:rPr>
        <w:t>Finally, as already mentioned, in the future, the Programme should try to distribute its resources in a more balanced manner across the different target groups of beneficiaries and Member States</w:t>
      </w:r>
      <w:r>
        <w:rPr>
          <w:rFonts w:ascii="Times New Roman" w:hAnsi="Times New Roman" w:cs="Times New Roman"/>
          <w:noProof/>
          <w:sz w:val="24"/>
          <w:szCs w:val="24"/>
        </w:rPr>
        <w:t>.</w:t>
      </w:r>
    </w:p>
    <w:p>
      <w:pPr>
        <w:spacing w:after="0" w:line="240" w:lineRule="auto"/>
        <w:jc w:val="both"/>
        <w:rPr>
          <w:rFonts w:ascii="Times New Roman" w:hAnsi="Times New Roman" w:cs="Times New Roman"/>
          <w:noProof/>
          <w:color w:val="000000"/>
          <w:sz w:val="24"/>
          <w:szCs w:val="24"/>
          <w:lang w:eastAsia="ro-RO"/>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cs="Times New Roman"/>
          <w:noProof/>
          <w:color w:val="auto"/>
          <w:sz w:val="24"/>
          <w:szCs w:val="24"/>
        </w:rPr>
        <w:t>Scope for simplification</w:t>
      </w:r>
      <w:r>
        <w:rPr>
          <w:rStyle w:val="FootnoteReference"/>
          <w:rFonts w:ascii="Times New Roman" w:eastAsiaTheme="majorEastAsia" w:hAnsi="Times New Roman" w:cs="Times New Roman"/>
          <w:b/>
          <w:bCs/>
          <w:noProof/>
          <w:sz w:val="24"/>
          <w:szCs w:val="24"/>
        </w:rPr>
        <w:footnoteReference w:id="19"/>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eastAsia="Times New Roman" w:hAnsi="Times New Roman" w:cs="Times New Roman"/>
          <w:noProof/>
          <w:color w:val="000000" w:themeColor="text1"/>
          <w:sz w:val="24"/>
          <w:szCs w:val="24"/>
          <w:lang w:eastAsia="ro-RO"/>
        </w:rPr>
      </w:pPr>
      <w:r>
        <w:rPr>
          <w:rFonts w:ascii="Times New Roman" w:eastAsia="Times New Roman" w:hAnsi="Times New Roman" w:cs="Times New Roman"/>
          <w:b/>
          <w:noProof/>
          <w:color w:val="000000" w:themeColor="text1"/>
          <w:sz w:val="24"/>
          <w:szCs w:val="24"/>
          <w:lang w:eastAsia="ro-RO"/>
        </w:rPr>
        <w:t>The evaluation did not identify clear scope for further simplifications concerning the management mode of the Programme</w:t>
      </w:r>
      <w:r>
        <w:rPr>
          <w:rFonts w:ascii="Times New Roman" w:eastAsia="Times New Roman" w:hAnsi="Times New Roman" w:cs="Times New Roman"/>
          <w:noProof/>
          <w:color w:val="000000" w:themeColor="text1"/>
          <w:sz w:val="24"/>
          <w:szCs w:val="24"/>
          <w:lang w:eastAsia="ro-RO"/>
        </w:rPr>
        <w:t xml:space="preserve">. The current direct management mode appears adequate given the size of the Programme.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However, notwithstanding the improvements made with the current Programme, both Commission officials and beneficiaries interviewed expressed critical opinions on the implementation process, with specific regard to budget management and reporting duties. Among the reasons provided, beneficiaries indicate that the financial reporting is too detailed and inflexible when compared to the ones applied within other EU Programmes (e.g. Horizon 2020 and Erasmus+).</w:t>
      </w:r>
    </w:p>
    <w:p>
      <w:pPr>
        <w:spacing w:after="0" w:line="240" w:lineRule="auto"/>
        <w:jc w:val="both"/>
        <w:rPr>
          <w:rFonts w:ascii="Times New Roman" w:hAnsi="Times New Roman" w:cs="Times New Roman"/>
          <w:noProof/>
          <w:color w:val="000000" w:themeColor="text1"/>
          <w:sz w:val="24"/>
          <w:szCs w:val="24"/>
          <w:lang w:eastAsia="nl-BE"/>
        </w:rPr>
      </w:pPr>
      <w:r>
        <w:rPr>
          <w:rFonts w:ascii="Times New Roman" w:eastAsia="Times New Roman" w:hAnsi="Times New Roman" w:cs="Times New Roman"/>
          <w:noProof/>
          <w:color w:val="000000" w:themeColor="text1"/>
          <w:sz w:val="24"/>
          <w:szCs w:val="24"/>
        </w:rPr>
        <w:t xml:space="preserve">In terms of administrative burden, nearly 70% of beneficiaries and applicants </w:t>
      </w:r>
      <w:r>
        <w:rPr>
          <w:rFonts w:ascii="Times New Roman" w:hAnsi="Times New Roman" w:cs="Times New Roman"/>
          <w:noProof/>
          <w:color w:val="000000" w:themeColor="text1"/>
          <w:sz w:val="24"/>
          <w:szCs w:val="24"/>
        </w:rPr>
        <w:t>perceived as still burdensome the</w:t>
      </w:r>
      <w:r>
        <w:rPr>
          <w:rFonts w:ascii="Times New Roman" w:hAnsi="Times New Roman" w:cs="Times New Roman"/>
          <w:b/>
          <w:noProof/>
          <w:color w:val="000000" w:themeColor="text1"/>
          <w:sz w:val="24"/>
          <w:szCs w:val="24"/>
        </w:rPr>
        <w:t xml:space="preserve"> </w:t>
      </w:r>
      <w:r>
        <w:rPr>
          <w:rFonts w:ascii="Times New Roman" w:eastAsia="Times New Roman" w:hAnsi="Times New Roman" w:cs="Times New Roman"/>
          <w:noProof/>
          <w:color w:val="000000" w:themeColor="text1"/>
          <w:sz w:val="24"/>
          <w:szCs w:val="24"/>
        </w:rPr>
        <w:t>proposal drafting, the provisions of necessary administrative and financial information to participate in the calls and the monitoring and reporting requirements.</w:t>
      </w:r>
      <w:r>
        <w:rPr>
          <w:rFonts w:ascii="Times New Roman" w:hAnsi="Times New Roman" w:cs="Times New Roman"/>
          <w:noProof/>
          <w:color w:val="000000" w:themeColor="text1"/>
          <w:sz w:val="24"/>
          <w:szCs w:val="24"/>
          <w:lang w:eastAsia="nl-BE"/>
        </w:rPr>
        <w:t xml:space="preserve"> In general, beneficiaries agreed that the application and reporting procedures were complex and long, but recognised that it was probably hard to simplify them further, given the need to ensure accountability of European financial resources.</w:t>
      </w:r>
    </w:p>
    <w:p>
      <w:pPr>
        <w:spacing w:after="0" w:line="240" w:lineRule="auto"/>
        <w:jc w:val="both"/>
        <w:rPr>
          <w:rFonts w:ascii="Times New Roman" w:eastAsia="Times New Roman" w:hAnsi="Times New Roman" w:cs="Times New Roman"/>
          <w:noProof/>
          <w:color w:val="000000" w:themeColor="text1"/>
          <w:sz w:val="24"/>
          <w:szCs w:val="24"/>
          <w:lang w:eastAsia="ro-RO"/>
        </w:rPr>
      </w:pPr>
      <w:r>
        <w:rPr>
          <w:rFonts w:ascii="Times New Roman" w:hAnsi="Times New Roman" w:cs="Times New Roman"/>
          <w:noProof/>
          <w:color w:val="000000" w:themeColor="text1"/>
          <w:sz w:val="24"/>
          <w:szCs w:val="24"/>
          <w:lang w:eastAsia="nl-BE"/>
        </w:rPr>
        <w:t xml:space="preserve">According to beneficiaries, </w:t>
      </w:r>
      <w:r>
        <w:rPr>
          <w:rFonts w:ascii="Times New Roman" w:hAnsi="Times New Roman" w:cs="Times New Roman"/>
          <w:noProof/>
          <w:color w:val="000000" w:themeColor="text1"/>
          <w:sz w:val="24"/>
          <w:szCs w:val="24"/>
        </w:rPr>
        <w:t>the duration of projects financed by the Programme could be extended, especially with regards to action grants. In particular, an extension to three years was considered ideal, as it would be a timeframe that is aligned with the average duration of scientific partnerships between higher education institutions. Moreover, beneficiaries mentioned that also operating grants could be extended to cover at least two years (instead of one) in order to reduce the administrative burden, in terms of application and reporting. However, the annual operating grants allow the Commission to have oversight of the activities of the funded organisations and allow for more flexibility to adapt the work of beneficiaries to the emerging needs in their respective fields of expertise.</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w:t>
      </w:r>
      <w:r>
        <w:rPr>
          <w:rFonts w:ascii="Times New Roman" w:hAnsi="Times New Roman" w:cs="Times New Roman"/>
          <w:noProof/>
          <w:color w:val="000000" w:themeColor="text1"/>
          <w:sz w:val="24"/>
          <w:szCs w:val="24"/>
        </w:rPr>
        <w:t xml:space="preserve">nother </w:t>
      </w:r>
      <w:r>
        <w:rPr>
          <w:rFonts w:ascii="Times New Roman" w:hAnsi="Times New Roman" w:cs="Times New Roman"/>
          <w:noProof/>
          <w:color w:val="000000" w:themeColor="text1"/>
          <w:sz w:val="24"/>
          <w:szCs w:val="24"/>
          <w:lang w:val="en-US"/>
        </w:rPr>
        <w:t xml:space="preserve">key issue, according to </w:t>
      </w:r>
      <w:r>
        <w:rPr>
          <w:rFonts w:ascii="Times New Roman" w:eastAsia="Calibri" w:hAnsi="Times New Roman" w:cs="Times New Roman"/>
          <w:noProof/>
          <w:color w:val="000000" w:themeColor="text1"/>
          <w:sz w:val="24"/>
          <w:szCs w:val="24"/>
        </w:rPr>
        <w:t>small civil society organisations</w:t>
      </w:r>
      <w:r>
        <w:rPr>
          <w:rFonts w:ascii="Times New Roman" w:hAnsi="Times New Roman" w:cs="Times New Roman"/>
          <w:noProof/>
          <w:color w:val="000000" w:themeColor="text1"/>
          <w:sz w:val="24"/>
          <w:szCs w:val="24"/>
          <w:lang w:val="en-US"/>
        </w:rPr>
        <w:t xml:space="preserve">, is the difficulty to find </w:t>
      </w:r>
      <w:r>
        <w:rPr>
          <w:rFonts w:ascii="Times New Roman" w:eastAsia="Calibri" w:hAnsi="Times New Roman" w:cs="Times New Roman"/>
          <w:noProof/>
          <w:color w:val="000000" w:themeColor="text1"/>
          <w:sz w:val="24"/>
          <w:szCs w:val="24"/>
        </w:rPr>
        <w:t>the co-financing amounts required; therefore, small non-governmental organisations could be more supported by the Justice Programme</w:t>
      </w:r>
      <w:r>
        <w:rPr>
          <w:rFonts w:ascii="Times New Roman" w:eastAsia="Calibri" w:hAnsi="Times New Roman" w:cs="Times New Roman"/>
          <w:noProof/>
          <w:color w:val="000000" w:themeColor="text1"/>
          <w:sz w:val="24"/>
          <w:szCs w:val="24"/>
          <w:vertAlign w:val="superscript"/>
        </w:rPr>
        <w:footnoteReference w:id="20"/>
      </w:r>
      <w:r>
        <w:rPr>
          <w:rFonts w:ascii="Times New Roman" w:eastAsia="Calibri" w:hAnsi="Times New Roman" w:cs="Times New Roman"/>
          <w:noProof/>
          <w:color w:val="000000" w:themeColor="text1"/>
          <w:sz w:val="24"/>
          <w:szCs w:val="24"/>
        </w:rPr>
        <w:t xml:space="preserve">. </w:t>
      </w:r>
    </w:p>
    <w:p>
      <w:pPr>
        <w:spacing w:after="0" w:line="240" w:lineRule="auto"/>
        <w:jc w:val="both"/>
        <w:rPr>
          <w:rFonts w:ascii="Times New Roman" w:eastAsia="Times New Roman" w:hAnsi="Times New Roman" w:cs="Times New Roman"/>
          <w:noProof/>
          <w:color w:val="000000" w:themeColor="text1"/>
          <w:sz w:val="24"/>
          <w:szCs w:val="24"/>
          <w:lang w:eastAsia="ro-RO"/>
        </w:rPr>
      </w:pPr>
      <w:r>
        <w:rPr>
          <w:rFonts w:ascii="Times New Roman" w:hAnsi="Times New Roman" w:cs="Times New Roman"/>
          <w:noProof/>
          <w:color w:val="000000" w:themeColor="text1"/>
          <w:sz w:val="24"/>
          <w:szCs w:val="24"/>
        </w:rPr>
        <w:t xml:space="preserve">Even if, at first, the rollout of the new Participant Portal created some difficulties, currently stakeholders consider the submission of proposals via the Participant Portal an improvement, </w:t>
      </w:r>
      <w:r>
        <w:rPr>
          <w:rFonts w:ascii="Times New Roman" w:hAnsi="Times New Roman" w:cs="Times New Roman"/>
          <w:noProof/>
          <w:color w:val="000000" w:themeColor="text1"/>
          <w:sz w:val="24"/>
          <w:szCs w:val="24"/>
        </w:rPr>
        <w:lastRenderedPageBreak/>
        <w:t>compared to the previous IT system</w:t>
      </w:r>
      <w:r>
        <w:rPr>
          <w:rFonts w:ascii="Times New Roman" w:eastAsia="Times New Roman" w:hAnsi="Times New Roman" w:cs="Times New Roman"/>
          <w:noProof/>
          <w:color w:val="000000" w:themeColor="text1"/>
          <w:sz w:val="24"/>
          <w:szCs w:val="24"/>
          <w:lang w:eastAsia="ro-RO"/>
        </w:rPr>
        <w:t xml:space="preserve">, since the number of documents required for the eligibility check has decreased and, therefore, also the related administrative burden. In addition, once registered, these documents will not be required any more, only in case of changes. However, since the Participant Portal has been designed with research institutions and voluminous grants in mind, in its current form, the Portal appears ill-adapted to typical Justice Programme applicants. There is, therefore, scope for some improvements in this regard. </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Finally, monitoring requirements and indicators, both at Programme and project level, could be simplified and streamlined.</w:t>
      </w:r>
    </w:p>
    <w:p>
      <w:pPr>
        <w:pStyle w:val="BulletBody"/>
        <w:numPr>
          <w:ilvl w:val="0"/>
          <w:numId w:val="0"/>
        </w:numPr>
        <w:spacing w:before="0" w:after="0"/>
        <w:rPr>
          <w:rFonts w:ascii="Times New Roman" w:hAnsi="Times New Roman" w:cs="Times New Roman"/>
          <w:noProof/>
          <w:sz w:val="24"/>
          <w:szCs w:val="24"/>
        </w:rPr>
      </w:pPr>
    </w:p>
    <w:p>
      <w:pPr>
        <w:pStyle w:val="ListParagraph"/>
        <w:keepNext/>
        <w:numPr>
          <w:ilvl w:val="0"/>
          <w:numId w:val="9"/>
        </w:numPr>
        <w:tabs>
          <w:tab w:val="left" w:pos="850"/>
        </w:tabs>
        <w:spacing w:after="120" w:line="240" w:lineRule="auto"/>
        <w:contextualSpacing w:val="0"/>
        <w:jc w:val="both"/>
        <w:outlineLvl w:val="0"/>
        <w:rPr>
          <w:rStyle w:val="Heading1Char"/>
          <w:rFonts w:ascii="Times New Roman" w:hAnsi="Times New Roman" w:cs="Times New Roman"/>
          <w:smallCaps/>
          <w:noProof/>
          <w:color w:val="auto"/>
          <w:sz w:val="24"/>
          <w:szCs w:val="24"/>
        </w:rPr>
      </w:pPr>
      <w:bookmarkStart w:id="7" w:name="3"/>
      <w:bookmarkEnd w:id="7"/>
      <w:r>
        <w:rPr>
          <w:rStyle w:val="Heading1Char"/>
          <w:rFonts w:ascii="Times New Roman" w:hAnsi="Times New Roman" w:cs="Times New Roman"/>
          <w:smallCaps/>
          <w:noProof/>
          <w:color w:val="auto"/>
          <w:sz w:val="24"/>
          <w:szCs w:val="24"/>
        </w:rPr>
        <w:t>Conclusions and way forward</w:t>
      </w:r>
    </w:p>
    <w:p>
      <w:pPr>
        <w:pStyle w:val="ListParagraph"/>
        <w:keepNext/>
        <w:tabs>
          <w:tab w:val="left" w:pos="850"/>
        </w:tabs>
        <w:spacing w:after="120" w:line="240" w:lineRule="auto"/>
        <w:ind w:left="360"/>
        <w:contextualSpacing w:val="0"/>
        <w:jc w:val="both"/>
        <w:outlineLvl w:val="0"/>
        <w:rPr>
          <w:rStyle w:val="Heading1Char"/>
          <w:rFonts w:ascii="Times New Roman" w:hAnsi="Times New Roman" w:cs="Times New Roman"/>
          <w:smallCaps/>
          <w:noProof/>
          <w:color w:val="auto"/>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crucial role played by the Justice Programme</w:t>
      </w:r>
      <w:r>
        <w:rPr>
          <w:rFonts w:ascii="Times New Roman" w:hAnsi="Times New Roman" w:cs="Times New Roman"/>
          <w:noProof/>
          <w:sz w:val="24"/>
          <w:szCs w:val="24"/>
        </w:rPr>
        <w:t xml:space="preserve"> in the development of a European area of justice based on mutual recognition and mutual trust was especially important at the start of the Programme itself, where the effects of the economic crisis could still be felt in many Member States.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on the interim evaluation of the 2014-2020 Justice Programme confirms the relevance of the Programme in </w:t>
      </w:r>
      <w:r>
        <w:rPr>
          <w:rFonts w:ascii="Times New Roman" w:eastAsia="Times New Roman" w:hAnsi="Times New Roman" w:cs="Times New Roman"/>
          <w:noProof/>
          <w:sz w:val="24"/>
          <w:szCs w:val="20"/>
        </w:rPr>
        <w:t xml:space="preserve">contributing to </w:t>
      </w:r>
      <w:r>
        <w:rPr>
          <w:rFonts w:ascii="Times New Roman" w:eastAsia="Times New Roman" w:hAnsi="Times New Roman" w:cs="Times New Roman"/>
          <w:noProof/>
          <w:sz w:val="24"/>
          <w:szCs w:val="24"/>
        </w:rPr>
        <w:t xml:space="preserve">upholding EU values (such as the rule of law, the independence of the judiciary and the effectiveness of the justice) and in </w:t>
      </w:r>
      <w:r>
        <w:rPr>
          <w:rFonts w:ascii="Times New Roman" w:hAnsi="Times New Roman" w:cs="Times New Roman"/>
          <w:noProof/>
          <w:sz w:val="24"/>
          <w:szCs w:val="24"/>
        </w:rPr>
        <w:t>supporting Member States to achieve more effective justice systems</w:t>
      </w:r>
      <w:r>
        <w:rPr>
          <w:rFonts w:ascii="Times New Roman" w:eastAsia="Times New Roman" w:hAnsi="Times New Roman" w:cs="Times New Roman"/>
          <w:noProof/>
          <w:sz w:val="24"/>
          <w:szCs w:val="24"/>
        </w:rPr>
        <w:t xml:space="preserve">. Since its very beginning, the Programme has shown its potential in </w:t>
      </w:r>
      <w:r>
        <w:rPr>
          <w:rFonts w:ascii="Times New Roman" w:eastAsia="Calibri" w:hAnsi="Times New Roman" w:cs="Times New Roman"/>
          <w:noProof/>
          <w:color w:val="000000"/>
          <w:sz w:val="24"/>
          <w:szCs w:val="24"/>
          <w:u w:color="000000"/>
          <w:bdr w:val="nil"/>
          <w:lang w:eastAsia="en-GB"/>
        </w:rPr>
        <w:t>fostering the acquisition of durable legal knowledge and competencies in the Member States</w:t>
      </w:r>
      <w:r>
        <w:rPr>
          <w:rFonts w:ascii="Times New Roman" w:eastAsia="Times New Roman" w:hAnsi="Times New Roman" w:cs="Times New Roman"/>
          <w:noProof/>
          <w:sz w:val="24"/>
          <w:szCs w:val="24"/>
        </w:rPr>
        <w:t xml:space="preserve">. </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The Programme’s current structure appears to be adequate and sufficiently flexible to achieve its general and specific objectives</w:t>
      </w:r>
      <w:r>
        <w:rPr>
          <w:rFonts w:ascii="Times New Roman" w:hAnsi="Times New Roman" w:cs="Times New Roman"/>
          <w:noProof/>
          <w:color w:val="000000"/>
          <w:sz w:val="24"/>
          <w:szCs w:val="24"/>
        </w:rPr>
        <w:t xml:space="preserve">. In these years it </w:t>
      </w:r>
      <w:r>
        <w:rPr>
          <w:rFonts w:ascii="Times New Roman" w:hAnsi="Times New Roman" w:cs="Times New Roman"/>
          <w:noProof/>
          <w:sz w:val="24"/>
          <w:szCs w:val="24"/>
        </w:rPr>
        <w:t>has demonstrated its high EU added value both in its positive impact on participants and target groups and in its role as a complement to other EU funding instruments and policy initiatives.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framework of the preparation of the future EU budget and funding programmes, the Commission based on the findings of the mid-term evaluation will address all aspects that have been identified for improvement, in particular the increase of the Programme's basin</w:t>
      </w:r>
      <w:r>
        <w:rPr>
          <w:rFonts w:ascii="Times New Roman" w:eastAsia="Times New Roman" w:hAnsi="Times New Roman" w:cs="Times New Roman"/>
          <w:noProof/>
          <w:sz w:val="24"/>
          <w:szCs w:val="24"/>
        </w:rPr>
        <w:t xml:space="preserve"> of potential recipients of the actions</w:t>
      </w:r>
      <w:r>
        <w:rPr>
          <w:rFonts w:ascii="Times New Roman" w:hAnsi="Times New Roman" w:cs="Times New Roman"/>
          <w:noProof/>
          <w:sz w:val="24"/>
          <w:szCs w:val="24"/>
        </w:rPr>
        <w:t>, the revision of the monitoring indicators, the achievement of a more geographic balance among the beneficiaries and the strengthening of synergies with other relevant EU funding programmes and initiatives.</w:t>
      </w: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3138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7909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OJ C 115, 4.5.2010, p. 1.</w:t>
      </w:r>
    </w:p>
  </w:footnote>
  <w:footnote w:id="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Style w:val="Strong"/>
          <w:rFonts w:ascii="Times New Roman" w:hAnsi="Times New Roman" w:cs="Times New Roman"/>
          <w:b w:val="0"/>
          <w:sz w:val="16"/>
          <w:szCs w:val="16"/>
          <w:lang w:val="en"/>
        </w:rPr>
        <w:t>Regulation (EU) No 1382/2013 of the European Parliament and of the Council of 17 December 2013 establishing a Justice Programme for the period 2014 to 2020</w:t>
      </w:r>
      <w:r>
        <w:rPr>
          <w:rStyle w:val="Strong"/>
          <w:rFonts w:ascii="Times New Roman" w:hAnsi="Times New Roman" w:cs="Times New Roman"/>
          <w:sz w:val="16"/>
          <w:szCs w:val="16"/>
          <w:lang w:val="en"/>
        </w:rPr>
        <w:t xml:space="preserve"> </w:t>
      </w:r>
      <w:r>
        <w:rPr>
          <w:rFonts w:ascii="Times New Roman" w:hAnsi="Times New Roman" w:cs="Times New Roman"/>
          <w:sz w:val="16"/>
          <w:szCs w:val="16"/>
        </w:rPr>
        <w:t>(</w:t>
      </w:r>
      <w:r>
        <w:rPr>
          <w:rFonts w:ascii="Times New Roman" w:hAnsi="Times New Roman" w:cs="Times New Roman"/>
          <w:iCs/>
          <w:sz w:val="16"/>
          <w:szCs w:val="16"/>
          <w:lang w:val="en"/>
        </w:rPr>
        <w:t xml:space="preserve">OJ L 354 </w:t>
      </w:r>
      <w:r>
        <w:rPr>
          <w:rFonts w:ascii="Times New Roman" w:hAnsi="Times New Roman" w:cs="Times New Roman"/>
          <w:sz w:val="16"/>
          <w:szCs w:val="16"/>
        </w:rPr>
        <w:t xml:space="preserve">of </w:t>
      </w:r>
      <w:r>
        <w:rPr>
          <w:rFonts w:ascii="Times New Roman" w:hAnsi="Times New Roman" w:cs="Times New Roman"/>
          <w:iCs/>
          <w:sz w:val="16"/>
          <w:szCs w:val="16"/>
          <w:lang w:val="en"/>
        </w:rPr>
        <w:t>28.12.2013).</w:t>
      </w:r>
    </w:p>
  </w:footnote>
  <w:footnote w:id="3">
    <w:p>
      <w:pPr>
        <w:pStyle w:val="FootnoteText"/>
        <w:jc w:val="both"/>
        <w:rPr>
          <w:rFonts w:ascii="Times New Roman" w:eastAsia="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Times New Roman" w:hAnsi="Times New Roman" w:cs="Times New Roman"/>
          <w:sz w:val="16"/>
          <w:szCs w:val="16"/>
        </w:rPr>
        <w:t xml:space="preserve">Interim evaluation of the Justice Programme 2014-2020, </w:t>
      </w:r>
      <w:r>
        <w:rPr>
          <w:rFonts w:ascii="Times New Roman" w:eastAsia="Times New Roman" w:hAnsi="Times New Roman" w:cs="Times New Roman"/>
          <w:color w:val="000000"/>
          <w:sz w:val="16"/>
          <w:szCs w:val="16"/>
          <w:lang w:eastAsia="it-IT"/>
        </w:rPr>
        <w:t>Ernst &amp; Young Financial-Business Advisors</w:t>
      </w:r>
      <w:r>
        <w:rPr>
          <w:rFonts w:ascii="Times New Roman" w:eastAsia="Times New Roman" w:hAnsi="Times New Roman" w:cs="Times New Roman"/>
          <w:sz w:val="16"/>
          <w:szCs w:val="16"/>
        </w:rPr>
        <w:t>, Final Report, April 2018.</w:t>
      </w:r>
    </w:p>
  </w:footnote>
  <w:footnote w:id="4">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Commission staff working document accompanying the report on the interim evaluation of the implementation of the Justice programme 2014-2020.</w:t>
      </w:r>
    </w:p>
  </w:footnote>
  <w:footnote w:id="5">
    <w:p>
      <w:pPr>
        <w:pStyle w:val="FootnoteText"/>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For more info, see </w:t>
      </w:r>
      <w:hyperlink r:id="rId1" w:history="1">
        <w:r>
          <w:rPr>
            <w:rStyle w:val="Hyperlink"/>
            <w:rFonts w:ascii="Times New Roman" w:hAnsi="Times New Roman" w:cs="Times New Roman"/>
            <w:sz w:val="16"/>
            <w:szCs w:val="16"/>
          </w:rPr>
          <w:t>https://ec.europa.eu/home-affairs/financing/fundings/security-and-safeguarding-liberties/internal-security-fund-police_en</w:t>
        </w:r>
      </w:hyperlink>
      <w:r>
        <w:rPr>
          <w:rFonts w:ascii="Times New Roman" w:hAnsi="Times New Roman" w:cs="Times New Roman"/>
          <w:sz w:val="16"/>
          <w:szCs w:val="16"/>
        </w:rPr>
        <w:t xml:space="preserve"> and </w:t>
      </w:r>
      <w:hyperlink r:id="rId2" w:history="1">
        <w:r>
          <w:rPr>
            <w:rStyle w:val="Hyperlink"/>
            <w:rFonts w:ascii="Times New Roman" w:hAnsi="Times New Roman" w:cs="Times New Roman"/>
            <w:sz w:val="16"/>
            <w:szCs w:val="16"/>
          </w:rPr>
          <w:t>https://ec.europa.eu/health/funding/programme/2014-2020_en</w:t>
        </w:r>
      </w:hyperlink>
      <w:r>
        <w:rPr>
          <w:rFonts w:ascii="Times New Roman" w:hAnsi="Times New Roman" w:cs="Times New Roman"/>
          <w:sz w:val="16"/>
          <w:szCs w:val="16"/>
        </w:rPr>
        <w:t>.</w:t>
      </w:r>
    </w:p>
  </w:footnote>
  <w:footnote w:id="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w:t>
      </w:r>
      <w:hyperlink r:id="rId3" w:history="1">
        <w:r>
          <w:rPr>
            <w:rFonts w:ascii="Times New Roman" w:hAnsi="Times New Roman" w:cs="Times New Roman"/>
            <w:sz w:val="16"/>
            <w:szCs w:val="16"/>
          </w:rPr>
          <w:t>Participant Portal</w:t>
        </w:r>
      </w:hyperlink>
      <w:r>
        <w:rPr>
          <w:rFonts w:ascii="Times New Roman" w:hAnsi="Times New Roman" w:cs="Times New Roman"/>
          <w:sz w:val="16"/>
          <w:szCs w:val="16"/>
        </w:rPr>
        <w:t xml:space="preserve"> is an electronic platform used to manage the applications received for calls published in the framework of the Justice Programme.</w:t>
      </w:r>
    </w:p>
  </w:footnote>
  <w:footnote w:id="7">
    <w:p>
      <w:pPr>
        <w:spacing w:after="0" w:line="240" w:lineRule="auto"/>
        <w:jc w:val="both"/>
        <w:rPr>
          <w:rFonts w:ascii="Times New Roman" w:eastAsia="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To see the list of all projects financed under the Programme and examples of successful projects, see the following links: </w:t>
      </w:r>
      <w:hyperlink r:id="rId4" w:history="1">
        <w:r>
          <w:rPr>
            <w:rStyle w:val="Hyperlink"/>
            <w:rFonts w:ascii="Times New Roman" w:eastAsia="Times New Roman" w:hAnsi="Times New Roman" w:cs="Times New Roman"/>
            <w:sz w:val="16"/>
            <w:szCs w:val="16"/>
          </w:rPr>
          <w:t>http://ec.europa.eu/justice/grants1/closed-calls/index_en.htm</w:t>
        </w:r>
      </w:hyperlink>
      <w:r>
        <w:rPr>
          <w:rFonts w:ascii="Times New Roman" w:eastAsia="Times New Roman" w:hAnsi="Times New Roman" w:cs="Times New Roman"/>
          <w:sz w:val="16"/>
          <w:szCs w:val="16"/>
        </w:rPr>
        <w:t xml:space="preserve"> (then select "Results: closed calls" </w:t>
      </w:r>
      <w:r>
        <w:rPr>
          <w:rFonts w:ascii="Times New Roman" w:eastAsia="Times New Roman" w:hAnsi="Times New Roman" w:cs="Times New Roman"/>
          <w:sz w:val="16"/>
          <w:szCs w:val="16"/>
        </w:rPr>
        <w:sym w:font="Wingdings" w:char="F0E0"/>
      </w:r>
      <w:r>
        <w:rPr>
          <w:rFonts w:ascii="Times New Roman" w:eastAsia="Times New Roman" w:hAnsi="Times New Roman" w:cs="Times New Roman"/>
          <w:sz w:val="16"/>
          <w:szCs w:val="16"/>
        </w:rPr>
        <w:t xml:space="preserve"> "selected projects" </w:t>
      </w:r>
      <w:r>
        <w:rPr>
          <w:rFonts w:ascii="Times New Roman" w:eastAsia="Times New Roman" w:hAnsi="Times New Roman" w:cs="Times New Roman"/>
          <w:sz w:val="16"/>
          <w:szCs w:val="16"/>
        </w:rPr>
        <w:sym w:font="Wingdings" w:char="F0E0"/>
      </w:r>
      <w:r>
        <w:rPr>
          <w:rFonts w:ascii="Times New Roman" w:eastAsia="Times New Roman" w:hAnsi="Times New Roman" w:cs="Times New Roman"/>
          <w:sz w:val="16"/>
          <w:szCs w:val="16"/>
        </w:rPr>
        <w:t xml:space="preserve"> "award decisions" and "summaries") </w:t>
      </w:r>
      <w:r>
        <w:rPr>
          <w:rFonts w:ascii="Times New Roman" w:hAnsi="Times New Roman" w:cs="Times New Roman"/>
          <w:sz w:val="16"/>
          <w:szCs w:val="16"/>
        </w:rPr>
        <w:t xml:space="preserve">and </w:t>
      </w:r>
      <w:hyperlink r:id="rId5" w:history="1">
        <w:r>
          <w:rPr>
            <w:rStyle w:val="Hyperlink"/>
            <w:rFonts w:ascii="Times New Roman" w:hAnsi="Times New Roman" w:cs="Times New Roman"/>
            <w:sz w:val="16"/>
            <w:szCs w:val="16"/>
          </w:rPr>
          <w:t>https://ec.europa.eu/research/participants/portal/desktop/en/opportunities/index.html</w:t>
        </w:r>
      </w:hyperlink>
      <w:r>
        <w:rPr>
          <w:rFonts w:ascii="Times New Roman" w:hAnsi="Times New Roman" w:cs="Times New Roman"/>
          <w:sz w:val="16"/>
          <w:szCs w:val="16"/>
        </w:rPr>
        <w:t xml:space="preserve"> (then select "Justice Programme").  Moreover, see the Annex 4 of the Interim report (ibid) to see 4 case studies of projects connected to each specific objective of the Justice Programme.</w:t>
      </w:r>
    </w:p>
  </w:footnote>
  <w:footnote w:id="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European Criminal Records Information System is a database</w:t>
      </w:r>
      <w:r>
        <w:rPr>
          <w:rFonts w:ascii="Times New Roman" w:hAnsi="Times New Roman" w:cs="Times New Roman"/>
          <w:sz w:val="16"/>
          <w:szCs w:val="16"/>
          <w:lang w:val="en"/>
        </w:rPr>
        <w:t xml:space="preserve"> established to improve the exchange of information on criminal records throughout the EU. All EU Member States are currently connected to this system.</w:t>
      </w:r>
    </w:p>
  </w:footnote>
  <w:footnote w:id="9">
    <w:p>
      <w:pPr>
        <w:pStyle w:val="FootnoteText"/>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e-Justice Portal provides information on justice systems and improves and facilitates the access to justice throughout the EU, in 23 languages. More info available at the following link: </w:t>
      </w:r>
      <w:hyperlink r:id="rId6" w:history="1">
        <w:r>
          <w:rPr>
            <w:rStyle w:val="Hyperlink"/>
            <w:rFonts w:ascii="Times New Roman" w:hAnsi="Times New Roman" w:cs="Times New Roman"/>
            <w:sz w:val="16"/>
            <w:szCs w:val="16"/>
          </w:rPr>
          <w:t>https://e-justice.europa.eu/home</w:t>
        </w:r>
      </w:hyperlink>
      <w:r>
        <w:rPr>
          <w:rFonts w:ascii="Times New Roman" w:hAnsi="Times New Roman" w:cs="Times New Roman"/>
          <w:sz w:val="16"/>
          <w:szCs w:val="16"/>
        </w:rPr>
        <w:t>.</w:t>
      </w:r>
    </w:p>
  </w:footnote>
  <w:footnote w:id="1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sz w:val="16"/>
          <w:szCs w:val="16"/>
        </w:rPr>
        <w:t>Effectiveness</w:t>
      </w:r>
      <w:r>
        <w:rPr>
          <w:rFonts w:ascii="Times New Roman" w:hAnsi="Times New Roman" w:cs="Times New Roman"/>
          <w:sz w:val="16"/>
          <w:szCs w:val="16"/>
        </w:rPr>
        <w:t>: whether and to what extent the Justice Programme has achieved its general objective, as well as its four specific objectives, and which are the factors that have contributed to these achievements.</w:t>
      </w:r>
    </w:p>
  </w:footnote>
  <w:footnote w:id="11">
    <w:p>
      <w:pPr>
        <w:pStyle w:val="FootnoteText"/>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sz w:val="16"/>
          <w:szCs w:val="16"/>
        </w:rPr>
        <w:t>Efficiency</w:t>
      </w:r>
      <w:r>
        <w:rPr>
          <w:rFonts w:ascii="Times New Roman" w:hAnsi="Times New Roman" w:cs="Times New Roman"/>
          <w:sz w:val="16"/>
          <w:szCs w:val="16"/>
        </w:rPr>
        <w:t>: whether and to what extent the costs of the Programme were proportionate given the benefits achieved and which parameters/factors participated in these results.</w:t>
      </w:r>
    </w:p>
  </w:footnote>
  <w:footnote w:id="1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sz w:val="16"/>
          <w:szCs w:val="16"/>
        </w:rPr>
        <w:t>Relevance</w:t>
      </w:r>
      <w:r>
        <w:rPr>
          <w:rFonts w:ascii="Times New Roman" w:hAnsi="Times New Roman" w:cs="Times New Roman"/>
          <w:sz w:val="16"/>
          <w:szCs w:val="16"/>
        </w:rPr>
        <w:t>: whether and to what extent the Justice Programme addresses needs and problems of the target groups identified in the 2011 Impact Assessment and in the legal basis of the Programme (as well as emergent needs related to the creation of a European Area of Justice)</w:t>
      </w:r>
      <w:r>
        <w:rPr>
          <w:rFonts w:ascii="Times New Roman" w:hAnsi="Times New Roman" w:cs="Times New Roman"/>
          <w:sz w:val="16"/>
          <w:szCs w:val="16"/>
          <w:lang w:eastAsia="en-GB"/>
        </w:rPr>
        <w:t xml:space="preserve"> </w:t>
      </w:r>
      <w:r>
        <w:rPr>
          <w:rFonts w:ascii="Times New Roman" w:hAnsi="Times New Roman" w:cs="Times New Roman"/>
          <w:sz w:val="16"/>
          <w:szCs w:val="16"/>
        </w:rPr>
        <w:t>and whether its objectives are still relevant for the needs and problems of the beneficiaries.</w:t>
      </w:r>
    </w:p>
  </w:footnote>
  <w:footnote w:id="13">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sz w:val="16"/>
          <w:szCs w:val="16"/>
        </w:rPr>
        <w:t>Coherence/Complementarity/Synergies</w:t>
      </w:r>
      <w:r>
        <w:rPr>
          <w:rFonts w:ascii="Times New Roman" w:hAnsi="Times New Roman" w:cs="Times New Roman"/>
          <w:sz w:val="16"/>
          <w:szCs w:val="16"/>
        </w:rPr>
        <w:t>: whether and to what extent the Programme is coherent with other interventions at the EU and international level, such as with</w:t>
      </w:r>
      <w:r>
        <w:rPr>
          <w:rFonts w:ascii="Times New Roman" w:hAnsi="Times New Roman" w:cs="Times New Roman"/>
          <w:b/>
          <w:sz w:val="16"/>
          <w:szCs w:val="16"/>
        </w:rPr>
        <w:t xml:space="preserve"> </w:t>
      </w:r>
      <w:r>
        <w:rPr>
          <w:rFonts w:ascii="Times New Roman" w:hAnsi="Times New Roman" w:cs="Times New Roman"/>
          <w:sz w:val="16"/>
          <w:szCs w:val="16"/>
        </w:rPr>
        <w:t>the</w:t>
      </w:r>
      <w:r>
        <w:rPr>
          <w:rFonts w:ascii="Times New Roman" w:hAnsi="Times New Roman" w:cs="Times New Roman"/>
          <w:b/>
          <w:sz w:val="16"/>
          <w:szCs w:val="16"/>
        </w:rPr>
        <w:t xml:space="preserve"> </w:t>
      </w:r>
      <w:r>
        <w:rPr>
          <w:rFonts w:ascii="Times New Roman" w:hAnsi="Times New Roman" w:cs="Times New Roman"/>
          <w:sz w:val="16"/>
          <w:szCs w:val="16"/>
        </w:rPr>
        <w:t>predecessor EU programmes in the field, with activities supported by other Union instruments and, in general, with the European priorities in the fields covered by the Programme.</w:t>
      </w:r>
    </w:p>
  </w:footnote>
  <w:footnote w:id="14">
    <w:p>
      <w:pPr>
        <w:pStyle w:val="FootnoteText"/>
        <w:jc w:val="both"/>
        <w:rPr>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objectives and addressed areas of the European Agenda for Justice for 2020 are very much in line with the Justice Programme, especially in the area of judicial cooperation, even if the Agenda prioritises areas such as terrorism and cybercrime that are less present under the Justice Programme.</w:t>
      </w:r>
    </w:p>
  </w:footnote>
  <w:footnote w:id="15">
    <w:p>
      <w:pPr>
        <w:spacing w:after="120" w:line="240" w:lineRule="auto"/>
        <w:jc w:val="both"/>
        <w:rPr>
          <w:rFonts w:ascii="Times New Roman" w:hAnsi="Times New Roman" w:cs="Times New Roman"/>
          <w:b/>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sz w:val="16"/>
          <w:szCs w:val="16"/>
        </w:rPr>
        <w:t>EU added-value</w:t>
      </w:r>
      <w:r>
        <w:rPr>
          <w:rFonts w:ascii="Times New Roman" w:hAnsi="Times New Roman" w:cs="Times New Roman"/>
          <w:sz w:val="16"/>
          <w:szCs w:val="16"/>
        </w:rPr>
        <w:t>: to what extent the effects from the EU action are additional to the value that would have resulted from action at the national level only.</w:t>
      </w:r>
    </w:p>
  </w:footnote>
  <w:footnote w:id="16">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Civil Justice Programme, the Criminal Justice Programme and the Drug Prevention and Information Programme awarded 806 projects over seven years (2007-2013). The Justice Programme awarded 418 just in the three-year period 2014-2016.</w:t>
      </w:r>
    </w:p>
  </w:footnote>
  <w:footnote w:id="1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sz w:val="16"/>
          <w:szCs w:val="16"/>
        </w:rPr>
        <w:t xml:space="preserve">Equity: </w:t>
      </w:r>
      <w:r>
        <w:rPr>
          <w:rFonts w:ascii="Times New Roman" w:hAnsi="Times New Roman" w:cs="Times New Roman"/>
          <w:sz w:val="16"/>
          <w:szCs w:val="16"/>
        </w:rPr>
        <w:t>whether and to what extent the Justice Programme has distributed the available resources fairly among beneficiaries in different Member States, took into consideration the needs of target groups, promoted gender mainstreaming, the rights of the child and the rights of people with disabilities.</w:t>
      </w:r>
    </w:p>
  </w:footnote>
  <w:footnote w:id="1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Project “Enhancing Procedural Rights of Persons with Intellectual and/or Psychiatric Impairments in Criminal Proceedings: Exploring the Need for Actions”.</w:t>
      </w:r>
    </w:p>
  </w:footnote>
  <w:footnote w:id="1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sz w:val="16"/>
          <w:szCs w:val="16"/>
        </w:rPr>
        <w:t>Scope for simplification</w:t>
      </w:r>
      <w:r>
        <w:rPr>
          <w:rFonts w:ascii="Times New Roman" w:hAnsi="Times New Roman" w:cs="Times New Roman"/>
          <w:sz w:val="16"/>
          <w:szCs w:val="16"/>
        </w:rPr>
        <w:t>: whether and to what extent the management of the Justice Programme could be further simplified.</w:t>
      </w:r>
    </w:p>
  </w:footnote>
  <w:footnote w:id="20">
    <w:p>
      <w:pPr>
        <w:pStyle w:val="FootnoteText"/>
        <w:jc w:val="both"/>
        <w:rPr>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Calibri" w:hAnsi="Times New Roman" w:cs="Times New Roman"/>
          <w:sz w:val="16"/>
          <w:szCs w:val="16"/>
        </w:rPr>
        <w:t>It is to be noticed that the average amount of grants has been increased to the current level following the ex-post evaluation of the predecessor programmes that, as already said above, found that t</w:t>
      </w:r>
      <w:r>
        <w:rPr>
          <w:rFonts w:ascii="Times New Roman" w:hAnsi="Times New Roman" w:cs="Times New Roman"/>
          <w:sz w:val="16"/>
          <w:szCs w:val="16"/>
        </w:rPr>
        <w:t xml:space="preserve">he </w:t>
      </w:r>
      <w:r>
        <w:rPr>
          <w:rFonts w:ascii="Times New Roman" w:hAnsi="Times New Roman" w:cs="Times New Roman"/>
          <w:bCs/>
          <w:sz w:val="16"/>
          <w:szCs w:val="16"/>
        </w:rPr>
        <w:t>dilution of funds</w:t>
      </w:r>
      <w:r>
        <w:rPr>
          <w:rFonts w:ascii="Times New Roman" w:hAnsi="Times New Roman" w:cs="Times New Roman"/>
          <w:sz w:val="16"/>
          <w:szCs w:val="16"/>
        </w:rPr>
        <w:t xml:space="preserve"> amongst many small-scale projects had had limited impact and EU dimension.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8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066B64"/>
    <w:multiLevelType w:val="hybridMultilevel"/>
    <w:tmpl w:val="A640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551B83"/>
    <w:multiLevelType w:val="hybridMultilevel"/>
    <w:tmpl w:val="1E24D6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22EC6F0C"/>
    <w:multiLevelType w:val="hybridMultilevel"/>
    <w:tmpl w:val="FA02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127B42"/>
    <w:multiLevelType w:val="hybridMultilevel"/>
    <w:tmpl w:val="BEE2607E"/>
    <w:lvl w:ilvl="0" w:tplc="08090001">
      <w:start w:val="1"/>
      <w:numFmt w:val="bullet"/>
      <w:lvlText w:val=""/>
      <w:lvlJc w:val="left"/>
      <w:pPr>
        <w:ind w:left="720" w:hanging="360"/>
      </w:pPr>
      <w:rPr>
        <w:rFonts w:ascii="Symbol" w:hAnsi="Symbol" w:hint="default"/>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2F63A1"/>
    <w:multiLevelType w:val="hybridMultilevel"/>
    <w:tmpl w:val="79BCA0F2"/>
    <w:lvl w:ilvl="0" w:tplc="08090001">
      <w:start w:val="1"/>
      <w:numFmt w:val="bullet"/>
      <w:lvlText w:val=""/>
      <w:lvlJc w:val="left"/>
      <w:pPr>
        <w:ind w:left="720" w:hanging="360"/>
      </w:pPr>
      <w:rPr>
        <w:rFonts w:ascii="Symbol" w:hAnsi="Symbol" w:hint="default"/>
      </w:rPr>
    </w:lvl>
    <w:lvl w:ilvl="1" w:tplc="F174853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4D4D14"/>
    <w:multiLevelType w:val="hybridMultilevel"/>
    <w:tmpl w:val="89701AF0"/>
    <w:lvl w:ilvl="0" w:tplc="BD807D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EFC3408"/>
    <w:multiLevelType w:val="hybridMultilevel"/>
    <w:tmpl w:val="84427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3456954"/>
    <w:multiLevelType w:val="hybridMultilevel"/>
    <w:tmpl w:val="9D88EAD0"/>
    <w:lvl w:ilvl="0" w:tplc="6B6CAE34">
      <w:start w:val="1"/>
      <w:numFmt w:val="bullet"/>
      <w:pStyle w:val="BulletBody"/>
      <w:lvlText w:val=""/>
      <w:lvlJc w:val="left"/>
      <w:pPr>
        <w:ind w:left="720" w:hanging="360"/>
      </w:pPr>
      <w:rPr>
        <w:rFonts w:ascii="Symbol" w:hAnsi="Symbol" w:hint="default"/>
        <w:color w:val="00B0F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B4D0A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3"/>
  </w:num>
  <w:num w:numId="4">
    <w:abstractNumId w:val="2"/>
  </w:num>
  <w:num w:numId="5">
    <w:abstractNumId w:val="6"/>
  </w:num>
  <w:num w:numId="6">
    <w:abstractNumId w:val="7"/>
  </w:num>
  <w:num w:numId="7">
    <w:abstractNumId w:val="8"/>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00C4A57-F360-479A-8EA9-F065817B5EE2"/>
    <w:docVar w:name="LW_COVERPAGE_TYPE" w:val="1"/>
    <w:docVar w:name="LW_CROSSREFERENCE" w:val="{SWD(2018) 356 final}_x000b_{SWD(2018) 357 final}"/>
    <w:docVar w:name="LW_DocType" w:val="NORMAL"/>
    <w:docVar w:name="LW_EMISSION" w:val="29.6.2018"/>
    <w:docVar w:name="LW_EMISSION_ISODATE" w:val="2018-06-29"/>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nterim evaluation of the implementation of the Justice Programme 2014-2020_x000b_"/>
    <w:docVar w:name="LW_TYPE.DOC.CP" w:val="REPORT FROM THE COMMISSION TO THE EUROPEAN PARLIAMENT, THE COUNCIL, THE EUROPEAN ECONOMIC AND SOCIAL COMMITTEE AND THE COMMITTEE OF THE REGIONS"/>
    <w:docVar w:name="Stamp" w:val="\\dossiers.dgt.cec.eu.int\dossiers\HOME\HOME-2017-00958\HOME-2017-00958-00-00-EN-REV-00.201801100929480426427.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Fuß Char"/>
    <w:basedOn w:val="DefaultParagraphFont"/>
    <w:uiPriority w:val="99"/>
    <w:qFormat/>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callout"/>
    <w:link w:val="FootnotesymbolCharCharCharChar"/>
    <w:uiPriority w:val="99"/>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Char"/>
    <w:basedOn w:val="Normal"/>
    <w:next w:val="Normal"/>
    <w:link w:val="CaptionChar"/>
    <w:uiPriority w:val="35"/>
    <w:unhideWhenUsed/>
    <w:qFormat/>
    <w:pPr>
      <w:spacing w:before="120" w:line="240" w:lineRule="auto"/>
      <w:jc w:val="center"/>
    </w:pPr>
    <w:rPr>
      <w:rFonts w:ascii="Calibri" w:eastAsia="Times New Roman" w:hAnsi="Calibri" w:cs="Times New Roman"/>
      <w:i/>
      <w:iCs/>
      <w:color w:val="86BC25"/>
      <w:sz w:val="20"/>
      <w:szCs w:val="18"/>
      <w:lang w:val="en-IE"/>
    </w:rPr>
  </w:style>
  <w:style w:type="character" w:customStyle="1" w:styleId="CaptionChar">
    <w:name w:val="Caption Char"/>
    <w:aliases w:val="Caption PSP Char,Caption - Centre Graphic Char,Char Char Char Char,Caption1 Char Char Char Char Char Char Char Char Char,Caption1 Char Char Char Char Char Char Char Char Tegn Tegn Tegn Tegn Tegn Char,Char Char"/>
    <w:link w:val="Caption"/>
    <w:uiPriority w:val="35"/>
    <w:rPr>
      <w:rFonts w:ascii="Calibri" w:eastAsia="Times New Roman" w:hAnsi="Calibri" w:cs="Times New Roman"/>
      <w:i/>
      <w:iCs/>
      <w:color w:val="86BC25"/>
      <w:sz w:val="20"/>
      <w:szCs w:val="18"/>
      <w:lang w:val="en-I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Sourcetables">
    <w:name w:val="Source tables"/>
    <w:basedOn w:val="Normal"/>
    <w:link w:val="SourcetablesChar"/>
    <w:qFormat/>
    <w:pPr>
      <w:spacing w:after="160" w:line="256" w:lineRule="auto"/>
    </w:pPr>
    <w:rPr>
      <w:rFonts w:ascii="Verdana" w:eastAsia="Times New Roman" w:hAnsi="Verdana" w:cs="Times New Roman"/>
      <w:i/>
      <w:sz w:val="18"/>
      <w:szCs w:val="18"/>
    </w:rPr>
  </w:style>
  <w:style w:type="character" w:customStyle="1" w:styleId="SourcetablesChar">
    <w:name w:val="Source tables Char"/>
    <w:basedOn w:val="DefaultParagraphFont"/>
    <w:link w:val="Sourcetables"/>
    <w:rPr>
      <w:rFonts w:ascii="Verdana" w:eastAsia="Times New Roman" w:hAnsi="Verdana" w:cs="Times New Roman"/>
      <w:i/>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rFonts w:ascii="Times New Roman" w:eastAsia="Times New Roman" w:hAnsi="Times New Roman" w:cs="Times New Roman"/>
      <w:sz w:val="20"/>
      <w:szCs w:val="20"/>
      <w:vertAlign w:val="superscript"/>
      <w:lang w:val="nl-BE" w:eastAsia="nl-BE"/>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BulletBody">
    <w:name w:val="Bullet Body"/>
    <w:basedOn w:val="Body"/>
    <w:link w:val="BulletBodyChar"/>
    <w:qFormat/>
    <w:pPr>
      <w:numPr>
        <w:numId w:val="7"/>
      </w:numPr>
    </w:pPr>
    <w:rPr>
      <w:rFonts w:cs="EUAlbertina"/>
      <w:color w:val="000000"/>
      <w:szCs w:val="19"/>
      <w:lang w:eastAsia="ro-RO"/>
    </w:rPr>
  </w:style>
  <w:style w:type="character" w:customStyle="1" w:styleId="BulletBodyChar">
    <w:name w:val="Bullet Body Char"/>
    <w:basedOn w:val="BodyChar"/>
    <w:link w:val="BulletBody"/>
    <w:rPr>
      <w:rFonts w:ascii="Verdana" w:eastAsia="Times New Roman" w:hAnsi="Verdana" w:cs="EUAlbertina"/>
      <w:color w:val="000000"/>
      <w:sz w:val="20"/>
      <w:szCs w:val="19"/>
      <w:lang w:eastAsia="ro-RO"/>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Fuß Char"/>
    <w:basedOn w:val="DefaultParagraphFont"/>
    <w:uiPriority w:val="99"/>
    <w:qFormat/>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callout"/>
    <w:link w:val="FootnotesymbolCharCharCharChar"/>
    <w:uiPriority w:val="99"/>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Char"/>
    <w:basedOn w:val="Normal"/>
    <w:next w:val="Normal"/>
    <w:link w:val="CaptionChar"/>
    <w:uiPriority w:val="35"/>
    <w:unhideWhenUsed/>
    <w:qFormat/>
    <w:pPr>
      <w:spacing w:before="120" w:line="240" w:lineRule="auto"/>
      <w:jc w:val="center"/>
    </w:pPr>
    <w:rPr>
      <w:rFonts w:ascii="Calibri" w:eastAsia="Times New Roman" w:hAnsi="Calibri" w:cs="Times New Roman"/>
      <w:i/>
      <w:iCs/>
      <w:color w:val="86BC25"/>
      <w:sz w:val="20"/>
      <w:szCs w:val="18"/>
      <w:lang w:val="en-IE"/>
    </w:rPr>
  </w:style>
  <w:style w:type="character" w:customStyle="1" w:styleId="CaptionChar">
    <w:name w:val="Caption Char"/>
    <w:aliases w:val="Caption PSP Char,Caption - Centre Graphic Char,Char Char Char Char,Caption1 Char Char Char Char Char Char Char Char Char,Caption1 Char Char Char Char Char Char Char Char Tegn Tegn Tegn Tegn Tegn Char,Char Char"/>
    <w:link w:val="Caption"/>
    <w:uiPriority w:val="35"/>
    <w:rPr>
      <w:rFonts w:ascii="Calibri" w:eastAsia="Times New Roman" w:hAnsi="Calibri" w:cs="Times New Roman"/>
      <w:i/>
      <w:iCs/>
      <w:color w:val="86BC25"/>
      <w:sz w:val="20"/>
      <w:szCs w:val="18"/>
      <w:lang w:val="en-I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Sourcetables">
    <w:name w:val="Source tables"/>
    <w:basedOn w:val="Normal"/>
    <w:link w:val="SourcetablesChar"/>
    <w:qFormat/>
    <w:pPr>
      <w:spacing w:after="160" w:line="256" w:lineRule="auto"/>
    </w:pPr>
    <w:rPr>
      <w:rFonts w:ascii="Verdana" w:eastAsia="Times New Roman" w:hAnsi="Verdana" w:cs="Times New Roman"/>
      <w:i/>
      <w:sz w:val="18"/>
      <w:szCs w:val="18"/>
    </w:rPr>
  </w:style>
  <w:style w:type="character" w:customStyle="1" w:styleId="SourcetablesChar">
    <w:name w:val="Source tables Char"/>
    <w:basedOn w:val="DefaultParagraphFont"/>
    <w:link w:val="Sourcetables"/>
    <w:rPr>
      <w:rFonts w:ascii="Verdana" w:eastAsia="Times New Roman" w:hAnsi="Verdana" w:cs="Times New Roman"/>
      <w:i/>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rFonts w:ascii="Times New Roman" w:eastAsia="Times New Roman" w:hAnsi="Times New Roman" w:cs="Times New Roman"/>
      <w:sz w:val="20"/>
      <w:szCs w:val="20"/>
      <w:vertAlign w:val="superscript"/>
      <w:lang w:val="nl-BE" w:eastAsia="nl-BE"/>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BulletBody">
    <w:name w:val="Bullet Body"/>
    <w:basedOn w:val="Body"/>
    <w:link w:val="BulletBodyChar"/>
    <w:qFormat/>
    <w:pPr>
      <w:numPr>
        <w:numId w:val="7"/>
      </w:numPr>
    </w:pPr>
    <w:rPr>
      <w:rFonts w:cs="EUAlbertina"/>
      <w:color w:val="000000"/>
      <w:szCs w:val="19"/>
      <w:lang w:eastAsia="ro-RO"/>
    </w:rPr>
  </w:style>
  <w:style w:type="character" w:customStyle="1" w:styleId="BulletBodyChar">
    <w:name w:val="Bullet Body Char"/>
    <w:basedOn w:val="BodyChar"/>
    <w:link w:val="BulletBody"/>
    <w:rPr>
      <w:rFonts w:ascii="Verdana" w:eastAsia="Times New Roman" w:hAnsi="Verdana" w:cs="EUAlbertina"/>
      <w:color w:val="000000"/>
      <w:sz w:val="20"/>
      <w:szCs w:val="19"/>
      <w:lang w:eastAsia="ro-RO"/>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55815">
      <w:bodyDiv w:val="1"/>
      <w:marLeft w:val="0"/>
      <w:marRight w:val="0"/>
      <w:marTop w:val="0"/>
      <w:marBottom w:val="0"/>
      <w:divBdr>
        <w:top w:val="none" w:sz="0" w:space="0" w:color="auto"/>
        <w:left w:val="none" w:sz="0" w:space="0" w:color="auto"/>
        <w:bottom w:val="none" w:sz="0" w:space="0" w:color="auto"/>
        <w:right w:val="none" w:sz="0" w:space="0" w:color="auto"/>
      </w:divBdr>
    </w:div>
    <w:div w:id="11685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participants/portal/desktop/en/home.html" TargetMode="External"/><Relationship Id="rId2" Type="http://schemas.openxmlformats.org/officeDocument/2006/relationships/hyperlink" Target="https://ec.europa.eu/health/funding/programme/2014-2020_en" TargetMode="External"/><Relationship Id="rId1" Type="http://schemas.openxmlformats.org/officeDocument/2006/relationships/hyperlink" Target="https://ec.europa.eu/home-affairs/financing/fundings/security-and-safeguarding-liberties/internal-security-fund-police_en" TargetMode="External"/><Relationship Id="rId6" Type="http://schemas.openxmlformats.org/officeDocument/2006/relationships/hyperlink" Target="https://e-justice.europa.eu/home" TargetMode="External"/><Relationship Id="rId5" Type="http://schemas.openxmlformats.org/officeDocument/2006/relationships/hyperlink" Target="https://ec.europa.eu/research/participants/portal/desktop/en/opportunities/index.html" TargetMode="External"/><Relationship Id="rId4" Type="http://schemas.openxmlformats.org/officeDocument/2006/relationships/hyperlink" Target="http://ec.europa.eu/justice/grants1/closed-calls/index_en.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marco.ferrara\Desktop\DG%20Just\Copy%20of%20DG_JUSTICE-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AEF0"/>
              </a:solidFill>
              <a:ln>
                <a:noFill/>
              </a:ln>
              <a:effectLst/>
            </c:spPr>
            <c:extLst xmlns:c16r2="http://schemas.microsoft.com/office/drawing/2015/06/chart">
              <c:ext xmlns:c16="http://schemas.microsoft.com/office/drawing/2014/chart" uri="{C3380CC4-5D6E-409C-BE32-E72D297353CC}">
                <c16:uniqueId val="{00000001-BD1D-4A59-A582-AFDC5AD5EFED}"/>
              </c:ext>
            </c:extLst>
          </c:dPt>
          <c:dPt>
            <c:idx val="1"/>
            <c:invertIfNegative val="0"/>
            <c:bubble3D val="0"/>
            <c:spPr>
              <a:solidFill>
                <a:srgbClr val="00AEF0"/>
              </a:solidFill>
              <a:ln>
                <a:noFill/>
              </a:ln>
              <a:effectLst/>
            </c:spPr>
            <c:extLst xmlns:c16r2="http://schemas.microsoft.com/office/drawing/2015/06/chart">
              <c:ext xmlns:c16="http://schemas.microsoft.com/office/drawing/2014/chart" uri="{C3380CC4-5D6E-409C-BE32-E72D297353CC}">
                <c16:uniqueId val="{00000003-BD1D-4A59-A582-AFDC5AD5EFED}"/>
              </c:ext>
            </c:extLst>
          </c:dPt>
          <c:dPt>
            <c:idx val="2"/>
            <c:invertIfNegative val="0"/>
            <c:bubble3D val="0"/>
            <c:spPr>
              <a:solidFill>
                <a:srgbClr val="00AEF0"/>
              </a:solidFill>
              <a:ln>
                <a:noFill/>
              </a:ln>
              <a:effectLst/>
            </c:spPr>
            <c:extLst xmlns:c16r2="http://schemas.microsoft.com/office/drawing/2015/06/chart">
              <c:ext xmlns:c16="http://schemas.microsoft.com/office/drawing/2014/chart" uri="{C3380CC4-5D6E-409C-BE32-E72D297353CC}">
                <c16:uniqueId val="{00000005-BD1D-4A59-A582-AFDC5AD5EFED}"/>
              </c:ext>
            </c:extLst>
          </c:dPt>
          <c:dPt>
            <c:idx val="4"/>
            <c:invertIfNegative val="0"/>
            <c:bubble3D val="0"/>
            <c:spPr>
              <a:solidFill>
                <a:srgbClr val="D9D9D9"/>
              </a:solidFill>
              <a:ln>
                <a:noFill/>
              </a:ln>
              <a:effectLst/>
            </c:spPr>
            <c:extLst xmlns:c16r2="http://schemas.microsoft.com/office/drawing/2015/06/chart">
              <c:ext xmlns:c16="http://schemas.microsoft.com/office/drawing/2014/chart" uri="{C3380CC4-5D6E-409C-BE32-E72D297353CC}">
                <c16:uniqueId val="{00000007-BD1D-4A59-A582-AFDC5AD5EFED}"/>
              </c:ext>
            </c:extLst>
          </c:dPt>
          <c:dPt>
            <c:idx val="5"/>
            <c:invertIfNegative val="0"/>
            <c:bubble3D val="0"/>
            <c:spPr>
              <a:solidFill>
                <a:srgbClr val="D9D9D9"/>
              </a:solidFill>
              <a:ln>
                <a:noFill/>
              </a:ln>
              <a:effectLst/>
            </c:spPr>
            <c:extLst xmlns:c16r2="http://schemas.microsoft.com/office/drawing/2015/06/chart">
              <c:ext xmlns:c16="http://schemas.microsoft.com/office/drawing/2014/chart" uri="{C3380CC4-5D6E-409C-BE32-E72D297353CC}">
                <c16:uniqueId val="{00000009-BD1D-4A59-A582-AFDC5AD5EFED}"/>
              </c:ext>
            </c:extLst>
          </c:dPt>
          <c:dPt>
            <c:idx val="6"/>
            <c:invertIfNegative val="0"/>
            <c:bubble3D val="0"/>
            <c:spPr>
              <a:solidFill>
                <a:srgbClr val="D9D9D9"/>
              </a:solidFill>
              <a:ln>
                <a:noFill/>
              </a:ln>
              <a:effectLst/>
            </c:spPr>
            <c:extLst xmlns:c16r2="http://schemas.microsoft.com/office/drawing/2015/06/chart">
              <c:ext xmlns:c16="http://schemas.microsoft.com/office/drawing/2014/chart" uri="{C3380CC4-5D6E-409C-BE32-E72D297353CC}">
                <c16:uniqueId val="{0000000B-BD1D-4A59-A582-AFDC5AD5EFED}"/>
              </c:ext>
            </c:extLst>
          </c:dPt>
          <c:dPt>
            <c:idx val="7"/>
            <c:invertIfNegative val="0"/>
            <c:bubble3D val="0"/>
            <c:spPr>
              <a:solidFill>
                <a:srgbClr val="B8CCE4"/>
              </a:solidFill>
              <a:ln>
                <a:noFill/>
              </a:ln>
              <a:effectLst/>
            </c:spPr>
            <c:extLst xmlns:c16r2="http://schemas.microsoft.com/office/drawing/2015/06/chart">
              <c:ext xmlns:c16="http://schemas.microsoft.com/office/drawing/2014/chart" uri="{C3380CC4-5D6E-409C-BE32-E72D297353CC}">
                <c16:uniqueId val="{0000000D-BD1D-4A59-A582-AFDC5AD5EFED}"/>
              </c:ext>
            </c:extLst>
          </c:dPt>
          <c:dPt>
            <c:idx val="8"/>
            <c:invertIfNegative val="0"/>
            <c:bubble3D val="0"/>
            <c:spPr>
              <a:solidFill>
                <a:srgbClr val="B8CCE4"/>
              </a:solidFill>
              <a:ln>
                <a:noFill/>
              </a:ln>
              <a:effectLst/>
            </c:spPr>
            <c:extLst xmlns:c16r2="http://schemas.microsoft.com/office/drawing/2015/06/chart">
              <c:ext xmlns:c16="http://schemas.microsoft.com/office/drawing/2014/chart" uri="{C3380CC4-5D6E-409C-BE32-E72D297353CC}">
                <c16:uniqueId val="{0000000F-BD1D-4A59-A582-AFDC5AD5EFED}"/>
              </c:ext>
            </c:extLst>
          </c:dPt>
          <c:dPt>
            <c:idx val="9"/>
            <c:invertIfNegative val="0"/>
            <c:bubble3D val="0"/>
            <c:spPr>
              <a:solidFill>
                <a:srgbClr val="B8CCE4"/>
              </a:solidFill>
              <a:ln>
                <a:noFill/>
              </a:ln>
              <a:effectLst/>
            </c:spPr>
            <c:extLst xmlns:c16r2="http://schemas.microsoft.com/office/drawing/2015/06/chart">
              <c:ext xmlns:c16="http://schemas.microsoft.com/office/drawing/2014/chart" uri="{C3380CC4-5D6E-409C-BE32-E72D297353CC}">
                <c16:uniqueId val="{00000011-BD1D-4A59-A582-AFDC5AD5EFED}"/>
              </c:ext>
            </c:extLst>
          </c:dPt>
          <c:dPt>
            <c:idx val="10"/>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13-BD1D-4A59-A582-AFDC5AD5EFED}"/>
              </c:ext>
            </c:extLst>
          </c:dPt>
          <c:dPt>
            <c:idx val="12"/>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15-BD1D-4A59-A582-AFDC5AD5EFED}"/>
              </c:ext>
            </c:extLst>
          </c:dPt>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Sheet1!$B$50:$C$62</c:f>
              <c:multiLvlStrCache>
                <c:ptCount val="13"/>
                <c:lvl>
                  <c:pt idx="0">
                    <c:v>AG</c:v>
                  </c:pt>
                  <c:pt idx="1">
                    <c:v>OG</c:v>
                  </c:pt>
                  <c:pt idx="2">
                    <c:v>PROC</c:v>
                  </c:pt>
                  <c:pt idx="3">
                    <c:v>OTHER</c:v>
                  </c:pt>
                  <c:pt idx="4">
                    <c:v>AG</c:v>
                  </c:pt>
                  <c:pt idx="5">
                    <c:v>OG</c:v>
                  </c:pt>
                  <c:pt idx="6">
                    <c:v>PROC</c:v>
                  </c:pt>
                  <c:pt idx="7">
                    <c:v>AG</c:v>
                  </c:pt>
                  <c:pt idx="8">
                    <c:v>OG</c:v>
                  </c:pt>
                  <c:pt idx="9">
                    <c:v>PROC</c:v>
                  </c:pt>
                  <c:pt idx="10">
                    <c:v>AG</c:v>
                  </c:pt>
                  <c:pt idx="11">
                    <c:v>OG</c:v>
                  </c:pt>
                  <c:pt idx="12">
                    <c:v>PROC</c:v>
                  </c:pt>
                </c:lvl>
                <c:lvl>
                  <c:pt idx="0">
                    <c:v>JCOO</c:v>
                  </c:pt>
                  <c:pt idx="4">
                    <c:v>JTRA</c:v>
                  </c:pt>
                  <c:pt idx="7">
                    <c:v>JACC</c:v>
                  </c:pt>
                  <c:pt idx="10">
                    <c:v>JDRU</c:v>
                  </c:pt>
                </c:lvl>
              </c:multiLvlStrCache>
            </c:multiLvlStrRef>
          </c:cat>
          <c:val>
            <c:numRef>
              <c:f>Sheet1!$D$50:$D$62</c:f>
              <c:numCache>
                <c:formatCode>0.0%</c:formatCode>
                <c:ptCount val="13"/>
                <c:pt idx="0">
                  <c:v>0.15477449795990431</c:v>
                </c:pt>
                <c:pt idx="1">
                  <c:v>2.7764073871578764E-2</c:v>
                </c:pt>
                <c:pt idx="2">
                  <c:v>7.4591602106544086E-2</c:v>
                </c:pt>
                <c:pt idx="3">
                  <c:v>5.3566150833973879E-4</c:v>
                </c:pt>
                <c:pt idx="4">
                  <c:v>0.15427943506137626</c:v>
                </c:pt>
                <c:pt idx="5">
                  <c:v>0.21574797366668247</c:v>
                </c:pt>
                <c:pt idx="6">
                  <c:v>4.7079224040409377E-3</c:v>
                </c:pt>
                <c:pt idx="7">
                  <c:v>0.16645238231252954</c:v>
                </c:pt>
                <c:pt idx="8">
                  <c:v>5.0253520845407691E-2</c:v>
                </c:pt>
                <c:pt idx="9">
                  <c:v>8.7299590899648283E-2</c:v>
                </c:pt>
                <c:pt idx="10">
                  <c:v>5.9385924239596349E-2</c:v>
                </c:pt>
                <c:pt idx="11">
                  <c:v>0</c:v>
                </c:pt>
                <c:pt idx="12">
                  <c:v>4.2074151243515941E-3</c:v>
                </c:pt>
              </c:numCache>
            </c:numRef>
          </c:val>
          <c:extLst xmlns:c16r2="http://schemas.microsoft.com/office/drawing/2015/06/chart">
            <c:ext xmlns:c16="http://schemas.microsoft.com/office/drawing/2014/chart" uri="{C3380CC4-5D6E-409C-BE32-E72D297353CC}">
              <c16:uniqueId val="{00000016-BD1D-4A59-A582-AFDC5AD5EFED}"/>
            </c:ext>
          </c:extLst>
        </c:ser>
        <c:dLbls>
          <c:dLblPos val="outEnd"/>
          <c:showLegendKey val="0"/>
          <c:showVal val="1"/>
          <c:showCatName val="0"/>
          <c:showSerName val="0"/>
          <c:showPercent val="0"/>
          <c:showBubbleSize val="0"/>
        </c:dLbls>
        <c:gapWidth val="219"/>
        <c:overlap val="-27"/>
        <c:axId val="44254336"/>
        <c:axId val="44255872"/>
      </c:barChart>
      <c:catAx>
        <c:axId val="4425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44255872"/>
        <c:crosses val="autoZero"/>
        <c:auto val="1"/>
        <c:lblAlgn val="ctr"/>
        <c:lblOffset val="100"/>
        <c:noMultiLvlLbl val="0"/>
      </c:catAx>
      <c:valAx>
        <c:axId val="442558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4425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645021645021644E-2"/>
          <c:y val="0.11808591275228528"/>
          <c:w val="0.95670995670995673"/>
          <c:h val="0.80166361209159198"/>
        </c:manualLayout>
      </c:layout>
      <c:barChart>
        <c:barDir val="col"/>
        <c:grouping val="clustered"/>
        <c:varyColors val="0"/>
        <c:ser>
          <c:idx val="0"/>
          <c:order val="0"/>
          <c:tx>
            <c:strRef>
              <c:f>Sheet2!$D$8</c:f>
              <c:strCache>
                <c:ptCount val="1"/>
                <c:pt idx="0">
                  <c:v>2014 awarded</c:v>
                </c:pt>
              </c:strCache>
            </c:strRef>
          </c:tx>
          <c:spPr>
            <a:solidFill>
              <a:srgbClr val="D9D9D9"/>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Sheet2!$C$9:$C$12</c:f>
              <c:strCache>
                <c:ptCount val="4"/>
                <c:pt idx="0">
                  <c:v>JCOO</c:v>
                </c:pt>
                <c:pt idx="1">
                  <c:v>JTRA</c:v>
                </c:pt>
                <c:pt idx="2">
                  <c:v>JACC</c:v>
                </c:pt>
                <c:pt idx="3">
                  <c:v>JDRU</c:v>
                </c:pt>
              </c:strCache>
            </c:strRef>
          </c:cat>
          <c:val>
            <c:numRef>
              <c:f>Sheet2!$D$9:$D$12</c:f>
              <c:numCache>
                <c:formatCode>General</c:formatCode>
                <c:ptCount val="4"/>
                <c:pt idx="0">
                  <c:v>28</c:v>
                </c:pt>
                <c:pt idx="1">
                  <c:v>40</c:v>
                </c:pt>
                <c:pt idx="2">
                  <c:v>37</c:v>
                </c:pt>
                <c:pt idx="3">
                  <c:v>7</c:v>
                </c:pt>
              </c:numCache>
            </c:numRef>
          </c:val>
          <c:extLst xmlns:c16r2="http://schemas.microsoft.com/office/drawing/2015/06/chart">
            <c:ext xmlns:c16="http://schemas.microsoft.com/office/drawing/2014/chart" uri="{C3380CC4-5D6E-409C-BE32-E72D297353CC}">
              <c16:uniqueId val="{00000000-9DED-48CF-9537-11CA3F99F89E}"/>
            </c:ext>
          </c:extLst>
        </c:ser>
        <c:ser>
          <c:idx val="1"/>
          <c:order val="1"/>
          <c:tx>
            <c:strRef>
              <c:f>Sheet2!$E$8</c:f>
              <c:strCache>
                <c:ptCount val="1"/>
                <c:pt idx="0">
                  <c:v>2014 applied</c:v>
                </c:pt>
              </c:strCache>
            </c:strRef>
          </c:tx>
          <c:spPr>
            <a:solidFill>
              <a:srgbClr val="A6A6A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Sheet2!$C$9:$C$12</c:f>
              <c:strCache>
                <c:ptCount val="4"/>
                <c:pt idx="0">
                  <c:v>JCOO</c:v>
                </c:pt>
                <c:pt idx="1">
                  <c:v>JTRA</c:v>
                </c:pt>
                <c:pt idx="2">
                  <c:v>JACC</c:v>
                </c:pt>
                <c:pt idx="3">
                  <c:v>JDRU</c:v>
                </c:pt>
              </c:strCache>
            </c:strRef>
          </c:cat>
          <c:val>
            <c:numRef>
              <c:f>Sheet2!$E$9:$E$12</c:f>
              <c:numCache>
                <c:formatCode>General</c:formatCode>
                <c:ptCount val="4"/>
                <c:pt idx="0">
                  <c:v>60</c:v>
                </c:pt>
                <c:pt idx="1">
                  <c:v>95</c:v>
                </c:pt>
                <c:pt idx="2">
                  <c:v>110</c:v>
                </c:pt>
                <c:pt idx="3">
                  <c:v>90</c:v>
                </c:pt>
              </c:numCache>
            </c:numRef>
          </c:val>
          <c:extLst xmlns:c16r2="http://schemas.microsoft.com/office/drawing/2015/06/chart">
            <c:ext xmlns:c16="http://schemas.microsoft.com/office/drawing/2014/chart" uri="{C3380CC4-5D6E-409C-BE32-E72D297353CC}">
              <c16:uniqueId val="{00000001-9DED-48CF-9537-11CA3F99F89E}"/>
            </c:ext>
          </c:extLst>
        </c:ser>
        <c:ser>
          <c:idx val="2"/>
          <c:order val="2"/>
          <c:tx>
            <c:strRef>
              <c:f>Sheet2!$F$8</c:f>
              <c:strCache>
                <c:ptCount val="1"/>
                <c:pt idx="0">
                  <c:v>2015 awarded</c:v>
                </c:pt>
              </c:strCache>
            </c:strRef>
          </c:tx>
          <c:spPr>
            <a:solidFill>
              <a:srgbClr val="00AEF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Sheet2!$C$9:$C$12</c:f>
              <c:strCache>
                <c:ptCount val="4"/>
                <c:pt idx="0">
                  <c:v>JCOO</c:v>
                </c:pt>
                <c:pt idx="1">
                  <c:v>JTRA</c:v>
                </c:pt>
                <c:pt idx="2">
                  <c:v>JACC</c:v>
                </c:pt>
                <c:pt idx="3">
                  <c:v>JDRU</c:v>
                </c:pt>
              </c:strCache>
            </c:strRef>
          </c:cat>
          <c:val>
            <c:numRef>
              <c:f>Sheet2!$F$9:$F$12</c:f>
              <c:numCache>
                <c:formatCode>General</c:formatCode>
                <c:ptCount val="4"/>
                <c:pt idx="0">
                  <c:v>16</c:v>
                </c:pt>
                <c:pt idx="1">
                  <c:v>33</c:v>
                </c:pt>
                <c:pt idx="2">
                  <c:v>32</c:v>
                </c:pt>
                <c:pt idx="3">
                  <c:v>6</c:v>
                </c:pt>
              </c:numCache>
            </c:numRef>
          </c:val>
          <c:extLst xmlns:c16r2="http://schemas.microsoft.com/office/drawing/2015/06/chart">
            <c:ext xmlns:c16="http://schemas.microsoft.com/office/drawing/2014/chart" uri="{C3380CC4-5D6E-409C-BE32-E72D297353CC}">
              <c16:uniqueId val="{00000002-9DED-48CF-9537-11CA3F99F89E}"/>
            </c:ext>
          </c:extLst>
        </c:ser>
        <c:ser>
          <c:idx val="3"/>
          <c:order val="3"/>
          <c:tx>
            <c:strRef>
              <c:f>Sheet2!$G$8</c:f>
              <c:strCache>
                <c:ptCount val="1"/>
                <c:pt idx="0">
                  <c:v>2015 applied</c:v>
                </c:pt>
              </c:strCache>
            </c:strRef>
          </c:tx>
          <c:spPr>
            <a:solidFill>
              <a:srgbClr val="1F497D"/>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Sheet2!$C$9:$C$12</c:f>
              <c:strCache>
                <c:ptCount val="4"/>
                <c:pt idx="0">
                  <c:v>JCOO</c:v>
                </c:pt>
                <c:pt idx="1">
                  <c:v>JTRA</c:v>
                </c:pt>
                <c:pt idx="2">
                  <c:v>JACC</c:v>
                </c:pt>
                <c:pt idx="3">
                  <c:v>JDRU</c:v>
                </c:pt>
              </c:strCache>
            </c:strRef>
          </c:cat>
          <c:val>
            <c:numRef>
              <c:f>Sheet2!$G$9:$G$12</c:f>
              <c:numCache>
                <c:formatCode>General</c:formatCode>
                <c:ptCount val="4"/>
                <c:pt idx="0">
                  <c:v>38</c:v>
                </c:pt>
                <c:pt idx="1">
                  <c:v>79</c:v>
                </c:pt>
                <c:pt idx="2">
                  <c:v>107</c:v>
                </c:pt>
                <c:pt idx="3">
                  <c:v>38</c:v>
                </c:pt>
              </c:numCache>
            </c:numRef>
          </c:val>
          <c:extLst xmlns:c16r2="http://schemas.microsoft.com/office/drawing/2015/06/chart">
            <c:ext xmlns:c16="http://schemas.microsoft.com/office/drawing/2014/chart" uri="{C3380CC4-5D6E-409C-BE32-E72D297353CC}">
              <c16:uniqueId val="{00000003-9DED-48CF-9537-11CA3F99F89E}"/>
            </c:ext>
          </c:extLst>
        </c:ser>
        <c:ser>
          <c:idx val="4"/>
          <c:order val="4"/>
          <c:tx>
            <c:strRef>
              <c:f>Sheet2!$H$8</c:f>
              <c:strCache>
                <c:ptCount val="1"/>
                <c:pt idx="0">
                  <c:v>2016 awarded</c:v>
                </c:pt>
              </c:strCache>
            </c:strRef>
          </c:tx>
          <c:spPr>
            <a:solidFill>
              <a:schemeClr val="accent3">
                <a:lumMod val="20000"/>
                <a:lumOff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Sheet2!$C$9:$C$12</c:f>
              <c:strCache>
                <c:ptCount val="4"/>
                <c:pt idx="0">
                  <c:v>JCOO</c:v>
                </c:pt>
                <c:pt idx="1">
                  <c:v>JTRA</c:v>
                </c:pt>
                <c:pt idx="2">
                  <c:v>JACC</c:v>
                </c:pt>
                <c:pt idx="3">
                  <c:v>JDRU</c:v>
                </c:pt>
              </c:strCache>
            </c:strRef>
          </c:cat>
          <c:val>
            <c:numRef>
              <c:f>Sheet2!$H$9:$H$12</c:f>
              <c:numCache>
                <c:formatCode>General</c:formatCode>
                <c:ptCount val="4"/>
                <c:pt idx="0">
                  <c:v>29</c:v>
                </c:pt>
                <c:pt idx="1">
                  <c:v>28</c:v>
                </c:pt>
                <c:pt idx="2">
                  <c:v>32</c:v>
                </c:pt>
                <c:pt idx="3">
                  <c:v>5</c:v>
                </c:pt>
              </c:numCache>
            </c:numRef>
          </c:val>
          <c:extLst xmlns:c16r2="http://schemas.microsoft.com/office/drawing/2015/06/chart">
            <c:ext xmlns:c16="http://schemas.microsoft.com/office/drawing/2014/chart" uri="{C3380CC4-5D6E-409C-BE32-E72D297353CC}">
              <c16:uniqueId val="{00000004-9DED-48CF-9537-11CA3F99F89E}"/>
            </c:ext>
          </c:extLst>
        </c:ser>
        <c:ser>
          <c:idx val="5"/>
          <c:order val="5"/>
          <c:tx>
            <c:strRef>
              <c:f>Sheet2!$I$8</c:f>
              <c:strCache>
                <c:ptCount val="1"/>
                <c:pt idx="0">
                  <c:v>2016 applied</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Sheet2!$C$9:$C$12</c:f>
              <c:strCache>
                <c:ptCount val="4"/>
                <c:pt idx="0">
                  <c:v>JCOO</c:v>
                </c:pt>
                <c:pt idx="1">
                  <c:v>JTRA</c:v>
                </c:pt>
                <c:pt idx="2">
                  <c:v>JACC</c:v>
                </c:pt>
                <c:pt idx="3">
                  <c:v>JDRU</c:v>
                </c:pt>
              </c:strCache>
            </c:strRef>
          </c:cat>
          <c:val>
            <c:numRef>
              <c:f>Sheet2!$I$9:$I$12</c:f>
              <c:numCache>
                <c:formatCode>General</c:formatCode>
                <c:ptCount val="4"/>
                <c:pt idx="3">
                  <c:v>32</c:v>
                </c:pt>
              </c:numCache>
            </c:numRef>
          </c:val>
          <c:extLst xmlns:c16r2="http://schemas.microsoft.com/office/drawing/2015/06/chart">
            <c:ext xmlns:c16="http://schemas.microsoft.com/office/drawing/2014/chart" uri="{C3380CC4-5D6E-409C-BE32-E72D297353CC}">
              <c16:uniqueId val="{00000005-9DED-48CF-9537-11CA3F99F89E}"/>
            </c:ext>
          </c:extLst>
        </c:ser>
        <c:dLbls>
          <c:dLblPos val="outEnd"/>
          <c:showLegendKey val="0"/>
          <c:showVal val="1"/>
          <c:showCatName val="0"/>
          <c:showSerName val="0"/>
          <c:showPercent val="0"/>
          <c:showBubbleSize val="0"/>
        </c:dLbls>
        <c:gapWidth val="444"/>
        <c:overlap val="-90"/>
        <c:axId val="74017024"/>
        <c:axId val="74047488"/>
      </c:barChart>
      <c:catAx>
        <c:axId val="74017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4047488"/>
        <c:crosses val="autoZero"/>
        <c:auto val="1"/>
        <c:lblAlgn val="ctr"/>
        <c:lblOffset val="100"/>
        <c:noMultiLvlLbl val="0"/>
      </c:catAx>
      <c:valAx>
        <c:axId val="74047488"/>
        <c:scaling>
          <c:orientation val="minMax"/>
        </c:scaling>
        <c:delete val="1"/>
        <c:axPos val="l"/>
        <c:numFmt formatCode="General" sourceLinked="1"/>
        <c:majorTickMark val="none"/>
        <c:minorTickMark val="none"/>
        <c:tickLblPos val="nextTo"/>
        <c:crossAx val="74017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140B-394F-46C7-8932-00D80FC0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14</Pages>
  <Words>5556</Words>
  <Characters>31392</Characters>
  <Application>Microsoft Office Word</Application>
  <DocSecurity>0</DocSecurity>
  <Lines>514</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99</cp:revision>
  <cp:lastPrinted>2017-12-07T09:01:00Z</cp:lastPrinted>
  <dcterms:created xsi:type="dcterms:W3CDTF">2018-04-26T14:01:00Z</dcterms:created>
  <dcterms:modified xsi:type="dcterms:W3CDTF">2018-06-27T05:49:00Z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