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0B3F51CD-16A3-47DF-952C-17CECCD5E870" style="width:450.75pt;height:367.5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noProof/>
          <w:sz w:val="28"/>
          <w:szCs w:val="28"/>
        </w:rPr>
      </w:pPr>
      <w:bookmarkStart w:id="1" w:name="_GoBack"/>
      <w:bookmarkEnd w:id="1"/>
      <w:r>
        <w:rPr>
          <w:noProof/>
          <w:sz w:val="28"/>
          <w:szCs w:val="28"/>
        </w:rPr>
        <w:lastRenderedPageBreak/>
        <w:t>Table of contents</w:t>
      </w: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"1-1" \h \z \t "Heading 2;2;Heading 3;3;Annex Title;1" </w:instrText>
      </w:r>
      <w:r>
        <w:rPr>
          <w:noProof/>
        </w:rPr>
        <w:fldChar w:fldCharType="separate"/>
      </w:r>
      <w:hyperlink w:anchor="_Toc514411210"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_Toc514411210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4411211"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Background to the initiative</w:t>
        </w:r>
        <w:r>
          <w:rPr>
            <w:noProof/>
            <w:webHidden/>
          </w:rPr>
          <w:tab/>
        </w:r>
        <w:r>
          <w:rPr>
            <w:noProof/>
            <w:webHidden/>
          </w:rPr>
          <w:fldChar w:fldCharType="begin"/>
        </w:r>
        <w:r>
          <w:rPr>
            <w:noProof/>
            <w:webHidden/>
          </w:rPr>
          <w:instrText xml:space="preserve"> PAGEREF _Toc514411211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4411212"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Implementation / state of Play</w:t>
        </w:r>
        <w:r>
          <w:rPr>
            <w:noProof/>
            <w:webHidden/>
          </w:rPr>
          <w:tab/>
        </w:r>
        <w:r>
          <w:rPr>
            <w:noProof/>
            <w:webHidden/>
          </w:rPr>
          <w:fldChar w:fldCharType="begin"/>
        </w:r>
        <w:r>
          <w:rPr>
            <w:noProof/>
            <w:webHidden/>
          </w:rPr>
          <w:instrText xml:space="preserve"> PAGEREF _Toc514411212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4411213"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Method</w:t>
        </w:r>
        <w:r>
          <w:rPr>
            <w:noProof/>
            <w:webHidden/>
          </w:rPr>
          <w:tab/>
        </w:r>
        <w:r>
          <w:rPr>
            <w:noProof/>
            <w:webHidden/>
          </w:rPr>
          <w:fldChar w:fldCharType="begin"/>
        </w:r>
        <w:r>
          <w:rPr>
            <w:noProof/>
            <w:webHidden/>
          </w:rPr>
          <w:instrText xml:space="preserve"> PAGEREF _Toc514411213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4411214"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Analysis and answers to the evaluation questions</w:t>
        </w:r>
        <w:r>
          <w:rPr>
            <w:noProof/>
            <w:webHidden/>
          </w:rPr>
          <w:tab/>
        </w:r>
        <w:r>
          <w:rPr>
            <w:noProof/>
            <w:webHidden/>
          </w:rPr>
          <w:fldChar w:fldCharType="begin"/>
        </w:r>
        <w:r>
          <w:rPr>
            <w:noProof/>
            <w:webHidden/>
          </w:rPr>
          <w:instrText xml:space="preserve"> PAGEREF _Toc514411214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4411215"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Conclusions and way forward</w:t>
        </w:r>
        <w:r>
          <w:rPr>
            <w:noProof/>
            <w:webHidden/>
          </w:rPr>
          <w:tab/>
        </w:r>
        <w:r>
          <w:rPr>
            <w:noProof/>
            <w:webHidden/>
          </w:rPr>
          <w:fldChar w:fldCharType="begin"/>
        </w:r>
        <w:r>
          <w:rPr>
            <w:noProof/>
            <w:webHidden/>
          </w:rPr>
          <w:instrText xml:space="preserve"> PAGEREF _Toc514411215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4411216" w:history="1">
        <w:r>
          <w:rPr>
            <w:rStyle w:val="Hyperlink"/>
            <w:noProof/>
          </w:rPr>
          <w:t>Annex 1: Procedural information</w:t>
        </w:r>
        <w:r>
          <w:rPr>
            <w:noProof/>
            <w:webHidden/>
          </w:rPr>
          <w:tab/>
        </w:r>
        <w:r>
          <w:rPr>
            <w:noProof/>
            <w:webHidden/>
          </w:rPr>
          <w:fldChar w:fldCharType="begin"/>
        </w:r>
        <w:r>
          <w:rPr>
            <w:noProof/>
            <w:webHidden/>
          </w:rPr>
          <w:instrText xml:space="preserve"> PAGEREF _Toc514411216 \h </w:instrText>
        </w:r>
        <w:r>
          <w:rPr>
            <w:noProof/>
            <w:webHidden/>
          </w:rPr>
        </w:r>
        <w:r>
          <w:rPr>
            <w:noProof/>
            <w:webHidden/>
          </w:rPr>
          <w:fldChar w:fldCharType="separate"/>
        </w:r>
        <w:r>
          <w:rPr>
            <w:noProof/>
            <w:webHidden/>
          </w:rPr>
          <w:t>28</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4411217" w:history="1">
        <w:r>
          <w:rPr>
            <w:rStyle w:val="Hyperlink"/>
            <w:noProof/>
          </w:rPr>
          <w:t>Annex 2: Stakeholders consultation</w:t>
        </w:r>
        <w:r>
          <w:rPr>
            <w:noProof/>
            <w:webHidden/>
          </w:rPr>
          <w:tab/>
        </w:r>
        <w:r>
          <w:rPr>
            <w:noProof/>
            <w:webHidden/>
          </w:rPr>
          <w:fldChar w:fldCharType="begin"/>
        </w:r>
        <w:r>
          <w:rPr>
            <w:noProof/>
            <w:webHidden/>
          </w:rPr>
          <w:instrText xml:space="preserve"> PAGEREF _Toc514411217 \h </w:instrText>
        </w:r>
        <w:r>
          <w:rPr>
            <w:noProof/>
            <w:webHidden/>
          </w:rPr>
        </w:r>
        <w:r>
          <w:rPr>
            <w:noProof/>
            <w:webHidden/>
          </w:rPr>
          <w:fldChar w:fldCharType="separate"/>
        </w:r>
        <w:r>
          <w:rPr>
            <w:noProof/>
            <w:webHidden/>
          </w:rPr>
          <w:t>31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4411218" w:history="1">
        <w:r>
          <w:rPr>
            <w:rStyle w:val="Hyperlink"/>
            <w:bCs/>
            <w:noProof/>
          </w:rPr>
          <w:t>Annex 3: Methods</w:t>
        </w:r>
        <w:r>
          <w:rPr>
            <w:noProof/>
            <w:webHidden/>
          </w:rPr>
          <w:tab/>
        </w:r>
        <w:r>
          <w:rPr>
            <w:noProof/>
            <w:webHidden/>
          </w:rPr>
          <w:fldChar w:fldCharType="begin"/>
        </w:r>
        <w:r>
          <w:rPr>
            <w:noProof/>
            <w:webHidden/>
          </w:rPr>
          <w:instrText xml:space="preserve"> PAGEREF _Toc514411218 \h </w:instrText>
        </w:r>
        <w:r>
          <w:rPr>
            <w:noProof/>
            <w:webHidden/>
          </w:rPr>
        </w:r>
        <w:r>
          <w:rPr>
            <w:noProof/>
            <w:webHidden/>
          </w:rPr>
          <w:fldChar w:fldCharType="separate"/>
        </w:r>
        <w:r>
          <w:rPr>
            <w:noProof/>
            <w:webHidden/>
          </w:rPr>
          <w:t>33</w:t>
        </w:r>
        <w:r>
          <w:rPr>
            <w:noProof/>
            <w:webHidden/>
          </w:rPr>
          <w:fldChar w:fldCharType="end"/>
        </w:r>
      </w:hyperlink>
    </w:p>
    <w:p>
      <w:pPr>
        <w:rPr>
          <w:noProof/>
          <w:lang w:val="en-GB"/>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pPr>
      <w:r>
        <w:rPr>
          <w:noProof/>
          <w:lang w:val="en-GB"/>
        </w:rPr>
        <w:fldChar w:fldCharType="end"/>
      </w:r>
    </w:p>
    <w:p>
      <w:pPr>
        <w:pStyle w:val="Heading1"/>
        <w:numPr>
          <w:ilvl w:val="0"/>
          <w:numId w:val="3"/>
        </w:numPr>
        <w:spacing w:before="0" w:after="120"/>
        <w:rPr>
          <w:noProof/>
        </w:rPr>
      </w:pPr>
      <w:bookmarkStart w:id="2" w:name="_Toc514411210"/>
      <w:r>
        <w:rPr>
          <w:noProof/>
        </w:rPr>
        <w:t>Introduction</w:t>
      </w:r>
      <w:bookmarkEnd w:id="2"/>
    </w:p>
    <w:p>
      <w:pPr>
        <w:spacing w:after="120" w:line="240" w:lineRule="auto"/>
        <w:rPr>
          <w:rFonts w:ascii="Times New Roman" w:hAnsi="Times New Roman" w:cs="Times New Roman"/>
          <w:b/>
          <w:noProof/>
          <w:sz w:val="24"/>
          <w:szCs w:val="24"/>
          <w:lang w:val="en-GB"/>
        </w:rPr>
      </w:pPr>
      <w:r>
        <w:rPr>
          <w:rFonts w:ascii="Times New Roman" w:hAnsi="Times New Roman" w:cs="Times New Roman"/>
          <w:b/>
          <w:noProof/>
          <w:sz w:val="24"/>
          <w:szCs w:val="24"/>
          <w:lang w:val="en-GB"/>
        </w:rPr>
        <w:t>Purpose and scope of the evaluation</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staff working document sets out the results of the interim evaluation of the Justice Programme for the period 2014-2020.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was carried out under the provisions of Article 14(2)(b) of the European Parliament and Council Regulation establishing the Justice Programme for the period 2014-2020</w:t>
      </w:r>
      <w:r>
        <w:rPr>
          <w:rFonts w:ascii="Times New Roman" w:hAnsi="Times New Roman" w:cs="Times New Roman"/>
          <w:noProof/>
          <w:sz w:val="24"/>
          <w:szCs w:val="24"/>
          <w:vertAlign w:val="superscript"/>
          <w:lang w:val="en-GB"/>
        </w:rPr>
        <w:footnoteReference w:id="1"/>
      </w:r>
      <w:r>
        <w:rPr>
          <w:rFonts w:ascii="Times New Roman" w:hAnsi="Times New Roman" w:cs="Times New Roman"/>
          <w:noProof/>
          <w:sz w:val="24"/>
          <w:szCs w:val="24"/>
          <w:lang w:val="en-GB"/>
        </w:rPr>
        <w:t xml:space="preserv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It aimed mainly to assess the Programme’s outputs and results compared to its objectives and to assess qualitative and quantitative aspects of its implementation. It also assessed whether the current Programme is on track to achieving its objectives and the extent to which the recommendations of the previous 2007-2013 ex-post </w:t>
      </w:r>
      <w:r>
        <w:rPr>
          <w:rFonts w:ascii="Times New Roman" w:eastAsia="Times New Roman" w:hAnsi="Times New Roman" w:cs="Times New Roman"/>
          <w:noProof/>
          <w:sz w:val="24"/>
          <w:szCs w:val="24"/>
          <w:u w:color="0000EE"/>
          <w:lang w:val="en-GB"/>
        </w:rPr>
        <w:t>evaluation</w:t>
      </w:r>
      <w:r>
        <w:rPr>
          <w:rFonts w:ascii="Times New Roman" w:eastAsia="Times New Roman" w:hAnsi="Times New Roman" w:cs="Times New Roman"/>
          <w:noProof/>
          <w:szCs w:val="24"/>
          <w:u w:color="0000EE"/>
          <w:lang w:val="en-GB"/>
        </w:rPr>
        <w:t xml:space="preserve"> </w:t>
      </w:r>
      <w:r>
        <w:rPr>
          <w:rFonts w:ascii="Times New Roman" w:hAnsi="Times New Roman" w:cs="Times New Roman"/>
          <w:noProof/>
          <w:sz w:val="24"/>
          <w:szCs w:val="24"/>
          <w:lang w:val="en-GB"/>
        </w:rPr>
        <w:t>have been followed.</w:t>
      </w:r>
      <w:r>
        <w:rPr>
          <w:noProof/>
          <w:sz w:val="16"/>
          <w:szCs w:val="16"/>
          <w:u w:color="0000EE"/>
          <w:lang w:val="en-GB"/>
        </w:rPr>
        <w:t xml:space="preserve"> </w:t>
      </w:r>
      <w:r>
        <w:rPr>
          <w:rFonts w:ascii="Times New Roman" w:hAnsi="Times New Roman" w:cs="Times New Roman"/>
          <w:noProof/>
          <w:sz w:val="24"/>
          <w:szCs w:val="24"/>
          <w:u w:color="0000EE"/>
          <w:lang w:val="en-GB"/>
        </w:rPr>
        <w:t>The ex-post evaluation carried out in 2015 concerned the three predecessor programmes which were merged in the current Justice Programme (</w:t>
      </w:r>
      <w:r>
        <w:rPr>
          <w:rFonts w:ascii="Times New Roman" w:hAnsi="Times New Roman" w:cs="Times New Roman"/>
          <w:noProof/>
          <w:sz w:val="24"/>
          <w:szCs w:val="24"/>
          <w:lang w:val="en-GB"/>
        </w:rPr>
        <w:t>namely the Civil justice programme, the Criminal justice programme and the Drug prevention and information programme)</w:t>
      </w:r>
      <w:r>
        <w:rPr>
          <w:rStyle w:val="FootnoteReference"/>
          <w:rFonts w:ascii="Times New Roman" w:hAnsi="Times New Roman" w:cs="Times New Roman"/>
          <w:noProof/>
          <w:szCs w:val="24"/>
          <w:u w:color="0000EE"/>
          <w:lang w:val="en-GB"/>
        </w:rPr>
        <w:footnoteReference w:id="2"/>
      </w:r>
      <w:r>
        <w:rPr>
          <w:rFonts w:ascii="Times New Roman" w:hAnsi="Times New Roman" w:cs="Times New Roman"/>
          <w:noProof/>
          <w:sz w:val="24"/>
          <w:szCs w:val="24"/>
          <w:u w:color="0000EE"/>
          <w:lang w:val="en-GB"/>
        </w:rPr>
        <w:t>.</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current interim evaluation informed the Report from the Commission to the European Parliament, the Council of the European Union, the European Economic and Social Committee and the Committee of Regions which this document accompanies. It also helped the reflection on the Programme's future by providing evidence-based information. </w:t>
      </w:r>
    </w:p>
    <w:p>
      <w:pPr>
        <w:spacing w:after="120" w:line="240" w:lineRule="auto"/>
        <w:jc w:val="both"/>
        <w:rPr>
          <w:rFonts w:ascii="Times New Roman" w:hAnsi="Times New Roman" w:cs="Times New Roman"/>
          <w:noProof/>
          <w:sz w:val="24"/>
          <w:szCs w:val="24"/>
          <w:highlight w:val="yellow"/>
          <w:lang w:val="en-GB"/>
        </w:rPr>
      </w:pPr>
      <w:r>
        <w:rPr>
          <w:rFonts w:ascii="Times New Roman" w:hAnsi="Times New Roman" w:cs="Times New Roman"/>
          <w:noProof/>
          <w:sz w:val="24"/>
          <w:szCs w:val="24"/>
          <w:lang w:val="en-GB"/>
        </w:rPr>
        <w:t>Under the Regulation, the Commission is requested to present an ex-post evaluation report for the Justice Programme by 31 December 2021.</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Programme was assessed based on the following main </w:t>
      </w:r>
      <w:r>
        <w:rPr>
          <w:rFonts w:ascii="Times New Roman" w:hAnsi="Times New Roman" w:cs="Times New Roman"/>
          <w:b/>
          <w:noProof/>
          <w:sz w:val="24"/>
          <w:szCs w:val="24"/>
          <w:lang w:val="en-GB"/>
        </w:rPr>
        <w:t>evaluation criteria</w:t>
      </w:r>
      <w:r>
        <w:rPr>
          <w:rFonts w:ascii="Times New Roman" w:hAnsi="Times New Roman" w:cs="Times New Roman"/>
          <w:noProof/>
          <w:sz w:val="24"/>
          <w:szCs w:val="24"/>
          <w:lang w:val="en-GB"/>
        </w:rPr>
        <w:t>:</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1. Relevance</w:t>
      </w:r>
      <w:r>
        <w:rPr>
          <w:rFonts w:ascii="Times New Roman" w:hAnsi="Times New Roman" w:cs="Times New Roman"/>
          <w:noProof/>
          <w:sz w:val="24"/>
          <w:szCs w:val="24"/>
          <w:lang w:val="en-GB"/>
        </w:rPr>
        <w:t>: whether and to what extent the Justice Programme addresses needs and problems of the target groups identified in the 2011 Impact Assessment</w:t>
      </w:r>
      <w:r>
        <w:rPr>
          <w:rStyle w:val="FootnoteReference"/>
          <w:rFonts w:ascii="Times New Roman" w:hAnsi="Times New Roman" w:cs="Times New Roman"/>
          <w:noProof/>
          <w:sz w:val="24"/>
          <w:szCs w:val="24"/>
          <w:lang w:val="en-GB"/>
        </w:rPr>
        <w:footnoteReference w:id="3"/>
      </w:r>
      <w:r>
        <w:rPr>
          <w:rFonts w:ascii="Times New Roman" w:hAnsi="Times New Roman" w:cs="Times New Roman"/>
          <w:noProof/>
          <w:sz w:val="24"/>
          <w:szCs w:val="24"/>
          <w:lang w:val="en-GB"/>
        </w:rPr>
        <w:t xml:space="preserve"> and in the legal basis of the Programme (as well as emergent needs related to the creation of a European Area of Justice)</w:t>
      </w:r>
      <w:r>
        <w:rPr>
          <w:rFonts w:ascii="Times New Roman" w:hAnsi="Times New Roman" w:cs="Times New Roman"/>
          <w:noProof/>
          <w:sz w:val="24"/>
          <w:szCs w:val="24"/>
          <w:lang w:val="en-GB" w:eastAsia="en-GB"/>
        </w:rPr>
        <w:t xml:space="preserve"> </w:t>
      </w:r>
      <w:r>
        <w:rPr>
          <w:rFonts w:ascii="Times New Roman" w:hAnsi="Times New Roman" w:cs="Times New Roman"/>
          <w:noProof/>
          <w:sz w:val="24"/>
          <w:szCs w:val="24"/>
          <w:lang w:val="en-GB"/>
        </w:rPr>
        <w:t>and whether its objectives are still relevant for the needs and problems of the beneficiaries;</w:t>
      </w: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2. Efficiency</w:t>
      </w:r>
      <w:r>
        <w:rPr>
          <w:rFonts w:ascii="Times New Roman" w:hAnsi="Times New Roman" w:cs="Times New Roman"/>
          <w:noProof/>
          <w:sz w:val="24"/>
          <w:szCs w:val="24"/>
          <w:lang w:val="en-GB"/>
        </w:rPr>
        <w:t>: whether and to what extent the costs of the Programme were proportionate given the benefits achieved and which parameters/factors participated in these results;</w:t>
      </w: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3. Effectiveness</w:t>
      </w:r>
      <w:r>
        <w:rPr>
          <w:rFonts w:ascii="Times New Roman" w:hAnsi="Times New Roman" w:cs="Times New Roman"/>
          <w:noProof/>
          <w:sz w:val="24"/>
          <w:szCs w:val="24"/>
          <w:lang w:val="en-GB"/>
        </w:rPr>
        <w:t>: whether and to what extent the Justice Programme has achieved its general objective, as well as its four specific objectives, and which are the factors that have contributed to these achievements;</w:t>
      </w: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4. Coherence/Complementarity/Synergies</w:t>
      </w:r>
      <w:r>
        <w:rPr>
          <w:rFonts w:ascii="Times New Roman" w:hAnsi="Times New Roman" w:cs="Times New Roman"/>
          <w:noProof/>
          <w:sz w:val="24"/>
          <w:szCs w:val="24"/>
          <w:lang w:val="en-GB"/>
        </w:rPr>
        <w:t>: whether and to what extent the Programme is coherent with other interventions at the EU and international level, such as with</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the</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predecessor EU programmes in the field</w:t>
      </w:r>
      <w:r>
        <w:rPr>
          <w:rStyle w:val="FootnoteReference"/>
          <w:rFonts w:ascii="Times New Roman" w:hAnsi="Times New Roman" w:cs="Times New Roman"/>
          <w:noProof/>
          <w:szCs w:val="24"/>
          <w:lang w:val="en-GB"/>
        </w:rPr>
        <w:footnoteReference w:id="4"/>
      </w:r>
      <w:r>
        <w:rPr>
          <w:rFonts w:ascii="Times New Roman" w:hAnsi="Times New Roman" w:cs="Times New Roman"/>
          <w:noProof/>
          <w:sz w:val="24"/>
          <w:szCs w:val="24"/>
          <w:lang w:val="en-GB"/>
        </w:rPr>
        <w:t>, with activities supported by other Union instruments and, in general, with the European priorities in the fields covered by the Programme;</w:t>
      </w: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5. EU added-value</w:t>
      </w:r>
      <w:r>
        <w:rPr>
          <w:rFonts w:ascii="Times New Roman" w:hAnsi="Times New Roman" w:cs="Times New Roman"/>
          <w:noProof/>
          <w:sz w:val="24"/>
          <w:szCs w:val="24"/>
          <w:lang w:val="en-GB"/>
        </w:rPr>
        <w:t>: to what extent the effects from the EU action are additional to the value that would have resulted from action at the national level only;</w:t>
      </w: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6. Equity</w:t>
      </w:r>
      <w:r>
        <w:rPr>
          <w:rFonts w:ascii="Times New Roman" w:hAnsi="Times New Roman" w:cs="Times New Roman"/>
          <w:noProof/>
          <w:sz w:val="24"/>
          <w:szCs w:val="24"/>
          <w:lang w:val="en-GB"/>
        </w:rPr>
        <w:t>: whether and to what extent the Justice Programme has distributed the available resources fairly among beneficiaries in different Member States, took into consideration the needs of target groups, promoted gender mainstreaming, the rights of the child and the rights of people with disabilities</w:t>
      </w:r>
      <w:r>
        <w:rPr>
          <w:rStyle w:val="FootnoteReference"/>
          <w:rFonts w:ascii="Times New Roman" w:hAnsi="Times New Roman" w:cs="Times New Roman"/>
          <w:noProof/>
          <w:szCs w:val="24"/>
          <w:lang w:val="en-GB"/>
        </w:rPr>
        <w:footnoteReference w:id="5"/>
      </w:r>
      <w:r>
        <w:rPr>
          <w:rFonts w:ascii="Times New Roman" w:hAnsi="Times New Roman" w:cs="Times New Roman"/>
          <w:noProof/>
          <w:sz w:val="24"/>
          <w:szCs w:val="24"/>
          <w:lang w:val="en-GB"/>
        </w:rPr>
        <w:t>;</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7. Scope for simplification</w:t>
      </w:r>
      <w:r>
        <w:rPr>
          <w:rFonts w:ascii="Times New Roman" w:hAnsi="Times New Roman" w:cs="Times New Roman"/>
          <w:noProof/>
          <w:sz w:val="24"/>
          <w:szCs w:val="24"/>
          <w:lang w:val="en-GB"/>
        </w:rPr>
        <w:t>: whether and to what extent the management of the Justice Programme could be further simplified.</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Geographically</w:t>
      </w:r>
      <w:r>
        <w:rPr>
          <w:rFonts w:ascii="Times New Roman" w:hAnsi="Times New Roman" w:cs="Times New Roman"/>
          <w:noProof/>
          <w:sz w:val="24"/>
          <w:szCs w:val="24"/>
          <w:lang w:val="en-GB"/>
        </w:rPr>
        <w:t xml:space="preserve">, the </w:t>
      </w:r>
      <w:r>
        <w:rPr>
          <w:rFonts w:ascii="Times New Roman" w:eastAsia="Times New Roman" w:hAnsi="Times New Roman" w:cs="Times New Roman"/>
          <w:noProof/>
          <w:sz w:val="24"/>
          <w:szCs w:val="24"/>
          <w:lang w:val="en-GB"/>
        </w:rPr>
        <w:t>Programme is open to all EU Member States</w:t>
      </w:r>
      <w:r>
        <w:rPr>
          <w:rStyle w:val="FootnoteReference"/>
          <w:rFonts w:ascii="Times New Roman" w:eastAsia="Times New Roman" w:hAnsi="Times New Roman" w:cs="Times New Roman"/>
          <w:noProof/>
          <w:szCs w:val="24"/>
          <w:lang w:val="en-GB"/>
        </w:rPr>
        <w:footnoteReference w:id="6"/>
      </w:r>
      <w:r>
        <w:rPr>
          <w:rFonts w:ascii="Times New Roman" w:eastAsia="Times New Roman" w:hAnsi="Times New Roman" w:cs="Times New Roman"/>
          <w:noProof/>
          <w:sz w:val="24"/>
          <w:szCs w:val="24"/>
          <w:lang w:val="en-GB"/>
        </w:rPr>
        <w:t>, but also to the European Free Trade Association States that are party to the European Economic Area, candidate countries, potential candidates and countries acceding to the Union, provided that they conclude an agreement with the Union laying down the details of their respective participation in the programme.</w:t>
      </w:r>
      <w:r>
        <w:rPr>
          <w:rFonts w:ascii="Times New Roman" w:hAnsi="Times New Roman" w:cs="Times New Roman"/>
          <w:noProof/>
          <w:sz w:val="24"/>
          <w:szCs w:val="24"/>
          <w:lang w:val="en-GB"/>
        </w:rPr>
        <w:t xml:space="preserve"> Albania joined the Programme as of 2017.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reference period</w:t>
      </w:r>
      <w:r>
        <w:rPr>
          <w:rFonts w:ascii="Times New Roman" w:hAnsi="Times New Roman" w:cs="Times New Roman"/>
          <w:noProof/>
          <w:sz w:val="24"/>
          <w:szCs w:val="24"/>
          <w:lang w:val="en-GB"/>
        </w:rPr>
        <w:t xml:space="preserve"> for this interim evaluation is the first half time of the Programme’s implementation from 2014 to mid-2017</w:t>
      </w:r>
      <w:r>
        <w:rPr>
          <w:rStyle w:val="FootnoteReference"/>
          <w:rFonts w:ascii="Times New Roman" w:hAnsi="Times New Roman" w:cs="Times New Roman"/>
          <w:noProof/>
          <w:szCs w:val="24"/>
          <w:lang w:val="en-GB"/>
        </w:rPr>
        <w:footnoteReference w:id="7"/>
      </w:r>
      <w:r>
        <w:rPr>
          <w:rFonts w:ascii="Times New Roman" w:hAnsi="Times New Roman" w:cs="Times New Roman"/>
          <w:noProof/>
          <w:sz w:val="24"/>
          <w:szCs w:val="24"/>
          <w:lang w:val="en-GB"/>
        </w:rPr>
        <w:t>.</w:t>
      </w:r>
    </w:p>
    <w:p>
      <w:pPr>
        <w:spacing w:after="120" w:line="240" w:lineRule="auto"/>
        <w:jc w:val="both"/>
        <w:rPr>
          <w:rFonts w:ascii="Times New Roman" w:hAnsi="Times New Roman" w:cs="Times New Roman"/>
          <w:noProof/>
          <w:sz w:val="24"/>
          <w:szCs w:val="24"/>
          <w:lang w:val="en-GB"/>
        </w:rPr>
      </w:pPr>
    </w:p>
    <w:p>
      <w:pPr>
        <w:pStyle w:val="Heading1"/>
        <w:numPr>
          <w:ilvl w:val="0"/>
          <w:numId w:val="3"/>
        </w:numPr>
        <w:spacing w:before="0" w:after="120"/>
        <w:rPr>
          <w:noProof/>
        </w:rPr>
      </w:pPr>
      <w:bookmarkStart w:id="3" w:name="_Toc514411211"/>
      <w:r>
        <w:rPr>
          <w:noProof/>
        </w:rPr>
        <w:t>Background to the initiative</w:t>
      </w:r>
      <w:bookmarkEnd w:id="3"/>
    </w:p>
    <w:p>
      <w:pPr>
        <w:pStyle w:val="Text1"/>
        <w:spacing w:after="0"/>
        <w:ind w:left="0"/>
        <w:rPr>
          <w:noProof/>
        </w:rPr>
      </w:pPr>
    </w:p>
    <w:p>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Treaty on the Functioning of the European Union provides for the creation of a European area of freedom, security and justice based on mutual recognition of judicial decisions and mutual trust among Member States, in which persons are free to move and can rely on the respect of fundamental rights as well as of common principles, such as non-discrimination, gender equality, effective access to justice for all, the rule of law and well-functioning independent judicial systems.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These ambitious goals, set by the Treaty, have also been reaffirmed by the European Council in the Stockholm Programme</w:t>
      </w:r>
      <w:r>
        <w:rPr>
          <w:noProof/>
          <w:szCs w:val="24"/>
          <w:vertAlign w:val="superscript"/>
          <w:lang w:val="en-GB"/>
        </w:rPr>
        <w:footnoteReference w:id="8"/>
      </w:r>
      <w:r>
        <w:rPr>
          <w:rFonts w:ascii="Times New Roman" w:hAnsi="Times New Roman" w:cs="Times New Roman"/>
          <w:noProof/>
          <w:sz w:val="24"/>
          <w:szCs w:val="24"/>
          <w:lang w:val="en-GB"/>
        </w:rPr>
        <w:t xml:space="preserve">. The achievement of a Europe of law and justice is one of the political priorities of the EU and the 2014-2020 Justice Programme is one of the EU instruments that contribute achieving this objective.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Programme was designed to overcome the obstacles in the functioning of an effective European Area of Justice</w:t>
      </w:r>
      <w:r>
        <w:rPr>
          <w:noProof/>
          <w:szCs w:val="24"/>
          <w:vertAlign w:val="superscript"/>
          <w:lang w:val="en-GB"/>
        </w:rPr>
        <w:footnoteReference w:id="9"/>
      </w:r>
      <w:r>
        <w:rPr>
          <w:rFonts w:ascii="Times New Roman" w:hAnsi="Times New Roman" w:cs="Times New Roman"/>
          <w:noProof/>
          <w:sz w:val="24"/>
          <w:szCs w:val="24"/>
          <w:lang w:val="en-GB"/>
        </w:rPr>
        <w:t xml:space="preserve"> and to encourage national judicial systems to have faith in each other’s standards of fairness and justice, as prerequisite for the realisation of a European Area of Justice. The Programme also contributes directly to the Juncker priority aimed at establishing an area of justice built on respect of fundamental rights and mutual trust, and digital single market.</w:t>
      </w:r>
    </w:p>
    <w:p>
      <w:pPr>
        <w:keepNext/>
        <w:tabs>
          <w:tab w:val="num" w:pos="1200"/>
        </w:tabs>
        <w:spacing w:after="120" w:line="240" w:lineRule="auto"/>
        <w:jc w:val="both"/>
        <w:outlineLvl w:val="1"/>
        <w:rPr>
          <w:rFonts w:ascii="Times New Roman" w:eastAsia="Times New Roman" w:hAnsi="Times New Roman" w:cs="Times New Roman"/>
          <w:b/>
          <w:noProof/>
          <w:sz w:val="24"/>
          <w:szCs w:val="20"/>
          <w:lang w:val="en-GB"/>
        </w:rPr>
      </w:pPr>
      <w:r>
        <w:rPr>
          <w:rFonts w:ascii="Times New Roman" w:eastAsia="Times New Roman" w:hAnsi="Times New Roman" w:cs="Times New Roman"/>
          <w:b/>
          <w:noProof/>
          <w:sz w:val="24"/>
          <w:szCs w:val="20"/>
          <w:lang w:val="en-GB"/>
        </w:rPr>
        <w:t>Description of the programme</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The general objective</w:t>
      </w:r>
      <w:r>
        <w:rPr>
          <w:rFonts w:ascii="Times New Roman" w:hAnsi="Times New Roman" w:cs="Times New Roman"/>
          <w:noProof/>
          <w:sz w:val="24"/>
          <w:szCs w:val="24"/>
          <w:lang w:val="en-GB"/>
        </w:rPr>
        <w:t xml:space="preserve"> of the Justice Programme</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is to contribute to the development of a European area of justice based on mutual recognition and mutual trust, in particular by promoting judicial cooperation in civil and criminal matters. </w:t>
      </w:r>
    </w:p>
    <w:p>
      <w:pPr>
        <w:spacing w:after="120" w:line="240" w:lineRule="auto"/>
        <w:jc w:val="both"/>
        <w:rPr>
          <w:rFonts w:ascii="Times New Roman" w:hAnsi="Times New Roman" w:cs="Times New Roman"/>
          <w:noProof/>
          <w:sz w:val="24"/>
          <w:szCs w:val="24"/>
          <w:highlight w:val="yellow"/>
          <w:lang w:val="en-GB"/>
        </w:rPr>
      </w:pPr>
      <w:r>
        <w:rPr>
          <w:rFonts w:ascii="Times New Roman" w:hAnsi="Times New Roman" w:cs="Times New Roman"/>
          <w:noProof/>
          <w:color w:val="000000"/>
          <w:sz w:val="24"/>
          <w:szCs w:val="24"/>
          <w:lang w:val="en-GB"/>
        </w:rPr>
        <w:t xml:space="preserve">In order to do so, </w:t>
      </w:r>
      <w:r>
        <w:rPr>
          <w:rFonts w:ascii="Times New Roman" w:hAnsi="Times New Roman" w:cs="Times New Roman"/>
          <w:noProof/>
          <w:sz w:val="24"/>
          <w:szCs w:val="24"/>
          <w:lang w:val="en-GB"/>
        </w:rPr>
        <w:t xml:space="preserve">the Justice Programme provides for four </w:t>
      </w:r>
      <w:r>
        <w:rPr>
          <w:rFonts w:ascii="Times New Roman" w:hAnsi="Times New Roman" w:cs="Times New Roman"/>
          <w:b/>
          <w:noProof/>
          <w:sz w:val="24"/>
          <w:szCs w:val="24"/>
          <w:lang w:val="en-GB"/>
        </w:rPr>
        <w:t>specific objectives</w:t>
      </w:r>
      <w:r>
        <w:rPr>
          <w:rFonts w:ascii="Times New Roman" w:hAnsi="Times New Roman" w:cs="Times New Roman"/>
          <w:noProof/>
          <w:sz w:val="24"/>
          <w:szCs w:val="24"/>
          <w:lang w:val="en-GB"/>
        </w:rPr>
        <w:t xml:space="preserve"> which aim to:</w:t>
      </w:r>
    </w:p>
    <w:p>
      <w:pPr>
        <w:pStyle w:val="ListBullet"/>
        <w:spacing w:after="120"/>
        <w:rPr>
          <w:noProof/>
        </w:rPr>
      </w:pPr>
      <w:r>
        <w:rPr>
          <w:noProof/>
        </w:rPr>
        <w:t xml:space="preserve">facilitate and support </w:t>
      </w:r>
      <w:r>
        <w:rPr>
          <w:b/>
          <w:noProof/>
          <w:u w:val="single"/>
        </w:rPr>
        <w:t>judicial cooperation</w:t>
      </w:r>
      <w:r>
        <w:rPr>
          <w:noProof/>
        </w:rPr>
        <w:t xml:space="preserve"> in civil and criminal matters. Through this objective, the Programme supports activities that </w:t>
      </w:r>
      <w:r>
        <w:rPr>
          <w:noProof/>
          <w:color w:val="000000"/>
        </w:rPr>
        <w:t>contribute to:</w:t>
      </w:r>
    </w:p>
    <w:p>
      <w:pPr>
        <w:pStyle w:val="ListBullet"/>
        <w:numPr>
          <w:ilvl w:val="0"/>
          <w:numId w:val="51"/>
        </w:numPr>
        <w:spacing w:after="120"/>
        <w:rPr>
          <w:noProof/>
        </w:rPr>
      </w:pPr>
      <w:r>
        <w:rPr>
          <w:noProof/>
          <w:color w:val="000000"/>
        </w:rPr>
        <w:t xml:space="preserve">the effective and coherent application of the EU acquis relating to judicial cooperation in civil and criminal matters </w:t>
      </w:r>
      <w:r>
        <w:rPr>
          <w:noProof/>
        </w:rPr>
        <w:t>also by building-up and/or improving data collection and statistics on the application of the EU acquis</w:t>
      </w:r>
      <w:r>
        <w:rPr>
          <w:noProof/>
          <w:color w:val="000000"/>
        </w:rPr>
        <w:t>;</w:t>
      </w:r>
    </w:p>
    <w:p>
      <w:pPr>
        <w:pStyle w:val="ListBullet"/>
        <w:numPr>
          <w:ilvl w:val="0"/>
          <w:numId w:val="51"/>
        </w:numPr>
        <w:spacing w:after="120"/>
        <w:rPr>
          <w:noProof/>
        </w:rPr>
      </w:pPr>
      <w:r>
        <w:rPr>
          <w:noProof/>
          <w:color w:val="000000"/>
        </w:rPr>
        <w:t>the enforcement of EU instruments and</w:t>
      </w:r>
      <w:r>
        <w:rPr>
          <w:noProof/>
        </w:rPr>
        <w:t xml:space="preserve"> judicial decisions, in particular resulting from cross-border disputes; </w:t>
      </w:r>
    </w:p>
    <w:p>
      <w:pPr>
        <w:pStyle w:val="ListBullet"/>
        <w:numPr>
          <w:ilvl w:val="0"/>
          <w:numId w:val="51"/>
        </w:numPr>
        <w:spacing w:after="120"/>
        <w:rPr>
          <w:noProof/>
        </w:rPr>
      </w:pPr>
      <w:r>
        <w:rPr>
          <w:noProof/>
          <w:color w:val="000000" w:themeColor="text1"/>
        </w:rPr>
        <w:t>the improvement of the exchange of information among professionals in order to enhance the operational cooperation and mutual trust in the EU.</w:t>
      </w:r>
      <w:r>
        <w:rPr>
          <w:noProof/>
        </w:rPr>
        <w:t xml:space="preserve"> </w:t>
      </w:r>
    </w:p>
    <w:p>
      <w:pPr>
        <w:pStyle w:val="ListBullet"/>
        <w:numPr>
          <w:ilvl w:val="0"/>
          <w:numId w:val="0"/>
        </w:numPr>
        <w:spacing w:after="120"/>
        <w:ind w:left="283"/>
        <w:rPr>
          <w:noProof/>
        </w:rPr>
      </w:pPr>
      <w:r>
        <w:rPr>
          <w:noProof/>
        </w:rPr>
        <w:t>Under this specific objective, the Programme supports the participation of the EU to the Hague</w:t>
      </w:r>
      <w:r>
        <w:rPr>
          <w:iCs/>
          <w:noProof/>
        </w:rPr>
        <w:t xml:space="preserve"> Conference of Private International Law</w:t>
      </w:r>
      <w:r>
        <w:rPr>
          <w:rStyle w:val="FootnoteReference"/>
          <w:iCs/>
          <w:noProof/>
        </w:rPr>
        <w:footnoteReference w:id="10"/>
      </w:r>
      <w:r>
        <w:rPr>
          <w:noProof/>
        </w:rPr>
        <w:t xml:space="preserve"> and activities related to the setting up and strengthening of national networks under the European Judicial Network in civil and commercial areas. Moreover, specific calls for proposals to prevent radicalisation leading to terrorism and violent extremism have also been launched in the wake of terrorism episodes in the EU. In the context of this specific objective, the EU carries-out its cooperation with the Council of Europe on two particular issues: the SPACE report on prison statistics and the setting up of the EU network of prison monitoring bodies in the Member States.</w:t>
      </w:r>
    </w:p>
    <w:p>
      <w:pPr>
        <w:pStyle w:val="ListBullet"/>
        <w:spacing w:after="0"/>
        <w:ind w:left="284" w:firstLine="0"/>
        <w:rPr>
          <w:noProof/>
        </w:rPr>
      </w:pPr>
      <w:r>
        <w:rPr>
          <w:noProof/>
        </w:rPr>
        <w:t xml:space="preserve">support and promote </w:t>
      </w:r>
      <w:r>
        <w:rPr>
          <w:b/>
          <w:noProof/>
          <w:u w:val="single"/>
        </w:rPr>
        <w:t>judicial training</w:t>
      </w:r>
      <w:r>
        <w:rPr>
          <w:noProof/>
        </w:rPr>
        <w:t xml:space="preserve"> of professionals such as judges, prosecutors, notaries, prison staff and lawyers on civil and criminal law EU instruments, fundamental rights, judicial ethics and the rule of law, including language training on legal terminology, with a view to fostering a common legal and judicial culture. Judicial training can involve “basic” components, such linguistic skills and terminology, and more specialised aspects, such as seminars on specific aspects of both civil and criminal law, e-learning and exchanges of staff and experience.</w:t>
      </w:r>
      <w:r>
        <w:rPr>
          <w:noProof/>
          <w:vertAlign w:val="superscript"/>
        </w:rPr>
        <w:footnoteReference w:id="11"/>
      </w:r>
      <w:r>
        <w:rPr>
          <w:noProof/>
        </w:rPr>
        <w:t xml:space="preserve"> For example, specialised training is made available in the field of competition law, which typically requires a significant amount of specialisation. The Programme supports, in particular, the training of the members of the judiciary and judicial staff, but also other legal practitioners associated with the judiciary. It also funds the development of tools for training providers and co-finances the expenditure associated with the work of the European Judicial Training Network. </w:t>
      </w:r>
    </w:p>
    <w:p>
      <w:pPr>
        <w:pStyle w:val="ListBullet"/>
        <w:numPr>
          <w:ilvl w:val="0"/>
          <w:numId w:val="0"/>
        </w:numPr>
        <w:spacing w:after="0"/>
        <w:ind w:left="284"/>
        <w:rPr>
          <w:noProof/>
        </w:rPr>
      </w:pPr>
      <w:r>
        <w:rPr>
          <w:noProof/>
        </w:rPr>
        <w:t xml:space="preserve">Certain areas represent priorities for the training activities: EU civil, criminal and fundamental rights law, legal systems of the Member States, judicial ethics and the rule of law, knowledge of cross-border IT tools and linguistic skills. </w:t>
      </w:r>
    </w:p>
    <w:p>
      <w:pPr>
        <w:pStyle w:val="ListBullet"/>
        <w:numPr>
          <w:ilvl w:val="0"/>
          <w:numId w:val="0"/>
        </w:numPr>
        <w:spacing w:after="0"/>
        <w:ind w:left="284"/>
        <w:rPr>
          <w:noProof/>
        </w:rPr>
      </w:pPr>
      <w:r>
        <w:rPr>
          <w:noProof/>
        </w:rPr>
        <w:t>Moreover, the Programme finances projects which aim at achieving the objectives of the European e-Justice Strategy 2014-2018</w:t>
      </w:r>
      <w:r>
        <w:rPr>
          <w:rStyle w:val="FootnoteReference"/>
          <w:noProof/>
        </w:rPr>
        <w:footnoteReference w:id="12"/>
      </w:r>
      <w:r>
        <w:rPr>
          <w:noProof/>
        </w:rPr>
        <w:t xml:space="preserve"> and that contribute to the effective and coherent application of EU criminal law in the areas of the rights of persons suspected or accused of crime (procedural rights priority) and of the rights of victims of crime;</w:t>
      </w:r>
    </w:p>
    <w:p>
      <w:pPr>
        <w:pStyle w:val="ListBullet"/>
        <w:numPr>
          <w:ilvl w:val="0"/>
          <w:numId w:val="0"/>
        </w:numPr>
        <w:spacing w:after="0"/>
        <w:ind w:left="284"/>
        <w:rPr>
          <w:noProof/>
        </w:rPr>
      </w:pPr>
    </w:p>
    <w:p>
      <w:pPr>
        <w:pStyle w:val="ListBullet"/>
        <w:spacing w:after="120"/>
        <w:rPr>
          <w:noProof/>
        </w:rPr>
      </w:pPr>
      <w:r>
        <w:rPr>
          <w:noProof/>
        </w:rPr>
        <w:t xml:space="preserve">facilitate effective </w:t>
      </w:r>
      <w:r>
        <w:rPr>
          <w:b/>
          <w:noProof/>
          <w:u w:val="single"/>
        </w:rPr>
        <w:t>access to justice</w:t>
      </w:r>
      <w:r>
        <w:rPr>
          <w:noProof/>
        </w:rPr>
        <w:t xml:space="preserve"> for all, including to promote and support the rights of victims of crime as well as the procedural rights of suspects and accused persons in criminal proceedings. Actions financed in this area by the Programme aim at providing EU citizens with effective remedies in case of violation of EU law, especially where national procedures are too difficult for citizens to be enabled. In particular, the Programme aims to promote the use of other types of remedies and non-remedies developed in the EU that can provide a quick, efficient and less costly solution to disputes, as supported, for example, by the </w:t>
      </w:r>
      <w:r>
        <w:rPr>
          <w:noProof/>
          <w:color w:val="000000"/>
          <w:szCs w:val="24"/>
        </w:rPr>
        <w:t>e-Justice</w:t>
      </w:r>
      <w:r>
        <w:rPr>
          <w:noProof/>
        </w:rPr>
        <w:t xml:space="preserve"> Portal.</w:t>
      </w:r>
      <w:r>
        <w:rPr>
          <w:noProof/>
          <w:vertAlign w:val="superscript"/>
        </w:rPr>
        <w:footnoteReference w:id="13"/>
      </w:r>
      <w:r>
        <w:rPr>
          <w:noProof/>
        </w:rPr>
        <w:t xml:space="preserve"> It also aims to encourage a close cooperation between national authorities or administrative bodies, which is particularly important for the effectiveness of certain EU rights. </w:t>
      </w:r>
    </w:p>
    <w:p>
      <w:pPr>
        <w:pStyle w:val="ListBullet"/>
        <w:spacing w:after="0"/>
        <w:ind w:left="0" w:firstLine="0"/>
        <w:rPr>
          <w:noProof/>
        </w:rPr>
      </w:pPr>
      <w:r>
        <w:rPr>
          <w:noProof/>
        </w:rPr>
        <w:t xml:space="preserve">promote </w:t>
      </w:r>
      <w:r>
        <w:rPr>
          <w:b/>
          <w:noProof/>
          <w:u w:val="single"/>
        </w:rPr>
        <w:t>initiatives in the field of drug policy</w:t>
      </w:r>
      <w:r>
        <w:rPr>
          <w:noProof/>
        </w:rPr>
        <w:t xml:space="preserve"> as regards judicial cooperation and crime prevention aspects</w:t>
      </w:r>
      <w:r>
        <w:rPr>
          <w:noProof/>
          <w:vertAlign w:val="superscript"/>
        </w:rPr>
        <w:footnoteReference w:id="14"/>
      </w:r>
      <w:r>
        <w:rPr>
          <w:noProof/>
        </w:rPr>
        <w:t xml:space="preserve">. In this field, the Justice Programme promotes initiatives which focus on judicial cooperation and crime prevention. The activities under the Programme mainly aim to promote practical application of drug-related research, to support civil society organisations and key stakeholders and to expand the knowledge base and develop innovative methods of addressing the phenomenon of new psychoactive substances. </w:t>
      </w:r>
    </w:p>
    <w:p>
      <w:pPr>
        <w:pStyle w:val="CommentText"/>
        <w:spacing w:after="0"/>
        <w:jc w:val="both"/>
        <w:rPr>
          <w:rFonts w:ascii="Times New Roman" w:eastAsia="Times New Roman" w:hAnsi="Times New Roman" w:cs="Times New Roman"/>
          <w:b/>
          <w:noProof/>
          <w:sz w:val="24"/>
          <w:szCs w:val="24"/>
          <w:lang w:val="en-GB"/>
        </w:rPr>
      </w:pPr>
    </w:p>
    <w:p>
      <w:pPr>
        <w:pStyle w:val="CommentText"/>
        <w:spacing w:after="0"/>
        <w:jc w:val="both"/>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Budget</w:t>
      </w:r>
    </w:p>
    <w:p>
      <w:pPr>
        <w:spacing w:after="0" w:line="240" w:lineRule="auto"/>
        <w:jc w:val="both"/>
        <w:rPr>
          <w:rFonts w:ascii="Times New Roman" w:eastAsia="Times New Roman" w:hAnsi="Times New Roman" w:cs="Times New Roman"/>
          <w:noProof/>
          <w:sz w:val="24"/>
          <w:szCs w:val="24"/>
          <w:lang w:val="en-GB"/>
        </w:rPr>
      </w:pPr>
    </w:p>
    <w:p>
      <w:pPr>
        <w:spacing w:after="0" w:line="240" w:lineRule="auto"/>
        <w:jc w:val="both"/>
        <w:rPr>
          <w:rFonts w:ascii="Times New Roman" w:hAnsi="Times New Roman" w:cs="Times New Roman"/>
          <w:bCs/>
          <w:noProof/>
          <w:sz w:val="24"/>
          <w:szCs w:val="24"/>
          <w:lang w:val="en-GB" w:eastAsia="it-IT"/>
        </w:rPr>
      </w:pPr>
      <w:r>
        <w:rPr>
          <w:rFonts w:ascii="Times New Roman" w:eastAsia="Times New Roman" w:hAnsi="Times New Roman" w:cs="Times New Roman"/>
          <w:noProof/>
          <w:sz w:val="24"/>
          <w:szCs w:val="24"/>
          <w:lang w:val="en-GB"/>
        </w:rPr>
        <w:t xml:space="preserve">The initial total Justice programme's budget for the period 2014-2020 is </w:t>
      </w:r>
      <w:r>
        <w:rPr>
          <w:rFonts w:ascii="Times New Roman" w:eastAsia="Times New Roman" w:hAnsi="Times New Roman" w:cs="Times New Roman"/>
          <w:b/>
          <w:noProof/>
          <w:sz w:val="24"/>
          <w:szCs w:val="24"/>
          <w:lang w:val="en-GB"/>
        </w:rPr>
        <w:t>EUR 377 604 000</w:t>
      </w:r>
      <w:r>
        <w:rPr>
          <w:rFonts w:ascii="Times New Roman" w:eastAsia="Times New Roman" w:hAnsi="Times New Roman" w:cs="Times New Roman"/>
          <w:noProof/>
          <w:sz w:val="24"/>
          <w:szCs w:val="24"/>
          <w:lang w:val="en-GB"/>
        </w:rPr>
        <w:t xml:space="preserve">. </w:t>
      </w:r>
      <w:r>
        <w:rPr>
          <w:rFonts w:ascii="Times New Roman" w:hAnsi="Times New Roman" w:cs="Times New Roman"/>
          <w:noProof/>
          <w:sz w:val="24"/>
          <w:szCs w:val="24"/>
          <w:lang w:val="en-GB"/>
        </w:rPr>
        <w:t xml:space="preserve">According to available sources, the </w:t>
      </w:r>
      <w:r>
        <w:rPr>
          <w:rFonts w:ascii="Times New Roman" w:hAnsi="Times New Roman" w:cs="Times New Roman"/>
          <w:b/>
          <w:noProof/>
          <w:sz w:val="24"/>
          <w:szCs w:val="24"/>
          <w:lang w:val="en-GB"/>
        </w:rPr>
        <w:t xml:space="preserve">total requested and committed EU contribution still not reached the amount planned, despite the improvements made in 2016 </w:t>
      </w:r>
      <w:r>
        <w:rPr>
          <w:rFonts w:ascii="Times New Roman" w:hAnsi="Times New Roman" w:cs="Times New Roman"/>
          <w:noProof/>
          <w:sz w:val="24"/>
          <w:szCs w:val="24"/>
          <w:lang w:val="en-GB"/>
        </w:rPr>
        <w:t>(see</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Table 1</w:t>
      </w:r>
      <w:r>
        <w:rPr>
          <w:rFonts w:ascii="Times New Roman" w:hAnsi="Times New Roman" w:cs="Times New Roman"/>
          <w:b/>
          <w:noProof/>
          <w:sz w:val="24"/>
          <w:szCs w:val="24"/>
          <w:lang w:val="en-GB"/>
        </w:rPr>
        <w:t>)</w:t>
      </w:r>
      <w:r>
        <w:rPr>
          <w:rFonts w:ascii="Times New Roman" w:eastAsia="Times New Roman" w:hAnsi="Times New Roman" w:cs="Times New Roman"/>
          <w:noProof/>
          <w:sz w:val="24"/>
          <w:szCs w:val="24"/>
          <w:lang w:val="en-GB"/>
        </w:rPr>
        <w:t xml:space="preserve">. </w:t>
      </w:r>
      <w:r>
        <w:rPr>
          <w:rFonts w:ascii="Times New Roman" w:hAnsi="Times New Roman" w:cs="Times New Roman"/>
          <w:bCs/>
          <w:noProof/>
          <w:sz w:val="24"/>
          <w:szCs w:val="24"/>
          <w:lang w:val="en-GB" w:eastAsia="it-IT"/>
        </w:rPr>
        <w:t>In general, most resources allocated to action grants and operating grants have been committed (with a commitment rate of close to 90%), but the commitment rate for procurement activities was much lower, hovering around 60%-70%.</w:t>
      </w:r>
    </w:p>
    <w:p>
      <w:pPr>
        <w:spacing w:after="0" w:line="240" w:lineRule="auto"/>
        <w:jc w:val="both"/>
        <w:rPr>
          <w:rFonts w:ascii="Times New Roman" w:hAnsi="Times New Roman" w:cs="Times New Roman"/>
          <w:bCs/>
          <w:noProof/>
          <w:sz w:val="24"/>
          <w:szCs w:val="24"/>
          <w:lang w:val="en-GB" w:eastAsia="it-IT"/>
        </w:rPr>
      </w:pPr>
    </w:p>
    <w:p>
      <w:pPr>
        <w:spacing w:after="120" w:line="240" w:lineRule="auto"/>
        <w:jc w:val="center"/>
        <w:rPr>
          <w:rFonts w:ascii="Times New Roman" w:eastAsia="Times New Roman" w:hAnsi="Times New Roman" w:cs="Times New Roman"/>
          <w:b/>
          <w:noProof/>
          <w:sz w:val="20"/>
          <w:szCs w:val="20"/>
          <w:lang w:val="en-GB"/>
        </w:rPr>
      </w:pPr>
      <w:bookmarkStart w:id="4" w:name="Table_1"/>
      <w:r>
        <w:rPr>
          <w:rFonts w:ascii="Times New Roman" w:eastAsia="Times New Roman" w:hAnsi="Times New Roman" w:cs="Times New Roman"/>
          <w:b/>
          <w:noProof/>
          <w:sz w:val="20"/>
          <w:szCs w:val="20"/>
          <w:lang w:val="en-GB"/>
        </w:rPr>
        <w:t>Table 1: Total amount planned and committed in the Justice Programme 2014-2016</w:t>
      </w:r>
    </w:p>
    <w:tbl>
      <w:tblPr>
        <w:tblStyle w:val="Deloitte1"/>
        <w:tblW w:w="5000" w:type="pct"/>
        <w:tblLook w:val="04A0" w:firstRow="1" w:lastRow="0" w:firstColumn="1" w:lastColumn="0" w:noHBand="0" w:noVBand="1"/>
      </w:tblPr>
      <w:tblGrid>
        <w:gridCol w:w="1945"/>
        <w:gridCol w:w="2343"/>
        <w:gridCol w:w="2343"/>
        <w:gridCol w:w="2203"/>
      </w:tblGrid>
      <w:tr>
        <w:tc>
          <w:tcPr>
            <w:tcW w:w="1101" w:type="pct"/>
            <w:shd w:val="clear" w:color="auto" w:fill="DBE5F1" w:themeFill="accent1" w:themeFillTint="33"/>
          </w:tcPr>
          <w:bookmarkEnd w:id="4"/>
          <w:p>
            <w:pPr>
              <w:keepNext/>
              <w:spacing w:after="120"/>
              <w:jc w:val="center"/>
              <w:rPr>
                <w:b/>
                <w:noProof/>
                <w:sz w:val="22"/>
                <w:szCs w:val="22"/>
              </w:rPr>
            </w:pPr>
            <w:r>
              <w:rPr>
                <w:b/>
                <w:noProof/>
                <w:sz w:val="22"/>
                <w:szCs w:val="22"/>
              </w:rPr>
              <w:t>Budget year</w:t>
            </w:r>
          </w:p>
        </w:tc>
        <w:tc>
          <w:tcPr>
            <w:tcW w:w="1326" w:type="pct"/>
            <w:shd w:val="clear" w:color="auto" w:fill="DBE5F1" w:themeFill="accent1" w:themeFillTint="33"/>
          </w:tcPr>
          <w:p>
            <w:pPr>
              <w:keepNext/>
              <w:spacing w:after="120"/>
              <w:jc w:val="center"/>
              <w:rPr>
                <w:b/>
                <w:noProof/>
                <w:sz w:val="22"/>
                <w:szCs w:val="22"/>
              </w:rPr>
            </w:pPr>
            <w:r>
              <w:rPr>
                <w:b/>
                <w:noProof/>
                <w:sz w:val="22"/>
                <w:szCs w:val="22"/>
              </w:rPr>
              <w:t>Annual amount planned (in euro)</w:t>
            </w:r>
          </w:p>
        </w:tc>
        <w:tc>
          <w:tcPr>
            <w:tcW w:w="1326" w:type="pct"/>
            <w:shd w:val="clear" w:color="auto" w:fill="DBE5F1" w:themeFill="accent1" w:themeFillTint="33"/>
          </w:tcPr>
          <w:p>
            <w:pPr>
              <w:keepNext/>
              <w:spacing w:after="120"/>
              <w:jc w:val="center"/>
              <w:rPr>
                <w:b/>
                <w:noProof/>
                <w:sz w:val="22"/>
                <w:szCs w:val="22"/>
              </w:rPr>
            </w:pPr>
            <w:r>
              <w:rPr>
                <w:b/>
                <w:noProof/>
                <w:sz w:val="22"/>
                <w:szCs w:val="22"/>
              </w:rPr>
              <w:t>Annual amount committed (in euro)</w:t>
            </w:r>
          </w:p>
        </w:tc>
        <w:tc>
          <w:tcPr>
            <w:tcW w:w="1247" w:type="pct"/>
            <w:shd w:val="clear" w:color="auto" w:fill="DBE5F1" w:themeFill="accent1" w:themeFillTint="33"/>
          </w:tcPr>
          <w:p>
            <w:pPr>
              <w:keepNext/>
              <w:spacing w:after="120"/>
              <w:jc w:val="center"/>
              <w:rPr>
                <w:b/>
                <w:noProof/>
                <w:sz w:val="22"/>
                <w:szCs w:val="22"/>
              </w:rPr>
            </w:pPr>
            <w:r>
              <w:rPr>
                <w:b/>
                <w:noProof/>
                <w:sz w:val="22"/>
                <w:szCs w:val="22"/>
              </w:rPr>
              <w:t>Ratio committed/planned</w:t>
            </w:r>
          </w:p>
        </w:tc>
      </w:tr>
      <w:tr>
        <w:tc>
          <w:tcPr>
            <w:tcW w:w="1101" w:type="pct"/>
          </w:tcPr>
          <w:p>
            <w:pPr>
              <w:keepNext/>
              <w:spacing w:after="120"/>
              <w:jc w:val="both"/>
              <w:rPr>
                <w:noProof/>
                <w:sz w:val="22"/>
                <w:szCs w:val="22"/>
              </w:rPr>
            </w:pPr>
            <w:r>
              <w:rPr>
                <w:noProof/>
                <w:sz w:val="22"/>
                <w:szCs w:val="22"/>
              </w:rPr>
              <w:t>2014</w:t>
            </w:r>
          </w:p>
        </w:tc>
        <w:tc>
          <w:tcPr>
            <w:tcW w:w="1326" w:type="pct"/>
          </w:tcPr>
          <w:p>
            <w:pPr>
              <w:keepNext/>
              <w:spacing w:after="120"/>
              <w:jc w:val="both"/>
              <w:rPr>
                <w:rFonts w:cs="Calibri"/>
                <w:noProof/>
                <w:sz w:val="22"/>
                <w:szCs w:val="22"/>
                <w:lang w:eastAsia="it-IT"/>
              </w:rPr>
            </w:pPr>
            <w:r>
              <w:rPr>
                <w:rFonts w:cs="Calibri"/>
                <w:noProof/>
                <w:sz w:val="22"/>
                <w:szCs w:val="22"/>
                <w:lang w:eastAsia="it-IT"/>
              </w:rPr>
              <w:t>45 812 000.00</w:t>
            </w:r>
          </w:p>
        </w:tc>
        <w:tc>
          <w:tcPr>
            <w:tcW w:w="1326" w:type="pct"/>
          </w:tcPr>
          <w:p>
            <w:pPr>
              <w:keepNext/>
              <w:spacing w:after="120"/>
              <w:jc w:val="both"/>
              <w:rPr>
                <w:noProof/>
                <w:sz w:val="22"/>
                <w:szCs w:val="22"/>
              </w:rPr>
            </w:pPr>
            <w:r>
              <w:rPr>
                <w:rFonts w:cs="Calibri"/>
                <w:noProof/>
                <w:sz w:val="22"/>
                <w:szCs w:val="22"/>
                <w:lang w:eastAsia="it-IT"/>
              </w:rPr>
              <w:t xml:space="preserve">36 671 240.16 </w:t>
            </w:r>
          </w:p>
        </w:tc>
        <w:tc>
          <w:tcPr>
            <w:tcW w:w="1247" w:type="pct"/>
          </w:tcPr>
          <w:p>
            <w:pPr>
              <w:keepNext/>
              <w:spacing w:after="120"/>
              <w:jc w:val="both"/>
              <w:rPr>
                <w:rFonts w:cs="Calibri"/>
                <w:noProof/>
                <w:sz w:val="22"/>
                <w:szCs w:val="22"/>
                <w:lang w:eastAsia="it-IT"/>
              </w:rPr>
            </w:pPr>
            <w:r>
              <w:rPr>
                <w:rFonts w:cs="Calibri"/>
                <w:noProof/>
                <w:sz w:val="22"/>
                <w:szCs w:val="22"/>
                <w:lang w:eastAsia="it-IT"/>
              </w:rPr>
              <w:t>80.05%</w:t>
            </w:r>
          </w:p>
        </w:tc>
      </w:tr>
      <w:tr>
        <w:tc>
          <w:tcPr>
            <w:tcW w:w="1101" w:type="pct"/>
          </w:tcPr>
          <w:p>
            <w:pPr>
              <w:keepNext/>
              <w:spacing w:after="120"/>
              <w:jc w:val="both"/>
              <w:rPr>
                <w:noProof/>
                <w:sz w:val="22"/>
                <w:szCs w:val="22"/>
              </w:rPr>
            </w:pPr>
            <w:r>
              <w:rPr>
                <w:noProof/>
                <w:sz w:val="22"/>
                <w:szCs w:val="22"/>
              </w:rPr>
              <w:t>2015</w:t>
            </w:r>
          </w:p>
        </w:tc>
        <w:tc>
          <w:tcPr>
            <w:tcW w:w="1326" w:type="pct"/>
          </w:tcPr>
          <w:p>
            <w:pPr>
              <w:keepNext/>
              <w:spacing w:after="120"/>
              <w:jc w:val="both"/>
              <w:rPr>
                <w:rFonts w:cs="Calibri"/>
                <w:noProof/>
                <w:sz w:val="22"/>
                <w:szCs w:val="22"/>
                <w:lang w:eastAsia="it-IT"/>
              </w:rPr>
            </w:pPr>
            <w:r>
              <w:rPr>
                <w:rFonts w:cs="Calibri"/>
                <w:noProof/>
                <w:sz w:val="22"/>
                <w:szCs w:val="22"/>
                <w:lang w:eastAsia="it-IT"/>
              </w:rPr>
              <w:t>47 226 649.00</w:t>
            </w:r>
          </w:p>
        </w:tc>
        <w:tc>
          <w:tcPr>
            <w:tcW w:w="1326" w:type="pct"/>
          </w:tcPr>
          <w:p>
            <w:pPr>
              <w:keepNext/>
              <w:spacing w:after="120"/>
              <w:jc w:val="both"/>
              <w:rPr>
                <w:noProof/>
                <w:sz w:val="22"/>
                <w:szCs w:val="22"/>
              </w:rPr>
            </w:pPr>
            <w:r>
              <w:rPr>
                <w:rFonts w:cs="Calibri"/>
                <w:noProof/>
                <w:sz w:val="22"/>
                <w:szCs w:val="22"/>
                <w:lang w:eastAsia="it-IT"/>
              </w:rPr>
              <w:t xml:space="preserve">39 675 719.11 </w:t>
            </w:r>
          </w:p>
        </w:tc>
        <w:tc>
          <w:tcPr>
            <w:tcW w:w="1247" w:type="pct"/>
          </w:tcPr>
          <w:p>
            <w:pPr>
              <w:keepNext/>
              <w:spacing w:after="120"/>
              <w:jc w:val="both"/>
              <w:rPr>
                <w:rFonts w:cs="Calibri"/>
                <w:noProof/>
                <w:sz w:val="22"/>
                <w:szCs w:val="22"/>
                <w:lang w:eastAsia="it-IT"/>
              </w:rPr>
            </w:pPr>
            <w:r>
              <w:rPr>
                <w:rFonts w:cs="Calibri"/>
                <w:noProof/>
                <w:sz w:val="22"/>
                <w:szCs w:val="22"/>
                <w:lang w:eastAsia="it-IT"/>
              </w:rPr>
              <w:t>84.01%</w:t>
            </w:r>
          </w:p>
        </w:tc>
      </w:tr>
      <w:tr>
        <w:tc>
          <w:tcPr>
            <w:tcW w:w="1101" w:type="pct"/>
            <w:tcBorders>
              <w:bottom w:val="single" w:sz="4" w:space="0" w:color="auto"/>
            </w:tcBorders>
          </w:tcPr>
          <w:p>
            <w:pPr>
              <w:keepNext/>
              <w:spacing w:after="120"/>
              <w:jc w:val="both"/>
              <w:rPr>
                <w:noProof/>
                <w:sz w:val="22"/>
                <w:szCs w:val="22"/>
              </w:rPr>
            </w:pPr>
            <w:r>
              <w:rPr>
                <w:noProof/>
                <w:sz w:val="22"/>
                <w:szCs w:val="22"/>
              </w:rPr>
              <w:t>2016</w:t>
            </w:r>
          </w:p>
        </w:tc>
        <w:tc>
          <w:tcPr>
            <w:tcW w:w="1326" w:type="pct"/>
            <w:tcBorders>
              <w:bottom w:val="single" w:sz="4" w:space="0" w:color="auto"/>
            </w:tcBorders>
          </w:tcPr>
          <w:p>
            <w:pPr>
              <w:keepNext/>
              <w:spacing w:after="120"/>
              <w:jc w:val="both"/>
              <w:rPr>
                <w:rFonts w:cs="Calibri"/>
                <w:noProof/>
                <w:sz w:val="22"/>
                <w:szCs w:val="22"/>
                <w:lang w:eastAsia="it-IT"/>
              </w:rPr>
            </w:pPr>
            <w:r>
              <w:rPr>
                <w:rFonts w:cs="Calibri"/>
                <w:noProof/>
                <w:sz w:val="22"/>
                <w:szCs w:val="22"/>
                <w:lang w:eastAsia="it-IT"/>
              </w:rPr>
              <w:t>50 250 000.00</w:t>
            </w:r>
          </w:p>
        </w:tc>
        <w:tc>
          <w:tcPr>
            <w:tcW w:w="1326" w:type="pct"/>
            <w:tcBorders>
              <w:bottom w:val="single" w:sz="4" w:space="0" w:color="auto"/>
            </w:tcBorders>
          </w:tcPr>
          <w:p>
            <w:pPr>
              <w:keepNext/>
              <w:spacing w:after="120"/>
              <w:jc w:val="both"/>
              <w:rPr>
                <w:noProof/>
                <w:sz w:val="22"/>
                <w:szCs w:val="22"/>
              </w:rPr>
            </w:pPr>
            <w:r>
              <w:rPr>
                <w:rFonts w:cs="Calibri"/>
                <w:noProof/>
                <w:sz w:val="22"/>
                <w:szCs w:val="22"/>
                <w:lang w:eastAsia="it-IT"/>
              </w:rPr>
              <w:t xml:space="preserve">47 535 032.81 </w:t>
            </w:r>
          </w:p>
        </w:tc>
        <w:tc>
          <w:tcPr>
            <w:tcW w:w="1247" w:type="pct"/>
            <w:tcBorders>
              <w:bottom w:val="single" w:sz="4" w:space="0" w:color="auto"/>
            </w:tcBorders>
          </w:tcPr>
          <w:p>
            <w:pPr>
              <w:keepNext/>
              <w:spacing w:after="120"/>
              <w:jc w:val="both"/>
              <w:rPr>
                <w:rFonts w:cs="Calibri"/>
                <w:noProof/>
                <w:sz w:val="22"/>
                <w:szCs w:val="22"/>
                <w:lang w:eastAsia="it-IT"/>
              </w:rPr>
            </w:pPr>
            <w:r>
              <w:rPr>
                <w:rFonts w:cs="Calibri"/>
                <w:noProof/>
                <w:sz w:val="22"/>
                <w:szCs w:val="22"/>
                <w:lang w:eastAsia="it-IT"/>
              </w:rPr>
              <w:t>94.60%</w:t>
            </w:r>
          </w:p>
        </w:tc>
      </w:tr>
      <w:tr>
        <w:tc>
          <w:tcPr>
            <w:tcW w:w="1101" w:type="pct"/>
            <w:shd w:val="clear" w:color="auto" w:fill="B8CCE4" w:themeFill="accent1" w:themeFillTint="66"/>
          </w:tcPr>
          <w:p>
            <w:pPr>
              <w:spacing w:after="120"/>
              <w:jc w:val="both"/>
              <w:rPr>
                <w:b/>
                <w:noProof/>
                <w:sz w:val="22"/>
                <w:szCs w:val="22"/>
              </w:rPr>
            </w:pPr>
            <w:r>
              <w:rPr>
                <w:b/>
                <w:noProof/>
                <w:sz w:val="22"/>
                <w:szCs w:val="22"/>
              </w:rPr>
              <w:t>Total 2014-2016</w:t>
            </w:r>
          </w:p>
        </w:tc>
        <w:tc>
          <w:tcPr>
            <w:tcW w:w="1326" w:type="pct"/>
            <w:shd w:val="clear" w:color="auto" w:fill="B8CCE4" w:themeFill="accent1" w:themeFillTint="66"/>
          </w:tcPr>
          <w:p>
            <w:pPr>
              <w:spacing w:after="120"/>
              <w:jc w:val="both"/>
              <w:rPr>
                <w:rFonts w:cs="Calibri"/>
                <w:b/>
                <w:noProof/>
                <w:sz w:val="22"/>
                <w:szCs w:val="22"/>
                <w:lang w:eastAsia="it-IT"/>
              </w:rPr>
            </w:pPr>
            <w:r>
              <w:rPr>
                <w:rFonts w:cs="Calibri"/>
                <w:b/>
                <w:noProof/>
                <w:sz w:val="22"/>
                <w:szCs w:val="22"/>
                <w:lang w:eastAsia="it-IT"/>
              </w:rPr>
              <w:t>143 288 649.00</w:t>
            </w:r>
          </w:p>
        </w:tc>
        <w:tc>
          <w:tcPr>
            <w:tcW w:w="1326" w:type="pct"/>
            <w:shd w:val="clear" w:color="auto" w:fill="B8CCE4" w:themeFill="accent1" w:themeFillTint="66"/>
          </w:tcPr>
          <w:p>
            <w:pPr>
              <w:spacing w:after="120"/>
              <w:jc w:val="both"/>
              <w:rPr>
                <w:noProof/>
                <w:sz w:val="22"/>
                <w:szCs w:val="22"/>
              </w:rPr>
            </w:pPr>
            <w:r>
              <w:rPr>
                <w:rFonts w:cs="Calibri"/>
                <w:b/>
                <w:noProof/>
                <w:sz w:val="22"/>
                <w:szCs w:val="22"/>
                <w:lang w:eastAsia="it-IT"/>
              </w:rPr>
              <w:t>123 881 992.08</w:t>
            </w:r>
          </w:p>
        </w:tc>
        <w:tc>
          <w:tcPr>
            <w:tcW w:w="1247" w:type="pct"/>
            <w:shd w:val="clear" w:color="auto" w:fill="B8CCE4" w:themeFill="accent1" w:themeFillTint="66"/>
          </w:tcPr>
          <w:p>
            <w:pPr>
              <w:spacing w:after="120"/>
              <w:jc w:val="both"/>
              <w:rPr>
                <w:rFonts w:cs="Calibri"/>
                <w:b/>
                <w:noProof/>
                <w:sz w:val="22"/>
                <w:szCs w:val="22"/>
                <w:lang w:eastAsia="it-IT"/>
              </w:rPr>
            </w:pPr>
            <w:r>
              <w:rPr>
                <w:rFonts w:cs="Calibri"/>
                <w:b/>
                <w:noProof/>
                <w:sz w:val="22"/>
                <w:szCs w:val="22"/>
                <w:lang w:eastAsia="it-IT"/>
              </w:rPr>
              <w:t>86.46%</w:t>
            </w:r>
          </w:p>
        </w:tc>
      </w:tr>
    </w:tbl>
    <w:p>
      <w:pPr>
        <w:spacing w:after="120" w:line="240" w:lineRule="auto"/>
        <w:rPr>
          <w:rFonts w:ascii="Times New Roman" w:hAnsi="Times New Roman" w:cs="Times New Roman"/>
          <w:i/>
          <w:noProof/>
          <w:sz w:val="16"/>
          <w:szCs w:val="16"/>
          <w:lang w:val="en-GB"/>
        </w:rPr>
      </w:pPr>
      <w:r>
        <w:rPr>
          <w:rFonts w:ascii="Times New Roman" w:hAnsi="Times New Roman" w:cs="Times New Roman"/>
          <w:i/>
          <w:noProof/>
          <w:sz w:val="16"/>
          <w:szCs w:val="16"/>
          <w:lang w:val="en-GB"/>
        </w:rPr>
        <w:t>Sources: Annual monitoring reports (reports on the implementation of the Annual working programmes and data extracted from Sygma for 2016)</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In order to allow the achievement of its objectives, the Programme identifies a wide range of activities to be implemented. In particular, according to Article 6 of the Regulation establishing the Justice Programme for the period 2014 to 2020, the Programme can finance:</w:t>
      </w:r>
    </w:p>
    <w:p>
      <w:pPr>
        <w:pStyle w:val="ListBullet"/>
        <w:spacing w:after="120"/>
        <w:rPr>
          <w:noProof/>
        </w:rPr>
      </w:pPr>
      <w:r>
        <w:rPr>
          <w:b/>
          <w:noProof/>
        </w:rPr>
        <w:t>Analytical activities</w:t>
      </w:r>
      <w:r>
        <w:rPr>
          <w:noProof/>
        </w:rPr>
        <w:t xml:space="preserve">, in particular: collection of data and statistics; development of common methodologies and, where appropriate, indicators or benchmarks; studies, researches, analyses and surveys; evaluations; elaboration and publication of guides, reports and educational material; workshops, seminars, experts meetings and conferences; </w:t>
      </w:r>
    </w:p>
    <w:p>
      <w:pPr>
        <w:pStyle w:val="ListBullet"/>
        <w:spacing w:after="120"/>
        <w:rPr>
          <w:noProof/>
        </w:rPr>
      </w:pPr>
      <w:r>
        <w:rPr>
          <w:b/>
          <w:noProof/>
        </w:rPr>
        <w:t>Mutual learning, cooperation, awareness raising and dissemination activities</w:t>
      </w:r>
      <w:r>
        <w:rPr>
          <w:noProof/>
        </w:rPr>
        <w:t xml:space="preserve">, in particular: identification of, and exchanges concerning good practices, innovative approaches and experiences; organisation of peer reviews and mutual learning; organisation of conferences, seminars, information campaigns; compilation and publication of materials to disseminate information about the Programme and its results; development, operation and maintenance of systems and tools, using information and communication technologies, including the further development of the European e-Justice portal as a tool to improve citizens' access to justice; </w:t>
      </w:r>
    </w:p>
    <w:p>
      <w:pPr>
        <w:pStyle w:val="ListBullet"/>
        <w:spacing w:after="120"/>
        <w:rPr>
          <w:noProof/>
        </w:rPr>
      </w:pPr>
      <w:r>
        <w:rPr>
          <w:b/>
          <w:noProof/>
        </w:rPr>
        <w:t>Training activities</w:t>
      </w:r>
      <w:r>
        <w:rPr>
          <w:noProof/>
        </w:rPr>
        <w:t>, for instance: staff exchanges, workshops, seminars, train-the-trainer events, including language training on legal terminology, and the development of online training tools or other training modules for members of the judiciary and judicial staff;</w:t>
      </w:r>
    </w:p>
    <w:p>
      <w:pPr>
        <w:pStyle w:val="ListBullet"/>
        <w:spacing w:after="120"/>
        <w:rPr>
          <w:b/>
          <w:noProof/>
        </w:rPr>
      </w:pPr>
      <w:r>
        <w:rPr>
          <w:b/>
          <w:noProof/>
        </w:rPr>
        <w:t xml:space="preserve">Actions to support the main actors </w:t>
      </w:r>
      <w:r>
        <w:rPr>
          <w:noProof/>
        </w:rPr>
        <w:t>whose activities contribute to the implementation of the objectives of the Programme, such as: support for Member States in the implementation of Union law and policies; support for key European actors and European-level networks, including in the field of judicial training; support for networking activities at European level among specialised bodies and entities as well as national, regional and local authorities and non-governmental organisations</w:t>
      </w:r>
      <w:r>
        <w:rPr>
          <w:rStyle w:val="FootnoteReference"/>
          <w:noProof/>
        </w:rPr>
        <w:footnoteReference w:id="15"/>
      </w:r>
      <w:r>
        <w:rPr>
          <w:noProof/>
        </w:rPr>
        <w:t>.</w:t>
      </w:r>
    </w:p>
    <w:p>
      <w:pPr>
        <w:spacing w:after="120" w:line="240" w:lineRule="auto"/>
        <w:jc w:val="both"/>
        <w:rPr>
          <w:rFonts w:ascii="Times New Roman" w:hAnsi="Times New Roman" w:cs="Times New Roman"/>
          <w:noProof/>
          <w:sz w:val="24"/>
          <w:szCs w:val="24"/>
          <w:lang w:val="en-GB" w:eastAsia="en-GB"/>
        </w:rPr>
      </w:pPr>
      <w:r>
        <w:rPr>
          <w:rFonts w:ascii="Times New Roman" w:hAnsi="Times New Roman" w:cs="Times New Roman"/>
          <w:noProof/>
          <w:sz w:val="24"/>
          <w:szCs w:val="24"/>
          <w:lang w:val="en-GB"/>
        </w:rPr>
        <w:t xml:space="preserve">The main </w:t>
      </w:r>
      <w:r>
        <w:rPr>
          <w:rFonts w:ascii="Times New Roman" w:hAnsi="Times New Roman" w:cs="Times New Roman"/>
          <w:b/>
          <w:noProof/>
          <w:sz w:val="24"/>
          <w:szCs w:val="24"/>
          <w:lang w:val="en-GB"/>
        </w:rPr>
        <w:t>stakeholders</w:t>
      </w:r>
      <w:r>
        <w:rPr>
          <w:rFonts w:ascii="Times New Roman" w:hAnsi="Times New Roman" w:cs="Times New Roman"/>
          <w:noProof/>
          <w:sz w:val="24"/>
          <w:szCs w:val="24"/>
          <w:lang w:val="en-GB"/>
        </w:rPr>
        <w:t xml:space="preserve">  eligible for support are: European networks active in the area of judicial cooperation; justice professionals; public or private organisations (usually non-profit-oriented, but in particular cases also profit-oriented organisations</w:t>
      </w:r>
      <w:r>
        <w:rPr>
          <w:rStyle w:val="FootnoteReference"/>
          <w:rFonts w:ascii="Times New Roman" w:hAnsi="Times New Roman" w:cs="Times New Roman"/>
          <w:noProof/>
          <w:sz w:val="24"/>
          <w:szCs w:val="24"/>
          <w:lang w:val="en-GB"/>
        </w:rPr>
        <w:footnoteReference w:id="16"/>
      </w:r>
      <w:r>
        <w:rPr>
          <w:rFonts w:ascii="Times New Roman" w:hAnsi="Times New Roman" w:cs="Times New Roman"/>
          <w:noProof/>
          <w:sz w:val="24"/>
          <w:szCs w:val="24"/>
          <w:lang w:val="en-GB"/>
        </w:rPr>
        <w:t>); national, regional and local authorities in EU Member States; non-governmental organisations; national judicial schools of individual Member States; universities and research institutions as well as international organisations active in the areas covered by the Programme</w:t>
      </w:r>
      <w:r>
        <w:rPr>
          <w:rFonts w:ascii="Times New Roman" w:hAnsi="Times New Roman" w:cs="Times New Roman"/>
          <w:b/>
          <w:noProof/>
          <w:sz w:val="24"/>
          <w:szCs w:val="24"/>
          <w:lang w:val="en-GB"/>
        </w:rPr>
        <w:t>.</w:t>
      </w:r>
      <w:r>
        <w:rPr>
          <w:rFonts w:ascii="Times New Roman" w:hAnsi="Times New Roman" w:cs="Times New Roman"/>
          <w:noProof/>
          <w:sz w:val="24"/>
          <w:szCs w:val="24"/>
          <w:lang w:val="en-GB" w:eastAsia="en-GB"/>
        </w:rPr>
        <w:t xml:space="preserve"> </w:t>
      </w:r>
    </w:p>
    <w:p>
      <w:pPr>
        <w:pStyle w:val="Body"/>
        <w:rPr>
          <w:rFonts w:ascii="Times New Roman" w:hAnsi="Times New Roman"/>
          <w:noProof/>
          <w:sz w:val="24"/>
          <w:szCs w:val="24"/>
        </w:rPr>
      </w:pPr>
      <w:r>
        <w:rPr>
          <w:rFonts w:ascii="Times New Roman" w:hAnsi="Times New Roman"/>
          <w:noProof/>
          <w:sz w:val="24"/>
          <w:szCs w:val="24"/>
        </w:rPr>
        <w:t xml:space="preserve">In terms of </w:t>
      </w:r>
      <w:r>
        <w:rPr>
          <w:rFonts w:ascii="Times New Roman" w:hAnsi="Times New Roman"/>
          <w:b/>
          <w:noProof/>
          <w:sz w:val="24"/>
          <w:szCs w:val="24"/>
        </w:rPr>
        <w:t>target groups</w:t>
      </w:r>
      <w:r>
        <w:rPr>
          <w:rFonts w:ascii="Times New Roman" w:hAnsi="Times New Roman"/>
          <w:noProof/>
          <w:sz w:val="24"/>
          <w:szCs w:val="24"/>
        </w:rPr>
        <w:t>, intended as the groups that can benefit directly or indirectly from the Programme, potentially all EU citizens are included, since the Programme aims at creating a European Area of Justice where all citizens are aware of and can exercise their rights. However, in particular, the Justice Programme covers: judicial practitioners, public authorities, universities, international organisations, non-governmental organisations and other research entities; companies undergoing insolvency or pre-insolvency proceedings; citizens accused or victim of a crime, families, consumers, minors, groups in need of specialised legal protection and subjects at risk of radicalisation. Additionally, specific calls support entrepreneurs in the single market and national drug awareness and prevention agencies</w:t>
      </w:r>
      <w:r>
        <w:rPr>
          <w:rStyle w:val="FootnoteReference"/>
          <w:rFonts w:ascii="Times New Roman" w:hAnsi="Times New Roman"/>
          <w:noProof/>
          <w:szCs w:val="24"/>
        </w:rPr>
        <w:footnoteReference w:id="17"/>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Justice Programme has </w:t>
      </w:r>
      <w:r>
        <w:rPr>
          <w:rFonts w:ascii="Times New Roman" w:hAnsi="Times New Roman" w:cs="Times New Roman"/>
          <w:b/>
          <w:noProof/>
          <w:sz w:val="24"/>
          <w:szCs w:val="24"/>
          <w:lang w:val="en-GB"/>
        </w:rPr>
        <w:t>three main funding mechanisms</w:t>
      </w:r>
      <w:r>
        <w:rPr>
          <w:rFonts w:ascii="Times New Roman" w:hAnsi="Times New Roman" w:cs="Times New Roman"/>
          <w:noProof/>
          <w:sz w:val="24"/>
          <w:szCs w:val="24"/>
          <w:lang w:val="en-GB"/>
        </w:rPr>
        <w:t>: action grants, operating grants and procurement actions</w:t>
      </w:r>
      <w:r>
        <w:rPr>
          <w:rStyle w:val="FootnoteReference"/>
          <w:rFonts w:ascii="Times New Roman" w:hAnsi="Times New Roman" w:cs="Times New Roman"/>
          <w:noProof/>
          <w:szCs w:val="24"/>
          <w:lang w:val="en-GB"/>
        </w:rPr>
        <w:footnoteReference w:id="18"/>
      </w:r>
      <w:r>
        <w:rPr>
          <w:rFonts w:ascii="Times New Roman" w:hAnsi="Times New Roman" w:cs="Times New Roman"/>
          <w:noProof/>
          <w:sz w:val="24"/>
          <w:szCs w:val="24"/>
          <w:lang w:val="en-GB"/>
        </w:rPr>
        <w:t xml:space="preserve">. </w:t>
      </w:r>
    </w:p>
    <w:p>
      <w:pPr>
        <w:pStyle w:val="ListBullet"/>
        <w:spacing w:after="120"/>
        <w:rPr>
          <w:noProof/>
        </w:rPr>
      </w:pPr>
      <w:r>
        <w:rPr>
          <w:b/>
          <w:noProof/>
        </w:rPr>
        <w:t>Action grants</w:t>
      </w:r>
      <w:r>
        <w:rPr>
          <w:noProof/>
        </w:rPr>
        <w:t xml:space="preserve"> are addressed to civil society organizations, to Member States authorities and universities; </w:t>
      </w:r>
    </w:p>
    <w:p>
      <w:pPr>
        <w:pStyle w:val="ListBullet"/>
        <w:spacing w:after="120"/>
        <w:rPr>
          <w:noProof/>
        </w:rPr>
      </w:pPr>
      <w:r>
        <w:rPr>
          <w:b/>
          <w:noProof/>
        </w:rPr>
        <w:t>Operating grants</w:t>
      </w:r>
      <w:r>
        <w:rPr>
          <w:noProof/>
        </w:rPr>
        <w:t xml:space="preserve"> ("support to Networks") fund mainly European networks active in the area of facilitating and supporting judicial cooperation in civil and/or criminal matters that have signed Framework Partnership Agreements with the Commission; </w:t>
      </w:r>
    </w:p>
    <w:p>
      <w:pPr>
        <w:pStyle w:val="ListBullet"/>
        <w:spacing w:after="120"/>
        <w:rPr>
          <w:noProof/>
        </w:rPr>
      </w:pPr>
      <w:r>
        <w:rPr>
          <w:rFonts w:eastAsia="Calibri"/>
          <w:b/>
          <w:noProof/>
        </w:rPr>
        <w:t xml:space="preserve">Procurement actions </w:t>
      </w:r>
      <w:r>
        <w:rPr>
          <w:rFonts w:eastAsia="Calibri"/>
          <w:noProof/>
        </w:rPr>
        <w:t>("Commission initiatives") fund mostly conferences, expert meetings, seminars, awareness-raising activities and studies, but also translation services and IT projects.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Programme intervention logic is outlined in the Figure 1.</w:t>
      </w:r>
    </w:p>
    <w:p>
      <w:pPr>
        <w:spacing w:after="120" w:line="240" w:lineRule="auto"/>
        <w:jc w:val="both"/>
        <w:rPr>
          <w:rFonts w:ascii="Times New Roman" w:hAnsi="Times New Roman" w:cs="Times New Roman"/>
          <w:noProof/>
          <w:sz w:val="24"/>
          <w:szCs w:val="24"/>
          <w:lang w:val="en-GB"/>
        </w:rPr>
      </w:pPr>
      <w:r>
        <w:rPr>
          <w:noProof/>
          <w:lang w:val="en-US"/>
        </w:rPr>
        <w:drawing>
          <wp:inline distT="0" distB="0" distL="0" distR="0">
            <wp:extent cx="5472430" cy="30676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72430" cy="3067649"/>
                    </a:xfrm>
                    <a:prstGeom prst="rect">
                      <a:avLst/>
                    </a:prstGeom>
                    <a:noFill/>
                  </pic:spPr>
                </pic:pic>
              </a:graphicData>
            </a:graphic>
          </wp:inline>
        </w:drawing>
      </w:r>
    </w:p>
    <w:p>
      <w:pPr>
        <w:spacing w:after="120" w:line="240" w:lineRule="auto"/>
        <w:jc w:val="both"/>
        <w:rPr>
          <w:rFonts w:ascii="Times New Roman" w:hAnsi="Times New Roman" w:cs="Times New Roman"/>
          <w:noProof/>
          <w:sz w:val="24"/>
          <w:szCs w:val="24"/>
          <w:lang w:val="en-GB"/>
        </w:rPr>
      </w:pPr>
    </w:p>
    <w:p>
      <w:pPr>
        <w:spacing w:after="120" w:line="240" w:lineRule="auto"/>
        <w:jc w:val="both"/>
        <w:rPr>
          <w:rFonts w:ascii="Times New Roman" w:hAnsi="Times New Roman" w:cs="Times New Roman"/>
          <w:noProof/>
          <w:sz w:val="24"/>
          <w:szCs w:val="24"/>
          <w:highlight w:val="yellow"/>
          <w:lang w:val="en-GB"/>
        </w:rPr>
      </w:pPr>
      <w:r>
        <w:rPr>
          <w:rFonts w:ascii="Times New Roman" w:eastAsia="Times New Roman" w:hAnsi="Times New Roman" w:cs="Times New Roman"/>
          <w:b/>
          <w:noProof/>
          <w:sz w:val="24"/>
          <w:szCs w:val="24"/>
          <w:lang w:val="en-GB"/>
        </w:rPr>
        <w:t>External factors could influence the Programme's outcomes</w:t>
      </w:r>
      <w:r>
        <w:rPr>
          <w:rFonts w:ascii="Times New Roman" w:eastAsia="Times New Roman" w:hAnsi="Times New Roman" w:cs="Times New Roman"/>
          <w:noProof/>
          <w:sz w:val="24"/>
          <w:szCs w:val="24"/>
          <w:lang w:val="en-GB"/>
        </w:rPr>
        <w:t xml:space="preserve"> and make challenging to identify changes as a result of its intervention. In particular, the economic crisis has led to a lack of interest on the part of public sector stakeholders in the areas covered by the Programme (particularly in the field of access to justice) and, therefore, to a related reduction of national funding for the justice systems. This is more accentuated in certain Member States where the</w:t>
      </w:r>
      <w:r>
        <w:rPr>
          <w:rFonts w:ascii="Times New Roman" w:hAnsi="Times New Roman" w:cs="Times New Roman"/>
          <w:noProof/>
          <w:color w:val="000000"/>
          <w:sz w:val="24"/>
          <w:szCs w:val="24"/>
          <w:lang w:val="en-GB" w:eastAsia="en-GB"/>
        </w:rPr>
        <w:t xml:space="preserve"> political climate is less supportive</w:t>
      </w:r>
      <w:r>
        <w:rPr>
          <w:rStyle w:val="FootnoteReference"/>
          <w:rFonts w:ascii="Times New Roman" w:hAnsi="Times New Roman" w:cs="Times New Roman"/>
          <w:noProof/>
          <w:color w:val="000000"/>
          <w:szCs w:val="24"/>
          <w:lang w:val="en-GB" w:eastAsia="en-GB"/>
        </w:rPr>
        <w:footnoteReference w:id="19"/>
      </w:r>
      <w:r>
        <w:rPr>
          <w:rFonts w:ascii="Times New Roman" w:eastAsia="Times New Roman" w:hAnsi="Times New Roman" w:cs="Times New Roman"/>
          <w:noProof/>
          <w:sz w:val="24"/>
          <w:szCs w:val="24"/>
          <w:lang w:val="en-GB"/>
        </w:rPr>
        <w:t>. Also</w:t>
      </w:r>
      <w:r>
        <w:rPr>
          <w:rFonts w:ascii="Times New Roman" w:eastAsia="Times New Roman" w:hAnsi="Times New Roman" w:cs="Times New Roman"/>
          <w:noProof/>
          <w:sz w:val="24"/>
          <w:szCs w:val="24"/>
          <w:vertAlign w:val="superscript"/>
          <w:lang w:val="en-GB"/>
        </w:rPr>
        <w:t xml:space="preserve"> </w:t>
      </w:r>
      <w:r>
        <w:rPr>
          <w:rFonts w:ascii="Times New Roman" w:eastAsia="Times New Roman" w:hAnsi="Times New Roman" w:cs="Times New Roman"/>
          <w:noProof/>
          <w:sz w:val="24"/>
          <w:szCs w:val="24"/>
          <w:lang w:val="en-GB"/>
        </w:rPr>
        <w:t>t</w:t>
      </w:r>
      <w:r>
        <w:rPr>
          <w:rFonts w:ascii="Times New Roman" w:eastAsia="Calibri" w:hAnsi="Times New Roman" w:cs="Times New Roman"/>
          <w:noProof/>
          <w:sz w:val="24"/>
          <w:szCs w:val="24"/>
          <w:lang w:val="en-GB"/>
        </w:rPr>
        <w:t>he</w:t>
      </w:r>
      <w:r>
        <w:rPr>
          <w:rFonts w:ascii="Times New Roman" w:hAnsi="Times New Roman" w:cs="Times New Roman"/>
          <w:noProof/>
          <w:sz w:val="24"/>
          <w:szCs w:val="24"/>
          <w:lang w:val="en-GB"/>
        </w:rPr>
        <w:t xml:space="preserve"> uneven pace at which </w:t>
      </w:r>
      <w:r>
        <w:rPr>
          <w:rFonts w:ascii="Times New Roman" w:eastAsia="Times New Roman" w:hAnsi="Times New Roman" w:cs="Times New Roman"/>
          <w:noProof/>
          <w:sz w:val="24"/>
          <w:szCs w:val="24"/>
          <w:lang w:val="en-GB"/>
        </w:rPr>
        <w:t>Member States</w:t>
      </w:r>
      <w:r>
        <w:rPr>
          <w:rFonts w:ascii="Times New Roman" w:hAnsi="Times New Roman" w:cs="Times New Roman"/>
          <w:noProof/>
          <w:sz w:val="24"/>
          <w:szCs w:val="24"/>
          <w:lang w:val="en-GB"/>
        </w:rPr>
        <w:t xml:space="preserve"> incorporate the </w:t>
      </w:r>
      <w:r>
        <w:rPr>
          <w:rFonts w:ascii="Times New Roman" w:hAnsi="Times New Roman" w:cs="Times New Roman"/>
          <w:i/>
          <w:noProof/>
          <w:sz w:val="24"/>
          <w:szCs w:val="24"/>
          <w:lang w:val="en-GB"/>
        </w:rPr>
        <w:t>EU acquis</w:t>
      </w:r>
      <w:r>
        <w:rPr>
          <w:rFonts w:ascii="Times New Roman" w:hAnsi="Times New Roman" w:cs="Times New Roman"/>
          <w:noProof/>
          <w:sz w:val="24"/>
          <w:szCs w:val="24"/>
          <w:lang w:val="en-GB"/>
        </w:rPr>
        <w:t xml:space="preserve"> in their national legislations is a </w:t>
      </w:r>
      <w:r>
        <w:rPr>
          <w:rFonts w:ascii="Times New Roman" w:eastAsia="Calibri" w:hAnsi="Times New Roman" w:cs="Times New Roman"/>
          <w:noProof/>
          <w:sz w:val="24"/>
          <w:szCs w:val="24"/>
          <w:lang w:val="en-GB"/>
        </w:rPr>
        <w:t>factor influencing the performance of the Programme</w:t>
      </w:r>
      <w:r>
        <w:rPr>
          <w:rStyle w:val="FootnoteReference"/>
          <w:rFonts w:ascii="Times New Roman" w:eastAsia="Calibri" w:hAnsi="Times New Roman" w:cs="Times New Roman"/>
          <w:noProof/>
          <w:szCs w:val="24"/>
          <w:lang w:val="en-GB"/>
        </w:rPr>
        <w:footnoteReference w:id="20"/>
      </w:r>
      <w:r>
        <w:rPr>
          <w:rFonts w:ascii="Times New Roman" w:hAnsi="Times New Roman" w:cs="Times New Roman"/>
          <w:noProof/>
          <w:sz w:val="24"/>
          <w:szCs w:val="24"/>
          <w:lang w:val="en-GB"/>
        </w:rPr>
        <w:t>.</w:t>
      </w:r>
      <w:r>
        <w:rPr>
          <w:rFonts w:ascii="Times New Roman" w:eastAsia="Times New Roman" w:hAnsi="Times New Roman" w:cs="Times New Roman"/>
          <w:noProof/>
          <w:sz w:val="24"/>
          <w:szCs w:val="24"/>
          <w:lang w:val="en-GB"/>
        </w:rPr>
        <w:t xml:space="preserve"> </w:t>
      </w:r>
    </w:p>
    <w:p>
      <w:pPr>
        <w:widowControl w:val="0"/>
        <w:autoSpaceDE w:val="0"/>
        <w:autoSpaceDN w:val="0"/>
        <w:adjustRightInd w:val="0"/>
        <w:spacing w:after="120" w:line="240" w:lineRule="auto"/>
        <w:jc w:val="both"/>
        <w:rPr>
          <w:rFonts w:ascii="Times New Roman" w:eastAsia="Times New Roman" w:hAnsi="Times New Roman" w:cs="Times New Roman"/>
          <w:b/>
          <w:noProof/>
          <w:sz w:val="24"/>
          <w:szCs w:val="24"/>
          <w:u w:color="0000EE"/>
          <w:lang w:val="en-GB"/>
        </w:rPr>
      </w:pPr>
      <w:r>
        <w:rPr>
          <w:rFonts w:ascii="Times New Roman" w:eastAsia="Times New Roman" w:hAnsi="Times New Roman" w:cs="Times New Roman"/>
          <w:b/>
          <w:noProof/>
          <w:sz w:val="24"/>
          <w:szCs w:val="24"/>
          <w:u w:color="0000EE"/>
          <w:lang w:val="en-GB"/>
        </w:rPr>
        <w:t>Baseline and points of comparison</w:t>
      </w:r>
    </w:p>
    <w:p>
      <w:pPr>
        <w:widowControl w:val="0"/>
        <w:autoSpaceDE w:val="0"/>
        <w:autoSpaceDN w:val="0"/>
        <w:adjustRightInd w:val="0"/>
        <w:spacing w:after="120" w:line="240" w:lineRule="auto"/>
        <w:jc w:val="both"/>
        <w:rPr>
          <w:rFonts w:ascii="Times New Roman" w:eastAsia="Times New Roman" w:hAnsi="Times New Roman" w:cs="Times New Roman"/>
          <w:noProof/>
          <w:sz w:val="24"/>
          <w:szCs w:val="24"/>
          <w:u w:color="0000EE"/>
          <w:lang w:val="en-GB"/>
        </w:rPr>
      </w:pPr>
      <w:r>
        <w:rPr>
          <w:rFonts w:ascii="Times New Roman" w:eastAsia="Times New Roman" w:hAnsi="Times New Roman" w:cs="Times New Roman"/>
          <w:noProof/>
          <w:sz w:val="24"/>
          <w:szCs w:val="24"/>
          <w:u w:color="0000EE"/>
          <w:lang w:val="en-GB"/>
        </w:rPr>
        <w:t>The interim evaluation assessed the Justice Programme performance starting from the situation described in the 2011 Impact Assessment</w:t>
      </w:r>
      <w:r>
        <w:rPr>
          <w:rFonts w:ascii="Times New Roman" w:eastAsia="Times New Roman" w:hAnsi="Times New Roman" w:cs="Times New Roman"/>
          <w:noProof/>
          <w:sz w:val="24"/>
          <w:szCs w:val="24"/>
          <w:u w:color="0000EE"/>
          <w:vertAlign w:val="superscript"/>
          <w:lang w:val="en-GB"/>
        </w:rPr>
        <w:footnoteReference w:id="21"/>
      </w:r>
      <w:r>
        <w:rPr>
          <w:rFonts w:ascii="Times New Roman" w:eastAsia="Times New Roman" w:hAnsi="Times New Roman" w:cs="Times New Roman"/>
          <w:noProof/>
          <w:sz w:val="24"/>
          <w:szCs w:val="24"/>
          <w:u w:color="0000EE"/>
          <w:lang w:val="en-GB"/>
        </w:rPr>
        <w:t xml:space="preserve"> and in the ex-post evaluation of 2007-2013, concerning the three predecessors programmes (</w:t>
      </w:r>
      <w:r>
        <w:rPr>
          <w:rFonts w:ascii="Times New Roman" w:hAnsi="Times New Roman" w:cs="Times New Roman"/>
          <w:noProof/>
          <w:sz w:val="24"/>
          <w:szCs w:val="24"/>
          <w:lang w:val="en-GB"/>
        </w:rPr>
        <w:t>Civil justice programme, the Criminal justice programme and the Drug prevention and information programme</w:t>
      </w:r>
      <w:r>
        <w:rPr>
          <w:rFonts w:ascii="Times New Roman" w:eastAsia="Times New Roman" w:hAnsi="Times New Roman" w:cs="Times New Roman"/>
          <w:noProof/>
          <w:sz w:val="24"/>
          <w:szCs w:val="24"/>
          <w:u w:color="0000EE"/>
          <w:lang w:val="en-GB"/>
        </w:rPr>
        <w:t>), carried out in 2015</w:t>
      </w:r>
      <w:r>
        <w:rPr>
          <w:rFonts w:ascii="Times New Roman" w:eastAsia="Times New Roman" w:hAnsi="Times New Roman" w:cs="Times New Roman"/>
          <w:noProof/>
          <w:sz w:val="24"/>
          <w:szCs w:val="24"/>
          <w:u w:color="0000EE"/>
          <w:vertAlign w:val="superscript"/>
          <w:lang w:val="en-GB"/>
        </w:rPr>
        <w:footnoteReference w:id="22"/>
      </w:r>
      <w:r>
        <w:rPr>
          <w:rFonts w:ascii="Times New Roman" w:eastAsia="Times New Roman" w:hAnsi="Times New Roman" w:cs="Times New Roman"/>
          <w:noProof/>
          <w:sz w:val="24"/>
          <w:szCs w:val="24"/>
          <w:u w:color="0000EE"/>
          <w:lang w:val="en-GB"/>
        </w:rPr>
        <w:t xml:space="preserve">. </w:t>
      </w:r>
    </w:p>
    <w:p>
      <w:pPr>
        <w:widowControl w:val="0"/>
        <w:autoSpaceDE w:val="0"/>
        <w:autoSpaceDN w:val="0"/>
        <w:adjustRightInd w:val="0"/>
        <w:spacing w:after="120" w:line="240" w:lineRule="auto"/>
        <w:jc w:val="both"/>
        <w:rPr>
          <w:rFonts w:ascii="Times New Roman" w:eastAsia="Times New Roman" w:hAnsi="Times New Roman" w:cs="Times New Roman"/>
          <w:noProof/>
          <w:sz w:val="24"/>
          <w:szCs w:val="24"/>
          <w:u w:color="0000EE"/>
          <w:lang w:val="en-GB"/>
        </w:rPr>
      </w:pPr>
      <w:r>
        <w:rPr>
          <w:rFonts w:ascii="Times New Roman" w:eastAsia="Times New Roman" w:hAnsi="Times New Roman" w:cs="Times New Roman"/>
          <w:noProof/>
          <w:sz w:val="24"/>
          <w:szCs w:val="24"/>
          <w:u w:color="0000EE"/>
          <w:lang w:val="en-GB"/>
        </w:rPr>
        <w:t xml:space="preserve">These documents contain the baselines and main points of comparison for measuring the Programme’s achievements during the reporting period. </w:t>
      </w:r>
    </w:p>
    <w:p>
      <w:pPr>
        <w:widowControl w:val="0"/>
        <w:autoSpaceDE w:val="0"/>
        <w:autoSpaceDN w:val="0"/>
        <w:adjustRightInd w:val="0"/>
        <w:spacing w:after="120" w:line="240" w:lineRule="auto"/>
        <w:jc w:val="both"/>
        <w:rPr>
          <w:rFonts w:ascii="Times New Roman" w:eastAsia="Times New Roman" w:hAnsi="Times New Roman" w:cs="Times New Roman"/>
          <w:noProof/>
          <w:sz w:val="24"/>
          <w:szCs w:val="24"/>
          <w:u w:color="0000EE"/>
          <w:lang w:val="en-GB"/>
        </w:rPr>
      </w:pPr>
      <w:r>
        <w:rPr>
          <w:rFonts w:ascii="Times New Roman" w:hAnsi="Times New Roman" w:cs="Times New Roman"/>
          <w:noProof/>
          <w:sz w:val="24"/>
          <w:szCs w:val="24"/>
          <w:lang w:val="en-GB"/>
        </w:rPr>
        <w:t xml:space="preserve">The baseline analysis showed that, if no changes had been made between the 2007-13 and 2014-20 programming period, the three previous programmes would have continued to be successfully implemented, but at a reduced potential in particular due to: </w:t>
      </w:r>
      <w:r>
        <w:rPr>
          <w:rFonts w:ascii="Times New Roman" w:hAnsi="Times New Roman" w:cs="Times New Roman"/>
          <w:b/>
          <w:noProof/>
          <w:sz w:val="24"/>
          <w:szCs w:val="24"/>
          <w:lang w:val="en-GB"/>
        </w:rPr>
        <w:t>1.</w:t>
      </w:r>
      <w:r>
        <w:rPr>
          <w:rFonts w:ascii="Times New Roman" w:hAnsi="Times New Roman" w:cs="Times New Roman"/>
          <w:noProof/>
          <w:sz w:val="24"/>
          <w:szCs w:val="24"/>
          <w:lang w:val="en-GB"/>
        </w:rPr>
        <w:t xml:space="preserve"> The lack of flexibility in the funding instruments which did not reflect the pace of change and reform in this policy area; </w:t>
      </w:r>
      <w:r>
        <w:rPr>
          <w:rFonts w:ascii="Times New Roman" w:hAnsi="Times New Roman" w:cs="Times New Roman"/>
          <w:b/>
          <w:noProof/>
          <w:sz w:val="24"/>
          <w:szCs w:val="24"/>
          <w:lang w:val="en-GB"/>
        </w:rPr>
        <w:t>2.</w:t>
      </w:r>
      <w:r>
        <w:rPr>
          <w:rFonts w:ascii="Times New Roman" w:hAnsi="Times New Roman" w:cs="Times New Roman"/>
          <w:noProof/>
          <w:sz w:val="24"/>
          <w:szCs w:val="24"/>
          <w:lang w:val="en-GB"/>
        </w:rPr>
        <w:t xml:space="preserve"> The fragmentation of funding that reduced the capacity of the programmes to deliver results in horizontal and cross-cutting issues; and </w:t>
      </w:r>
      <w:r>
        <w:rPr>
          <w:rFonts w:ascii="Times New Roman" w:hAnsi="Times New Roman" w:cs="Times New Roman"/>
          <w:b/>
          <w:noProof/>
          <w:sz w:val="24"/>
          <w:szCs w:val="24"/>
          <w:lang w:val="en-GB"/>
        </w:rPr>
        <w:t>3.</w:t>
      </w:r>
      <w:r>
        <w:rPr>
          <w:rFonts w:ascii="Times New Roman" w:hAnsi="Times New Roman" w:cs="Times New Roman"/>
          <w:noProof/>
          <w:sz w:val="24"/>
          <w:szCs w:val="24"/>
          <w:lang w:val="en-GB"/>
        </w:rPr>
        <w:t xml:space="preserve"> The elevated number of different funding instruments which increased the administrative burden.</w:t>
      </w:r>
    </w:p>
    <w:p>
      <w:pPr>
        <w:widowControl w:val="0"/>
        <w:autoSpaceDE w:val="0"/>
        <w:autoSpaceDN w:val="0"/>
        <w:adjustRightInd w:val="0"/>
        <w:spacing w:after="120" w:line="240" w:lineRule="auto"/>
        <w:jc w:val="both"/>
        <w:rPr>
          <w:rFonts w:ascii="Times New Roman" w:eastAsia="Times New Roman" w:hAnsi="Times New Roman" w:cs="Times New Roman"/>
          <w:noProof/>
          <w:sz w:val="24"/>
          <w:szCs w:val="24"/>
          <w:u w:color="0000EE"/>
          <w:lang w:val="en-GB"/>
        </w:rPr>
      </w:pPr>
      <w:r>
        <w:rPr>
          <w:rFonts w:ascii="Times New Roman" w:eastAsia="Times New Roman" w:hAnsi="Times New Roman" w:cs="Times New Roman"/>
          <w:noProof/>
          <w:sz w:val="24"/>
          <w:szCs w:val="24"/>
          <w:u w:color="0000EE"/>
          <w:lang w:val="en-GB"/>
        </w:rPr>
        <w:t>Given these difficulties, the Impact Assessment suggested the option to consolidate the three programmes in the current Justice Programme.</w:t>
      </w:r>
    </w:p>
    <w:p>
      <w:pPr>
        <w:widowControl w:val="0"/>
        <w:autoSpaceDE w:val="0"/>
        <w:autoSpaceDN w:val="0"/>
        <w:adjustRightInd w:val="0"/>
        <w:spacing w:after="120" w:line="240" w:lineRule="auto"/>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u w:color="0000EE"/>
          <w:lang w:val="en-GB"/>
        </w:rPr>
        <w:t xml:space="preserve">This possibility was assessed in terms of its </w:t>
      </w:r>
      <w:r>
        <w:rPr>
          <w:rFonts w:ascii="Times New Roman" w:hAnsi="Times New Roman" w:cs="Times New Roman"/>
          <w:noProof/>
          <w:sz w:val="24"/>
          <w:szCs w:val="24"/>
          <w:lang w:val="en-GB"/>
        </w:rPr>
        <w:t xml:space="preserve">relevance/scope, effectiveness, complementarity, European added value, efficiency and potential for simplification. </w:t>
      </w:r>
      <w:r>
        <w:rPr>
          <w:rFonts w:ascii="Times New Roman" w:eastAsia="Times New Roman" w:hAnsi="Times New Roman" w:cs="Times New Roman"/>
          <w:noProof/>
          <w:sz w:val="24"/>
          <w:szCs w:val="24"/>
          <w:u w:color="0000EE"/>
          <w:lang w:val="en-GB"/>
        </w:rPr>
        <w:t>Since the option to proceed with only one programme was undertaken, t</w:t>
      </w:r>
      <w:r>
        <w:rPr>
          <w:rFonts w:ascii="Times New Roman" w:hAnsi="Times New Roman" w:cs="Times New Roman"/>
          <w:noProof/>
          <w:sz w:val="24"/>
          <w:szCs w:val="24"/>
          <w:lang w:val="en-GB"/>
        </w:rPr>
        <w:t xml:space="preserve">he findings of the </w:t>
      </w:r>
      <w:r>
        <w:rPr>
          <w:rFonts w:ascii="Times New Roman" w:eastAsia="Times New Roman" w:hAnsi="Times New Roman" w:cs="Times New Roman"/>
          <w:noProof/>
          <w:sz w:val="24"/>
          <w:szCs w:val="24"/>
          <w:u w:color="0000EE"/>
          <w:lang w:val="en-GB"/>
        </w:rPr>
        <w:t>Impact Assessment</w:t>
      </w:r>
      <w:r>
        <w:rPr>
          <w:rFonts w:ascii="Times New Roman" w:hAnsi="Times New Roman" w:cs="Times New Roman"/>
          <w:noProof/>
          <w:sz w:val="24"/>
          <w:szCs w:val="24"/>
          <w:lang w:val="en-GB"/>
        </w:rPr>
        <w:t xml:space="preserve">, together with the recommendations of </w:t>
      </w:r>
      <w:r>
        <w:rPr>
          <w:rFonts w:ascii="Times New Roman" w:eastAsia="Times New Roman" w:hAnsi="Times New Roman" w:cs="Times New Roman"/>
          <w:noProof/>
          <w:sz w:val="24"/>
          <w:szCs w:val="24"/>
          <w:u w:color="0000EE"/>
          <w:lang w:val="en-GB"/>
        </w:rPr>
        <w:t>the ex-post evaluations of 2007-2013,</w:t>
      </w:r>
      <w:r>
        <w:rPr>
          <w:rFonts w:ascii="Times New Roman" w:hAnsi="Times New Roman" w:cs="Times New Roman"/>
          <w:noProof/>
          <w:sz w:val="24"/>
          <w:szCs w:val="24"/>
          <w:lang w:val="en-GB"/>
        </w:rPr>
        <w:t xml:space="preserve"> provide a useful baseline to verify whether the current Justice Programme achieved its expected goals.</w:t>
      </w:r>
    </w:p>
    <w:p>
      <w:pPr>
        <w:keepNext/>
        <w:tabs>
          <w:tab w:val="num" w:pos="1200"/>
        </w:tabs>
        <w:spacing w:after="120" w:line="240" w:lineRule="auto"/>
        <w:outlineLvl w:val="1"/>
        <w:rPr>
          <w:rFonts w:ascii="Times New Roman" w:eastAsia="Times New Roman" w:hAnsi="Times New Roman" w:cs="Times New Roman"/>
          <w:b/>
          <w:noProof/>
          <w:sz w:val="24"/>
          <w:szCs w:val="20"/>
          <w:lang w:val="en-GB"/>
        </w:rPr>
      </w:pPr>
      <w:r>
        <w:rPr>
          <w:rFonts w:ascii="Times New Roman" w:eastAsia="Times New Roman" w:hAnsi="Times New Roman" w:cs="Times New Roman"/>
          <w:b/>
          <w:noProof/>
          <w:sz w:val="24"/>
          <w:szCs w:val="20"/>
          <w:lang w:val="en-GB"/>
        </w:rPr>
        <w:t>Follow-up on the ex-post evaluation report of the period 2007-2013</w:t>
      </w:r>
    </w:p>
    <w:p>
      <w:pPr>
        <w:widowControl w:val="0"/>
        <w:autoSpaceDE w:val="0"/>
        <w:autoSpaceDN w:val="0"/>
        <w:adjustRightInd w:val="0"/>
        <w:spacing w:after="120" w:line="240" w:lineRule="auto"/>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u w:color="0000EE"/>
          <w:lang w:val="en-GB"/>
        </w:rPr>
        <w:t xml:space="preserve">All the ex-post evaluation reports concerning the previous funding programmes confirmed their overall effectiveness and highlighted that their specific objectives and priorities </w:t>
      </w:r>
      <w:r>
        <w:rPr>
          <w:rFonts w:ascii="Times New Roman" w:hAnsi="Times New Roman" w:cs="Times New Roman"/>
          <w:noProof/>
          <w:color w:val="000000"/>
          <w:sz w:val="24"/>
          <w:szCs w:val="24"/>
          <w:lang w:val="en-GB"/>
        </w:rPr>
        <w:t>were largely specific, attainable and realistic, but not always measurable</w:t>
      </w:r>
      <w:r>
        <w:rPr>
          <w:rFonts w:ascii="Times New Roman" w:eastAsia="Times New Roman" w:hAnsi="Times New Roman" w:cs="Times New Roman"/>
          <w:noProof/>
          <w:sz w:val="24"/>
          <w:szCs w:val="24"/>
          <w:u w:color="0000EE"/>
          <w:lang w:val="en-GB"/>
        </w:rPr>
        <w:t xml:space="preserve">. </w:t>
      </w:r>
      <w:r>
        <w:rPr>
          <w:rFonts w:ascii="Times New Roman" w:hAnsi="Times New Roman" w:cs="Times New Roman"/>
          <w:noProof/>
          <w:sz w:val="24"/>
          <w:szCs w:val="24"/>
          <w:lang w:val="en-GB"/>
        </w:rPr>
        <w:t xml:space="preserve">Indicators, allowing the measuring of progress toward the attainment of the specific objectives, were not included. </w:t>
      </w:r>
    </w:p>
    <w:p>
      <w:pPr>
        <w:widowControl w:val="0"/>
        <w:autoSpaceDE w:val="0"/>
        <w:autoSpaceDN w:val="0"/>
        <w:adjustRightInd w:val="0"/>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Moreover, </w:t>
      </w:r>
      <w:r>
        <w:rPr>
          <w:rFonts w:ascii="Times New Roman" w:eastAsia="Times New Roman" w:hAnsi="Times New Roman" w:cs="Times New Roman"/>
          <w:noProof/>
          <w:sz w:val="24"/>
          <w:szCs w:val="24"/>
          <w:u w:color="0000EE"/>
          <w:lang w:val="en-GB"/>
        </w:rPr>
        <w:t>the reports pointed out the need to make improvements on other issues which could have increased the impact, added value, effectiveness and efficiency in delivering result of the programmes.</w:t>
      </w:r>
      <w:r>
        <w:rPr>
          <w:rFonts w:ascii="Times New Roman" w:hAnsi="Times New Roman" w:cs="Times New Roman"/>
          <w:noProof/>
          <w:sz w:val="24"/>
          <w:szCs w:val="24"/>
          <w:lang w:val="en-GB"/>
        </w:rPr>
        <w:t xml:space="preserve"> </w:t>
      </w:r>
      <w:r>
        <w:rPr>
          <w:rFonts w:ascii="Times New Roman" w:eastAsia="Times New Roman" w:hAnsi="Times New Roman" w:cs="Times New Roman"/>
          <w:noProof/>
          <w:sz w:val="24"/>
          <w:szCs w:val="24"/>
          <w:u w:color="0000EE"/>
          <w:lang w:val="en-GB"/>
        </w:rPr>
        <w:t xml:space="preserve">In particular, </w:t>
      </w:r>
      <w:r>
        <w:rPr>
          <w:rFonts w:ascii="Times New Roman" w:hAnsi="Times New Roman" w:cs="Times New Roman"/>
          <w:noProof/>
          <w:sz w:val="24"/>
          <w:szCs w:val="24"/>
          <w:lang w:val="en-GB"/>
        </w:rPr>
        <w:t xml:space="preserve">the reports have identified the following </w:t>
      </w:r>
      <w:r>
        <w:rPr>
          <w:rFonts w:ascii="Times New Roman" w:hAnsi="Times New Roman" w:cs="Times New Roman"/>
          <w:b/>
          <w:noProof/>
          <w:sz w:val="24"/>
          <w:szCs w:val="24"/>
          <w:lang w:val="en-GB"/>
        </w:rPr>
        <w:t>needs common to the three programmes</w:t>
      </w:r>
      <w:r>
        <w:rPr>
          <w:rFonts w:ascii="Times New Roman" w:hAnsi="Times New Roman" w:cs="Times New Roman"/>
          <w:noProof/>
          <w:sz w:val="24"/>
          <w:szCs w:val="24"/>
          <w:lang w:val="en-GB"/>
        </w:rPr>
        <w:t xml:space="preserve">: </w:t>
      </w:r>
    </w:p>
    <w:p>
      <w:pPr>
        <w:widowControl w:val="0"/>
        <w:autoSpaceDE w:val="0"/>
        <w:autoSpaceDN w:val="0"/>
        <w:adjustRightInd w:val="0"/>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1.</w:t>
      </w:r>
      <w:r>
        <w:rPr>
          <w:rFonts w:ascii="Times New Roman" w:hAnsi="Times New Roman" w:cs="Times New Roman"/>
          <w:noProof/>
          <w:sz w:val="24"/>
          <w:szCs w:val="24"/>
          <w:lang w:val="en-GB"/>
        </w:rPr>
        <w:t xml:space="preserve"> </w:t>
      </w:r>
      <w:r>
        <w:rPr>
          <w:rFonts w:ascii="Times New Roman" w:hAnsi="Times New Roman" w:cs="Times New Roman"/>
          <w:b/>
          <w:noProof/>
          <w:color w:val="000000"/>
          <w:sz w:val="24"/>
          <w:szCs w:val="24"/>
          <w:lang w:val="en-GB"/>
        </w:rPr>
        <w:t>Better definition of the priorities</w:t>
      </w:r>
      <w:r>
        <w:rPr>
          <w:rFonts w:ascii="Times New Roman" w:hAnsi="Times New Roman" w:cs="Times New Roman"/>
          <w:noProof/>
          <w:color w:val="000000"/>
          <w:sz w:val="24"/>
          <w:szCs w:val="24"/>
          <w:lang w:val="en-GB"/>
        </w:rPr>
        <w:t xml:space="preserve"> in order to ensure that they can be adequately achieved within an earmarked budget;</w:t>
      </w:r>
      <w:r>
        <w:rPr>
          <w:rFonts w:ascii="Times New Roman" w:hAnsi="Times New Roman" w:cs="Times New Roman"/>
          <w:noProof/>
          <w:sz w:val="24"/>
          <w:szCs w:val="24"/>
          <w:lang w:val="en-GB"/>
        </w:rPr>
        <w:t xml:space="preserve"> </w:t>
      </w:r>
    </w:p>
    <w:p>
      <w:pPr>
        <w:widowControl w:val="0"/>
        <w:autoSpaceDE w:val="0"/>
        <w:autoSpaceDN w:val="0"/>
        <w:adjustRightInd w:val="0"/>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b/>
          <w:noProof/>
          <w:sz w:val="24"/>
          <w:szCs w:val="24"/>
          <w:lang w:val="en-GB"/>
        </w:rPr>
        <w:t>2.</w:t>
      </w:r>
      <w:r>
        <w:rPr>
          <w:rFonts w:ascii="Times New Roman" w:hAnsi="Times New Roman" w:cs="Times New Roman"/>
          <w:noProof/>
          <w:sz w:val="24"/>
          <w:szCs w:val="24"/>
          <w:lang w:val="en-GB"/>
        </w:rPr>
        <w:t xml:space="preserve"> </w:t>
      </w:r>
      <w:r>
        <w:rPr>
          <w:rFonts w:ascii="Times New Roman" w:hAnsi="Times New Roman" w:cs="Times New Roman"/>
          <w:b/>
          <w:noProof/>
          <w:color w:val="000000"/>
          <w:sz w:val="24"/>
          <w:szCs w:val="24"/>
          <w:lang w:val="en-GB"/>
        </w:rPr>
        <w:t>Realistic assessments of project risks and better risk mitigation strategies</w:t>
      </w:r>
      <w:r>
        <w:rPr>
          <w:rFonts w:ascii="Times New Roman" w:hAnsi="Times New Roman" w:cs="Times New Roman"/>
          <w:noProof/>
          <w:color w:val="000000"/>
          <w:sz w:val="24"/>
          <w:szCs w:val="24"/>
          <w:lang w:val="en-GB"/>
        </w:rPr>
        <w:t xml:space="preserve"> throughout the projects duration; </w:t>
      </w:r>
    </w:p>
    <w:p>
      <w:pPr>
        <w:widowControl w:val="0"/>
        <w:autoSpaceDE w:val="0"/>
        <w:autoSpaceDN w:val="0"/>
        <w:adjustRightInd w:val="0"/>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color w:val="000000"/>
          <w:sz w:val="24"/>
          <w:szCs w:val="24"/>
          <w:lang w:val="en-GB"/>
        </w:rPr>
        <w:t>3.</w:t>
      </w:r>
      <w:r>
        <w:rPr>
          <w:rFonts w:ascii="Times New Roman" w:hAnsi="Times New Roman" w:cs="Times New Roman"/>
          <w:noProof/>
          <w:color w:val="000000"/>
          <w:sz w:val="24"/>
          <w:szCs w:val="24"/>
          <w:lang w:val="en-GB"/>
        </w:rPr>
        <w:t xml:space="preserve"> </w:t>
      </w:r>
      <w:r>
        <w:rPr>
          <w:rFonts w:ascii="Times New Roman" w:hAnsi="Times New Roman" w:cs="Times New Roman"/>
          <w:b/>
          <w:noProof/>
          <w:sz w:val="24"/>
          <w:szCs w:val="24"/>
          <w:lang w:val="en-GB"/>
        </w:rPr>
        <w:t xml:space="preserve">Increase focus on assessment of impacts at all levels </w:t>
      </w:r>
      <w:r>
        <w:rPr>
          <w:rFonts w:ascii="Times New Roman" w:hAnsi="Times New Roman" w:cs="Times New Roman"/>
          <w:noProof/>
          <w:sz w:val="24"/>
          <w:szCs w:val="24"/>
          <w:lang w:val="en-GB"/>
        </w:rPr>
        <w:t xml:space="preserve">and not merely on outputs, as regards monitoring and evaluation; </w:t>
      </w:r>
    </w:p>
    <w:p>
      <w:pPr>
        <w:widowControl w:val="0"/>
        <w:autoSpaceDE w:val="0"/>
        <w:autoSpaceDN w:val="0"/>
        <w:adjustRightInd w:val="0"/>
        <w:spacing w:after="120" w:line="240" w:lineRule="auto"/>
        <w:jc w:val="both"/>
        <w:rPr>
          <w:rFonts w:ascii="Times New Roman" w:hAnsi="Times New Roman" w:cs="Times New Roman"/>
          <w:noProof/>
          <w:color w:val="000000"/>
          <w:sz w:val="24"/>
          <w:szCs w:val="24"/>
          <w:lang w:val="en-GB"/>
        </w:rPr>
      </w:pPr>
      <w:r>
        <w:rPr>
          <w:rFonts w:ascii="Times New Roman" w:hAnsi="Times New Roman" w:cs="Times New Roman"/>
          <w:b/>
          <w:noProof/>
          <w:sz w:val="24"/>
          <w:szCs w:val="24"/>
          <w:lang w:val="en-GB"/>
        </w:rPr>
        <w:t>4.</w:t>
      </w:r>
      <w:r>
        <w:rPr>
          <w:rFonts w:ascii="Times New Roman" w:hAnsi="Times New Roman" w:cs="Times New Roman"/>
          <w:noProof/>
          <w:sz w:val="24"/>
          <w:szCs w:val="24"/>
          <w:lang w:val="en-GB"/>
        </w:rPr>
        <w:t xml:space="preserve"> </w:t>
      </w:r>
      <w:r>
        <w:rPr>
          <w:rFonts w:ascii="Times New Roman" w:hAnsi="Times New Roman" w:cs="Times New Roman"/>
          <w:b/>
          <w:noProof/>
          <w:color w:val="000000"/>
          <w:sz w:val="24"/>
          <w:szCs w:val="24"/>
          <w:lang w:val="en-GB"/>
        </w:rPr>
        <w:t>Explore ways of enhancing the uptake of project outputs, results and best practices</w:t>
      </w:r>
      <w:r>
        <w:rPr>
          <w:rFonts w:ascii="Times New Roman" w:hAnsi="Times New Roman" w:cs="Times New Roman"/>
          <w:noProof/>
          <w:color w:val="000000"/>
          <w:sz w:val="24"/>
          <w:szCs w:val="24"/>
          <w:lang w:val="en-GB"/>
        </w:rPr>
        <w:t xml:space="preserve"> by other organisations, including in other Member States; </w:t>
      </w:r>
    </w:p>
    <w:p>
      <w:pPr>
        <w:widowControl w:val="0"/>
        <w:autoSpaceDE w:val="0"/>
        <w:autoSpaceDN w:val="0"/>
        <w:adjustRightInd w:val="0"/>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color w:val="000000"/>
          <w:sz w:val="24"/>
          <w:szCs w:val="24"/>
          <w:lang w:val="en-GB"/>
        </w:rPr>
        <w:t>5. More dissemination</w:t>
      </w:r>
      <w:r>
        <w:rPr>
          <w:rFonts w:ascii="Times New Roman" w:hAnsi="Times New Roman" w:cs="Times New Roman"/>
          <w:b/>
          <w:bCs/>
          <w:noProof/>
          <w:sz w:val="24"/>
          <w:szCs w:val="24"/>
          <w:lang w:val="en-GB"/>
        </w:rPr>
        <w:t>/use of results and outputs</w:t>
      </w:r>
      <w:r>
        <w:rPr>
          <w:rFonts w:ascii="Times New Roman" w:hAnsi="Times New Roman" w:cs="Times New Roman"/>
          <w:bCs/>
          <w:noProof/>
          <w:sz w:val="24"/>
          <w:szCs w:val="24"/>
          <w:lang w:val="en-GB"/>
        </w:rPr>
        <w:t xml:space="preserve"> </w:t>
      </w:r>
      <w:r>
        <w:rPr>
          <w:rFonts w:ascii="Times New Roman" w:hAnsi="Times New Roman" w:cs="Times New Roman"/>
          <w:noProof/>
          <w:sz w:val="24"/>
          <w:szCs w:val="24"/>
          <w:lang w:val="en-GB"/>
        </w:rPr>
        <w:t>of the funded activities</w:t>
      </w:r>
      <w:r>
        <w:rPr>
          <w:rFonts w:ascii="Times New Roman" w:hAnsi="Times New Roman" w:cs="Times New Roman"/>
          <w:noProof/>
          <w:color w:val="000000"/>
          <w:sz w:val="24"/>
          <w:szCs w:val="24"/>
          <w:lang w:val="en-GB"/>
        </w:rPr>
        <w:t xml:space="preserve">. </w:t>
      </w:r>
    </w:p>
    <w:p>
      <w:pPr>
        <w:widowControl w:val="0"/>
        <w:autoSpaceDE w:val="0"/>
        <w:autoSpaceDN w:val="0"/>
        <w:adjustRightInd w:val="0"/>
        <w:spacing w:after="120" w:line="240" w:lineRule="auto"/>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u w:color="0000EE"/>
          <w:lang w:val="en-GB"/>
        </w:rPr>
        <w:t xml:space="preserve">The ex-post evaluation reports of the period 2007-2013 have also highlighted </w:t>
      </w:r>
      <w:r>
        <w:rPr>
          <w:rFonts w:ascii="Times New Roman" w:hAnsi="Times New Roman" w:cs="Times New Roman"/>
          <w:noProof/>
          <w:sz w:val="24"/>
          <w:szCs w:val="24"/>
          <w:lang w:val="en-GB"/>
        </w:rPr>
        <w:t xml:space="preserve">the following </w:t>
      </w:r>
      <w:r>
        <w:rPr>
          <w:rFonts w:ascii="Times New Roman" w:hAnsi="Times New Roman" w:cs="Times New Roman"/>
          <w:b/>
          <w:noProof/>
          <w:sz w:val="24"/>
          <w:szCs w:val="24"/>
          <w:lang w:val="en-GB"/>
        </w:rPr>
        <w:t>problems</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1.</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The</w:t>
      </w:r>
      <w:r>
        <w:rPr>
          <w:rFonts w:ascii="Times New Roman" w:hAnsi="Times New Roman" w:cs="Times New Roman"/>
          <w:noProof/>
          <w:sz w:val="24"/>
          <w:szCs w:val="24"/>
          <w:lang w:val="en-GB"/>
        </w:rPr>
        <w:t xml:space="preserve"> </w:t>
      </w:r>
      <w:r>
        <w:rPr>
          <w:rFonts w:ascii="Times New Roman" w:hAnsi="Times New Roman" w:cs="Times New Roman"/>
          <w:b/>
          <w:bCs/>
          <w:noProof/>
          <w:sz w:val="24"/>
          <w:szCs w:val="24"/>
          <w:lang w:val="en-GB"/>
        </w:rPr>
        <w:t>dilution of funds</w:t>
      </w:r>
      <w:r>
        <w:rPr>
          <w:rFonts w:ascii="Times New Roman" w:hAnsi="Times New Roman" w:cs="Times New Roman"/>
          <w:noProof/>
          <w:sz w:val="24"/>
          <w:szCs w:val="24"/>
          <w:lang w:val="en-GB"/>
        </w:rPr>
        <w:t xml:space="preserve"> amongst many small-scale projects with limited impact and EU dimension; </w:t>
      </w:r>
      <w:r>
        <w:rPr>
          <w:rFonts w:ascii="Times New Roman" w:hAnsi="Times New Roman" w:cs="Times New Roman"/>
          <w:b/>
          <w:noProof/>
          <w:sz w:val="24"/>
          <w:szCs w:val="24"/>
          <w:lang w:val="en-GB"/>
        </w:rPr>
        <w:t>2.</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N</w:t>
      </w:r>
      <w:r>
        <w:rPr>
          <w:rFonts w:ascii="Times New Roman" w:hAnsi="Times New Roman" w:cs="Times New Roman"/>
          <w:b/>
          <w:bCs/>
          <w:noProof/>
          <w:sz w:val="24"/>
          <w:szCs w:val="24"/>
          <w:lang w:val="en-GB"/>
        </w:rPr>
        <w:t>o balanced geographical spread</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among the organisations</w:t>
      </w:r>
      <w:r>
        <w:rPr>
          <w:rFonts w:ascii="Times New Roman" w:hAnsi="Times New Roman" w:cs="Times New Roman"/>
          <w:noProof/>
          <w:sz w:val="24"/>
          <w:szCs w:val="24"/>
          <w:lang w:val="en-GB"/>
        </w:rPr>
        <w:t xml:space="preserve"> which receive funding; </w:t>
      </w:r>
      <w:r>
        <w:rPr>
          <w:rFonts w:ascii="Times New Roman" w:hAnsi="Times New Roman" w:cs="Times New Roman"/>
          <w:b/>
          <w:noProof/>
          <w:sz w:val="24"/>
          <w:szCs w:val="24"/>
          <w:lang w:val="en-GB"/>
        </w:rPr>
        <w:t>3.</w:t>
      </w:r>
      <w:r>
        <w:rPr>
          <w:rFonts w:ascii="Times New Roman" w:hAnsi="Times New Roman" w:cs="Times New Roman"/>
          <w:noProof/>
          <w:sz w:val="24"/>
          <w:szCs w:val="24"/>
          <w:lang w:val="en-GB"/>
        </w:rPr>
        <w:t xml:space="preserve"> The </w:t>
      </w:r>
      <w:r>
        <w:rPr>
          <w:rFonts w:ascii="Times New Roman" w:hAnsi="Times New Roman" w:cs="Times New Roman"/>
          <w:b/>
          <w:bCs/>
          <w:noProof/>
          <w:sz w:val="24"/>
          <w:szCs w:val="24"/>
          <w:lang w:val="en-GB"/>
        </w:rPr>
        <w:t>complex and bureaucratic procedures</w:t>
      </w:r>
      <w:r>
        <w:rPr>
          <w:rFonts w:ascii="Times New Roman" w:hAnsi="Times New Roman" w:cs="Times New Roman"/>
          <w:bCs/>
          <w:noProof/>
          <w:sz w:val="24"/>
          <w:szCs w:val="24"/>
          <w:lang w:val="en-GB"/>
        </w:rPr>
        <w:t xml:space="preserve"> for the applicants; </w:t>
      </w:r>
      <w:r>
        <w:rPr>
          <w:rFonts w:ascii="Times New Roman" w:hAnsi="Times New Roman" w:cs="Times New Roman"/>
          <w:b/>
          <w:noProof/>
          <w:sz w:val="24"/>
          <w:szCs w:val="24"/>
          <w:lang w:val="en-GB"/>
        </w:rPr>
        <w:t>4.</w:t>
      </w:r>
      <w:r>
        <w:rPr>
          <w:rFonts w:ascii="Times New Roman" w:hAnsi="Times New Roman" w:cs="Times New Roman"/>
          <w:noProof/>
          <w:sz w:val="24"/>
          <w:szCs w:val="24"/>
          <w:lang w:val="en-GB"/>
        </w:rPr>
        <w:t xml:space="preserve"> The </w:t>
      </w:r>
      <w:r>
        <w:rPr>
          <w:rFonts w:ascii="Times New Roman" w:hAnsi="Times New Roman" w:cs="Times New Roman"/>
          <w:b/>
          <w:bCs/>
          <w:noProof/>
          <w:sz w:val="24"/>
          <w:szCs w:val="24"/>
          <w:lang w:val="en-GB"/>
        </w:rPr>
        <w:t>high administrative burden</w:t>
      </w:r>
      <w:r>
        <w:rPr>
          <w:rFonts w:ascii="Times New Roman" w:hAnsi="Times New Roman" w:cs="Times New Roman"/>
          <w:bCs/>
          <w:noProof/>
          <w:sz w:val="24"/>
          <w:szCs w:val="24"/>
          <w:lang w:val="en-GB"/>
        </w:rPr>
        <w:t xml:space="preserve"> on the Commission and an increase of the </w:t>
      </w:r>
      <w:r>
        <w:rPr>
          <w:rFonts w:ascii="Times New Roman" w:hAnsi="Times New Roman" w:cs="Times New Roman"/>
          <w:b/>
          <w:bCs/>
          <w:noProof/>
          <w:sz w:val="24"/>
          <w:szCs w:val="24"/>
          <w:lang w:val="en-GB"/>
        </w:rPr>
        <w:t xml:space="preserve">length of procedures </w:t>
      </w:r>
      <w:r>
        <w:rPr>
          <w:rFonts w:ascii="Times New Roman" w:hAnsi="Times New Roman" w:cs="Times New Roman"/>
          <w:bCs/>
          <w:noProof/>
          <w:sz w:val="24"/>
          <w:szCs w:val="24"/>
          <w:lang w:val="en-GB"/>
        </w:rPr>
        <w:t xml:space="preserve">due to </w:t>
      </w:r>
      <w:r>
        <w:rPr>
          <w:rFonts w:ascii="Times New Roman" w:hAnsi="Times New Roman" w:cs="Times New Roman"/>
          <w:noProof/>
          <w:sz w:val="24"/>
          <w:szCs w:val="24"/>
          <w:lang w:val="en-GB"/>
        </w:rPr>
        <w:t xml:space="preserve">the multiplication of procedures for the different programmes. </w:t>
      </w:r>
    </w:p>
    <w:p>
      <w:pPr>
        <w:autoSpaceDE w:val="0"/>
        <w:autoSpaceDN w:val="0"/>
        <w:adjustRightInd w:val="0"/>
        <w:spacing w:after="120" w:line="240" w:lineRule="auto"/>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u w:color="0000EE"/>
          <w:lang w:val="en-GB"/>
        </w:rPr>
        <w:t>These issues were taken into consideration and were</w:t>
      </w:r>
      <w:r>
        <w:rPr>
          <w:rFonts w:ascii="Times New Roman" w:hAnsi="Times New Roman" w:cs="Times New Roman"/>
          <w:noProof/>
          <w:sz w:val="24"/>
          <w:szCs w:val="24"/>
          <w:lang w:val="en-GB"/>
        </w:rPr>
        <w:t xml:space="preserve"> </w:t>
      </w:r>
      <w:r>
        <w:rPr>
          <w:rFonts w:ascii="Times New Roman" w:eastAsia="Times New Roman" w:hAnsi="Times New Roman" w:cs="Times New Roman"/>
          <w:noProof/>
          <w:sz w:val="24"/>
          <w:szCs w:val="24"/>
          <w:u w:color="0000EE"/>
          <w:lang w:val="en-GB"/>
        </w:rPr>
        <w:t>either integrated into the Regulation establishing the current Justice Programme and in the Annual Work Programmes or translated into technical implementation measures and included in the Guides for applicants to projects calls.</w:t>
      </w:r>
    </w:p>
    <w:p>
      <w:pPr>
        <w:widowControl w:val="0"/>
        <w:autoSpaceDE w:val="0"/>
        <w:autoSpaceDN w:val="0"/>
        <w:adjustRightInd w:val="0"/>
        <w:spacing w:after="120" w:line="240" w:lineRule="auto"/>
        <w:jc w:val="both"/>
        <w:rPr>
          <w:rFonts w:ascii="Times New Roman" w:eastAsia="Times New Roman" w:hAnsi="Times New Roman" w:cs="Times New Roman"/>
          <w:b/>
          <w:noProof/>
          <w:sz w:val="24"/>
          <w:szCs w:val="24"/>
          <w:u w:color="0000EE"/>
          <w:lang w:val="en-GB"/>
        </w:rPr>
      </w:pPr>
      <w:r>
        <w:rPr>
          <w:rFonts w:ascii="Times New Roman" w:eastAsia="Times New Roman" w:hAnsi="Times New Roman" w:cs="Times New Roman"/>
          <w:noProof/>
          <w:sz w:val="24"/>
          <w:szCs w:val="24"/>
          <w:u w:color="0000EE"/>
          <w:lang w:val="en-GB"/>
        </w:rPr>
        <w:t xml:space="preserve">In particular, </w:t>
      </w:r>
      <w:r>
        <w:rPr>
          <w:rFonts w:ascii="Times New Roman" w:eastAsia="Times New Roman" w:hAnsi="Times New Roman" w:cs="Times New Roman"/>
          <w:b/>
          <w:noProof/>
          <w:sz w:val="24"/>
          <w:szCs w:val="24"/>
          <w:u w:color="0000EE"/>
          <w:lang w:val="en-GB"/>
        </w:rPr>
        <w:t>the merger of the three previous programmes</w:t>
      </w:r>
      <w:r>
        <w:rPr>
          <w:rFonts w:ascii="Times New Roman" w:eastAsia="Times New Roman" w:hAnsi="Times New Roman" w:cs="Times New Roman"/>
          <w:noProof/>
          <w:sz w:val="24"/>
          <w:szCs w:val="24"/>
          <w:u w:color="0000EE"/>
          <w:lang w:val="en-GB"/>
        </w:rPr>
        <w:t xml:space="preserve"> has provided a </w:t>
      </w:r>
      <w:r>
        <w:rPr>
          <w:rFonts w:ascii="Times New Roman" w:eastAsia="Times New Roman" w:hAnsi="Times New Roman" w:cs="Times New Roman"/>
          <w:b/>
          <w:noProof/>
          <w:sz w:val="24"/>
          <w:szCs w:val="24"/>
          <w:u w:color="0000EE"/>
          <w:lang w:val="en-GB"/>
        </w:rPr>
        <w:t xml:space="preserve">significant positive impact on the identified problems of scope, effectiveness, fragmentation and efficiency </w:t>
      </w:r>
      <w:r>
        <w:rPr>
          <w:rFonts w:ascii="Times New Roman" w:eastAsia="Times New Roman" w:hAnsi="Times New Roman" w:cs="Times New Roman"/>
          <w:noProof/>
          <w:sz w:val="24"/>
          <w:szCs w:val="24"/>
          <w:u w:color="0000EE"/>
          <w:lang w:val="en-GB"/>
        </w:rPr>
        <w:t>(see further details in section 5 “Analysis and answer to the evaluation questions”).</w:t>
      </w:r>
      <w:r>
        <w:rPr>
          <w:rFonts w:ascii="Times New Roman" w:eastAsia="Times New Roman" w:hAnsi="Times New Roman" w:cs="Times New Roman"/>
          <w:b/>
          <w:noProof/>
          <w:sz w:val="24"/>
          <w:szCs w:val="24"/>
          <w:u w:color="0000EE"/>
          <w:lang w:val="en-GB"/>
        </w:rPr>
        <w:t xml:space="preserve"> </w:t>
      </w:r>
    </w:p>
    <w:p>
      <w:pPr>
        <w:pStyle w:val="Heading1"/>
        <w:numPr>
          <w:ilvl w:val="0"/>
          <w:numId w:val="3"/>
        </w:numPr>
        <w:spacing w:before="0" w:after="120"/>
        <w:rPr>
          <w:noProof/>
        </w:rPr>
      </w:pPr>
      <w:bookmarkStart w:id="5" w:name="_Toc512248094"/>
      <w:bookmarkStart w:id="6" w:name="_Toc514411212"/>
      <w:bookmarkStart w:id="7" w:name="_Toc493581254"/>
      <w:bookmarkStart w:id="8" w:name="_Toc493582305"/>
      <w:r>
        <w:rPr>
          <w:noProof/>
        </w:rPr>
        <w:t>Implementation / state of Play</w:t>
      </w:r>
      <w:bookmarkEnd w:id="5"/>
      <w:bookmarkEnd w:id="6"/>
    </w:p>
    <w:p>
      <w:pPr>
        <w:keepNext/>
        <w:tabs>
          <w:tab w:val="num" w:pos="1200"/>
        </w:tabs>
        <w:spacing w:after="120" w:line="240" w:lineRule="auto"/>
        <w:jc w:val="both"/>
        <w:outlineLvl w:val="1"/>
        <w:rPr>
          <w:rFonts w:ascii="Times New Roman" w:eastAsia="Times New Roman" w:hAnsi="Times New Roman" w:cs="Times New Roman"/>
          <w:b/>
          <w:noProof/>
          <w:sz w:val="24"/>
          <w:szCs w:val="20"/>
          <w:lang w:val="en-GB"/>
        </w:rPr>
      </w:pPr>
      <w:r>
        <w:rPr>
          <w:rFonts w:ascii="Times New Roman" w:eastAsia="Times New Roman" w:hAnsi="Times New Roman" w:cs="Times New Roman"/>
          <w:b/>
          <w:noProof/>
          <w:sz w:val="24"/>
          <w:szCs w:val="20"/>
          <w:lang w:val="en-GB"/>
        </w:rPr>
        <w:t xml:space="preserve">Programme </w:t>
      </w:r>
      <w:bookmarkEnd w:id="7"/>
      <w:bookmarkEnd w:id="8"/>
      <w:r>
        <w:rPr>
          <w:rFonts w:ascii="Times New Roman" w:eastAsia="Times New Roman" w:hAnsi="Times New Roman" w:cs="Times New Roman"/>
          <w:b/>
          <w:noProof/>
          <w:sz w:val="24"/>
          <w:szCs w:val="20"/>
          <w:lang w:val="en-GB"/>
        </w:rPr>
        <w:t xml:space="preserve">management </w:t>
      </w:r>
    </w:p>
    <w:p>
      <w:pPr>
        <w:spacing w:after="120" w:line="240" w:lineRule="auto"/>
        <w:jc w:val="both"/>
        <w:rPr>
          <w:rFonts w:ascii="Times New Roman" w:eastAsia="Times New Roman" w:hAnsi="Times New Roman" w:cs="Times New Roman"/>
          <w:b/>
          <w:noProof/>
          <w:sz w:val="24"/>
          <w:szCs w:val="20"/>
          <w:lang w:val="en-GB"/>
        </w:rPr>
      </w:pPr>
      <w:r>
        <w:rPr>
          <w:rFonts w:ascii="Times New Roman" w:hAnsi="Times New Roman" w:cs="Times New Roman"/>
          <w:noProof/>
          <w:sz w:val="24"/>
          <w:szCs w:val="24"/>
          <w:lang w:val="en-GB"/>
        </w:rPr>
        <w:t>The Justice Programme is implemented via direct centralised management by the Commission. This was meant to ensure a close relationship between the Programme management and EU policy-making and to contribute to the alignment of budget implementation with EU policy priorities in line with the "budget for result" approach. This management mode allows the Commission to tailor funded activities to policy priorities and policy needs and to target directly the relevant groups of stakeholders. According to the evaluation carried out, it also allows a close contact with the programmes' beneficiaries and better knowledge of the needs on the ground. Indeed, all beneficiaries interviewed, who also participated in predecessor programmes, agreed that the current Justice Programme represented an improvement in terms of capacity to engage with European Commission officials (i.e. having a reliable point of contact to answer their questions and help them address any project-related issues that may arise during the implementation phase)</w:t>
      </w:r>
      <w:r>
        <w:rPr>
          <w:rStyle w:val="FootnoteReference"/>
          <w:rFonts w:ascii="Times New Roman" w:hAnsi="Times New Roman" w:cs="Times New Roman"/>
          <w:noProof/>
          <w:szCs w:val="24"/>
          <w:lang w:val="en-GB"/>
        </w:rPr>
        <w:footnoteReference w:id="23"/>
      </w:r>
      <w:r>
        <w:rPr>
          <w:rFonts w:ascii="Times New Roman" w:hAnsi="Times New Roman" w:cs="Times New Roman"/>
          <w:noProof/>
          <w:sz w:val="24"/>
          <w:szCs w:val="24"/>
          <w:lang w:val="en-GB"/>
        </w:rPr>
        <w:t xml:space="preserve">. </w:t>
      </w:r>
      <w:bookmarkStart w:id="9" w:name="_Toc493581255"/>
      <w:bookmarkStart w:id="10" w:name="_Toc493582306"/>
    </w:p>
    <w:p>
      <w:pPr>
        <w:keepNext/>
        <w:tabs>
          <w:tab w:val="num" w:pos="1200"/>
        </w:tabs>
        <w:spacing w:after="120" w:line="240" w:lineRule="auto"/>
        <w:jc w:val="both"/>
        <w:outlineLvl w:val="1"/>
        <w:rPr>
          <w:rFonts w:ascii="Times New Roman" w:eastAsia="Times New Roman" w:hAnsi="Times New Roman" w:cs="Times New Roman"/>
          <w:b/>
          <w:noProof/>
          <w:sz w:val="24"/>
          <w:szCs w:val="20"/>
          <w:lang w:val="en-GB"/>
        </w:rPr>
      </w:pPr>
      <w:r>
        <w:rPr>
          <w:rFonts w:ascii="Times New Roman" w:eastAsia="Times New Roman" w:hAnsi="Times New Roman" w:cs="Times New Roman"/>
          <w:b/>
          <w:noProof/>
          <w:sz w:val="24"/>
          <w:szCs w:val="20"/>
          <w:lang w:val="en-GB"/>
        </w:rPr>
        <w:t>State of play</w:t>
      </w:r>
      <w:bookmarkEnd w:id="9"/>
      <w:bookmarkEnd w:id="10"/>
      <w:r>
        <w:rPr>
          <w:rFonts w:ascii="Times New Roman" w:eastAsia="Times New Roman" w:hAnsi="Times New Roman" w:cs="Times New Roman"/>
          <w:b/>
          <w:noProof/>
          <w:sz w:val="24"/>
          <w:szCs w:val="20"/>
          <w:lang w:val="en-GB"/>
        </w:rPr>
        <w:t xml:space="preserve"> </w:t>
      </w:r>
    </w:p>
    <w:p>
      <w:pPr>
        <w:spacing w:after="0" w:line="240" w:lineRule="auto"/>
        <w:jc w:val="both"/>
        <w:rPr>
          <w:rFonts w:ascii="Times New Roman" w:eastAsia="Times New Roman" w:hAnsi="Times New Roman" w:cs="Times New Roman"/>
          <w:noProof/>
          <w:sz w:val="24"/>
          <w:szCs w:val="24"/>
          <w:lang w:val="en-GB"/>
        </w:rPr>
      </w:pPr>
    </w:p>
    <w:p>
      <w:pPr>
        <w:spacing w:after="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purpose of this section is to present the state of play of the Programme’s implementation and its key initiatives in the period 2014-2017. It will also provide the qualitative and quantitative results achieved in the same period, in general terms and for each specific objective.</w:t>
      </w:r>
    </w:p>
    <w:p>
      <w:pPr>
        <w:keepNext/>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order to measure the progress from the baseline situation, a series of Programme indicators have been devised for the current Justice Programme. The introduction of a system of indicators has proved to be adequate for measuring the achievements of the Programme since the selected indicators show if the targets are close to being achieved or have already been achieved and this contributes to better focus the Programme's outcomes. </w:t>
      </w:r>
    </w:p>
    <w:p>
      <w:pPr>
        <w:keepNext/>
        <w:spacing w:after="120" w:line="240" w:lineRule="auto"/>
        <w:jc w:val="both"/>
        <w:rPr>
          <w:rFonts w:ascii="Times New Roman" w:hAnsi="Times New Roman" w:cs="Times New Roman"/>
          <w:noProof/>
          <w:sz w:val="24"/>
          <w:szCs w:val="24"/>
          <w:lang w:val="en-GB"/>
        </w:rPr>
      </w:pPr>
    </w:p>
    <w:p>
      <w:pPr>
        <w:pStyle w:val="ListParagraph"/>
        <w:numPr>
          <w:ilvl w:val="0"/>
          <w:numId w:val="39"/>
        </w:numPr>
        <w:spacing w:after="120"/>
        <w:contextualSpacing w:val="0"/>
        <w:rPr>
          <w:b/>
          <w:i/>
          <w:noProof/>
        </w:rPr>
      </w:pPr>
      <w:r>
        <w:rPr>
          <w:b/>
          <w:noProof/>
          <w:szCs w:val="24"/>
        </w:rPr>
        <w:t>General objective:</w:t>
      </w:r>
      <w:r>
        <w:rPr>
          <w:b/>
          <w:noProof/>
        </w:rPr>
        <w:t xml:space="preserve"> </w:t>
      </w:r>
      <w:r>
        <w:rPr>
          <w:b/>
          <w:i/>
          <w:noProof/>
        </w:rPr>
        <w:t>The development of a European area of justice based on mutual recognition and mutual trust</w:t>
      </w:r>
    </w:p>
    <w:p>
      <w:pPr>
        <w:spacing w:after="120"/>
        <w:jc w:val="both"/>
        <w:rPr>
          <w:rFonts w:ascii="Times New Roman" w:hAnsi="Times New Roman" w:cs="Times New Roman"/>
          <w:b/>
          <w:i/>
          <w:noProof/>
          <w:sz w:val="24"/>
          <w:szCs w:val="24"/>
          <w:lang w:val="en-GB"/>
        </w:rPr>
      </w:pPr>
      <w:r>
        <w:rPr>
          <w:rFonts w:ascii="Times New Roman" w:eastAsia="Times New Roman" w:hAnsi="Times New Roman" w:cs="Times New Roman"/>
          <w:noProof/>
          <w:sz w:val="24"/>
          <w:szCs w:val="24"/>
          <w:u w:color="0000EE"/>
          <w:lang w:val="en-GB"/>
        </w:rPr>
        <w:t>The Regulation establishing the Justice Programme does not provide for any indicator concerning its general objective.</w:t>
      </w:r>
      <w:r>
        <w:rPr>
          <w:rFonts w:ascii="Times New Roman" w:hAnsi="Times New Roman" w:cs="Times New Roman"/>
          <w:noProof/>
          <w:sz w:val="24"/>
          <w:szCs w:val="24"/>
          <w:lang w:val="en-GB"/>
        </w:rPr>
        <w:t xml:space="preserve"> However, the Commission reports via the Programme Statements, accompanying the Draft General Budget of the EU</w:t>
      </w:r>
      <w:r>
        <w:rPr>
          <w:rStyle w:val="FootnoteReference"/>
          <w:rFonts w:ascii="Times New Roman" w:hAnsi="Times New Roman" w:cs="Times New Roman"/>
          <w:noProof/>
          <w:sz w:val="24"/>
          <w:szCs w:val="24"/>
          <w:lang w:val="en-GB"/>
        </w:rPr>
        <w:footnoteReference w:id="24"/>
      </w:r>
      <w:r>
        <w:rPr>
          <w:rFonts w:ascii="Times New Roman" w:hAnsi="Times New Roman" w:cs="Times New Roman"/>
          <w:noProof/>
          <w:sz w:val="24"/>
          <w:szCs w:val="24"/>
          <w:lang w:val="en-GB"/>
        </w:rPr>
        <w:t>, use the percentage of legal practitioners trained (not only through this Programme) as the main indicator for measuring the Justice Programme’s impact, as shown in Table 2</w:t>
      </w:r>
      <w:r>
        <w:rPr>
          <w:rFonts w:ascii="Times New Roman" w:hAnsi="Times New Roman" w:cs="Times New Roman"/>
          <w:noProof/>
          <w:sz w:val="24"/>
          <w:szCs w:val="24"/>
          <w:lang w:val="en-GB" w:eastAsia="en-GB"/>
        </w:rPr>
        <w:t>.</w:t>
      </w:r>
    </w:p>
    <w:p>
      <w:pPr>
        <w:spacing w:after="120"/>
        <w:jc w:val="center"/>
        <w:rPr>
          <w:rFonts w:ascii="Times New Roman" w:hAnsi="Times New Roman" w:cs="Times New Roman"/>
          <w:b/>
          <w:noProof/>
          <w:sz w:val="20"/>
          <w:szCs w:val="20"/>
          <w:lang w:val="en-GB"/>
        </w:rPr>
      </w:pPr>
      <w:bookmarkStart w:id="11" w:name="Table_2"/>
      <w:r>
        <w:rPr>
          <w:rFonts w:ascii="Times New Roman" w:hAnsi="Times New Roman" w:cs="Times New Roman"/>
          <w:b/>
          <w:noProof/>
          <w:sz w:val="20"/>
          <w:szCs w:val="20"/>
          <w:lang w:val="en-GB"/>
        </w:rPr>
        <w:t>Table 2: Result indicator, target and actual value</w:t>
      </w:r>
    </w:p>
    <w:tbl>
      <w:tblPr>
        <w:tblStyle w:val="TableGrid"/>
        <w:tblW w:w="0" w:type="auto"/>
        <w:tblLook w:val="04A0" w:firstRow="1" w:lastRow="0" w:firstColumn="1" w:lastColumn="0" w:noHBand="0" w:noVBand="1"/>
      </w:tblPr>
      <w:tblGrid>
        <w:gridCol w:w="3446"/>
        <w:gridCol w:w="1479"/>
        <w:gridCol w:w="1813"/>
        <w:gridCol w:w="2096"/>
      </w:tblGrid>
      <w:tr>
        <w:tc>
          <w:tcPr>
            <w:tcW w:w="3446" w:type="dxa"/>
            <w:shd w:val="clear" w:color="auto" w:fill="FDE9D9" w:themeFill="accent6" w:themeFillTint="33"/>
          </w:tcPr>
          <w:bookmarkEnd w:id="11"/>
          <w:p>
            <w:pPr>
              <w:widowControl w:val="0"/>
              <w:autoSpaceDE w:val="0"/>
              <w:autoSpaceDN w:val="0"/>
              <w:adjustRightInd w:val="0"/>
              <w:spacing w:after="120"/>
              <w:jc w:val="both"/>
              <w:rPr>
                <w:b/>
                <w:noProof/>
                <w:sz w:val="22"/>
                <w:szCs w:val="22"/>
                <w:u w:color="0000EE"/>
              </w:rPr>
            </w:pPr>
            <w:r>
              <w:rPr>
                <w:b/>
                <w:noProof/>
                <w:sz w:val="22"/>
                <w:szCs w:val="22"/>
                <w:u w:color="0000EE"/>
              </w:rPr>
              <w:t>Result indicator</w:t>
            </w:r>
          </w:p>
        </w:tc>
        <w:tc>
          <w:tcPr>
            <w:tcW w:w="1479" w:type="dxa"/>
            <w:shd w:val="clear" w:color="auto" w:fill="FDE9D9" w:themeFill="accent6" w:themeFillTint="33"/>
          </w:tcPr>
          <w:p>
            <w:pPr>
              <w:widowControl w:val="0"/>
              <w:autoSpaceDE w:val="0"/>
              <w:autoSpaceDN w:val="0"/>
              <w:adjustRightInd w:val="0"/>
              <w:spacing w:after="120"/>
              <w:jc w:val="both"/>
              <w:rPr>
                <w:b/>
                <w:noProof/>
                <w:sz w:val="22"/>
                <w:szCs w:val="22"/>
                <w:u w:color="0000EE"/>
              </w:rPr>
            </w:pPr>
            <w:r>
              <w:rPr>
                <w:rFonts w:eastAsia="Calibri"/>
                <w:b/>
                <w:noProof/>
                <w:sz w:val="22"/>
                <w:szCs w:val="22"/>
              </w:rPr>
              <w:t>Baseline 2013</w:t>
            </w:r>
          </w:p>
        </w:tc>
        <w:tc>
          <w:tcPr>
            <w:tcW w:w="1813" w:type="dxa"/>
            <w:shd w:val="clear" w:color="auto" w:fill="FDE9D9" w:themeFill="accent6" w:themeFillTint="33"/>
          </w:tcPr>
          <w:p>
            <w:pPr>
              <w:widowControl w:val="0"/>
              <w:autoSpaceDE w:val="0"/>
              <w:autoSpaceDN w:val="0"/>
              <w:adjustRightInd w:val="0"/>
              <w:spacing w:after="120"/>
              <w:jc w:val="both"/>
              <w:rPr>
                <w:rFonts w:eastAsia="Calibri"/>
                <w:b/>
                <w:noProof/>
              </w:rPr>
            </w:pPr>
            <w:r>
              <w:rPr>
                <w:rFonts w:eastAsia="Calibri"/>
                <w:b/>
                <w:noProof/>
              </w:rPr>
              <w:t>2016</w:t>
            </w:r>
          </w:p>
        </w:tc>
        <w:tc>
          <w:tcPr>
            <w:tcW w:w="2096" w:type="dxa"/>
            <w:shd w:val="clear" w:color="auto" w:fill="FDE9D9" w:themeFill="accent6" w:themeFillTint="33"/>
          </w:tcPr>
          <w:p>
            <w:pPr>
              <w:widowControl w:val="0"/>
              <w:autoSpaceDE w:val="0"/>
              <w:autoSpaceDN w:val="0"/>
              <w:adjustRightInd w:val="0"/>
              <w:spacing w:after="120"/>
              <w:jc w:val="both"/>
              <w:rPr>
                <w:b/>
                <w:noProof/>
                <w:sz w:val="22"/>
                <w:szCs w:val="22"/>
                <w:u w:color="0000EE"/>
              </w:rPr>
            </w:pPr>
            <w:r>
              <w:rPr>
                <w:rFonts w:eastAsia="Calibri"/>
                <w:b/>
                <w:noProof/>
                <w:sz w:val="22"/>
                <w:szCs w:val="22"/>
              </w:rPr>
              <w:t>Targets 2020</w:t>
            </w:r>
          </w:p>
        </w:tc>
      </w:tr>
      <w:tr>
        <w:tc>
          <w:tcPr>
            <w:tcW w:w="3446" w:type="dxa"/>
          </w:tcPr>
          <w:p>
            <w:pPr>
              <w:widowControl w:val="0"/>
              <w:autoSpaceDE w:val="0"/>
              <w:autoSpaceDN w:val="0"/>
              <w:adjustRightInd w:val="0"/>
              <w:spacing w:after="120"/>
              <w:jc w:val="both"/>
              <w:rPr>
                <w:noProof/>
                <w:sz w:val="18"/>
                <w:szCs w:val="18"/>
                <w:highlight w:val="yellow"/>
                <w:u w:color="0000EE"/>
              </w:rPr>
            </w:pPr>
            <w:r>
              <w:rPr>
                <w:noProof/>
                <w:sz w:val="18"/>
                <w:szCs w:val="18"/>
              </w:rPr>
              <w:t>1. Cumulative number of legal professionals receiving training (not only through the Programme) on EU law or law of another Member State, including Civil Justice, Criminal Justice and Fundamental Rights</w:t>
            </w:r>
          </w:p>
        </w:tc>
        <w:tc>
          <w:tcPr>
            <w:tcW w:w="1479" w:type="dxa"/>
          </w:tcPr>
          <w:p>
            <w:pPr>
              <w:widowControl w:val="0"/>
              <w:autoSpaceDE w:val="0"/>
              <w:autoSpaceDN w:val="0"/>
              <w:adjustRightInd w:val="0"/>
              <w:spacing w:after="120"/>
              <w:jc w:val="both"/>
              <w:rPr>
                <w:noProof/>
                <w:sz w:val="18"/>
                <w:szCs w:val="18"/>
              </w:rPr>
            </w:pPr>
            <w:r>
              <w:rPr>
                <w:noProof/>
                <w:sz w:val="18"/>
                <w:szCs w:val="18"/>
              </w:rPr>
              <w:t>239 000</w:t>
            </w:r>
          </w:p>
          <w:p>
            <w:pPr>
              <w:widowControl w:val="0"/>
              <w:autoSpaceDE w:val="0"/>
              <w:autoSpaceDN w:val="0"/>
              <w:adjustRightInd w:val="0"/>
              <w:spacing w:after="120"/>
              <w:jc w:val="both"/>
              <w:rPr>
                <w:noProof/>
                <w:sz w:val="18"/>
                <w:szCs w:val="18"/>
                <w:highlight w:val="yellow"/>
                <w:u w:color="0000EE"/>
              </w:rPr>
            </w:pPr>
          </w:p>
        </w:tc>
        <w:tc>
          <w:tcPr>
            <w:tcW w:w="1813" w:type="dxa"/>
          </w:tcPr>
          <w:p>
            <w:pPr>
              <w:widowControl w:val="0"/>
              <w:autoSpaceDE w:val="0"/>
              <w:autoSpaceDN w:val="0"/>
              <w:adjustRightInd w:val="0"/>
              <w:spacing w:after="120"/>
              <w:jc w:val="both"/>
              <w:rPr>
                <w:noProof/>
                <w:sz w:val="18"/>
                <w:szCs w:val="18"/>
              </w:rPr>
            </w:pPr>
            <w:r>
              <w:rPr>
                <w:noProof/>
                <w:sz w:val="18"/>
                <w:szCs w:val="18"/>
              </w:rPr>
              <w:t>638 000</w:t>
            </w:r>
          </w:p>
        </w:tc>
        <w:tc>
          <w:tcPr>
            <w:tcW w:w="2096" w:type="dxa"/>
          </w:tcPr>
          <w:p>
            <w:pPr>
              <w:widowControl w:val="0"/>
              <w:autoSpaceDE w:val="0"/>
              <w:autoSpaceDN w:val="0"/>
              <w:adjustRightInd w:val="0"/>
              <w:spacing w:after="120"/>
              <w:rPr>
                <w:noProof/>
                <w:sz w:val="18"/>
                <w:szCs w:val="18"/>
                <w:highlight w:val="yellow"/>
                <w:u w:color="0000EE"/>
              </w:rPr>
            </w:pPr>
            <w:r>
              <w:rPr>
                <w:noProof/>
                <w:sz w:val="18"/>
                <w:szCs w:val="18"/>
              </w:rPr>
              <w:t>700 000 legal practitioners by 2020</w:t>
            </w:r>
          </w:p>
        </w:tc>
      </w:tr>
    </w:tbl>
    <w:p>
      <w:pPr>
        <w:spacing w:after="120" w:line="240" w:lineRule="auto"/>
        <w:rPr>
          <w:rFonts w:ascii="Times New Roman" w:hAnsi="Times New Roman" w:cs="Times New Roman"/>
          <w:i/>
          <w:noProof/>
          <w:sz w:val="18"/>
          <w:szCs w:val="18"/>
          <w:lang w:val="en-GB"/>
        </w:rPr>
      </w:pPr>
      <w:r>
        <w:rPr>
          <w:rFonts w:ascii="Times New Roman" w:hAnsi="Times New Roman" w:cs="Times New Roman"/>
          <w:i/>
          <w:noProof/>
          <w:sz w:val="18"/>
          <w:szCs w:val="18"/>
          <w:lang w:val="en-GB"/>
        </w:rPr>
        <w:t xml:space="preserve">Source: Annual reports on European Judicial Training </w:t>
      </w:r>
    </w:p>
    <w:p>
      <w:pPr>
        <w:spacing w:after="120" w:line="240" w:lineRule="auto"/>
        <w:rPr>
          <w:rFonts w:ascii="Times New Roman" w:hAnsi="Times New Roman" w:cs="Times New Roman"/>
          <w:i/>
          <w:noProof/>
          <w:sz w:val="18"/>
          <w:szCs w:val="18"/>
          <w:lang w:val="en-GB"/>
        </w:rPr>
      </w:pPr>
    </w:p>
    <w:p>
      <w:pPr>
        <w:spacing w:after="120" w:line="240" w:lineRule="auto"/>
        <w:jc w:val="both"/>
        <w:rPr>
          <w:rFonts w:ascii="Times New Roman" w:hAnsi="Times New Roman" w:cs="Times New Roman"/>
          <w:i/>
          <w:noProof/>
          <w:sz w:val="18"/>
          <w:szCs w:val="18"/>
          <w:lang w:val="en-GB"/>
        </w:rPr>
      </w:pPr>
      <w:r>
        <w:rPr>
          <w:rFonts w:ascii="Times New Roman" w:hAnsi="Times New Roman" w:cs="Times New Roman"/>
          <w:noProof/>
          <w:sz w:val="24"/>
          <w:szCs w:val="24"/>
          <w:lang w:val="en-GB" w:eastAsia="en-GB"/>
        </w:rPr>
        <w:t>T</w:t>
      </w:r>
      <w:r>
        <w:rPr>
          <w:rFonts w:ascii="Times New Roman" w:eastAsia="Times New Roman" w:hAnsi="Times New Roman" w:cs="Times New Roman"/>
          <w:noProof/>
          <w:sz w:val="24"/>
          <w:szCs w:val="24"/>
          <w:lang w:val="en-GB"/>
        </w:rPr>
        <w:t>he 2020 target was almost reached already in 2017</w:t>
      </w:r>
      <w:r>
        <w:rPr>
          <w:rStyle w:val="FootnoteReference"/>
          <w:rFonts w:ascii="Times New Roman" w:eastAsia="Times New Roman" w:hAnsi="Times New Roman" w:cs="Times New Roman"/>
          <w:noProof/>
          <w:sz w:val="24"/>
          <w:szCs w:val="24"/>
          <w:lang w:val="en-GB"/>
        </w:rPr>
        <w:footnoteReference w:id="25"/>
      </w:r>
      <w:r>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noProof/>
          <w:sz w:val="24"/>
          <w:szCs w:val="20"/>
          <w:lang w:val="en-GB"/>
        </w:rPr>
        <w:t xml:space="preserve">The graphic below </w:t>
      </w:r>
      <w:r>
        <w:rPr>
          <w:rFonts w:ascii="Times New Roman" w:eastAsia="Times New Roman" w:hAnsi="Times New Roman" w:cs="Times New Roman"/>
          <w:noProof/>
          <w:sz w:val="24"/>
          <w:szCs w:val="24"/>
          <w:lang w:val="en-GB"/>
        </w:rPr>
        <w:t>(Figure 2)</w:t>
      </w:r>
      <w:r>
        <w:rPr>
          <w:rFonts w:ascii="Times New Roman" w:eastAsia="Times New Roman" w:hAnsi="Times New Roman" w:cs="Times New Roman"/>
          <w:noProof/>
          <w:sz w:val="24"/>
          <w:szCs w:val="20"/>
          <w:lang w:val="en-GB"/>
        </w:rPr>
        <w:t xml:space="preserve"> </w:t>
      </w:r>
      <w:r>
        <w:rPr>
          <w:rFonts w:ascii="Times New Roman" w:hAnsi="Times New Roman" w:cs="Times New Roman"/>
          <w:noProof/>
          <w:sz w:val="24"/>
          <w:szCs w:val="24"/>
          <w:lang w:val="en-GB"/>
        </w:rPr>
        <w:t xml:space="preserve">shows clearly that the number of legal practitioners trained has constantly increased between 2013 and 2016. </w:t>
      </w:r>
    </w:p>
    <w:p>
      <w:pPr>
        <w:pStyle w:val="Caption"/>
        <w:spacing w:before="0"/>
        <w:ind w:left="284"/>
        <w:jc w:val="center"/>
        <w:rPr>
          <w:rFonts w:ascii="Times New Roman" w:hAnsi="Times New Roman" w:cs="Times New Roman"/>
          <w:noProof/>
          <w:sz w:val="20"/>
          <w:szCs w:val="20"/>
          <w:lang w:val="en-GB"/>
        </w:rPr>
      </w:pPr>
      <w:bookmarkStart w:id="12" w:name="Figure_2"/>
      <w:r>
        <w:rPr>
          <w:rFonts w:ascii="Times New Roman" w:hAnsi="Times New Roman" w:cs="Times New Roman"/>
          <w:noProof/>
          <w:sz w:val="20"/>
          <w:szCs w:val="20"/>
          <w:lang w:val="en-GB"/>
        </w:rPr>
        <w:t>Figure 2: number of legal practitioners trained</w:t>
      </w:r>
    </w:p>
    <w:bookmarkEnd w:id="12"/>
    <w:p>
      <w:pPr>
        <w:spacing w:after="120" w:line="240" w:lineRule="auto"/>
        <w:ind w:left="283"/>
        <w:jc w:val="both"/>
        <w:rPr>
          <w:rFonts w:ascii="Times New Roman" w:hAnsi="Times New Roman" w:cs="Times New Roman"/>
          <w:noProof/>
          <w:sz w:val="24"/>
          <w:szCs w:val="24"/>
          <w:lang w:val="en-GB"/>
        </w:rPr>
      </w:pPr>
      <w:r>
        <w:rPr>
          <w:rFonts w:ascii="Verdana" w:hAnsi="Verdana"/>
          <w:noProof/>
          <w:sz w:val="20"/>
          <w:shd w:val="clear" w:color="auto" w:fill="D9D9D9"/>
          <w:lang w:val="en-US"/>
        </w:rPr>
        <w:drawing>
          <wp:inline distT="0" distB="0" distL="0" distR="0">
            <wp:extent cx="4674637" cy="1898780"/>
            <wp:effectExtent l="0" t="0" r="12065" b="25400"/>
            <wp:docPr id="6" name="Chart 7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widowControl w:val="0"/>
        <w:autoSpaceDE w:val="0"/>
        <w:autoSpaceDN w:val="0"/>
        <w:adjustRightInd w:val="0"/>
        <w:spacing w:after="120" w:line="240" w:lineRule="auto"/>
        <w:jc w:val="both"/>
        <w:rPr>
          <w:rFonts w:ascii="Times New Roman" w:eastAsia="Times New Roman" w:hAnsi="Times New Roman" w:cs="Times New Roman"/>
          <w:b/>
          <w:noProof/>
          <w:sz w:val="24"/>
          <w:szCs w:val="24"/>
          <w:lang w:val="en-GB"/>
        </w:rPr>
      </w:pPr>
    </w:p>
    <w:p>
      <w:pPr>
        <w:widowControl w:val="0"/>
        <w:autoSpaceDE w:val="0"/>
        <w:autoSpaceDN w:val="0"/>
        <w:adjustRightInd w:val="0"/>
        <w:spacing w:after="120" w:line="240" w:lineRule="auto"/>
        <w:jc w:val="both"/>
        <w:rPr>
          <w:rFonts w:ascii="Times New Roman" w:eastAsia="Times New Roman" w:hAnsi="Times New Roman" w:cs="Times New Roman"/>
          <w:b/>
          <w:noProof/>
          <w:sz w:val="24"/>
          <w:szCs w:val="24"/>
          <w:lang w:val="en-GB"/>
        </w:rPr>
      </w:pPr>
    </w:p>
    <w:p>
      <w:pPr>
        <w:widowControl w:val="0"/>
        <w:autoSpaceDE w:val="0"/>
        <w:autoSpaceDN w:val="0"/>
        <w:adjustRightInd w:val="0"/>
        <w:spacing w:after="120" w:line="240" w:lineRule="auto"/>
        <w:jc w:val="both"/>
        <w:rPr>
          <w:rFonts w:ascii="Times New Roman" w:eastAsia="Times New Roman" w:hAnsi="Times New Roman" w:cs="Times New Roman"/>
          <w:b/>
          <w:noProof/>
          <w:sz w:val="24"/>
          <w:szCs w:val="24"/>
          <w:lang w:val="en-GB"/>
        </w:rPr>
      </w:pPr>
    </w:p>
    <w:p>
      <w:pPr>
        <w:widowControl w:val="0"/>
        <w:autoSpaceDE w:val="0"/>
        <w:autoSpaceDN w:val="0"/>
        <w:adjustRightInd w:val="0"/>
        <w:spacing w:after="120" w:line="240" w:lineRule="auto"/>
        <w:jc w:val="both"/>
        <w:rPr>
          <w:rFonts w:ascii="Times New Roman" w:eastAsia="Times New Roman" w:hAnsi="Times New Roman" w:cs="Times New Roman"/>
          <w:b/>
          <w:noProof/>
          <w:sz w:val="24"/>
          <w:szCs w:val="24"/>
          <w:lang w:val="en-GB"/>
        </w:rPr>
      </w:pPr>
    </w:p>
    <w:p>
      <w:pPr>
        <w:widowControl w:val="0"/>
        <w:autoSpaceDE w:val="0"/>
        <w:autoSpaceDN w:val="0"/>
        <w:adjustRightInd w:val="0"/>
        <w:spacing w:after="120" w:line="240" w:lineRule="auto"/>
        <w:jc w:val="both"/>
        <w:rPr>
          <w:rFonts w:ascii="Times New Roman" w:eastAsia="Times New Roman" w:hAnsi="Times New Roman" w:cs="Times New Roman"/>
          <w:noProof/>
          <w:sz w:val="24"/>
          <w:szCs w:val="20"/>
          <w:lang w:val="en-GB"/>
        </w:rPr>
      </w:pPr>
      <w:r>
        <w:rPr>
          <w:rFonts w:ascii="Times New Roman" w:eastAsia="Times New Roman" w:hAnsi="Times New Roman" w:cs="Times New Roman"/>
          <w:b/>
          <w:noProof/>
          <w:sz w:val="24"/>
          <w:szCs w:val="24"/>
          <w:lang w:val="en-GB"/>
        </w:rPr>
        <w:t>Concerning the Specific objectives of the Programme</w:t>
      </w:r>
      <w:r>
        <w:rPr>
          <w:rFonts w:ascii="Times New Roman" w:eastAsia="Times New Roman" w:hAnsi="Times New Roman" w:cs="Times New Roman"/>
          <w:noProof/>
          <w:sz w:val="24"/>
          <w:szCs w:val="20"/>
          <w:lang w:val="en-GB"/>
        </w:rPr>
        <w:t xml:space="preserve">, </w:t>
      </w:r>
      <w:r>
        <w:rPr>
          <w:rFonts w:ascii="Times New Roman" w:eastAsia="Times New Roman" w:hAnsi="Times New Roman" w:cs="Times New Roman"/>
          <w:noProof/>
          <w:sz w:val="24"/>
          <w:szCs w:val="24"/>
          <w:lang w:val="en-GB"/>
        </w:rPr>
        <w:t>the following indicators have been used to evaluate its performance:</w:t>
      </w:r>
    </w:p>
    <w:p>
      <w:pPr>
        <w:pStyle w:val="ListParagraph"/>
        <w:numPr>
          <w:ilvl w:val="0"/>
          <w:numId w:val="39"/>
        </w:numPr>
        <w:spacing w:after="120"/>
        <w:contextualSpacing w:val="0"/>
        <w:rPr>
          <w:b/>
          <w:i/>
          <w:noProof/>
        </w:rPr>
      </w:pPr>
      <w:r>
        <w:rPr>
          <w:b/>
          <w:i/>
          <w:noProof/>
        </w:rPr>
        <w:t>Specific objective 1: Judicial cooperation</w:t>
      </w:r>
      <w:r>
        <w:rPr>
          <w:b/>
          <w:noProof/>
        </w:rPr>
        <w:t xml:space="preserve"> </w:t>
      </w:r>
      <w:r>
        <w:rPr>
          <w:b/>
          <w:i/>
          <w:noProof/>
        </w:rPr>
        <w:t>in civil and criminal matters</w:t>
      </w:r>
    </w:p>
    <w:p>
      <w:pPr>
        <w:shd w:val="clear" w:color="auto" w:fill="FFFFFF"/>
        <w:spacing w:after="0" w:line="240" w:lineRule="auto"/>
        <w:jc w:val="both"/>
        <w:textAlignment w:val="top"/>
        <w:rPr>
          <w:rFonts w:ascii="Times New Roman" w:eastAsia="Times New Roman" w:hAnsi="Times New Roman" w:cs="Times New Roman"/>
          <w:bCs/>
          <w:noProof/>
          <w:color w:val="000000"/>
          <w:sz w:val="24"/>
          <w:szCs w:val="24"/>
          <w:lang w:val="en" w:eastAsia="en-GB"/>
        </w:rPr>
      </w:pPr>
      <w:r>
        <w:rPr>
          <w:rFonts w:ascii="Times New Roman" w:hAnsi="Times New Roman" w:cs="Times New Roman"/>
          <w:noProof/>
          <w:sz w:val="24"/>
          <w:szCs w:val="24"/>
          <w:lang w:val="en-GB"/>
        </w:rPr>
        <w:t xml:space="preserve">The Programme's performance under this specific objective is measured through two main indicators (see Table 3): the average time of the surrender procedure under the European Arrest Warrant in cases where the person consents to the surrender and the number of exchanges of information in the European Criminal Records Information System. </w:t>
      </w:r>
      <w:r>
        <w:rPr>
          <w:rFonts w:ascii="Times New Roman" w:eastAsia="Times New Roman" w:hAnsi="Times New Roman" w:cs="Times New Roman"/>
          <w:bCs/>
          <w:noProof/>
          <w:color w:val="000000"/>
          <w:sz w:val="24"/>
          <w:szCs w:val="24"/>
          <w:lang w:val="en" w:eastAsia="en-GB"/>
        </w:rPr>
        <w:t>The European Arrest Warrant is the most important EU legal instrument developed in the area of mutual recognition of judicial decisions. It consists in a simplified cross-border judicial surrender procedure for the purpose of prosecuting or executing a custodial sentence or detention order (a warrant issued by one EU Member State's judicial authority is valid in the entire territory of the EU)</w:t>
      </w:r>
      <w:r>
        <w:rPr>
          <w:rStyle w:val="FootnoteReference"/>
          <w:rFonts w:ascii="Times New Roman" w:eastAsia="Times New Roman" w:hAnsi="Times New Roman" w:cs="Times New Roman"/>
          <w:bCs/>
          <w:noProof/>
          <w:color w:val="000000"/>
          <w:sz w:val="24"/>
          <w:szCs w:val="24"/>
          <w:lang w:val="en" w:eastAsia="en-GB"/>
        </w:rPr>
        <w:footnoteReference w:id="26"/>
      </w:r>
      <w:r>
        <w:rPr>
          <w:rFonts w:ascii="Times New Roman" w:eastAsia="Times New Roman" w:hAnsi="Times New Roman" w:cs="Times New Roman"/>
          <w:bCs/>
          <w:noProof/>
          <w:color w:val="000000"/>
          <w:sz w:val="24"/>
          <w:szCs w:val="24"/>
          <w:lang w:val="en" w:eastAsia="en-GB"/>
        </w:rPr>
        <w:t>.</w:t>
      </w:r>
    </w:p>
    <w:p>
      <w:pPr>
        <w:shd w:val="clear" w:color="auto" w:fill="FFFFFF"/>
        <w:spacing w:after="0" w:line="240" w:lineRule="auto"/>
        <w:jc w:val="both"/>
        <w:textAlignment w:val="top"/>
        <w:rPr>
          <w:rFonts w:ascii="Times New Roman" w:eastAsia="Times New Roman" w:hAnsi="Times New Roman" w:cs="Times New Roman"/>
          <w:bCs/>
          <w:noProof/>
          <w:sz w:val="24"/>
          <w:szCs w:val="24"/>
          <w:lang w:val="en" w:eastAsia="en-GB"/>
        </w:rPr>
      </w:pPr>
      <w:r>
        <w:rPr>
          <w:rFonts w:ascii="Times New Roman" w:hAnsi="Times New Roman" w:cs="Times New Roman"/>
          <w:noProof/>
          <w:sz w:val="24"/>
          <w:szCs w:val="24"/>
          <w:lang w:val="en-GB"/>
        </w:rPr>
        <w:t>The European Criminal Records Information System is a database</w:t>
      </w:r>
      <w:r>
        <w:rPr>
          <w:rFonts w:ascii="Times New Roman" w:hAnsi="Times New Roman" w:cs="Times New Roman"/>
          <w:noProof/>
          <w:sz w:val="24"/>
          <w:szCs w:val="24"/>
          <w:lang w:val="en"/>
        </w:rPr>
        <w:t xml:space="preserve"> established to improve the exchange of information on criminal records throughout the EU. All EU Member States are currently connected to this system</w:t>
      </w:r>
      <w:r>
        <w:rPr>
          <w:rStyle w:val="FootnoteReference"/>
          <w:rFonts w:ascii="Times New Roman" w:hAnsi="Times New Roman" w:cs="Times New Roman"/>
          <w:noProof/>
          <w:szCs w:val="24"/>
          <w:lang w:val="en"/>
        </w:rPr>
        <w:footnoteReference w:id="27"/>
      </w:r>
      <w:r>
        <w:rPr>
          <w:rFonts w:ascii="Times New Roman" w:hAnsi="Times New Roman" w:cs="Times New Roman"/>
          <w:noProof/>
          <w:sz w:val="24"/>
          <w:szCs w:val="24"/>
          <w:lang w:val="en"/>
        </w:rPr>
        <w:t>.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Concerning the </w:t>
      </w:r>
      <w:r>
        <w:rPr>
          <w:rFonts w:ascii="Times New Roman" w:hAnsi="Times New Roman" w:cs="Times New Roman"/>
          <w:b/>
          <w:noProof/>
          <w:sz w:val="24"/>
          <w:szCs w:val="24"/>
          <w:lang w:val="en-GB"/>
        </w:rPr>
        <w:t>first indicator</w:t>
      </w:r>
      <w:r>
        <w:rPr>
          <w:rFonts w:ascii="Times New Roman" w:hAnsi="Times New Roman" w:cs="Times New Roman"/>
          <w:noProof/>
          <w:sz w:val="24"/>
          <w:szCs w:val="24"/>
          <w:lang w:val="en-GB"/>
        </w:rPr>
        <w:t xml:space="preserve">, the data appears to be highly influenced by exogenous factors (such as the </w:t>
      </w:r>
      <w:r>
        <w:rPr>
          <w:rFonts w:ascii="Times New Roman" w:hAnsi="Times New Roman" w:cs="Times New Roman"/>
          <w:bCs/>
          <w:noProof/>
          <w:sz w:val="24"/>
          <w:szCs w:val="24"/>
          <w:lang w:val="en-US"/>
        </w:rPr>
        <w:t>different degree of incorporation of EU directives</w:t>
      </w:r>
      <w:r>
        <w:rPr>
          <w:rFonts w:ascii="Times New Roman" w:hAnsi="Times New Roman" w:cs="Times New Roman"/>
          <w:noProof/>
          <w:sz w:val="24"/>
          <w:szCs w:val="24"/>
          <w:lang w:val="en-US"/>
        </w:rPr>
        <w:t xml:space="preserve"> at national level, as well as the different degree of judicial system reforms within EU Member States that have a significant impact on the</w:t>
      </w:r>
      <w:r>
        <w:rPr>
          <w:rFonts w:ascii="Times New Roman" w:hAnsi="Times New Roman" w:cs="Times New Roman"/>
          <w:noProof/>
          <w:sz w:val="24"/>
          <w:szCs w:val="24"/>
          <w:lang w:val="en-GB"/>
        </w:rPr>
        <w:t xml:space="preserve"> level of enforcement of the EU </w:t>
      </w:r>
      <w:r>
        <w:rPr>
          <w:rFonts w:ascii="Times New Roman" w:hAnsi="Times New Roman" w:cs="Times New Roman"/>
          <w:i/>
          <w:noProof/>
          <w:sz w:val="24"/>
          <w:szCs w:val="24"/>
          <w:lang w:val="en-GB"/>
        </w:rPr>
        <w:t>acquis</w:t>
      </w:r>
      <w:r>
        <w:rPr>
          <w:rStyle w:val="FootnoteReference"/>
          <w:rFonts w:ascii="Times New Roman" w:hAnsi="Times New Roman" w:cs="Times New Roman"/>
          <w:i/>
          <w:noProof/>
          <w:szCs w:val="24"/>
          <w:lang w:val="en-GB"/>
        </w:rPr>
        <w:footnoteReference w:id="28"/>
      </w:r>
      <w:r>
        <w:rPr>
          <w:rFonts w:ascii="Times New Roman" w:hAnsi="Times New Roman" w:cs="Times New Roman"/>
          <w:noProof/>
          <w:sz w:val="24"/>
          <w:szCs w:val="24"/>
          <w:lang w:val="en-GB"/>
        </w:rPr>
        <w:t xml:space="preserve">) that make estimating the contribution of the Justice Programme to the realization of this indicator difficult. Concerning the </w:t>
      </w:r>
      <w:r>
        <w:rPr>
          <w:rFonts w:ascii="Times New Roman" w:hAnsi="Times New Roman" w:cs="Times New Roman"/>
          <w:b/>
          <w:noProof/>
          <w:sz w:val="24"/>
          <w:szCs w:val="24"/>
          <w:lang w:val="en-GB"/>
        </w:rPr>
        <w:t>second indicator</w:t>
      </w:r>
      <w:r>
        <w:rPr>
          <w:rFonts w:ascii="Times New Roman" w:hAnsi="Times New Roman" w:cs="Times New Roman"/>
          <w:noProof/>
          <w:sz w:val="24"/>
          <w:szCs w:val="24"/>
          <w:lang w:val="en-GB"/>
        </w:rPr>
        <w:t xml:space="preserve">, after a rapid increase post the 2012 baseline, the number of exchanges appears to have stabilised and it is likely that this objective will be reached. </w:t>
      </w:r>
    </w:p>
    <w:p>
      <w:pPr>
        <w:spacing w:after="120"/>
        <w:jc w:val="center"/>
        <w:rPr>
          <w:rFonts w:ascii="Times New Roman" w:hAnsi="Times New Roman" w:cs="Times New Roman"/>
          <w:b/>
          <w:noProof/>
          <w:sz w:val="20"/>
          <w:szCs w:val="20"/>
          <w:lang w:val="en-GB"/>
        </w:rPr>
      </w:pPr>
      <w:bookmarkStart w:id="13" w:name="Table_3"/>
      <w:r>
        <w:rPr>
          <w:rFonts w:ascii="Times New Roman" w:hAnsi="Times New Roman" w:cs="Times New Roman"/>
          <w:b/>
          <w:noProof/>
          <w:sz w:val="20"/>
          <w:szCs w:val="20"/>
          <w:lang w:val="en-GB"/>
        </w:rPr>
        <w:t>Table 3: Result indicators, target and actual values</w:t>
      </w:r>
    </w:p>
    <w:tbl>
      <w:tblPr>
        <w:tblStyle w:val="TableGrid"/>
        <w:tblW w:w="0" w:type="auto"/>
        <w:tblLook w:val="04A0" w:firstRow="1" w:lastRow="0" w:firstColumn="1" w:lastColumn="0" w:noHBand="0" w:noVBand="1"/>
      </w:tblPr>
      <w:tblGrid>
        <w:gridCol w:w="2637"/>
        <w:gridCol w:w="2433"/>
        <w:gridCol w:w="2234"/>
        <w:gridCol w:w="1530"/>
      </w:tblGrid>
      <w:tr>
        <w:tc>
          <w:tcPr>
            <w:tcW w:w="2637" w:type="dxa"/>
            <w:shd w:val="clear" w:color="auto" w:fill="FDE9D9" w:themeFill="accent6" w:themeFillTint="33"/>
          </w:tcPr>
          <w:bookmarkEnd w:id="13"/>
          <w:p>
            <w:pPr>
              <w:widowControl w:val="0"/>
              <w:autoSpaceDE w:val="0"/>
              <w:autoSpaceDN w:val="0"/>
              <w:adjustRightInd w:val="0"/>
              <w:spacing w:after="120"/>
              <w:jc w:val="both"/>
              <w:rPr>
                <w:b/>
                <w:noProof/>
                <w:sz w:val="22"/>
                <w:szCs w:val="22"/>
                <w:u w:color="0000EE"/>
              </w:rPr>
            </w:pPr>
            <w:r>
              <w:rPr>
                <w:b/>
                <w:noProof/>
                <w:sz w:val="22"/>
                <w:szCs w:val="22"/>
                <w:u w:color="0000EE"/>
              </w:rPr>
              <w:t>Result indicators</w:t>
            </w:r>
          </w:p>
        </w:tc>
        <w:tc>
          <w:tcPr>
            <w:tcW w:w="2433" w:type="dxa"/>
            <w:shd w:val="clear" w:color="auto" w:fill="FDE9D9" w:themeFill="accent6" w:themeFillTint="33"/>
          </w:tcPr>
          <w:p>
            <w:pPr>
              <w:widowControl w:val="0"/>
              <w:autoSpaceDE w:val="0"/>
              <w:autoSpaceDN w:val="0"/>
              <w:adjustRightInd w:val="0"/>
              <w:spacing w:after="120"/>
              <w:jc w:val="both"/>
              <w:rPr>
                <w:b/>
                <w:noProof/>
                <w:sz w:val="22"/>
                <w:szCs w:val="22"/>
                <w:u w:color="0000EE"/>
              </w:rPr>
            </w:pPr>
            <w:r>
              <w:rPr>
                <w:rFonts w:eastAsia="Calibri"/>
                <w:b/>
                <w:noProof/>
                <w:sz w:val="22"/>
                <w:szCs w:val="22"/>
              </w:rPr>
              <w:t>Baseline 2013</w:t>
            </w:r>
          </w:p>
        </w:tc>
        <w:tc>
          <w:tcPr>
            <w:tcW w:w="2234" w:type="dxa"/>
            <w:shd w:val="clear" w:color="auto" w:fill="FDE9D9" w:themeFill="accent6" w:themeFillTint="33"/>
          </w:tcPr>
          <w:p>
            <w:pPr>
              <w:widowControl w:val="0"/>
              <w:autoSpaceDE w:val="0"/>
              <w:autoSpaceDN w:val="0"/>
              <w:adjustRightInd w:val="0"/>
              <w:spacing w:after="120"/>
              <w:jc w:val="both"/>
              <w:rPr>
                <w:rFonts w:eastAsia="Calibri"/>
                <w:b/>
                <w:noProof/>
              </w:rPr>
            </w:pPr>
            <w:r>
              <w:rPr>
                <w:rFonts w:eastAsia="Calibri"/>
                <w:b/>
                <w:noProof/>
              </w:rPr>
              <w:t>2015-2017</w:t>
            </w:r>
          </w:p>
        </w:tc>
        <w:tc>
          <w:tcPr>
            <w:tcW w:w="1530" w:type="dxa"/>
            <w:shd w:val="clear" w:color="auto" w:fill="FDE9D9" w:themeFill="accent6" w:themeFillTint="33"/>
          </w:tcPr>
          <w:p>
            <w:pPr>
              <w:widowControl w:val="0"/>
              <w:autoSpaceDE w:val="0"/>
              <w:autoSpaceDN w:val="0"/>
              <w:adjustRightInd w:val="0"/>
              <w:spacing w:after="120"/>
              <w:jc w:val="both"/>
              <w:rPr>
                <w:b/>
                <w:noProof/>
                <w:sz w:val="22"/>
                <w:szCs w:val="22"/>
                <w:u w:color="0000EE"/>
              </w:rPr>
            </w:pPr>
            <w:r>
              <w:rPr>
                <w:rFonts w:eastAsia="Calibri"/>
                <w:b/>
                <w:noProof/>
                <w:sz w:val="22"/>
                <w:szCs w:val="22"/>
              </w:rPr>
              <w:t>Targets 2020</w:t>
            </w:r>
          </w:p>
        </w:tc>
      </w:tr>
      <w:tr>
        <w:tc>
          <w:tcPr>
            <w:tcW w:w="2637" w:type="dxa"/>
          </w:tcPr>
          <w:p>
            <w:pPr>
              <w:pStyle w:val="Bulletpoint1"/>
              <w:spacing w:before="0" w:after="120"/>
              <w:ind w:left="0" w:firstLine="0"/>
              <w:rPr>
                <w:rFonts w:ascii="Times New Roman" w:hAnsi="Times New Roman"/>
                <w:noProof/>
                <w:sz w:val="18"/>
                <w:szCs w:val="18"/>
              </w:rPr>
            </w:pPr>
            <w:r>
              <w:rPr>
                <w:rFonts w:ascii="Times New Roman" w:hAnsi="Times New Roman"/>
                <w:b/>
                <w:noProof/>
                <w:sz w:val="18"/>
                <w:szCs w:val="18"/>
              </w:rPr>
              <w:t>1.</w:t>
            </w:r>
            <w:r>
              <w:rPr>
                <w:rFonts w:ascii="Times New Roman" w:hAnsi="Times New Roman"/>
                <w:noProof/>
                <w:sz w:val="18"/>
                <w:szCs w:val="18"/>
              </w:rPr>
              <w:t xml:space="preserve"> Average time of the surrender procedure (time between the arrest and the decision on the surrender of the person sought) under the European Arrest Warrant in cases where the person consents to the surrender</w:t>
            </w:r>
          </w:p>
        </w:tc>
        <w:tc>
          <w:tcPr>
            <w:tcW w:w="2433" w:type="dxa"/>
          </w:tcPr>
          <w:p>
            <w:pPr>
              <w:widowControl w:val="0"/>
              <w:autoSpaceDE w:val="0"/>
              <w:autoSpaceDN w:val="0"/>
              <w:adjustRightInd w:val="0"/>
              <w:spacing w:after="120"/>
              <w:jc w:val="both"/>
              <w:rPr>
                <w:noProof/>
                <w:sz w:val="18"/>
                <w:szCs w:val="18"/>
                <w:highlight w:val="yellow"/>
                <w:u w:color="0000EE"/>
              </w:rPr>
            </w:pPr>
            <w:r>
              <w:rPr>
                <w:noProof/>
                <w:sz w:val="18"/>
                <w:szCs w:val="18"/>
              </w:rPr>
              <w:t xml:space="preserve">14-20 days (according to DG Justice aggregations of national reports of Member States to the Council) </w:t>
            </w:r>
          </w:p>
        </w:tc>
        <w:tc>
          <w:tcPr>
            <w:tcW w:w="2234" w:type="dxa"/>
          </w:tcPr>
          <w:p>
            <w:pPr>
              <w:pStyle w:val="Bulletpoint1"/>
              <w:spacing w:before="0" w:after="120"/>
              <w:ind w:hanging="1749"/>
              <w:rPr>
                <w:rFonts w:ascii="Times New Roman" w:hAnsi="Times New Roman"/>
                <w:noProof/>
                <w:sz w:val="18"/>
                <w:szCs w:val="18"/>
              </w:rPr>
            </w:pPr>
            <w:r>
              <w:rPr>
                <w:rFonts w:ascii="Times New Roman" w:hAnsi="Times New Roman"/>
                <w:noProof/>
                <w:sz w:val="18"/>
                <w:szCs w:val="18"/>
              </w:rPr>
              <w:t>14 days (2015)</w:t>
            </w:r>
          </w:p>
        </w:tc>
        <w:tc>
          <w:tcPr>
            <w:tcW w:w="1530" w:type="dxa"/>
          </w:tcPr>
          <w:p>
            <w:pPr>
              <w:pStyle w:val="Bulletpoint1"/>
              <w:spacing w:before="0" w:after="120"/>
              <w:ind w:hanging="1749"/>
              <w:rPr>
                <w:rFonts w:ascii="Times New Roman" w:hAnsi="Times New Roman"/>
                <w:noProof/>
                <w:sz w:val="18"/>
                <w:szCs w:val="18"/>
              </w:rPr>
            </w:pPr>
            <w:r>
              <w:rPr>
                <w:rFonts w:ascii="Times New Roman" w:hAnsi="Times New Roman"/>
                <w:noProof/>
                <w:sz w:val="18"/>
                <w:szCs w:val="18"/>
              </w:rPr>
              <w:t>10 days by 2020</w:t>
            </w:r>
          </w:p>
          <w:p>
            <w:pPr>
              <w:widowControl w:val="0"/>
              <w:autoSpaceDE w:val="0"/>
              <w:autoSpaceDN w:val="0"/>
              <w:adjustRightInd w:val="0"/>
              <w:spacing w:after="120"/>
              <w:jc w:val="both"/>
              <w:rPr>
                <w:noProof/>
                <w:sz w:val="18"/>
                <w:szCs w:val="18"/>
                <w:highlight w:val="yellow"/>
                <w:u w:color="0000EE"/>
              </w:rPr>
            </w:pPr>
          </w:p>
        </w:tc>
      </w:tr>
      <w:tr>
        <w:tc>
          <w:tcPr>
            <w:tcW w:w="2637" w:type="dxa"/>
          </w:tcPr>
          <w:p>
            <w:pPr>
              <w:spacing w:after="120"/>
              <w:jc w:val="both"/>
              <w:rPr>
                <w:noProof/>
                <w:sz w:val="18"/>
                <w:szCs w:val="18"/>
              </w:rPr>
            </w:pPr>
            <w:r>
              <w:rPr>
                <w:b/>
                <w:noProof/>
                <w:sz w:val="18"/>
                <w:szCs w:val="18"/>
              </w:rPr>
              <w:t>2.</w:t>
            </w:r>
            <w:r>
              <w:rPr>
                <w:noProof/>
                <w:sz w:val="18"/>
                <w:szCs w:val="18"/>
              </w:rPr>
              <w:t xml:space="preserve"> Number of exchanges of information in the European Criminal Records Information System </w:t>
            </w:r>
          </w:p>
        </w:tc>
        <w:tc>
          <w:tcPr>
            <w:tcW w:w="2433" w:type="dxa"/>
          </w:tcPr>
          <w:p>
            <w:pPr>
              <w:widowControl w:val="0"/>
              <w:autoSpaceDE w:val="0"/>
              <w:autoSpaceDN w:val="0"/>
              <w:adjustRightInd w:val="0"/>
              <w:spacing w:after="120"/>
              <w:jc w:val="both"/>
              <w:rPr>
                <w:noProof/>
                <w:sz w:val="18"/>
                <w:szCs w:val="18"/>
              </w:rPr>
            </w:pPr>
            <w:r>
              <w:rPr>
                <w:noProof/>
                <w:sz w:val="18"/>
                <w:szCs w:val="18"/>
              </w:rPr>
              <w:t>300 000 exchanges (2012)</w:t>
            </w:r>
          </w:p>
        </w:tc>
        <w:tc>
          <w:tcPr>
            <w:tcW w:w="2234" w:type="dxa"/>
          </w:tcPr>
          <w:p>
            <w:pPr>
              <w:widowControl w:val="0"/>
              <w:autoSpaceDE w:val="0"/>
              <w:autoSpaceDN w:val="0"/>
              <w:adjustRightInd w:val="0"/>
              <w:spacing w:after="120"/>
              <w:jc w:val="both"/>
              <w:rPr>
                <w:noProof/>
                <w:sz w:val="18"/>
                <w:szCs w:val="18"/>
              </w:rPr>
            </w:pPr>
            <w:r>
              <w:rPr>
                <w:noProof/>
                <w:sz w:val="18"/>
                <w:szCs w:val="18"/>
              </w:rPr>
              <w:t>2 571 991 (2017)</w:t>
            </w:r>
          </w:p>
        </w:tc>
        <w:tc>
          <w:tcPr>
            <w:tcW w:w="1530" w:type="dxa"/>
          </w:tcPr>
          <w:p>
            <w:pPr>
              <w:widowControl w:val="0"/>
              <w:autoSpaceDE w:val="0"/>
              <w:autoSpaceDN w:val="0"/>
              <w:adjustRightInd w:val="0"/>
              <w:spacing w:after="120"/>
              <w:rPr>
                <w:noProof/>
                <w:sz w:val="18"/>
                <w:szCs w:val="18"/>
              </w:rPr>
            </w:pPr>
            <w:r>
              <w:rPr>
                <w:noProof/>
                <w:sz w:val="18"/>
                <w:szCs w:val="18"/>
              </w:rPr>
              <w:t>3 500 000 exchanges by 2020</w:t>
            </w:r>
          </w:p>
        </w:tc>
      </w:tr>
    </w:tbl>
    <w:p>
      <w:pPr>
        <w:spacing w:after="120"/>
        <w:rPr>
          <w:b/>
          <w:i/>
          <w:noProof/>
          <w:szCs w:val="24"/>
        </w:rPr>
      </w:pPr>
    </w:p>
    <w:p>
      <w:pPr>
        <w:pStyle w:val="ListParagraph"/>
        <w:numPr>
          <w:ilvl w:val="0"/>
          <w:numId w:val="39"/>
        </w:numPr>
        <w:spacing w:after="120"/>
        <w:contextualSpacing w:val="0"/>
        <w:rPr>
          <w:b/>
          <w:i/>
          <w:noProof/>
          <w:szCs w:val="24"/>
        </w:rPr>
      </w:pPr>
      <w:r>
        <w:rPr>
          <w:b/>
          <w:i/>
          <w:noProof/>
        </w:rPr>
        <w:t>Specific objective</w:t>
      </w:r>
      <w:r>
        <w:rPr>
          <w:b/>
          <w:i/>
          <w:noProof/>
          <w:szCs w:val="24"/>
        </w:rPr>
        <w:t xml:space="preserve"> 2: Judicial training </w:t>
      </w:r>
    </w:p>
    <w:p>
      <w:pPr>
        <w:spacing w:after="120" w:line="240" w:lineRule="auto"/>
        <w:jc w:val="both"/>
        <w:rPr>
          <w:rFonts w:ascii="Times New Roman" w:eastAsia="Times New Roman" w:hAnsi="Times New Roman" w:cs="Times New Roman"/>
          <w:b/>
          <w:noProof/>
          <w:sz w:val="24"/>
          <w:szCs w:val="24"/>
          <w:lang w:val="en-GB"/>
        </w:rPr>
      </w:pPr>
      <w:r>
        <w:rPr>
          <w:rFonts w:ascii="Times New Roman" w:hAnsi="Times New Roman" w:cs="Times New Roman"/>
          <w:noProof/>
          <w:sz w:val="24"/>
          <w:szCs w:val="24"/>
          <w:lang w:val="en-GB"/>
        </w:rPr>
        <w:t xml:space="preserve">The Programme's performance concerning this specific objective is measured through one main indicator: the </w:t>
      </w:r>
      <w:r>
        <w:rPr>
          <w:rFonts w:ascii="Times New Roman" w:hAnsi="Times New Roman"/>
          <w:noProof/>
          <w:sz w:val="24"/>
          <w:szCs w:val="24"/>
          <w:lang w:val="en-GB"/>
        </w:rPr>
        <w:t>number and percentage of members of the judiciary and judicial staff that participated in training activities, staff exchanges, study visits, workshops and seminars funded by the Programme.</w:t>
      </w:r>
      <w:r>
        <w:rPr>
          <w:rFonts w:ascii="Times New Roman" w:eastAsia="Times New Roman" w:hAnsi="Times New Roman" w:cs="Times New Roman"/>
          <w:noProof/>
          <w:sz w:val="24"/>
          <w:szCs w:val="20"/>
          <w:highlight w:val="yellow"/>
          <w:lang w:val="en-GB"/>
        </w:rPr>
        <w:t xml:space="preserve"> </w:t>
      </w:r>
    </w:p>
    <w:p>
      <w:pPr>
        <w:spacing w:after="120" w:line="240" w:lineRule="auto"/>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rPr>
        <w:t>T</w:t>
      </w:r>
      <w:r>
        <w:rPr>
          <w:rFonts w:ascii="Times New Roman" w:hAnsi="Times New Roman" w:cs="Times New Roman"/>
          <w:noProof/>
          <w:sz w:val="24"/>
          <w:szCs w:val="24"/>
          <w:lang w:val="en-GB"/>
        </w:rPr>
        <w:t xml:space="preserve">his indicator appears well-adapted to the goals of the specific objective and of the Programme, as it helps track both the overall contribution of the EU funding instruments of the European Commission and the specific contribution of the Justice Programme. It is clearly measurable and it is showing that, looking at the entire Commission, the goal of training 20 000 practitioners yearly by 2020 has been already achieved (see Table 4). </w:t>
      </w:r>
      <w:r>
        <w:rPr>
          <w:rFonts w:ascii="Times New Roman" w:hAnsi="Times New Roman" w:cs="Times New Roman"/>
          <w:noProof/>
          <w:sz w:val="24"/>
          <w:szCs w:val="20"/>
          <w:lang w:val="en-GB"/>
        </w:rPr>
        <w:t>The drop in 2016 below this threshold is likely misleading, as data from the European Social Fund-funded judicial training is currently missing</w:t>
      </w:r>
      <w:r>
        <w:rPr>
          <w:rStyle w:val="FootnoteReference"/>
          <w:rFonts w:ascii="Times New Roman" w:hAnsi="Times New Roman" w:cs="Times New Roman"/>
          <w:noProof/>
          <w:szCs w:val="20"/>
          <w:lang w:val="en-GB"/>
        </w:rPr>
        <w:footnoteReference w:id="29"/>
      </w:r>
      <w:r>
        <w:rPr>
          <w:rFonts w:ascii="Times New Roman" w:hAnsi="Times New Roman" w:cs="Times New Roman"/>
          <w:noProof/>
          <w:sz w:val="24"/>
          <w:szCs w:val="20"/>
          <w:lang w:val="en-GB"/>
        </w:rPr>
        <w:t>. As ca. 3 000 legal practitioners were trained in 2015 with European Social Fund funding, it is quite likely that once this data are reported, the objective will have been achieved for 2016 as well.</w:t>
      </w:r>
    </w:p>
    <w:p>
      <w:pPr>
        <w:spacing w:after="120"/>
        <w:jc w:val="center"/>
        <w:rPr>
          <w:rFonts w:ascii="Times New Roman" w:hAnsi="Times New Roman" w:cs="Times New Roman"/>
          <w:b/>
          <w:noProof/>
          <w:sz w:val="20"/>
          <w:szCs w:val="20"/>
          <w:lang w:val="en-GB"/>
        </w:rPr>
      </w:pPr>
      <w:bookmarkStart w:id="14" w:name="Table_4"/>
      <w:r>
        <w:rPr>
          <w:rFonts w:ascii="Times New Roman" w:hAnsi="Times New Roman" w:cs="Times New Roman"/>
          <w:b/>
          <w:noProof/>
          <w:sz w:val="20"/>
          <w:szCs w:val="20"/>
          <w:lang w:val="en-GB"/>
        </w:rPr>
        <w:t>Table 4: Result indicator, target and actual value</w:t>
      </w:r>
    </w:p>
    <w:tbl>
      <w:tblPr>
        <w:tblStyle w:val="TableGrid"/>
        <w:tblW w:w="0" w:type="auto"/>
        <w:tblLook w:val="04A0" w:firstRow="1" w:lastRow="0" w:firstColumn="1" w:lastColumn="0" w:noHBand="0" w:noVBand="1"/>
      </w:tblPr>
      <w:tblGrid>
        <w:gridCol w:w="2565"/>
        <w:gridCol w:w="2363"/>
        <w:gridCol w:w="1134"/>
        <w:gridCol w:w="1134"/>
        <w:gridCol w:w="1638"/>
      </w:tblGrid>
      <w:tr>
        <w:tc>
          <w:tcPr>
            <w:tcW w:w="2565" w:type="dxa"/>
            <w:shd w:val="clear" w:color="auto" w:fill="FDE9D9" w:themeFill="accent6" w:themeFillTint="33"/>
          </w:tcPr>
          <w:bookmarkEnd w:id="14"/>
          <w:p>
            <w:pPr>
              <w:widowControl w:val="0"/>
              <w:autoSpaceDE w:val="0"/>
              <w:autoSpaceDN w:val="0"/>
              <w:adjustRightInd w:val="0"/>
              <w:spacing w:after="120"/>
              <w:jc w:val="both"/>
              <w:rPr>
                <w:b/>
                <w:noProof/>
                <w:sz w:val="22"/>
                <w:szCs w:val="22"/>
                <w:u w:color="0000EE"/>
              </w:rPr>
            </w:pPr>
            <w:r>
              <w:rPr>
                <w:b/>
                <w:noProof/>
                <w:sz w:val="22"/>
                <w:szCs w:val="22"/>
                <w:u w:color="0000EE"/>
              </w:rPr>
              <w:t>Result indicators</w:t>
            </w:r>
          </w:p>
        </w:tc>
        <w:tc>
          <w:tcPr>
            <w:tcW w:w="2363" w:type="dxa"/>
            <w:shd w:val="clear" w:color="auto" w:fill="FDE9D9" w:themeFill="accent6" w:themeFillTint="33"/>
          </w:tcPr>
          <w:p>
            <w:pPr>
              <w:widowControl w:val="0"/>
              <w:autoSpaceDE w:val="0"/>
              <w:autoSpaceDN w:val="0"/>
              <w:adjustRightInd w:val="0"/>
              <w:spacing w:after="120"/>
              <w:jc w:val="both"/>
              <w:rPr>
                <w:b/>
                <w:noProof/>
                <w:sz w:val="22"/>
                <w:szCs w:val="22"/>
                <w:u w:color="0000EE"/>
              </w:rPr>
            </w:pPr>
            <w:r>
              <w:rPr>
                <w:rFonts w:eastAsia="Calibri"/>
                <w:b/>
                <w:noProof/>
                <w:sz w:val="22"/>
                <w:szCs w:val="22"/>
              </w:rPr>
              <w:t>Baseline 2011</w:t>
            </w:r>
          </w:p>
        </w:tc>
        <w:tc>
          <w:tcPr>
            <w:tcW w:w="1134" w:type="dxa"/>
            <w:shd w:val="clear" w:color="auto" w:fill="FDE9D9" w:themeFill="accent6" w:themeFillTint="33"/>
          </w:tcPr>
          <w:p>
            <w:pPr>
              <w:widowControl w:val="0"/>
              <w:autoSpaceDE w:val="0"/>
              <w:autoSpaceDN w:val="0"/>
              <w:adjustRightInd w:val="0"/>
              <w:spacing w:after="120"/>
              <w:jc w:val="both"/>
              <w:rPr>
                <w:rFonts w:eastAsia="Calibri"/>
                <w:b/>
                <w:noProof/>
              </w:rPr>
            </w:pPr>
            <w:r>
              <w:rPr>
                <w:rFonts w:eastAsia="Calibri"/>
                <w:b/>
                <w:noProof/>
              </w:rPr>
              <w:t>2015</w:t>
            </w:r>
          </w:p>
        </w:tc>
        <w:tc>
          <w:tcPr>
            <w:tcW w:w="1134" w:type="dxa"/>
            <w:shd w:val="clear" w:color="auto" w:fill="FDE9D9" w:themeFill="accent6" w:themeFillTint="33"/>
          </w:tcPr>
          <w:p>
            <w:pPr>
              <w:widowControl w:val="0"/>
              <w:autoSpaceDE w:val="0"/>
              <w:autoSpaceDN w:val="0"/>
              <w:adjustRightInd w:val="0"/>
              <w:spacing w:after="120"/>
              <w:jc w:val="both"/>
              <w:rPr>
                <w:rFonts w:eastAsia="Calibri"/>
                <w:b/>
                <w:noProof/>
              </w:rPr>
            </w:pPr>
            <w:r>
              <w:rPr>
                <w:rFonts w:eastAsia="Calibri"/>
                <w:b/>
                <w:noProof/>
              </w:rPr>
              <w:t>2016</w:t>
            </w:r>
          </w:p>
        </w:tc>
        <w:tc>
          <w:tcPr>
            <w:tcW w:w="1638" w:type="dxa"/>
            <w:shd w:val="clear" w:color="auto" w:fill="FDE9D9" w:themeFill="accent6" w:themeFillTint="33"/>
          </w:tcPr>
          <w:p>
            <w:pPr>
              <w:widowControl w:val="0"/>
              <w:autoSpaceDE w:val="0"/>
              <w:autoSpaceDN w:val="0"/>
              <w:adjustRightInd w:val="0"/>
              <w:spacing w:after="120"/>
              <w:jc w:val="both"/>
              <w:rPr>
                <w:b/>
                <w:noProof/>
                <w:sz w:val="22"/>
                <w:szCs w:val="22"/>
                <w:u w:color="0000EE"/>
              </w:rPr>
            </w:pPr>
            <w:r>
              <w:rPr>
                <w:rFonts w:eastAsia="Calibri"/>
                <w:b/>
                <w:noProof/>
                <w:sz w:val="22"/>
                <w:szCs w:val="22"/>
              </w:rPr>
              <w:t>Targets 2020</w:t>
            </w:r>
          </w:p>
        </w:tc>
      </w:tr>
      <w:tr>
        <w:tc>
          <w:tcPr>
            <w:tcW w:w="2565" w:type="dxa"/>
          </w:tcPr>
          <w:p>
            <w:pPr>
              <w:pStyle w:val="Bulletpoint1"/>
              <w:spacing w:before="0" w:after="120"/>
              <w:ind w:left="0" w:firstLine="0"/>
              <w:rPr>
                <w:rFonts w:ascii="Times New Roman" w:hAnsi="Times New Roman"/>
                <w:noProof/>
                <w:sz w:val="18"/>
                <w:szCs w:val="18"/>
              </w:rPr>
            </w:pPr>
            <w:r>
              <w:rPr>
                <w:rFonts w:ascii="Times New Roman" w:hAnsi="Times New Roman"/>
                <w:b/>
                <w:noProof/>
                <w:sz w:val="18"/>
                <w:szCs w:val="18"/>
              </w:rPr>
              <w:t>1.</w:t>
            </w:r>
            <w:r>
              <w:rPr>
                <w:rFonts w:ascii="Times New Roman" w:hAnsi="Times New Roman"/>
                <w:noProof/>
                <w:sz w:val="18"/>
                <w:szCs w:val="18"/>
              </w:rPr>
              <w:t xml:space="preserve"> Number and percentage of members of the judiciary and judicial staff that participated in training activities, staff exchanges, study visits, workshops and seminars funded by the Programme</w:t>
            </w:r>
          </w:p>
        </w:tc>
        <w:tc>
          <w:tcPr>
            <w:tcW w:w="2363" w:type="dxa"/>
          </w:tcPr>
          <w:p>
            <w:pPr>
              <w:widowControl w:val="0"/>
              <w:tabs>
                <w:tab w:val="left" w:pos="1386"/>
              </w:tabs>
              <w:autoSpaceDE w:val="0"/>
              <w:autoSpaceDN w:val="0"/>
              <w:adjustRightInd w:val="0"/>
              <w:spacing w:after="120"/>
              <w:jc w:val="both"/>
              <w:rPr>
                <w:noProof/>
                <w:sz w:val="18"/>
                <w:szCs w:val="18"/>
                <w:u w:color="0000EE"/>
              </w:rPr>
            </w:pPr>
            <w:r>
              <w:rPr>
                <w:b/>
                <w:noProof/>
                <w:sz w:val="18"/>
                <w:szCs w:val="18"/>
                <w:u w:color="0000EE"/>
              </w:rPr>
              <w:t>For the whole Commission</w:t>
            </w:r>
            <w:r>
              <w:rPr>
                <w:noProof/>
                <w:sz w:val="18"/>
                <w:szCs w:val="18"/>
                <w:u w:color="0000EE"/>
              </w:rPr>
              <w:t xml:space="preserve">: 8 639 in 2011 </w:t>
            </w:r>
          </w:p>
          <w:p>
            <w:pPr>
              <w:widowControl w:val="0"/>
              <w:tabs>
                <w:tab w:val="left" w:pos="1386"/>
              </w:tabs>
              <w:autoSpaceDE w:val="0"/>
              <w:autoSpaceDN w:val="0"/>
              <w:adjustRightInd w:val="0"/>
              <w:spacing w:after="120"/>
              <w:jc w:val="both"/>
              <w:rPr>
                <w:noProof/>
                <w:sz w:val="18"/>
                <w:szCs w:val="18"/>
                <w:u w:color="0000EE"/>
              </w:rPr>
            </w:pPr>
          </w:p>
          <w:p>
            <w:pPr>
              <w:widowControl w:val="0"/>
              <w:tabs>
                <w:tab w:val="left" w:pos="1386"/>
              </w:tabs>
              <w:autoSpaceDE w:val="0"/>
              <w:autoSpaceDN w:val="0"/>
              <w:adjustRightInd w:val="0"/>
              <w:spacing w:after="120"/>
              <w:jc w:val="both"/>
              <w:rPr>
                <w:noProof/>
                <w:sz w:val="18"/>
                <w:szCs w:val="18"/>
                <w:highlight w:val="yellow"/>
                <w:u w:color="0000EE"/>
              </w:rPr>
            </w:pPr>
            <w:r>
              <w:rPr>
                <w:b/>
                <w:noProof/>
                <w:sz w:val="18"/>
                <w:szCs w:val="18"/>
                <w:u w:color="0000EE"/>
              </w:rPr>
              <w:t>For DG Justice and Consumers</w:t>
            </w:r>
            <w:r>
              <w:rPr>
                <w:noProof/>
                <w:sz w:val="18"/>
                <w:szCs w:val="18"/>
                <w:u w:color="0000EE"/>
              </w:rPr>
              <w:t xml:space="preserve">: 6 681 </w:t>
            </w:r>
          </w:p>
        </w:tc>
        <w:tc>
          <w:tcPr>
            <w:tcW w:w="1134" w:type="dxa"/>
          </w:tcPr>
          <w:p>
            <w:pPr>
              <w:spacing w:after="120"/>
              <w:ind w:left="1570" w:right="34" w:hanging="1559"/>
              <w:rPr>
                <w:rFonts w:eastAsiaTheme="minorHAnsi" w:cstheme="minorBidi"/>
                <w:noProof/>
                <w:sz w:val="18"/>
                <w:szCs w:val="18"/>
                <w:u w:color="0000EE"/>
                <w:lang w:eastAsia="en-US"/>
              </w:rPr>
            </w:pPr>
            <w:r>
              <w:rPr>
                <w:rFonts w:eastAsiaTheme="minorHAnsi" w:cstheme="minorBidi"/>
                <w:noProof/>
                <w:sz w:val="18"/>
                <w:szCs w:val="18"/>
                <w:u w:color="0000EE"/>
                <w:lang w:eastAsia="en-US"/>
              </w:rPr>
              <w:t>25 680</w:t>
            </w:r>
          </w:p>
          <w:p>
            <w:pPr>
              <w:spacing w:after="120"/>
              <w:ind w:left="1570" w:right="34" w:hanging="1559"/>
              <w:rPr>
                <w:rFonts w:eastAsiaTheme="minorHAnsi" w:cstheme="minorBidi"/>
                <w:noProof/>
                <w:sz w:val="18"/>
                <w:szCs w:val="18"/>
                <w:u w:color="0000EE"/>
                <w:lang w:eastAsia="en-US"/>
              </w:rPr>
            </w:pPr>
          </w:p>
          <w:p>
            <w:pPr>
              <w:pStyle w:val="Bulletpoint1"/>
              <w:spacing w:before="0" w:after="120"/>
              <w:ind w:left="1570" w:right="34" w:hanging="1559"/>
              <w:jc w:val="left"/>
              <w:rPr>
                <w:rFonts w:ascii="Times New Roman" w:eastAsiaTheme="minorHAnsi" w:hAnsi="Times New Roman" w:cstheme="minorBidi"/>
                <w:noProof/>
                <w:sz w:val="18"/>
                <w:szCs w:val="18"/>
                <w:u w:color="0000EE"/>
                <w:lang w:val="fr-BE" w:eastAsia="en-US"/>
              </w:rPr>
            </w:pPr>
          </w:p>
          <w:p>
            <w:pPr>
              <w:pStyle w:val="Bulletpoint1"/>
              <w:spacing w:before="0" w:after="120"/>
              <w:ind w:left="1570" w:right="34" w:hanging="1559"/>
              <w:jc w:val="left"/>
              <w:rPr>
                <w:rFonts w:ascii="Times New Roman" w:hAnsi="Times New Roman"/>
                <w:noProof/>
                <w:sz w:val="18"/>
                <w:szCs w:val="18"/>
                <w:u w:color="0000EE"/>
              </w:rPr>
            </w:pPr>
            <w:r>
              <w:rPr>
                <w:rFonts w:ascii="Times New Roman" w:eastAsiaTheme="minorHAnsi" w:hAnsi="Times New Roman" w:cstheme="minorBidi"/>
                <w:noProof/>
                <w:sz w:val="18"/>
                <w:szCs w:val="18"/>
                <w:u w:color="0000EE"/>
                <w:lang w:val="fr-BE" w:eastAsia="en-US"/>
              </w:rPr>
              <w:t>16 723</w:t>
            </w:r>
          </w:p>
        </w:tc>
        <w:tc>
          <w:tcPr>
            <w:tcW w:w="1134" w:type="dxa"/>
          </w:tcPr>
          <w:p>
            <w:pPr>
              <w:spacing w:after="120"/>
              <w:ind w:left="1570" w:right="34" w:hanging="1559"/>
              <w:rPr>
                <w:rFonts w:eastAsiaTheme="minorHAnsi" w:cstheme="minorBidi"/>
                <w:noProof/>
                <w:sz w:val="18"/>
                <w:szCs w:val="18"/>
                <w:u w:color="0000EE"/>
                <w:lang w:eastAsia="en-US"/>
              </w:rPr>
            </w:pPr>
            <w:r>
              <w:rPr>
                <w:rFonts w:eastAsiaTheme="minorHAnsi" w:cstheme="minorBidi"/>
                <w:noProof/>
                <w:sz w:val="18"/>
                <w:szCs w:val="18"/>
                <w:u w:color="0000EE"/>
                <w:lang w:eastAsia="en-US"/>
              </w:rPr>
              <w:t>18 444</w:t>
            </w:r>
          </w:p>
          <w:p>
            <w:pPr>
              <w:spacing w:after="120"/>
              <w:ind w:left="1570" w:right="34" w:hanging="1559"/>
              <w:rPr>
                <w:rFonts w:eastAsiaTheme="minorHAnsi" w:cstheme="minorBidi"/>
                <w:noProof/>
                <w:sz w:val="18"/>
                <w:szCs w:val="18"/>
                <w:u w:color="0000EE"/>
                <w:lang w:eastAsia="en-US"/>
              </w:rPr>
            </w:pPr>
          </w:p>
          <w:p>
            <w:pPr>
              <w:pStyle w:val="Bulletpoint1"/>
              <w:spacing w:before="0" w:after="120"/>
              <w:ind w:left="1570" w:right="34" w:hanging="1559"/>
              <w:jc w:val="left"/>
              <w:rPr>
                <w:rFonts w:ascii="Times New Roman" w:eastAsiaTheme="minorHAnsi" w:hAnsi="Times New Roman" w:cstheme="minorBidi"/>
                <w:noProof/>
                <w:sz w:val="18"/>
                <w:szCs w:val="18"/>
                <w:u w:color="0000EE"/>
                <w:lang w:val="fr-BE" w:eastAsia="en-US"/>
              </w:rPr>
            </w:pPr>
          </w:p>
          <w:p>
            <w:pPr>
              <w:pStyle w:val="Bulletpoint1"/>
              <w:spacing w:before="0" w:after="120"/>
              <w:ind w:left="1570" w:right="34" w:hanging="1559"/>
              <w:jc w:val="left"/>
              <w:rPr>
                <w:rFonts w:ascii="Times New Roman" w:hAnsi="Times New Roman"/>
                <w:noProof/>
                <w:sz w:val="18"/>
                <w:szCs w:val="18"/>
                <w:u w:color="0000EE"/>
              </w:rPr>
            </w:pPr>
            <w:r>
              <w:rPr>
                <w:rFonts w:ascii="Times New Roman" w:eastAsiaTheme="minorHAnsi" w:hAnsi="Times New Roman" w:cstheme="minorBidi"/>
                <w:noProof/>
                <w:sz w:val="18"/>
                <w:szCs w:val="18"/>
                <w:u w:color="0000EE"/>
                <w:lang w:val="fr-BE" w:eastAsia="en-US"/>
              </w:rPr>
              <w:t>13 930</w:t>
            </w:r>
          </w:p>
        </w:tc>
        <w:tc>
          <w:tcPr>
            <w:tcW w:w="1638" w:type="dxa"/>
          </w:tcPr>
          <w:p>
            <w:pPr>
              <w:pStyle w:val="Bulletpoint1"/>
              <w:spacing w:before="0" w:after="120"/>
              <w:ind w:left="1570" w:right="34" w:hanging="1559"/>
              <w:jc w:val="left"/>
              <w:rPr>
                <w:rFonts w:ascii="Times New Roman" w:hAnsi="Times New Roman"/>
                <w:noProof/>
                <w:sz w:val="18"/>
                <w:szCs w:val="18"/>
                <w:u w:color="0000EE"/>
              </w:rPr>
            </w:pPr>
            <w:r>
              <w:rPr>
                <w:rFonts w:ascii="Times New Roman" w:hAnsi="Times New Roman"/>
                <w:noProof/>
                <w:sz w:val="18"/>
                <w:szCs w:val="18"/>
                <w:u w:color="0000EE"/>
              </w:rPr>
              <w:t xml:space="preserve">20 000 by 2020 </w:t>
            </w:r>
          </w:p>
          <w:p>
            <w:pPr>
              <w:pStyle w:val="Bulletpoint1"/>
              <w:spacing w:before="0" w:after="120"/>
              <w:ind w:left="1570" w:right="34" w:hanging="1559"/>
              <w:jc w:val="left"/>
              <w:rPr>
                <w:rFonts w:ascii="Times New Roman" w:hAnsi="Times New Roman"/>
                <w:noProof/>
                <w:sz w:val="18"/>
                <w:szCs w:val="18"/>
              </w:rPr>
            </w:pPr>
            <w:r>
              <w:rPr>
                <w:rFonts w:ascii="Times New Roman" w:hAnsi="Times New Roman"/>
                <w:noProof/>
                <w:sz w:val="18"/>
                <w:szCs w:val="18"/>
                <w:u w:color="0000EE"/>
              </w:rPr>
              <w:t>(</w:t>
            </w:r>
            <w:r>
              <w:rPr>
                <w:rFonts w:ascii="Times New Roman" w:hAnsi="Times New Roman"/>
                <w:noProof/>
                <w:sz w:val="18"/>
                <w:szCs w:val="18"/>
              </w:rPr>
              <w:t xml:space="preserve">for the whole </w:t>
            </w:r>
          </w:p>
          <w:p>
            <w:pPr>
              <w:pStyle w:val="Bulletpoint1"/>
              <w:spacing w:before="0" w:after="120"/>
              <w:ind w:left="1570" w:right="34" w:hanging="1559"/>
              <w:jc w:val="left"/>
              <w:rPr>
                <w:rFonts w:ascii="Times New Roman" w:hAnsi="Times New Roman"/>
                <w:noProof/>
                <w:sz w:val="18"/>
                <w:szCs w:val="18"/>
                <w:u w:val="single"/>
              </w:rPr>
            </w:pPr>
            <w:r>
              <w:rPr>
                <w:rFonts w:ascii="Times New Roman" w:hAnsi="Times New Roman"/>
                <w:noProof/>
                <w:sz w:val="18"/>
                <w:szCs w:val="18"/>
              </w:rPr>
              <w:t>Commission</w:t>
            </w:r>
            <w:r>
              <w:rPr>
                <w:rFonts w:ascii="Times New Roman" w:hAnsi="Times New Roman"/>
                <w:noProof/>
                <w:sz w:val="18"/>
                <w:szCs w:val="18"/>
                <w:u w:color="0000EE"/>
              </w:rPr>
              <w:t>)</w:t>
            </w:r>
          </w:p>
        </w:tc>
      </w:tr>
    </w:tbl>
    <w:p>
      <w:pPr>
        <w:spacing w:after="120"/>
        <w:rPr>
          <w:b/>
          <w:i/>
          <w:noProof/>
          <w:szCs w:val="24"/>
          <w:lang w:val="en-GB"/>
        </w:rPr>
      </w:pPr>
    </w:p>
    <w:p>
      <w:pPr>
        <w:pStyle w:val="ListParagraph"/>
        <w:numPr>
          <w:ilvl w:val="0"/>
          <w:numId w:val="39"/>
        </w:numPr>
        <w:spacing w:after="120"/>
        <w:contextualSpacing w:val="0"/>
        <w:rPr>
          <w:b/>
          <w:i/>
          <w:noProof/>
          <w:szCs w:val="24"/>
        </w:rPr>
      </w:pPr>
      <w:r>
        <w:rPr>
          <w:b/>
          <w:i/>
          <w:noProof/>
        </w:rPr>
        <w:t>Specific objective</w:t>
      </w:r>
      <w:r>
        <w:rPr>
          <w:b/>
          <w:i/>
          <w:noProof/>
          <w:szCs w:val="24"/>
        </w:rPr>
        <w:t xml:space="preserve"> 3: Access to justice</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Programme's performance concerning this specific objective is measured through two main indicators: the number of hits on the e-justice portal and the number of Victim Support Organisations with national coverage (see Table 5). The e-justice portal provides information on justice systems and improves and facilitates the access to justice throughout the EU, in 23 languages</w:t>
      </w:r>
      <w:r>
        <w:rPr>
          <w:rStyle w:val="FootnoteReference"/>
          <w:rFonts w:ascii="Times New Roman" w:hAnsi="Times New Roman" w:cs="Times New Roman"/>
          <w:noProof/>
          <w:sz w:val="24"/>
          <w:szCs w:val="24"/>
          <w:lang w:val="en-GB"/>
        </w:rPr>
        <w:footnoteReference w:id="30"/>
      </w:r>
      <w:r>
        <w:rPr>
          <w:rFonts w:ascii="Times New Roman" w:hAnsi="Times New Roman" w:cs="Times New Roman"/>
          <w:noProof/>
          <w:sz w:val="24"/>
          <w:szCs w:val="24"/>
          <w:lang w:val="en-GB"/>
        </w:rPr>
        <w:t xml:space="preserve">. The number of Victim Support Organisations is an important indicator to assess the implementation of Directive 2012/29/EU </w:t>
      </w:r>
      <w:r>
        <w:rPr>
          <w:rFonts w:ascii="Times New Roman" w:hAnsi="Times New Roman" w:cs="Times New Roman"/>
          <w:noProof/>
          <w:sz w:val="24"/>
          <w:szCs w:val="24"/>
          <w:lang w:val="en"/>
        </w:rPr>
        <w:t>establishing minimum standards for the rights, support and protection of victims of crime. This directive contains important procedural provisions for victims of crime regarding, in particular, their right to be heard and have access to support services (i.e.</w:t>
      </w:r>
      <w:r>
        <w:rPr>
          <w:rFonts w:ascii="Times New Roman" w:hAnsi="Times New Roman" w:cs="Times New Roman"/>
          <w:noProof/>
          <w:sz w:val="24"/>
          <w:szCs w:val="24"/>
          <w:lang w:val="en-GB"/>
        </w:rPr>
        <w:t xml:space="preserve"> Victim Support Organisations</w:t>
      </w:r>
      <w:r>
        <w:rPr>
          <w:rFonts w:ascii="Times New Roman" w:hAnsi="Times New Roman" w:cs="Times New Roman"/>
          <w:noProof/>
          <w:sz w:val="24"/>
          <w:szCs w:val="24"/>
          <w:lang w:val="en"/>
        </w:rPr>
        <w:t>).</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Concerning the </w:t>
      </w:r>
      <w:r>
        <w:rPr>
          <w:rFonts w:ascii="Times New Roman" w:hAnsi="Times New Roman" w:cs="Times New Roman"/>
          <w:b/>
          <w:noProof/>
          <w:sz w:val="24"/>
          <w:szCs w:val="24"/>
          <w:lang w:val="en-GB"/>
        </w:rPr>
        <w:t>first indicator</w:t>
      </w:r>
      <w:r>
        <w:rPr>
          <w:rFonts w:ascii="Times New Roman" w:hAnsi="Times New Roman" w:cs="Times New Roman"/>
          <w:noProof/>
          <w:sz w:val="24"/>
          <w:szCs w:val="24"/>
          <w:lang w:val="en-GB"/>
        </w:rPr>
        <w:t xml:space="preserve">, it has already exceeded the stated goals for 2020. Concerning the </w:t>
      </w:r>
      <w:r>
        <w:rPr>
          <w:rFonts w:ascii="Times New Roman" w:hAnsi="Times New Roman" w:cs="Times New Roman"/>
          <w:b/>
          <w:noProof/>
          <w:sz w:val="24"/>
          <w:szCs w:val="24"/>
          <w:lang w:val="en-GB"/>
        </w:rPr>
        <w:t>second indicator</w:t>
      </w:r>
      <w:r>
        <w:rPr>
          <w:rFonts w:ascii="Times New Roman" w:hAnsi="Times New Roman" w:cs="Times New Roman"/>
          <w:noProof/>
          <w:sz w:val="24"/>
          <w:szCs w:val="24"/>
          <w:lang w:val="en-GB"/>
        </w:rPr>
        <w:t xml:space="preserve">, it seems likely that it will be reached, though it partly depends on whether Member States/Victim Support Organisations will implement quality standards, which is partially out of the control of the Justice Programme and could be influenced by exogenous factors, such as </w:t>
      </w:r>
      <w:r>
        <w:rPr>
          <w:rFonts w:ascii="Times New Roman" w:eastAsia="Calibri" w:hAnsi="Times New Roman" w:cs="Times New Roman"/>
          <w:noProof/>
          <w:sz w:val="24"/>
          <w:szCs w:val="24"/>
          <w:lang w:val="en-GB"/>
        </w:rPr>
        <w:t>the uneven pace at which Member States implement and enforce the EU</w:t>
      </w:r>
      <w:r>
        <w:rPr>
          <w:rFonts w:ascii="Times New Roman" w:eastAsia="Calibri" w:hAnsi="Times New Roman" w:cs="Times New Roman"/>
          <w:i/>
          <w:noProof/>
          <w:sz w:val="24"/>
          <w:szCs w:val="24"/>
          <w:lang w:val="en-GB"/>
        </w:rPr>
        <w:t xml:space="preserve"> acquis</w:t>
      </w:r>
      <w:r>
        <w:rPr>
          <w:rFonts w:ascii="Times New Roman" w:eastAsia="Calibri" w:hAnsi="Times New Roman" w:cs="Times New Roman"/>
          <w:noProof/>
          <w:sz w:val="24"/>
          <w:szCs w:val="24"/>
          <w:lang w:val="en-GB"/>
        </w:rPr>
        <w:t xml:space="preserve"> or other political priorities or emergencies in the Member States (in particular the economic crises has weakened the civil society engagement for this specific objective)</w:t>
      </w:r>
      <w:r>
        <w:rPr>
          <w:rFonts w:ascii="Times New Roman" w:hAnsi="Times New Roman" w:cs="Times New Roman"/>
          <w:noProof/>
          <w:sz w:val="24"/>
          <w:szCs w:val="24"/>
          <w:lang w:val="en-GB"/>
        </w:rPr>
        <w:t>.</w:t>
      </w:r>
    </w:p>
    <w:p>
      <w:pPr>
        <w:spacing w:after="120"/>
        <w:jc w:val="center"/>
        <w:rPr>
          <w:rFonts w:ascii="Times New Roman" w:hAnsi="Times New Roman" w:cs="Times New Roman"/>
          <w:b/>
          <w:noProof/>
          <w:sz w:val="20"/>
          <w:szCs w:val="20"/>
          <w:lang w:val="en-GB"/>
        </w:rPr>
      </w:pPr>
      <w:bookmarkStart w:id="15" w:name="Table_5"/>
      <w:r>
        <w:rPr>
          <w:rFonts w:ascii="Times New Roman" w:hAnsi="Times New Roman" w:cs="Times New Roman"/>
          <w:b/>
          <w:noProof/>
          <w:sz w:val="20"/>
          <w:szCs w:val="20"/>
          <w:lang w:val="en-GB"/>
        </w:rPr>
        <w:t>Table 5: Result indicators, target and actual values</w:t>
      </w:r>
    </w:p>
    <w:tbl>
      <w:tblPr>
        <w:tblStyle w:val="TableGrid"/>
        <w:tblW w:w="0" w:type="auto"/>
        <w:tblLook w:val="04A0" w:firstRow="1" w:lastRow="0" w:firstColumn="1" w:lastColumn="0" w:noHBand="0" w:noVBand="1"/>
      </w:tblPr>
      <w:tblGrid>
        <w:gridCol w:w="2943"/>
        <w:gridCol w:w="1740"/>
        <w:gridCol w:w="1823"/>
        <w:gridCol w:w="2328"/>
      </w:tblGrid>
      <w:tr>
        <w:tc>
          <w:tcPr>
            <w:tcW w:w="2943" w:type="dxa"/>
            <w:shd w:val="clear" w:color="auto" w:fill="FDE9D9" w:themeFill="accent6" w:themeFillTint="33"/>
          </w:tcPr>
          <w:bookmarkEnd w:id="15"/>
          <w:p>
            <w:pPr>
              <w:widowControl w:val="0"/>
              <w:autoSpaceDE w:val="0"/>
              <w:autoSpaceDN w:val="0"/>
              <w:adjustRightInd w:val="0"/>
              <w:spacing w:after="120"/>
              <w:jc w:val="both"/>
              <w:rPr>
                <w:b/>
                <w:noProof/>
                <w:sz w:val="22"/>
                <w:szCs w:val="22"/>
                <w:u w:color="0000EE"/>
              </w:rPr>
            </w:pPr>
            <w:r>
              <w:rPr>
                <w:b/>
                <w:noProof/>
                <w:sz w:val="22"/>
                <w:szCs w:val="22"/>
                <w:u w:color="0000EE"/>
              </w:rPr>
              <w:t>Result indicators</w:t>
            </w:r>
          </w:p>
        </w:tc>
        <w:tc>
          <w:tcPr>
            <w:tcW w:w="1740" w:type="dxa"/>
            <w:shd w:val="clear" w:color="auto" w:fill="FDE9D9" w:themeFill="accent6" w:themeFillTint="33"/>
          </w:tcPr>
          <w:p>
            <w:pPr>
              <w:widowControl w:val="0"/>
              <w:autoSpaceDE w:val="0"/>
              <w:autoSpaceDN w:val="0"/>
              <w:adjustRightInd w:val="0"/>
              <w:spacing w:after="120"/>
              <w:jc w:val="both"/>
              <w:rPr>
                <w:b/>
                <w:noProof/>
                <w:sz w:val="22"/>
                <w:szCs w:val="22"/>
                <w:u w:color="0000EE"/>
              </w:rPr>
            </w:pPr>
            <w:r>
              <w:rPr>
                <w:rFonts w:eastAsia="Calibri"/>
                <w:b/>
                <w:noProof/>
                <w:sz w:val="22"/>
                <w:szCs w:val="22"/>
              </w:rPr>
              <w:t>Baseline 2013</w:t>
            </w:r>
          </w:p>
        </w:tc>
        <w:tc>
          <w:tcPr>
            <w:tcW w:w="1823" w:type="dxa"/>
            <w:shd w:val="clear" w:color="auto" w:fill="FDE9D9" w:themeFill="accent6" w:themeFillTint="33"/>
          </w:tcPr>
          <w:p>
            <w:pPr>
              <w:widowControl w:val="0"/>
              <w:autoSpaceDE w:val="0"/>
              <w:autoSpaceDN w:val="0"/>
              <w:adjustRightInd w:val="0"/>
              <w:spacing w:after="120"/>
              <w:jc w:val="both"/>
              <w:rPr>
                <w:rFonts w:eastAsia="Calibri"/>
                <w:b/>
                <w:noProof/>
              </w:rPr>
            </w:pPr>
            <w:r>
              <w:rPr>
                <w:rFonts w:eastAsia="Calibri"/>
                <w:b/>
                <w:noProof/>
              </w:rPr>
              <w:t>2017</w:t>
            </w:r>
          </w:p>
        </w:tc>
        <w:tc>
          <w:tcPr>
            <w:tcW w:w="2328" w:type="dxa"/>
            <w:shd w:val="clear" w:color="auto" w:fill="FDE9D9" w:themeFill="accent6" w:themeFillTint="33"/>
          </w:tcPr>
          <w:p>
            <w:pPr>
              <w:widowControl w:val="0"/>
              <w:autoSpaceDE w:val="0"/>
              <w:autoSpaceDN w:val="0"/>
              <w:adjustRightInd w:val="0"/>
              <w:spacing w:after="120"/>
              <w:jc w:val="both"/>
              <w:rPr>
                <w:b/>
                <w:noProof/>
                <w:sz w:val="22"/>
                <w:szCs w:val="22"/>
                <w:u w:color="0000EE"/>
              </w:rPr>
            </w:pPr>
            <w:r>
              <w:rPr>
                <w:rFonts w:eastAsia="Calibri"/>
                <w:b/>
                <w:noProof/>
                <w:sz w:val="22"/>
                <w:szCs w:val="22"/>
              </w:rPr>
              <w:t>Targets 2020</w:t>
            </w:r>
          </w:p>
        </w:tc>
      </w:tr>
      <w:tr>
        <w:tc>
          <w:tcPr>
            <w:tcW w:w="2943" w:type="dxa"/>
          </w:tcPr>
          <w:p>
            <w:pPr>
              <w:spacing w:after="120"/>
              <w:jc w:val="both"/>
              <w:rPr>
                <w:noProof/>
                <w:sz w:val="18"/>
                <w:szCs w:val="18"/>
              </w:rPr>
            </w:pPr>
            <w:r>
              <w:rPr>
                <w:b/>
                <w:noProof/>
                <w:sz w:val="18"/>
                <w:szCs w:val="18"/>
              </w:rPr>
              <w:t>1.</w:t>
            </w:r>
            <w:r>
              <w:rPr>
                <w:noProof/>
                <w:sz w:val="18"/>
                <w:szCs w:val="18"/>
              </w:rPr>
              <w:t xml:space="preserve"> Number of hits on the e-justice portal</w:t>
            </w:r>
            <w:r>
              <w:rPr>
                <w:rStyle w:val="FootnoteReference"/>
                <w:noProof/>
                <w:sz w:val="18"/>
                <w:szCs w:val="18"/>
              </w:rPr>
              <w:footnoteReference w:id="31"/>
            </w:r>
            <w:r>
              <w:rPr>
                <w:noProof/>
                <w:sz w:val="18"/>
                <w:szCs w:val="18"/>
              </w:rPr>
              <w:t xml:space="preserve"> </w:t>
            </w:r>
          </w:p>
          <w:p>
            <w:pPr>
              <w:pStyle w:val="Bulletpoint1"/>
              <w:spacing w:before="0" w:after="120"/>
              <w:ind w:left="0" w:firstLine="0"/>
              <w:rPr>
                <w:rFonts w:ascii="Times New Roman" w:hAnsi="Times New Roman"/>
                <w:noProof/>
                <w:sz w:val="18"/>
                <w:szCs w:val="18"/>
              </w:rPr>
            </w:pPr>
          </w:p>
        </w:tc>
        <w:tc>
          <w:tcPr>
            <w:tcW w:w="1740" w:type="dxa"/>
          </w:tcPr>
          <w:p>
            <w:pPr>
              <w:widowControl w:val="0"/>
              <w:autoSpaceDE w:val="0"/>
              <w:autoSpaceDN w:val="0"/>
              <w:adjustRightInd w:val="0"/>
              <w:spacing w:after="120"/>
              <w:jc w:val="both"/>
              <w:rPr>
                <w:noProof/>
                <w:sz w:val="18"/>
                <w:szCs w:val="18"/>
                <w:highlight w:val="yellow"/>
                <w:u w:color="0000EE"/>
              </w:rPr>
            </w:pPr>
            <w:r>
              <w:rPr>
                <w:noProof/>
                <w:sz w:val="18"/>
                <w:szCs w:val="18"/>
              </w:rPr>
              <w:t>630 000 (2012)</w:t>
            </w:r>
          </w:p>
        </w:tc>
        <w:tc>
          <w:tcPr>
            <w:tcW w:w="1823" w:type="dxa"/>
          </w:tcPr>
          <w:p>
            <w:pPr>
              <w:pStyle w:val="Bulletpoint1"/>
              <w:spacing w:before="0" w:after="120"/>
              <w:ind w:hanging="1749"/>
              <w:rPr>
                <w:rFonts w:ascii="Times New Roman" w:hAnsi="Times New Roman"/>
                <w:noProof/>
                <w:sz w:val="18"/>
                <w:szCs w:val="18"/>
                <w:u w:color="0000EE"/>
              </w:rPr>
            </w:pPr>
            <w:r>
              <w:rPr>
                <w:rFonts w:ascii="Times New Roman" w:hAnsi="Times New Roman"/>
                <w:noProof/>
                <w:sz w:val="18"/>
                <w:szCs w:val="18"/>
                <w:u w:color="0000EE"/>
              </w:rPr>
              <w:t xml:space="preserve">2 690 574 </w:t>
            </w:r>
          </w:p>
        </w:tc>
        <w:tc>
          <w:tcPr>
            <w:tcW w:w="2328" w:type="dxa"/>
          </w:tcPr>
          <w:p>
            <w:pPr>
              <w:pStyle w:val="Bulletpoint1"/>
              <w:spacing w:before="0" w:after="120"/>
              <w:ind w:hanging="1749"/>
              <w:rPr>
                <w:rFonts w:ascii="Times New Roman" w:hAnsi="Times New Roman"/>
                <w:noProof/>
                <w:sz w:val="18"/>
                <w:szCs w:val="18"/>
                <w:highlight w:val="yellow"/>
                <w:u w:color="0000EE"/>
              </w:rPr>
            </w:pPr>
            <w:r>
              <w:rPr>
                <w:rFonts w:ascii="Times New Roman" w:hAnsi="Times New Roman"/>
                <w:noProof/>
                <w:sz w:val="18"/>
                <w:szCs w:val="18"/>
                <w:u w:color="0000EE"/>
              </w:rPr>
              <w:t>+ 20% per year</w:t>
            </w:r>
          </w:p>
        </w:tc>
      </w:tr>
      <w:tr>
        <w:tc>
          <w:tcPr>
            <w:tcW w:w="2943" w:type="dxa"/>
          </w:tcPr>
          <w:p>
            <w:pPr>
              <w:spacing w:after="120"/>
              <w:jc w:val="both"/>
              <w:rPr>
                <w:noProof/>
                <w:sz w:val="18"/>
                <w:szCs w:val="18"/>
              </w:rPr>
            </w:pPr>
            <w:r>
              <w:rPr>
                <w:b/>
                <w:noProof/>
                <w:sz w:val="18"/>
                <w:szCs w:val="18"/>
              </w:rPr>
              <w:t>2.</w:t>
            </w:r>
            <w:r>
              <w:rPr>
                <w:noProof/>
                <w:sz w:val="18"/>
                <w:szCs w:val="18"/>
              </w:rPr>
              <w:t xml:space="preserve"> Number of Victim Support Organisations with national coverage (implementation of Directive 2012/29/EU)</w:t>
            </w:r>
          </w:p>
        </w:tc>
        <w:tc>
          <w:tcPr>
            <w:tcW w:w="1740" w:type="dxa"/>
          </w:tcPr>
          <w:p>
            <w:pPr>
              <w:pStyle w:val="Bulletpoint1"/>
              <w:spacing w:before="0" w:after="120"/>
              <w:ind w:hanging="1760"/>
              <w:jc w:val="left"/>
              <w:rPr>
                <w:rFonts w:ascii="Times New Roman" w:hAnsi="Times New Roman"/>
                <w:noProof/>
                <w:sz w:val="18"/>
                <w:szCs w:val="18"/>
              </w:rPr>
            </w:pPr>
            <w:r>
              <w:rPr>
                <w:rFonts w:ascii="Times New Roman" w:hAnsi="Times New Roman"/>
                <w:noProof/>
                <w:sz w:val="18"/>
                <w:szCs w:val="18"/>
              </w:rPr>
              <w:t>10 Victim Support</w:t>
            </w:r>
          </w:p>
          <w:p>
            <w:pPr>
              <w:pStyle w:val="Bulletpoint1"/>
              <w:spacing w:before="0" w:after="120"/>
              <w:ind w:hanging="1760"/>
              <w:jc w:val="left"/>
              <w:rPr>
                <w:noProof/>
                <w:sz w:val="18"/>
                <w:szCs w:val="18"/>
              </w:rPr>
            </w:pPr>
            <w:r>
              <w:rPr>
                <w:rFonts w:ascii="Times New Roman" w:hAnsi="Times New Roman"/>
                <w:noProof/>
                <w:sz w:val="18"/>
                <w:szCs w:val="18"/>
              </w:rPr>
              <w:t xml:space="preserve"> Organisations (2012)</w:t>
            </w:r>
          </w:p>
          <w:p>
            <w:pPr>
              <w:widowControl w:val="0"/>
              <w:autoSpaceDE w:val="0"/>
              <w:autoSpaceDN w:val="0"/>
              <w:adjustRightInd w:val="0"/>
              <w:spacing w:after="120"/>
              <w:jc w:val="both"/>
              <w:rPr>
                <w:noProof/>
                <w:sz w:val="18"/>
                <w:szCs w:val="18"/>
              </w:rPr>
            </w:pPr>
          </w:p>
        </w:tc>
        <w:tc>
          <w:tcPr>
            <w:tcW w:w="1823" w:type="dxa"/>
          </w:tcPr>
          <w:p>
            <w:pPr>
              <w:widowControl w:val="0"/>
              <w:autoSpaceDE w:val="0"/>
              <w:autoSpaceDN w:val="0"/>
              <w:adjustRightInd w:val="0"/>
              <w:spacing w:after="120"/>
              <w:jc w:val="both"/>
              <w:rPr>
                <w:noProof/>
                <w:sz w:val="18"/>
                <w:szCs w:val="18"/>
              </w:rPr>
            </w:pPr>
            <w:r>
              <w:rPr>
                <w:noProof/>
                <w:sz w:val="18"/>
                <w:szCs w:val="18"/>
              </w:rPr>
              <w:t xml:space="preserve">22 Victim Support Organisations </w:t>
            </w:r>
          </w:p>
        </w:tc>
        <w:tc>
          <w:tcPr>
            <w:tcW w:w="2328" w:type="dxa"/>
          </w:tcPr>
          <w:p>
            <w:pPr>
              <w:widowControl w:val="0"/>
              <w:autoSpaceDE w:val="0"/>
              <w:autoSpaceDN w:val="0"/>
              <w:adjustRightInd w:val="0"/>
              <w:spacing w:after="120"/>
              <w:jc w:val="both"/>
              <w:rPr>
                <w:noProof/>
                <w:sz w:val="18"/>
                <w:szCs w:val="18"/>
              </w:rPr>
            </w:pPr>
            <w:r>
              <w:rPr>
                <w:noProof/>
                <w:sz w:val="18"/>
                <w:szCs w:val="18"/>
              </w:rPr>
              <w:t>28 Victim Support Organisations – at least one Victim Support Organisation in each Member State fulfilling the quality standards/indicators set by Member States or developed individually by the Victim Support Organisations (by 2020)</w:t>
            </w:r>
          </w:p>
        </w:tc>
      </w:tr>
    </w:tbl>
    <w:p>
      <w:pPr>
        <w:spacing w:after="120"/>
        <w:rPr>
          <w:b/>
          <w:i/>
          <w:noProof/>
          <w:szCs w:val="24"/>
          <w:lang w:val="en-GB"/>
        </w:rPr>
      </w:pPr>
    </w:p>
    <w:p>
      <w:pPr>
        <w:pStyle w:val="ListParagraph"/>
        <w:numPr>
          <w:ilvl w:val="0"/>
          <w:numId w:val="39"/>
        </w:numPr>
        <w:spacing w:after="120"/>
        <w:contextualSpacing w:val="0"/>
        <w:rPr>
          <w:b/>
          <w:i/>
          <w:noProof/>
          <w:szCs w:val="24"/>
        </w:rPr>
      </w:pPr>
      <w:r>
        <w:rPr>
          <w:b/>
          <w:i/>
          <w:noProof/>
        </w:rPr>
        <w:t>Specific objective</w:t>
      </w:r>
      <w:r>
        <w:rPr>
          <w:b/>
          <w:i/>
          <w:noProof/>
          <w:szCs w:val="24"/>
        </w:rPr>
        <w:t xml:space="preserve"> 4: Drugs policy</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Programme's performance concerning this specific objective is measured through two main indicators: the number of new psychoactive substances assessed (including through testing, if necessary) to enable the EU or the Member States to take appropriate action to protect consumers, depending on the type and level of risk that they may pose when consumed by humans and the % of problem opioid users that are in drug treatment.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Given the stability observed over time of </w:t>
      </w:r>
      <w:r>
        <w:rPr>
          <w:rFonts w:ascii="Times New Roman" w:hAnsi="Times New Roman" w:cs="Times New Roman"/>
          <w:b/>
          <w:noProof/>
          <w:sz w:val="24"/>
          <w:szCs w:val="24"/>
          <w:lang w:val="en-GB"/>
        </w:rPr>
        <w:t>indicator 2</w:t>
      </w:r>
      <w:r>
        <w:rPr>
          <w:rFonts w:ascii="Times New Roman" w:hAnsi="Times New Roman" w:cs="Times New Roman"/>
          <w:noProof/>
          <w:sz w:val="24"/>
          <w:szCs w:val="24"/>
          <w:lang w:val="en-GB"/>
        </w:rPr>
        <w:t xml:space="preserve"> (which has remained at the 50% for the last five years), it seems difficult that this percentage could reach 60% in 2020. Concerning the </w:t>
      </w:r>
      <w:r>
        <w:rPr>
          <w:rFonts w:ascii="Times New Roman" w:hAnsi="Times New Roman" w:cs="Times New Roman"/>
          <w:b/>
          <w:noProof/>
          <w:sz w:val="24"/>
          <w:szCs w:val="24"/>
          <w:lang w:val="en-GB"/>
        </w:rPr>
        <w:t>first indicator</w:t>
      </w:r>
      <w:r>
        <w:rPr>
          <w:rFonts w:ascii="Times New Roman" w:hAnsi="Times New Roman" w:cs="Times New Roman"/>
          <w:noProof/>
          <w:sz w:val="24"/>
          <w:szCs w:val="24"/>
          <w:lang w:val="en-GB"/>
        </w:rPr>
        <w:t xml:space="preserve">, the reverse is true, as figures appear to fluctuate significantly. The 2020 yearly goal was reached in 2015, but in 2016 the number returned near to the 2012 baseline (see Table 6). This indicator can be influenced by different exogenous factors, such as </w:t>
      </w:r>
      <w:r>
        <w:rPr>
          <w:rFonts w:ascii="Times New Roman" w:eastAsia="Calibri" w:hAnsi="Times New Roman" w:cs="Times New Roman"/>
          <w:noProof/>
          <w:sz w:val="24"/>
          <w:szCs w:val="24"/>
          <w:lang w:val="en-GB"/>
        </w:rPr>
        <w:t>macroeconomic conditions, rate of development of new psychoactive substances, etc.</w:t>
      </w:r>
    </w:p>
    <w:p>
      <w:pPr>
        <w:spacing w:after="120"/>
        <w:jc w:val="center"/>
        <w:rPr>
          <w:rFonts w:ascii="Times New Roman" w:hAnsi="Times New Roman" w:cs="Times New Roman"/>
          <w:b/>
          <w:noProof/>
          <w:sz w:val="20"/>
          <w:szCs w:val="20"/>
          <w:lang w:val="en-GB"/>
        </w:rPr>
      </w:pPr>
      <w:bookmarkStart w:id="16" w:name="Table_6"/>
      <w:r>
        <w:rPr>
          <w:rFonts w:ascii="Times New Roman" w:hAnsi="Times New Roman" w:cs="Times New Roman"/>
          <w:b/>
          <w:noProof/>
          <w:sz w:val="20"/>
          <w:szCs w:val="20"/>
          <w:lang w:val="en-GB"/>
        </w:rPr>
        <w:t>Table 6: Result indicator, target and actual value</w:t>
      </w:r>
    </w:p>
    <w:tbl>
      <w:tblPr>
        <w:tblStyle w:val="TableGrid"/>
        <w:tblW w:w="0" w:type="auto"/>
        <w:tblLook w:val="04A0" w:firstRow="1" w:lastRow="0" w:firstColumn="1" w:lastColumn="0" w:noHBand="0" w:noVBand="1"/>
      </w:tblPr>
      <w:tblGrid>
        <w:gridCol w:w="3385"/>
        <w:gridCol w:w="2509"/>
        <w:gridCol w:w="1528"/>
        <w:gridCol w:w="1412"/>
      </w:tblGrid>
      <w:tr>
        <w:tc>
          <w:tcPr>
            <w:tcW w:w="3507" w:type="dxa"/>
            <w:shd w:val="clear" w:color="auto" w:fill="FDE9D9" w:themeFill="accent6" w:themeFillTint="33"/>
          </w:tcPr>
          <w:bookmarkEnd w:id="16"/>
          <w:p>
            <w:pPr>
              <w:widowControl w:val="0"/>
              <w:autoSpaceDE w:val="0"/>
              <w:autoSpaceDN w:val="0"/>
              <w:adjustRightInd w:val="0"/>
              <w:spacing w:after="120"/>
              <w:jc w:val="both"/>
              <w:rPr>
                <w:b/>
                <w:noProof/>
                <w:sz w:val="22"/>
                <w:szCs w:val="22"/>
                <w:u w:color="0000EE"/>
              </w:rPr>
            </w:pPr>
            <w:r>
              <w:rPr>
                <w:b/>
                <w:noProof/>
                <w:sz w:val="22"/>
                <w:szCs w:val="22"/>
                <w:u w:color="0000EE"/>
              </w:rPr>
              <w:t>Result indicators</w:t>
            </w:r>
          </w:p>
        </w:tc>
        <w:tc>
          <w:tcPr>
            <w:tcW w:w="2591" w:type="dxa"/>
            <w:shd w:val="clear" w:color="auto" w:fill="FDE9D9" w:themeFill="accent6" w:themeFillTint="33"/>
          </w:tcPr>
          <w:p>
            <w:pPr>
              <w:widowControl w:val="0"/>
              <w:autoSpaceDE w:val="0"/>
              <w:autoSpaceDN w:val="0"/>
              <w:adjustRightInd w:val="0"/>
              <w:spacing w:after="120"/>
              <w:jc w:val="both"/>
              <w:rPr>
                <w:b/>
                <w:noProof/>
                <w:sz w:val="22"/>
                <w:szCs w:val="22"/>
                <w:u w:color="0000EE"/>
              </w:rPr>
            </w:pPr>
            <w:r>
              <w:rPr>
                <w:rFonts w:eastAsia="Calibri"/>
                <w:b/>
                <w:noProof/>
                <w:sz w:val="22"/>
                <w:szCs w:val="22"/>
              </w:rPr>
              <w:t xml:space="preserve">Baseline </w:t>
            </w:r>
          </w:p>
        </w:tc>
        <w:tc>
          <w:tcPr>
            <w:tcW w:w="1298" w:type="dxa"/>
            <w:shd w:val="clear" w:color="auto" w:fill="FDE9D9" w:themeFill="accent6" w:themeFillTint="33"/>
          </w:tcPr>
          <w:p>
            <w:pPr>
              <w:widowControl w:val="0"/>
              <w:autoSpaceDE w:val="0"/>
              <w:autoSpaceDN w:val="0"/>
              <w:adjustRightInd w:val="0"/>
              <w:spacing w:after="120"/>
              <w:jc w:val="both"/>
              <w:rPr>
                <w:rFonts w:eastAsia="Calibri"/>
                <w:b/>
                <w:noProof/>
              </w:rPr>
            </w:pPr>
            <w:r>
              <w:rPr>
                <w:rFonts w:eastAsia="Calibri"/>
                <w:b/>
                <w:noProof/>
              </w:rPr>
              <w:t>2014/2015/2016</w:t>
            </w:r>
          </w:p>
        </w:tc>
        <w:tc>
          <w:tcPr>
            <w:tcW w:w="1438" w:type="dxa"/>
            <w:shd w:val="clear" w:color="auto" w:fill="FDE9D9" w:themeFill="accent6" w:themeFillTint="33"/>
          </w:tcPr>
          <w:p>
            <w:pPr>
              <w:widowControl w:val="0"/>
              <w:autoSpaceDE w:val="0"/>
              <w:autoSpaceDN w:val="0"/>
              <w:adjustRightInd w:val="0"/>
              <w:spacing w:after="120"/>
              <w:jc w:val="both"/>
              <w:rPr>
                <w:b/>
                <w:noProof/>
                <w:sz w:val="22"/>
                <w:szCs w:val="22"/>
                <w:u w:color="0000EE"/>
              </w:rPr>
            </w:pPr>
            <w:r>
              <w:rPr>
                <w:rFonts w:eastAsia="Calibri"/>
                <w:b/>
                <w:noProof/>
                <w:sz w:val="22"/>
                <w:szCs w:val="22"/>
              </w:rPr>
              <w:t>Targets 2020</w:t>
            </w:r>
          </w:p>
        </w:tc>
      </w:tr>
      <w:tr>
        <w:trPr>
          <w:trHeight w:val="1001"/>
        </w:trPr>
        <w:tc>
          <w:tcPr>
            <w:tcW w:w="3507" w:type="dxa"/>
          </w:tcPr>
          <w:p>
            <w:pPr>
              <w:pStyle w:val="Bulletpoint1"/>
              <w:spacing w:before="0" w:after="120"/>
              <w:ind w:left="0" w:firstLine="0"/>
              <w:rPr>
                <w:rFonts w:ascii="Times New Roman" w:hAnsi="Times New Roman"/>
                <w:noProof/>
                <w:sz w:val="18"/>
                <w:szCs w:val="18"/>
              </w:rPr>
            </w:pPr>
            <w:r>
              <w:rPr>
                <w:rFonts w:ascii="Times New Roman" w:hAnsi="Times New Roman"/>
                <w:b/>
                <w:noProof/>
                <w:sz w:val="18"/>
                <w:szCs w:val="18"/>
              </w:rPr>
              <w:t>1.</w:t>
            </w:r>
            <w:r>
              <w:rPr>
                <w:rFonts w:ascii="Times New Roman" w:hAnsi="Times New Roman"/>
                <w:noProof/>
                <w:sz w:val="18"/>
                <w:szCs w:val="18"/>
              </w:rPr>
              <w:t xml:space="preserve"> Number of new psychoactive substances assessed (including through testing, if necessary) to enable the EU or the Member States to take appropriate action to protect consumers, depending on the type and level of risk that they may pose when consumed by humans</w:t>
            </w:r>
          </w:p>
        </w:tc>
        <w:tc>
          <w:tcPr>
            <w:tcW w:w="2591" w:type="dxa"/>
          </w:tcPr>
          <w:p>
            <w:pPr>
              <w:widowControl w:val="0"/>
              <w:autoSpaceDE w:val="0"/>
              <w:autoSpaceDN w:val="0"/>
              <w:adjustRightInd w:val="0"/>
              <w:spacing w:after="120"/>
              <w:jc w:val="both"/>
              <w:rPr>
                <w:noProof/>
                <w:sz w:val="18"/>
                <w:szCs w:val="18"/>
                <w:u w:color="0000EE"/>
              </w:rPr>
            </w:pPr>
            <w:r>
              <w:rPr>
                <w:noProof/>
                <w:sz w:val="18"/>
                <w:szCs w:val="18"/>
              </w:rPr>
              <w:t>68 (2012)</w:t>
            </w:r>
          </w:p>
        </w:tc>
        <w:tc>
          <w:tcPr>
            <w:tcW w:w="1298" w:type="dxa"/>
          </w:tcPr>
          <w:p>
            <w:pPr>
              <w:pStyle w:val="Bulletpoint1"/>
              <w:spacing w:before="0" w:after="120"/>
              <w:ind w:left="0" w:firstLine="0"/>
              <w:rPr>
                <w:rFonts w:ascii="Times New Roman" w:hAnsi="Times New Roman"/>
                <w:noProof/>
                <w:sz w:val="18"/>
                <w:szCs w:val="18"/>
                <w:u w:color="0000EE"/>
              </w:rPr>
            </w:pPr>
            <w:r>
              <w:rPr>
                <w:rFonts w:ascii="Times New Roman" w:hAnsi="Times New Roman"/>
                <w:noProof/>
                <w:sz w:val="18"/>
                <w:szCs w:val="18"/>
                <w:u w:color="0000EE"/>
              </w:rPr>
              <w:t>100 (2015)</w:t>
            </w:r>
          </w:p>
          <w:p>
            <w:pPr>
              <w:pStyle w:val="Bulletpoint1"/>
              <w:spacing w:before="0" w:after="120"/>
              <w:ind w:left="0" w:firstLine="0"/>
              <w:rPr>
                <w:rFonts w:ascii="Times New Roman" w:hAnsi="Times New Roman"/>
                <w:noProof/>
                <w:sz w:val="18"/>
                <w:szCs w:val="18"/>
                <w:u w:color="0000EE"/>
              </w:rPr>
            </w:pPr>
            <w:r>
              <w:rPr>
                <w:rFonts w:ascii="Times New Roman" w:hAnsi="Times New Roman"/>
                <w:noProof/>
                <w:sz w:val="18"/>
                <w:szCs w:val="18"/>
                <w:u w:color="0000EE"/>
              </w:rPr>
              <w:t>66 (2016)</w:t>
            </w:r>
          </w:p>
        </w:tc>
        <w:tc>
          <w:tcPr>
            <w:tcW w:w="1438" w:type="dxa"/>
          </w:tcPr>
          <w:p>
            <w:pPr>
              <w:pStyle w:val="Bulletpoint1"/>
              <w:spacing w:before="0" w:after="120"/>
              <w:ind w:left="0" w:firstLine="0"/>
              <w:rPr>
                <w:rFonts w:ascii="Times New Roman" w:hAnsi="Times New Roman"/>
                <w:noProof/>
                <w:sz w:val="18"/>
                <w:szCs w:val="18"/>
                <w:u w:color="0000EE"/>
              </w:rPr>
            </w:pPr>
            <w:r>
              <w:rPr>
                <w:rFonts w:ascii="Times New Roman" w:hAnsi="Times New Roman"/>
                <w:noProof/>
                <w:sz w:val="18"/>
                <w:szCs w:val="18"/>
                <w:u w:color="0000EE"/>
              </w:rPr>
              <w:t>95 (by 2020)</w:t>
            </w:r>
          </w:p>
        </w:tc>
      </w:tr>
      <w:tr>
        <w:tc>
          <w:tcPr>
            <w:tcW w:w="3507" w:type="dxa"/>
          </w:tcPr>
          <w:p>
            <w:pPr>
              <w:spacing w:after="120"/>
              <w:jc w:val="both"/>
              <w:rPr>
                <w:noProof/>
                <w:sz w:val="18"/>
                <w:szCs w:val="18"/>
              </w:rPr>
            </w:pPr>
            <w:r>
              <w:rPr>
                <w:b/>
                <w:noProof/>
                <w:sz w:val="18"/>
                <w:szCs w:val="18"/>
              </w:rPr>
              <w:t>2.</w:t>
            </w:r>
            <w:r>
              <w:rPr>
                <w:noProof/>
                <w:sz w:val="18"/>
                <w:szCs w:val="18"/>
              </w:rPr>
              <w:t xml:space="preserve"> % of problem opioid users that are in drug treatment</w:t>
            </w:r>
          </w:p>
        </w:tc>
        <w:tc>
          <w:tcPr>
            <w:tcW w:w="2591" w:type="dxa"/>
          </w:tcPr>
          <w:p>
            <w:pPr>
              <w:widowControl w:val="0"/>
              <w:autoSpaceDE w:val="0"/>
              <w:autoSpaceDN w:val="0"/>
              <w:adjustRightInd w:val="0"/>
              <w:spacing w:after="120"/>
              <w:jc w:val="both"/>
              <w:rPr>
                <w:noProof/>
                <w:sz w:val="18"/>
                <w:szCs w:val="18"/>
              </w:rPr>
            </w:pPr>
            <w:r>
              <w:rPr>
                <w:noProof/>
                <w:sz w:val="18"/>
                <w:szCs w:val="18"/>
              </w:rPr>
              <w:t>50% (2011)</w:t>
            </w:r>
          </w:p>
        </w:tc>
        <w:tc>
          <w:tcPr>
            <w:tcW w:w="1298" w:type="dxa"/>
          </w:tcPr>
          <w:p>
            <w:pPr>
              <w:widowControl w:val="0"/>
              <w:autoSpaceDE w:val="0"/>
              <w:autoSpaceDN w:val="0"/>
              <w:adjustRightInd w:val="0"/>
              <w:spacing w:after="120"/>
              <w:jc w:val="both"/>
              <w:rPr>
                <w:noProof/>
                <w:sz w:val="18"/>
                <w:szCs w:val="18"/>
              </w:rPr>
            </w:pPr>
            <w:r>
              <w:rPr>
                <w:noProof/>
                <w:sz w:val="18"/>
                <w:szCs w:val="18"/>
              </w:rPr>
              <w:t>50%  (2014, 2015 and 2016)</w:t>
            </w:r>
          </w:p>
        </w:tc>
        <w:tc>
          <w:tcPr>
            <w:tcW w:w="1438" w:type="dxa"/>
          </w:tcPr>
          <w:p>
            <w:pPr>
              <w:widowControl w:val="0"/>
              <w:autoSpaceDE w:val="0"/>
              <w:autoSpaceDN w:val="0"/>
              <w:adjustRightInd w:val="0"/>
              <w:spacing w:after="120"/>
              <w:jc w:val="both"/>
              <w:rPr>
                <w:noProof/>
                <w:sz w:val="18"/>
                <w:szCs w:val="18"/>
              </w:rPr>
            </w:pPr>
            <w:r>
              <w:rPr>
                <w:noProof/>
                <w:sz w:val="18"/>
                <w:szCs w:val="18"/>
              </w:rPr>
              <w:t>60% (by 2020)</w:t>
            </w:r>
          </w:p>
        </w:tc>
      </w:tr>
    </w:tbl>
    <w:p>
      <w:pPr>
        <w:spacing w:after="0" w:line="240" w:lineRule="auto"/>
        <w:jc w:val="both"/>
        <w:rPr>
          <w:rFonts w:ascii="Times New Roman" w:eastAsia="Times New Roman" w:hAnsi="Times New Roman" w:cs="Times New Roman"/>
          <w:noProof/>
          <w:sz w:val="24"/>
          <w:szCs w:val="24"/>
          <w:lang w:val="en-GB"/>
        </w:rPr>
      </w:pPr>
    </w:p>
    <w:p>
      <w:pPr>
        <w:spacing w:after="0" w:line="240" w:lineRule="auto"/>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rPr>
        <w:t>Moreover</w:t>
      </w:r>
      <w:r>
        <w:rPr>
          <w:rFonts w:ascii="Times New Roman" w:hAnsi="Times New Roman"/>
          <w:noProof/>
          <w:sz w:val="24"/>
          <w:szCs w:val="24"/>
          <w:lang w:val="en-GB"/>
        </w:rPr>
        <w:t xml:space="preserve">, a series of Programme-related indicators are also mentioned in the legal basis </w:t>
      </w:r>
      <w:r>
        <w:rPr>
          <w:rFonts w:ascii="Times New Roman" w:hAnsi="Times New Roman" w:cs="Times New Roman"/>
          <w:noProof/>
          <w:sz w:val="24"/>
          <w:szCs w:val="24"/>
          <w:lang w:val="en-GB"/>
        </w:rPr>
        <w:t>of the Justice Programme</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u w:color="0000EE"/>
          <w:lang w:val="en-GB"/>
        </w:rPr>
        <w:t xml:space="preserve">. They provide </w:t>
      </w:r>
      <w:r>
        <w:rPr>
          <w:rFonts w:ascii="Times New Roman" w:hAnsi="Times New Roman" w:cs="Times New Roman"/>
          <w:noProof/>
          <w:sz w:val="24"/>
          <w:szCs w:val="24"/>
          <w:lang w:val="en-GB"/>
        </w:rPr>
        <w:t xml:space="preserve">a basis for monitoring and evaluating the extent to which each of the Programme's specific objectives has been achieved. These are: </w:t>
      </w:r>
      <w:r>
        <w:rPr>
          <w:rFonts w:ascii="Times New Roman" w:hAnsi="Times New Roman" w:cs="Times New Roman"/>
          <w:b/>
          <w:noProof/>
          <w:sz w:val="24"/>
          <w:szCs w:val="24"/>
          <w:lang w:val="en-GB"/>
        </w:rPr>
        <w:t>1.</w:t>
      </w:r>
      <w:r>
        <w:rPr>
          <w:rFonts w:ascii="Times New Roman" w:hAnsi="Times New Roman" w:cs="Times New Roman"/>
          <w:noProof/>
          <w:sz w:val="24"/>
          <w:szCs w:val="24"/>
          <w:lang w:val="en-GB"/>
        </w:rPr>
        <w:t xml:space="preserve"> The number of persons reached by awareness-raising activities funded by the Programme; </w:t>
      </w:r>
      <w:r>
        <w:rPr>
          <w:rFonts w:ascii="Times New Roman" w:hAnsi="Times New Roman" w:cs="Times New Roman"/>
          <w:b/>
          <w:noProof/>
          <w:sz w:val="24"/>
          <w:szCs w:val="24"/>
          <w:lang w:val="en-GB"/>
        </w:rPr>
        <w:t>2.</w:t>
      </w:r>
      <w:r>
        <w:rPr>
          <w:rFonts w:ascii="Times New Roman" w:hAnsi="Times New Roman" w:cs="Times New Roman"/>
          <w:noProof/>
          <w:sz w:val="24"/>
          <w:szCs w:val="24"/>
          <w:lang w:val="en-GB"/>
        </w:rPr>
        <w:t xml:space="preserve"> The improvement in the level of knowledge of Union law and policies in the groups participating in activities funded by the Programme compared to the entire target group; </w:t>
      </w:r>
      <w:r>
        <w:rPr>
          <w:rFonts w:ascii="Times New Roman" w:hAnsi="Times New Roman" w:cs="Times New Roman"/>
          <w:b/>
          <w:noProof/>
          <w:sz w:val="24"/>
          <w:szCs w:val="24"/>
          <w:lang w:val="en-GB"/>
        </w:rPr>
        <w:t>3.</w:t>
      </w:r>
      <w:r>
        <w:rPr>
          <w:rFonts w:ascii="Times New Roman" w:hAnsi="Times New Roman" w:cs="Times New Roman"/>
          <w:noProof/>
          <w:sz w:val="24"/>
          <w:szCs w:val="24"/>
          <w:lang w:val="en-GB"/>
        </w:rPr>
        <w:t xml:space="preserve"> The number of cases, activities and outputs of cross-border cooperation, including cooperation by means of information technology tools and procedures established at Union level; </w:t>
      </w:r>
      <w:r>
        <w:rPr>
          <w:rFonts w:ascii="Times New Roman" w:hAnsi="Times New Roman" w:cs="Times New Roman"/>
          <w:b/>
          <w:noProof/>
          <w:sz w:val="24"/>
          <w:szCs w:val="24"/>
          <w:lang w:val="en-GB"/>
        </w:rPr>
        <w:t>4.</w:t>
      </w:r>
      <w:r>
        <w:rPr>
          <w:rFonts w:ascii="Times New Roman" w:hAnsi="Times New Roman" w:cs="Times New Roman"/>
          <w:noProof/>
          <w:sz w:val="24"/>
          <w:szCs w:val="24"/>
          <w:lang w:val="en-GB"/>
        </w:rPr>
        <w:t xml:space="preserve"> Participants' assessment of the activities in which they participated and of their (expected) sustainability; and </w:t>
      </w:r>
      <w:r>
        <w:rPr>
          <w:rFonts w:ascii="Times New Roman" w:hAnsi="Times New Roman" w:cs="Times New Roman"/>
          <w:b/>
          <w:noProof/>
          <w:sz w:val="24"/>
          <w:szCs w:val="24"/>
          <w:lang w:val="en-GB"/>
        </w:rPr>
        <w:t>5.</w:t>
      </w:r>
      <w:r>
        <w:rPr>
          <w:rFonts w:ascii="Times New Roman" w:hAnsi="Times New Roman" w:cs="Times New Roman"/>
          <w:noProof/>
          <w:sz w:val="24"/>
          <w:szCs w:val="24"/>
          <w:lang w:val="en-GB"/>
        </w:rPr>
        <w:t>The geographical coverage of the activities funded by the Programme.</w:t>
      </w:r>
    </w:p>
    <w:p>
      <w:pPr>
        <w:spacing w:after="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Programme indicators 1 and 3</w:t>
      </w:r>
      <w:r>
        <w:rPr>
          <w:rFonts w:ascii="Times New Roman" w:hAnsi="Times New Roman" w:cs="Times New Roman"/>
          <w:noProof/>
          <w:sz w:val="24"/>
          <w:szCs w:val="24"/>
          <w:lang w:val="en-GB"/>
        </w:rPr>
        <w:t xml:space="preserve"> relate to the </w:t>
      </w:r>
      <w:r>
        <w:rPr>
          <w:rFonts w:ascii="Times New Roman" w:hAnsi="Times New Roman" w:cs="Times New Roman"/>
          <w:noProof/>
          <w:color w:val="000000" w:themeColor="text1"/>
          <w:sz w:val="24"/>
          <w:szCs w:val="24"/>
          <w:lang w:val="en-GB"/>
        </w:rPr>
        <w:t>outputs and outcomes of funded activities and can be calculated through the final reports of the projects. At the moment, there are not sufficient available data to come to consolidated conclusion on these indicators.</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 xml:space="preserve">Programme indicators 2 and 4 </w:t>
      </w:r>
      <w:r>
        <w:rPr>
          <w:rFonts w:ascii="Times New Roman" w:hAnsi="Times New Roman" w:cs="Times New Roman"/>
          <w:noProof/>
          <w:sz w:val="24"/>
          <w:szCs w:val="24"/>
          <w:lang w:val="en-GB"/>
        </w:rPr>
        <w:t>relate to the perception of target groups concerning the activities they participated in and the level of knowledge they acquired. The indicator 4 is not measurable at this stage, instead for the indicator 2,</w:t>
      </w:r>
      <w:r>
        <w:rPr>
          <w:rFonts w:ascii="Times New Roman" w:eastAsia="Calibri" w:hAnsi="Times New Roman" w:cs="Times New Roman"/>
          <w:noProof/>
          <w:sz w:val="24"/>
          <w:szCs w:val="24"/>
          <w:lang w:val="en-GB"/>
        </w:rPr>
        <w:t xml:space="preserve"> no surveys on the perception of target groups were deployed and, therefore, it cannot be measured</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Programme Indicator 5</w:t>
      </w:r>
      <w:r>
        <w:rPr>
          <w:rFonts w:ascii="Times New Roman" w:hAnsi="Times New Roman" w:cs="Times New Roman"/>
          <w:noProof/>
          <w:sz w:val="24"/>
          <w:szCs w:val="24"/>
          <w:lang w:val="en-GB"/>
        </w:rPr>
        <w:t xml:space="preserve"> speaks to the equity in distribution of activities funded by the Programme amongst beneficiaries in the 26 participating Member States. For projects financed by means of applications connected to the Annual Working Programmes of 2014 and 2015, beneficiaries from all Member States benefitted in some capacity (either as coordinators or as participants), while for 2016 no beneficiaries from Estonia received funding. The goal is to ensure 100% coverage through 2020 and it has been largely respected so far (Member States coverage of participating organisations in 2016 was of 96%). However, this indicator does not capture two essential elements connected to the equity dimensions, namely: (a) the unfulfilled ‘demand’ of applications (i.e. ratio of beneficiaries / applications for each Member State) and (b) the distribution of programme resources.</w:t>
      </w:r>
    </w:p>
    <w:p>
      <w:pPr>
        <w:spacing w:after="120" w:line="240" w:lineRule="auto"/>
        <w:jc w:val="both"/>
        <w:rPr>
          <w:rFonts w:ascii="Times New Roman" w:eastAsia="Times New Roman" w:hAnsi="Times New Roman" w:cs="Times New Roman"/>
          <w:b/>
          <w:noProof/>
          <w:sz w:val="24"/>
          <w:szCs w:val="20"/>
          <w:lang w:val="en-GB"/>
        </w:rPr>
      </w:pPr>
      <w:r>
        <w:rPr>
          <w:rFonts w:ascii="Times New Roman" w:hAnsi="Times New Roman"/>
          <w:noProof/>
          <w:sz w:val="24"/>
          <w:szCs w:val="24"/>
          <w:lang w:val="en-GB"/>
        </w:rPr>
        <w:t>In general, there is no baseline available for all these indicators, as they relate directly to the specific actions of the Justice Programme, and there are also no defined targets, except for the geographical coverage.</w:t>
      </w:r>
    </w:p>
    <w:p>
      <w:pPr>
        <w:spacing w:after="120" w:line="240" w:lineRule="auto"/>
        <w:jc w:val="both"/>
        <w:rPr>
          <w:rFonts w:ascii="Times New Roman" w:hAnsi="Times New Roman"/>
          <w:noProof/>
          <w:sz w:val="24"/>
          <w:szCs w:val="24"/>
          <w:lang w:val="en-GB"/>
        </w:rPr>
      </w:pPr>
      <w:r>
        <w:rPr>
          <w:rFonts w:ascii="Times New Roman" w:hAnsi="Times New Roman"/>
          <w:noProof/>
          <w:sz w:val="24"/>
          <w:szCs w:val="24"/>
          <w:lang w:val="en-GB"/>
        </w:rPr>
        <w:t xml:space="preserve">Other data, collected during the interim evaluation, show </w:t>
      </w:r>
      <w:r>
        <w:rPr>
          <w:rFonts w:ascii="Times New Roman" w:eastAsia="Times New Roman" w:hAnsi="Times New Roman" w:cs="Times New Roman"/>
          <w:noProof/>
          <w:sz w:val="24"/>
          <w:szCs w:val="24"/>
          <w:lang w:val="en-GB"/>
        </w:rPr>
        <w:t>the current state of play of the Programme’s implementation and its key initiatives in the period 2014-2017.</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regards </w:t>
      </w:r>
      <w:r>
        <w:rPr>
          <w:rFonts w:ascii="Times New Roman" w:hAnsi="Times New Roman" w:cs="Times New Roman"/>
          <w:b/>
          <w:noProof/>
          <w:sz w:val="24"/>
          <w:szCs w:val="24"/>
          <w:lang w:val="en-GB"/>
        </w:rPr>
        <w:t>the type of target groups</w:t>
      </w:r>
      <w:r>
        <w:rPr>
          <w:rFonts w:ascii="Times New Roman" w:hAnsi="Times New Roman" w:cs="Times New Roman"/>
          <w:noProof/>
          <w:sz w:val="24"/>
          <w:szCs w:val="24"/>
          <w:lang w:val="en-GB"/>
        </w:rPr>
        <w:t>, the Justice Programme focuses mainly on research institutions/universities, victims, young people and families (see Figure 3).</w:t>
      </w:r>
    </w:p>
    <w:p>
      <w:pPr>
        <w:pStyle w:val="Caption"/>
        <w:spacing w:before="0"/>
        <w:jc w:val="center"/>
        <w:rPr>
          <w:rFonts w:ascii="Times New Roman" w:hAnsi="Times New Roman" w:cs="Times New Roman"/>
          <w:noProof/>
          <w:sz w:val="20"/>
          <w:szCs w:val="20"/>
          <w:lang w:val="en-GB"/>
        </w:rPr>
      </w:pPr>
      <w:bookmarkStart w:id="17" w:name="Figure_3"/>
      <w:r>
        <w:rPr>
          <w:rFonts w:ascii="Times New Roman" w:hAnsi="Times New Roman" w:cs="Times New Roman"/>
          <w:noProof/>
          <w:sz w:val="20"/>
          <w:szCs w:val="20"/>
          <w:lang w:val="en-GB"/>
        </w:rPr>
        <w:t>Figure 3: Text mining of target groups of the Justice Programme, by Specific objective</w:t>
      </w:r>
    </w:p>
    <w:bookmarkEnd w:id="17"/>
    <w:p>
      <w:pPr>
        <w:pStyle w:val="Caption"/>
        <w:spacing w:before="0"/>
        <w:rPr>
          <w:noProof/>
          <w:lang w:val="en-GB"/>
        </w:rPr>
      </w:pPr>
      <w:r>
        <w:rPr>
          <w:noProof/>
          <w:lang w:val="en-US"/>
        </w:rPr>
        <w:drawing>
          <wp:inline distT="0" distB="0" distL="0" distR="0">
            <wp:extent cx="5437033" cy="226612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6453" cy="2270048"/>
                    </a:xfrm>
                    <a:prstGeom prst="rect">
                      <a:avLst/>
                    </a:prstGeom>
                    <a:noFill/>
                    <a:ln>
                      <a:noFill/>
                    </a:ln>
                  </pic:spPr>
                </pic:pic>
              </a:graphicData>
            </a:graphic>
          </wp:inline>
        </w:drawing>
      </w:r>
    </w:p>
    <w:p>
      <w:pPr>
        <w:pStyle w:val="Body"/>
        <w:spacing w:before="0"/>
        <w:rPr>
          <w:rFonts w:ascii="Times New Roman" w:hAnsi="Times New Roman"/>
          <w:i/>
          <w:noProof/>
          <w:sz w:val="16"/>
          <w:szCs w:val="16"/>
        </w:rPr>
      </w:pPr>
      <w:r>
        <w:rPr>
          <w:rFonts w:ascii="Times New Roman" w:hAnsi="Times New Roman"/>
          <w:i/>
          <w:noProof/>
          <w:sz w:val="16"/>
          <w:szCs w:val="16"/>
        </w:rPr>
        <w:t>Source: Evaluation team’s elaboration based on the text mining exercise conducted on Grant Application Forms of the Justice Programme</w:t>
      </w:r>
    </w:p>
    <w:p>
      <w:pPr>
        <w:spacing w:after="120" w:line="240" w:lineRule="auto"/>
        <w:jc w:val="both"/>
        <w:rPr>
          <w:rFonts w:ascii="Times New Roman" w:eastAsia="Calibri" w:hAnsi="Times New Roman" w:cs="Times New Roman"/>
          <w:b/>
          <w:noProof/>
          <w:sz w:val="24"/>
          <w:szCs w:val="24"/>
          <w:lang w:val="en-GB" w:eastAsia="en-GB" w:bidi="en-GB"/>
        </w:rPr>
      </w:pPr>
      <w:r>
        <w:rPr>
          <w:rFonts w:ascii="Times New Roman" w:hAnsi="Times New Roman" w:cs="Times New Roman"/>
          <w:noProof/>
          <w:sz w:val="24"/>
          <w:szCs w:val="24"/>
          <w:lang w:val="en-GB"/>
        </w:rPr>
        <w:t xml:space="preserve">In relation to </w:t>
      </w:r>
      <w:r>
        <w:rPr>
          <w:rFonts w:ascii="Times New Roman" w:hAnsi="Times New Roman" w:cs="Times New Roman"/>
          <w:b/>
          <w:noProof/>
          <w:sz w:val="24"/>
          <w:szCs w:val="24"/>
          <w:lang w:val="en-GB"/>
        </w:rPr>
        <w:t>the types of partnership</w:t>
      </w:r>
      <w:r>
        <w:rPr>
          <w:rFonts w:ascii="Times New Roman" w:hAnsi="Times New Roman" w:cs="Times New Roman"/>
          <w:noProof/>
          <w:sz w:val="24"/>
          <w:szCs w:val="24"/>
          <w:lang w:val="en-GB"/>
        </w:rPr>
        <w:t xml:space="preserve">, </w:t>
      </w:r>
      <w:r>
        <w:rPr>
          <w:rFonts w:ascii="Times New Roman" w:eastAsia="Times New Roman" w:hAnsi="Times New Roman" w:cs="Times New Roman"/>
          <w:noProof/>
          <w:sz w:val="24"/>
          <w:szCs w:val="24"/>
          <w:lang w:val="en-GB"/>
        </w:rPr>
        <w:t>the data collected in the interim evaluation suggest that the Programme is successful in attracting more transnational partnerships</w:t>
      </w:r>
      <w:r>
        <w:rPr>
          <w:rFonts w:ascii="Times New Roman" w:eastAsia="Times New Roman" w:hAnsi="Times New Roman" w:cs="Times New Roman"/>
          <w:noProof/>
          <w:sz w:val="24"/>
          <w:szCs w:val="24"/>
          <w:vertAlign w:val="superscript"/>
          <w:lang w:val="en-GB"/>
        </w:rPr>
        <w:footnoteReference w:id="33"/>
      </w:r>
      <w:r>
        <w:rPr>
          <w:rFonts w:ascii="Times New Roman" w:eastAsia="Times New Roman" w:hAnsi="Times New Roman" w:cs="Times New Roman"/>
          <w:noProof/>
          <w:sz w:val="24"/>
          <w:szCs w:val="24"/>
          <w:lang w:val="en-GB"/>
        </w:rPr>
        <w:t>. Indeed, o</w:t>
      </w:r>
      <w:r>
        <w:rPr>
          <w:rFonts w:ascii="Times New Roman" w:hAnsi="Times New Roman" w:cs="Times New Roman"/>
          <w:noProof/>
          <w:sz w:val="24"/>
          <w:szCs w:val="24"/>
          <w:lang w:val="en-GB"/>
        </w:rPr>
        <w:t>n average the number of participating organisation per project is equal to six-eight, a slight increase compared to the average of four-five observed in the predecessor programmes.</w:t>
      </w:r>
      <w:r>
        <w:rPr>
          <w:rFonts w:ascii="Times New Roman" w:eastAsia="Calibri" w:hAnsi="Times New Roman" w:cs="Times New Roman"/>
          <w:b/>
          <w:noProof/>
          <w:sz w:val="24"/>
          <w:szCs w:val="24"/>
          <w:lang w:val="en-GB" w:eastAsia="en-GB" w:bidi="en-GB"/>
        </w:rPr>
        <w:t xml:space="preserve"> </w:t>
      </w:r>
      <w:r>
        <w:rPr>
          <w:rFonts w:ascii="Times New Roman" w:eastAsia="Calibri" w:hAnsi="Times New Roman" w:cs="Times New Roman"/>
          <w:noProof/>
          <w:sz w:val="24"/>
          <w:szCs w:val="24"/>
          <w:lang w:val="en-GB" w:eastAsia="en-GB" w:bidi="en-GB"/>
        </w:rPr>
        <w:t>Within the Justice Programme network there are 292 organisations connected out of 336 organisation reported in the database, i.e. 45 are isolated, meaning that only one organisation out of five within the Justice Programme collaboration network is isolated</w:t>
      </w:r>
      <w:r>
        <w:rPr>
          <w:rFonts w:ascii="Times New Roman" w:hAnsi="Times New Roman" w:cs="Times New Roman"/>
          <w:noProof/>
          <w:sz w:val="24"/>
          <w:szCs w:val="24"/>
          <w:lang w:val="en-GB"/>
        </w:rPr>
        <w:t>. Public bodies (mainly judicial training organisations) and higher education institutions (which also provide judicial training) are particularly well represented within the networks of the Justice Programme, reflecting the judicial training priority of the Programme.</w:t>
      </w:r>
    </w:p>
    <w:p>
      <w:pPr>
        <w:spacing w:after="12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eastAsia="en-GB" w:bidi="en-GB"/>
        </w:rPr>
        <w:t>The evaluation showed that o</w:t>
      </w:r>
      <w:r>
        <w:rPr>
          <w:rFonts w:ascii="Times New Roman" w:eastAsia="Calibri" w:hAnsi="Times New Roman" w:cs="Times New Roman"/>
          <w:noProof/>
          <w:sz w:val="24"/>
          <w:szCs w:val="24"/>
          <w:lang w:val="en-GB"/>
        </w:rPr>
        <w:t>ne of the key vectors through which the Programme supports the development of an area of justice in Europe is by catalysing the development of transnational partnerships. Transnational partnerships are essential contributors to the effectiveness of the Programme. According to the 78% of respondents, this has increased their capacity to implement the projects, 70% reported an increase in sustainability of results and 75% mentioned increased capacities.</w:t>
      </w:r>
    </w:p>
    <w:p>
      <w:pPr>
        <w:spacing w:after="12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Moreover, these partnerships appear to be quite robust, with many interlinkages amongst participants</w:t>
      </w:r>
      <w:r>
        <w:rPr>
          <w:rStyle w:val="FootnoteReference"/>
          <w:rFonts w:ascii="Times New Roman" w:eastAsia="Calibri" w:hAnsi="Times New Roman" w:cs="Times New Roman"/>
          <w:noProof/>
          <w:sz w:val="24"/>
          <w:szCs w:val="24"/>
          <w:lang w:val="en-GB"/>
        </w:rPr>
        <w:footnoteReference w:id="34"/>
      </w:r>
      <w:r>
        <w:rPr>
          <w:rFonts w:ascii="Times New Roman" w:eastAsia="Calibri" w:hAnsi="Times New Roman" w:cs="Times New Roman"/>
          <w:noProof/>
          <w:sz w:val="24"/>
          <w:szCs w:val="24"/>
          <w:lang w:val="en-GB"/>
        </w:rPr>
        <w:t xml:space="preserve">. </w:t>
      </w:r>
    </w:p>
    <w:p>
      <w:pPr>
        <w:spacing w:after="12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In addition, </w:t>
      </w:r>
      <w:r>
        <w:rPr>
          <w:rFonts w:ascii="Times New Roman" w:hAnsi="Times New Roman" w:cs="Times New Roman"/>
          <w:noProof/>
          <w:sz w:val="24"/>
          <w:szCs w:val="24"/>
          <w:lang w:val="en-GB"/>
        </w:rPr>
        <w:t>50 organisations participating in the Justice Programme are also active in the Rights, Equality and Citizenship Programme.</w:t>
      </w:r>
      <w:r>
        <w:rPr>
          <w:rFonts w:ascii="Times New Roman" w:eastAsia="Calibri" w:hAnsi="Times New Roman" w:cs="Times New Roman"/>
          <w:noProof/>
          <w:sz w:val="24"/>
          <w:szCs w:val="24"/>
          <w:lang w:val="en-GB"/>
        </w:rPr>
        <w:t xml:space="preserve"> It thus appears that the Programme has facilitated the growth of durable European networks in the area of justice policy and that structured networks of collaborations exist also in relation to other EU funding programmes.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However, taking into account the involvement of partner organisations, </w:t>
      </w:r>
      <w:r>
        <w:rPr>
          <w:rFonts w:ascii="Times New Roman" w:hAnsi="Times New Roman" w:cs="Times New Roman"/>
          <w:b/>
          <w:noProof/>
          <w:sz w:val="24"/>
          <w:szCs w:val="24"/>
          <w:lang w:val="en-GB"/>
        </w:rPr>
        <w:t xml:space="preserve">it appears that the </w:t>
      </w:r>
      <w:r>
        <w:rPr>
          <w:rFonts w:ascii="Times New Roman" w:hAnsi="Times New Roman"/>
          <w:b/>
          <w:noProof/>
          <w:sz w:val="24"/>
          <w:szCs w:val="24"/>
          <w:lang w:val="en-GB"/>
        </w:rPr>
        <w:t xml:space="preserve">bulk of participants to the Programme come only from few Member States and, therefore, a balanced geographical spread has still to be achieved </w:t>
      </w:r>
      <w:r>
        <w:rPr>
          <w:rFonts w:ascii="Times New Roman" w:hAnsi="Times New Roman" w:cs="Times New Roman"/>
          <w:noProof/>
          <w:color w:val="000000" w:themeColor="text1"/>
          <w:sz w:val="24"/>
          <w:szCs w:val="24"/>
          <w:lang w:val="en-GB"/>
        </w:rPr>
        <w:t>(as was the case with the predecessor programmes)</w:t>
      </w:r>
      <w:r>
        <w:rPr>
          <w:rFonts w:ascii="Times New Roman" w:hAnsi="Times New Roman"/>
          <w:noProof/>
          <w:sz w:val="24"/>
          <w:szCs w:val="24"/>
          <w:lang w:val="en-GB"/>
        </w:rPr>
        <w:t>.</w:t>
      </w:r>
      <w:r>
        <w:rPr>
          <w:rFonts w:ascii="Times New Roman" w:hAnsi="Times New Roman" w:cs="Times New Roman"/>
          <w:noProof/>
          <w:sz w:val="24"/>
          <w:szCs w:val="24"/>
          <w:lang w:val="en-GB"/>
        </w:rPr>
        <w:t xml:space="preserve"> For example, about 25% of all the beneficiaries come from either Italy or Belgium and about half of the partner organisations come from five countries and the remaining 50% are organisations from the remaining 21 Member States. Consequently, </w:t>
      </w:r>
      <w:r>
        <w:rPr>
          <w:rFonts w:ascii="Times New Roman" w:hAnsi="Times New Roman" w:cs="Times New Roman"/>
          <w:b/>
          <w:noProof/>
          <w:sz w:val="24"/>
          <w:szCs w:val="24"/>
          <w:lang w:val="en-GB"/>
        </w:rPr>
        <w:t>this affected the allocation of funds</w:t>
      </w:r>
      <w:r>
        <w:rPr>
          <w:rFonts w:ascii="Times New Roman" w:hAnsi="Times New Roman" w:cs="Times New Roman"/>
          <w:noProof/>
          <w:sz w:val="24"/>
          <w:szCs w:val="24"/>
          <w:lang w:val="en-GB"/>
        </w:rPr>
        <w:t>. For example, the largest share of available resources for action grants is attributed to Italian organisations, followed by organisations in the Netherlands, France, Belgium and Germany. Instead, the vast majority of resources available for Annual Work Programmes allocated to main actors via operating grants is distributed to organisations based in Belgium</w:t>
      </w:r>
      <w:r>
        <w:rPr>
          <w:rStyle w:val="FootnoteReference"/>
          <w:rFonts w:ascii="Times New Roman" w:hAnsi="Times New Roman" w:cs="Times New Roman"/>
          <w:noProof/>
          <w:szCs w:val="24"/>
          <w:lang w:val="en-GB"/>
        </w:rPr>
        <w:footnoteReference w:id="35"/>
      </w:r>
      <w:r>
        <w:rPr>
          <w:rFonts w:ascii="Times New Roman" w:hAnsi="Times New Roman" w:cs="Times New Roman"/>
          <w:noProof/>
          <w:sz w:val="24"/>
          <w:szCs w:val="24"/>
          <w:lang w:val="en-GB"/>
        </w:rPr>
        <w:t xml:space="preserve">. </w:t>
      </w:r>
    </w:p>
    <w:p>
      <w:pPr>
        <w:spacing w:after="120" w:line="240" w:lineRule="auto"/>
        <w:jc w:val="both"/>
        <w:rPr>
          <w:rFonts w:ascii="Times New Roman" w:hAnsi="Times New Roman"/>
          <w:noProof/>
          <w:sz w:val="24"/>
          <w:szCs w:val="24"/>
          <w:lang w:val="en-GB"/>
        </w:rPr>
      </w:pPr>
      <w:r>
        <w:rPr>
          <w:rFonts w:ascii="Times New Roman" w:hAnsi="Times New Roman"/>
          <w:noProof/>
          <w:sz w:val="24"/>
          <w:szCs w:val="24"/>
          <w:lang w:val="en-GB"/>
        </w:rPr>
        <w:t>With regard to the</w:t>
      </w:r>
      <w:r>
        <w:rPr>
          <w:rFonts w:ascii="Times New Roman" w:hAnsi="Times New Roman"/>
          <w:b/>
          <w:noProof/>
          <w:sz w:val="24"/>
          <w:szCs w:val="24"/>
          <w:lang w:val="en-GB"/>
        </w:rPr>
        <w:t xml:space="preserve"> kind of projects/activities funded</w:t>
      </w:r>
      <w:r>
        <w:rPr>
          <w:rFonts w:ascii="Times New Roman" w:hAnsi="Times New Roman"/>
          <w:noProof/>
          <w:sz w:val="24"/>
          <w:szCs w:val="24"/>
          <w:lang w:val="en-GB"/>
        </w:rPr>
        <w:t xml:space="preserve">, the two specific objectives with the highest number of awarded </w:t>
      </w:r>
      <w:r>
        <w:rPr>
          <w:rFonts w:ascii="Times New Roman" w:hAnsi="Times New Roman"/>
          <w:b/>
          <w:noProof/>
          <w:sz w:val="24"/>
          <w:szCs w:val="24"/>
          <w:lang w:val="en-GB"/>
        </w:rPr>
        <w:t>grants</w:t>
      </w:r>
      <w:r>
        <w:rPr>
          <w:rFonts w:ascii="Times New Roman" w:hAnsi="Times New Roman"/>
          <w:noProof/>
          <w:sz w:val="24"/>
          <w:szCs w:val="24"/>
          <w:lang w:val="en-GB"/>
        </w:rPr>
        <w:t xml:space="preserve"> are the ones on "Judicial Training" and "Access to Justice". </w:t>
      </w:r>
      <w:r>
        <w:rPr>
          <w:rFonts w:ascii="Times New Roman" w:hAnsi="Times New Roman" w:cs="Times New Roman"/>
          <w:noProof/>
          <w:sz w:val="24"/>
          <w:szCs w:val="24"/>
          <w:lang w:val="en-GB"/>
        </w:rPr>
        <w:t>Through them, the Programme mainly financed grants focused</w:t>
      </w:r>
      <w:r>
        <w:rPr>
          <w:rFonts w:ascii="Times New Roman" w:hAnsi="Times New Roman"/>
          <w:noProof/>
          <w:sz w:val="24"/>
          <w:szCs w:val="24"/>
          <w:lang w:val="en-GB"/>
        </w:rPr>
        <w:t xml:space="preserve"> on training activities, but also analytical activities and actions to support main actors. Instead, in relation to the </w:t>
      </w:r>
      <w:r>
        <w:rPr>
          <w:rFonts w:ascii="Times New Roman" w:hAnsi="Times New Roman"/>
          <w:b/>
          <w:noProof/>
          <w:sz w:val="24"/>
          <w:szCs w:val="24"/>
          <w:lang w:val="en-GB"/>
        </w:rPr>
        <w:t>implementation of procurements</w:t>
      </w:r>
      <w:r>
        <w:rPr>
          <w:rFonts w:ascii="Times New Roman" w:hAnsi="Times New Roman"/>
          <w:noProof/>
          <w:sz w:val="24"/>
          <w:szCs w:val="24"/>
          <w:lang w:val="en-GB"/>
        </w:rPr>
        <w:t xml:space="preserve">, </w:t>
      </w:r>
      <w:r>
        <w:rPr>
          <w:rFonts w:ascii="Times New Roman" w:hAnsi="Times New Roman"/>
          <w:noProof/>
          <w:sz w:val="24"/>
          <w:szCs w:val="24"/>
          <w:lang w:val="en-GB" w:eastAsia="it-IT"/>
        </w:rPr>
        <w:t>the Programme finances activities focused mostly on the specific objective "Judicial Cooperation"</w:t>
      </w:r>
      <w:r>
        <w:rPr>
          <w:rFonts w:ascii="Times New Roman" w:hAnsi="Times New Roman"/>
          <w:bCs/>
          <w:noProof/>
          <w:color w:val="000000"/>
          <w:sz w:val="24"/>
          <w:szCs w:val="24"/>
          <w:lang w:val="en-GB" w:eastAsia="it-IT"/>
        </w:rPr>
        <w:t>, followed by the specific objective on "Access to Justice". In 2014, most funded activities concerned the organisation of conferences and studies, whereas in 2015 activities focused more on Information Technology interventions.</w:t>
      </w:r>
      <w:r>
        <w:rPr>
          <w:rFonts w:ascii="Times New Roman" w:hAnsi="Times New Roman"/>
          <w:noProof/>
          <w:sz w:val="24"/>
          <w:szCs w:val="24"/>
          <w:lang w:val="en-GB"/>
        </w:rPr>
        <w:t xml:space="preserve"> </w:t>
      </w:r>
    </w:p>
    <w:p>
      <w:pPr>
        <w:spacing w:after="120" w:line="240" w:lineRule="auto"/>
        <w:jc w:val="both"/>
        <w:rPr>
          <w:rFonts w:ascii="Times New Roman" w:hAnsi="Times New Roman" w:cs="Times New Roman"/>
          <w:noProof/>
          <w:sz w:val="24"/>
          <w:szCs w:val="24"/>
          <w:lang w:val="en-GB"/>
        </w:rPr>
      </w:pPr>
      <w:r>
        <w:rPr>
          <w:rFonts w:ascii="Times New Roman" w:hAnsi="Times New Roman"/>
          <w:noProof/>
          <w:sz w:val="24"/>
          <w:szCs w:val="24"/>
          <w:lang w:val="en-GB"/>
        </w:rPr>
        <w:t xml:space="preserve">The </w:t>
      </w:r>
      <w:r>
        <w:rPr>
          <w:rFonts w:ascii="Times New Roman" w:hAnsi="Times New Roman"/>
          <w:b/>
          <w:noProof/>
          <w:sz w:val="24"/>
          <w:szCs w:val="24"/>
          <w:lang w:val="en-GB"/>
        </w:rPr>
        <w:t>awarding rate of calls for proposal</w:t>
      </w:r>
      <w:r>
        <w:rPr>
          <w:rFonts w:ascii="Times New Roman" w:hAnsi="Times New Roman"/>
          <w:noProof/>
          <w:sz w:val="24"/>
          <w:szCs w:val="24"/>
          <w:lang w:val="en-GB"/>
        </w:rPr>
        <w:t xml:space="preserve"> (in 2014 and 2015</w:t>
      </w:r>
      <w:r>
        <w:rPr>
          <w:rFonts w:ascii="Times New Roman" w:hAnsi="Times New Roman"/>
          <w:noProof/>
          <w:sz w:val="24"/>
          <w:szCs w:val="24"/>
          <w:vertAlign w:val="superscript"/>
        </w:rPr>
        <w:footnoteReference w:id="36"/>
      </w:r>
      <w:r>
        <w:rPr>
          <w:rFonts w:ascii="Times New Roman" w:hAnsi="Times New Roman"/>
          <w:noProof/>
          <w:sz w:val="24"/>
          <w:szCs w:val="24"/>
          <w:lang w:val="en-GB"/>
        </w:rPr>
        <w:t xml:space="preserve">), of almost all specific objectives, ranged between around 16% and 47% . With respect to the specific objectives "Judicial Cooperation" and "Judicial Training", almost half of the </w:t>
      </w:r>
      <w:r>
        <w:rPr>
          <w:rFonts w:ascii="Times New Roman" w:hAnsi="Times New Roman" w:cs="Times New Roman"/>
          <w:noProof/>
          <w:sz w:val="24"/>
          <w:szCs w:val="24"/>
          <w:lang w:val="en-GB"/>
        </w:rPr>
        <w:t>applications submitted were awarded; instead, in the field of drug policies, where very few calls were launched in the period covered by the 2014-2016 Annual Work Programmes (5%), the demand for funding outstripped the supply significantly.</w:t>
      </w:r>
    </w:p>
    <w:p>
      <w:pPr>
        <w:spacing w:after="0" w:line="240" w:lineRule="auto"/>
        <w:jc w:val="both"/>
        <w:rPr>
          <w:rFonts w:ascii="Times New Roman" w:hAnsi="Times New Roman" w:cs="Times New Roman"/>
          <w:noProof/>
          <w:sz w:val="24"/>
          <w:szCs w:val="24"/>
          <w:lang w:val="en-GB"/>
        </w:rPr>
      </w:pPr>
      <w:r>
        <w:rPr>
          <w:rFonts w:ascii="Times New Roman" w:eastAsia="Calibri" w:hAnsi="Times New Roman" w:cs="Times New Roman"/>
          <w:noProof/>
          <w:color w:val="000000"/>
          <w:sz w:val="24"/>
          <w:szCs w:val="24"/>
          <w:u w:color="000000"/>
          <w:bdr w:val="nil"/>
          <w:lang w:val="en-GB" w:eastAsia="en-GB"/>
        </w:rPr>
        <w:t>I</w:t>
      </w:r>
      <w:r>
        <w:rPr>
          <w:rFonts w:ascii="Times New Roman" w:eastAsia="Times New Roman" w:hAnsi="Times New Roman" w:cs="Times New Roman"/>
          <w:noProof/>
          <w:sz w:val="24"/>
          <w:szCs w:val="24"/>
          <w:lang w:val="en-GB"/>
        </w:rPr>
        <w:t xml:space="preserve">n 2016, a </w:t>
      </w:r>
      <w:r>
        <w:rPr>
          <w:rFonts w:ascii="Times New Roman" w:hAnsi="Times New Roman" w:cs="Times New Roman"/>
          <w:noProof/>
          <w:sz w:val="24"/>
          <w:szCs w:val="24"/>
          <w:lang w:val="en-GB"/>
        </w:rPr>
        <w:t>drop in the grant applications received, coinciding with the rollout of the Participant Portal</w:t>
      </w:r>
      <w:r>
        <w:rPr>
          <w:rFonts w:ascii="Times New Roman" w:hAnsi="Times New Roman" w:cs="Times New Roman"/>
          <w:noProof/>
          <w:sz w:val="24"/>
          <w:szCs w:val="24"/>
          <w:vertAlign w:val="superscript"/>
          <w:lang w:val="en-GB"/>
        </w:rPr>
        <w:footnoteReference w:id="37"/>
      </w:r>
      <w:r>
        <w:rPr>
          <w:rFonts w:ascii="Times New Roman" w:hAnsi="Times New Roman" w:cs="Times New Roman"/>
          <w:noProof/>
          <w:sz w:val="24"/>
          <w:szCs w:val="24"/>
          <w:lang w:val="en-GB"/>
        </w:rPr>
        <w:t>, was registered. This drop in applications notwithstanding, in general, the number of awarded projects remained stable across the four specific objectives and even increased significantly in the case of judicial cooperation projects. The drop also</w:t>
      </w:r>
      <w:r>
        <w:rPr>
          <w:rFonts w:ascii="Times New Roman" w:hAnsi="Times New Roman"/>
          <w:noProof/>
          <w:sz w:val="24"/>
          <w:szCs w:val="24"/>
          <w:lang w:val="en-GB"/>
        </w:rPr>
        <w:t xml:space="preserve"> </w:t>
      </w:r>
      <w:r>
        <w:rPr>
          <w:rFonts w:ascii="Times New Roman" w:hAnsi="Times New Roman" w:cs="Times New Roman"/>
          <w:noProof/>
          <w:sz w:val="24"/>
          <w:szCs w:val="24"/>
          <w:lang w:val="en-GB"/>
        </w:rPr>
        <w:t xml:space="preserve">led to an increase of the awarding rate. </w:t>
      </w:r>
    </w:p>
    <w:p>
      <w:pPr>
        <w:spacing w:after="0" w:line="240" w:lineRule="auto"/>
        <w:jc w:val="both"/>
        <w:rPr>
          <w:rFonts w:ascii="Times New Roman" w:hAnsi="Times New Roman"/>
          <w:noProof/>
          <w:sz w:val="24"/>
          <w:szCs w:val="24"/>
          <w:lang w:val="en-GB"/>
        </w:rPr>
      </w:pPr>
    </w:p>
    <w:p>
      <w:pPr>
        <w:pStyle w:val="Heading1"/>
        <w:numPr>
          <w:ilvl w:val="0"/>
          <w:numId w:val="3"/>
        </w:numPr>
        <w:spacing w:before="0" w:after="120"/>
        <w:rPr>
          <w:noProof/>
        </w:rPr>
      </w:pPr>
      <w:bookmarkStart w:id="18" w:name="_Toc514411213"/>
      <w:r>
        <w:rPr>
          <w:noProof/>
        </w:rPr>
        <w:t>Method</w:t>
      </w:r>
      <w:bookmarkEnd w:id="18"/>
    </w:p>
    <w:p>
      <w:pPr>
        <w:spacing w:after="120" w:line="240" w:lineRule="auto"/>
        <w:rPr>
          <w:rFonts w:ascii="Times New Roman" w:hAnsi="Times New Roman" w:cs="Times New Roman"/>
          <w:b/>
          <w:noProof/>
          <w:sz w:val="24"/>
          <w:szCs w:val="24"/>
          <w:lang w:val="en-GB"/>
        </w:rPr>
      </w:pPr>
      <w:r>
        <w:rPr>
          <w:rFonts w:ascii="Times New Roman" w:hAnsi="Times New Roman" w:cs="Times New Roman"/>
          <w:b/>
          <w:noProof/>
          <w:sz w:val="24"/>
          <w:szCs w:val="24"/>
        </w:rPr>
        <w:t xml:space="preserve">Short description of </w:t>
      </w:r>
      <w:r>
        <w:rPr>
          <w:rFonts w:ascii="Times New Roman" w:hAnsi="Times New Roman" w:cs="Times New Roman"/>
          <w:b/>
          <w:noProof/>
          <w:sz w:val="24"/>
          <w:szCs w:val="24"/>
          <w:lang w:val="en-GB"/>
        </w:rPr>
        <w:t>methodology</w:t>
      </w:r>
    </w:p>
    <w:p>
      <w:pPr>
        <w:spacing w:after="12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 evaluation process was supported by an external evaluator (</w:t>
      </w:r>
      <w:r>
        <w:rPr>
          <w:rFonts w:ascii="Times New Roman" w:hAnsi="Times New Roman" w:cs="Times New Roman"/>
          <w:noProof/>
          <w:sz w:val="24"/>
          <w:szCs w:val="24"/>
          <w:lang w:val="en-GB" w:eastAsia="it-IT"/>
        </w:rPr>
        <w:t>Ernst &amp; Young Financial-Business Advisors</w:t>
      </w:r>
      <w:r>
        <w:rPr>
          <w:rFonts w:ascii="Times New Roman" w:eastAsia="Calibri" w:hAnsi="Times New Roman" w:cs="Times New Roman"/>
          <w:noProof/>
          <w:sz w:val="24"/>
          <w:szCs w:val="24"/>
          <w:lang w:val="en-GB"/>
        </w:rPr>
        <w:t>)</w:t>
      </w:r>
      <w:r>
        <w:rPr>
          <w:rFonts w:ascii="Times New Roman" w:eastAsia="Calibri" w:hAnsi="Times New Roman" w:cs="Times New Roman"/>
          <w:noProof/>
          <w:sz w:val="24"/>
          <w:szCs w:val="24"/>
          <w:vertAlign w:val="superscript"/>
          <w:lang w:val="en-GB"/>
        </w:rPr>
        <w:footnoteReference w:id="38"/>
      </w:r>
      <w:r>
        <w:rPr>
          <w:rFonts w:ascii="Times New Roman" w:eastAsia="Calibri" w:hAnsi="Times New Roman" w:cs="Times New Roman"/>
          <w:noProof/>
          <w:sz w:val="24"/>
          <w:szCs w:val="24"/>
          <w:lang w:val="en-GB"/>
        </w:rPr>
        <w:t xml:space="preserve">, under the Commission's responsibility. The criteria used for the evaluation include: relevance, effectiveness, efficiency, coherence, equity, scope of simplification of the Programme and EU added value (see Table 7). </w:t>
      </w:r>
    </w:p>
    <w:p>
      <w:pPr>
        <w:spacing w:after="120"/>
        <w:jc w:val="center"/>
        <w:rPr>
          <w:rFonts w:ascii="Times New Roman" w:hAnsi="Times New Roman" w:cs="Times New Roman"/>
          <w:b/>
          <w:noProof/>
          <w:sz w:val="20"/>
          <w:szCs w:val="20"/>
          <w:lang w:val="en-GB"/>
        </w:rPr>
      </w:pPr>
      <w:bookmarkStart w:id="19" w:name="_Ref489629859"/>
      <w:bookmarkStart w:id="20" w:name="Table_7"/>
      <w:r>
        <w:rPr>
          <w:rFonts w:ascii="Times New Roman" w:hAnsi="Times New Roman" w:cs="Times New Roman"/>
          <w:b/>
          <w:noProof/>
          <w:sz w:val="20"/>
          <w:szCs w:val="20"/>
          <w:lang w:val="en-GB"/>
        </w:rPr>
        <w:t xml:space="preserve">Table </w:t>
      </w:r>
      <w:bookmarkEnd w:id="19"/>
      <w:r>
        <w:rPr>
          <w:rFonts w:ascii="Times New Roman" w:hAnsi="Times New Roman" w:cs="Times New Roman"/>
          <w:b/>
          <w:noProof/>
          <w:sz w:val="20"/>
          <w:szCs w:val="20"/>
          <w:lang w:val="en-GB"/>
        </w:rPr>
        <w:t>7: Evaluation criteria and corresponding evaluation questions</w:t>
      </w:r>
    </w:p>
    <w:tbl>
      <w:tblPr>
        <w:tblStyle w:val="TableGrid"/>
        <w:tblW w:w="5000" w:type="pct"/>
        <w:tblLayout w:type="fixed"/>
        <w:tblLook w:val="04A0" w:firstRow="1" w:lastRow="0" w:firstColumn="1" w:lastColumn="0" w:noHBand="0" w:noVBand="1"/>
      </w:tblPr>
      <w:tblGrid>
        <w:gridCol w:w="1728"/>
        <w:gridCol w:w="7106"/>
      </w:tblGrid>
      <w:tr>
        <w:trPr>
          <w:trHeight w:val="227"/>
          <w:tblHeader/>
        </w:trPr>
        <w:tc>
          <w:tcPr>
            <w:tcW w:w="978" w:type="pct"/>
            <w:shd w:val="clear" w:color="auto" w:fill="4BACC6" w:themeFill="accent5"/>
            <w:vAlign w:val="center"/>
          </w:tcPr>
          <w:bookmarkEnd w:id="20"/>
          <w:p>
            <w:pPr>
              <w:pStyle w:val="Text1"/>
              <w:spacing w:after="60"/>
              <w:ind w:left="0"/>
              <w:jc w:val="center"/>
              <w:rPr>
                <w:b/>
                <w:noProof/>
                <w:color w:val="FFFFFF" w:themeColor="background1"/>
                <w:sz w:val="16"/>
                <w:szCs w:val="16"/>
              </w:rPr>
            </w:pPr>
            <w:r>
              <w:rPr>
                <w:b/>
                <w:noProof/>
                <w:color w:val="FFFFFF" w:themeColor="background1"/>
                <w:sz w:val="16"/>
                <w:szCs w:val="16"/>
              </w:rPr>
              <w:t>Evaluation Criteria</w:t>
            </w:r>
          </w:p>
        </w:tc>
        <w:tc>
          <w:tcPr>
            <w:tcW w:w="4022" w:type="pct"/>
            <w:shd w:val="clear" w:color="auto" w:fill="4BACC6" w:themeFill="accent5"/>
            <w:vAlign w:val="center"/>
          </w:tcPr>
          <w:p>
            <w:pPr>
              <w:pStyle w:val="Text1"/>
              <w:spacing w:after="60"/>
              <w:ind w:left="0"/>
              <w:jc w:val="center"/>
              <w:rPr>
                <w:b/>
                <w:noProof/>
                <w:color w:val="FFFFFF" w:themeColor="background1"/>
                <w:sz w:val="16"/>
                <w:szCs w:val="16"/>
              </w:rPr>
            </w:pPr>
            <w:r>
              <w:rPr>
                <w:b/>
                <w:noProof/>
                <w:color w:val="FFFFFF" w:themeColor="background1"/>
                <w:sz w:val="16"/>
                <w:szCs w:val="16"/>
              </w:rPr>
              <w:t>Evaluation questions</w:t>
            </w:r>
          </w:p>
        </w:tc>
      </w:tr>
      <w:tr>
        <w:trPr>
          <w:trHeight w:val="227"/>
        </w:trPr>
        <w:tc>
          <w:tcPr>
            <w:tcW w:w="978" w:type="pct"/>
            <w:vMerge w:val="restart"/>
            <w:shd w:val="clear" w:color="auto" w:fill="D9D9D9" w:themeFill="background1" w:themeFillShade="D9"/>
            <w:vAlign w:val="center"/>
          </w:tcPr>
          <w:p>
            <w:pPr>
              <w:pStyle w:val="Text1"/>
              <w:spacing w:after="60"/>
              <w:ind w:left="0"/>
              <w:jc w:val="left"/>
              <w:rPr>
                <w:b/>
                <w:noProof/>
                <w:sz w:val="16"/>
              </w:rPr>
            </w:pPr>
            <w:r>
              <w:rPr>
                <w:b/>
                <w:noProof/>
                <w:sz w:val="16"/>
              </w:rPr>
              <w:t>Effectiveness</w:t>
            </w:r>
          </w:p>
        </w:tc>
        <w:tc>
          <w:tcPr>
            <w:tcW w:w="4022" w:type="pct"/>
          </w:tcPr>
          <w:p>
            <w:pPr>
              <w:pStyle w:val="ListParagraph"/>
              <w:numPr>
                <w:ilvl w:val="0"/>
                <w:numId w:val="28"/>
              </w:numPr>
              <w:spacing w:after="60"/>
              <w:ind w:left="317"/>
              <w:rPr>
                <w:b/>
                <w:i/>
                <w:noProof/>
                <w:sz w:val="16"/>
                <w:szCs w:val="16"/>
              </w:rPr>
            </w:pPr>
            <w:r>
              <w:rPr>
                <w:b/>
                <w:i/>
                <w:noProof/>
                <w:sz w:val="16"/>
                <w:szCs w:val="16"/>
              </w:rPr>
              <w:t xml:space="preserve">EQ1. To what extent have the objectives been achieved considering the set indicators? </w:t>
            </w:r>
          </w:p>
          <w:p>
            <w:pPr>
              <w:pStyle w:val="ListParagraph"/>
              <w:numPr>
                <w:ilvl w:val="2"/>
                <w:numId w:val="29"/>
              </w:numPr>
              <w:spacing w:after="60"/>
              <w:rPr>
                <w:i/>
                <w:noProof/>
                <w:sz w:val="16"/>
                <w:szCs w:val="16"/>
              </w:rPr>
            </w:pPr>
            <w:r>
              <w:rPr>
                <w:i/>
                <w:noProof/>
                <w:sz w:val="16"/>
                <w:szCs w:val="16"/>
              </w:rPr>
              <w:t xml:space="preserve">What progress has been achieved so far by the Justice Programme in meeting indicators listed in Article 15 of the Justice Regulation </w:t>
            </w:r>
          </w:p>
          <w:p>
            <w:pPr>
              <w:pStyle w:val="ListParagraph"/>
              <w:numPr>
                <w:ilvl w:val="2"/>
                <w:numId w:val="29"/>
              </w:numPr>
              <w:spacing w:after="60"/>
              <w:rPr>
                <w:i/>
                <w:noProof/>
                <w:sz w:val="16"/>
                <w:szCs w:val="16"/>
              </w:rPr>
            </w:pPr>
            <w:r>
              <w:rPr>
                <w:i/>
                <w:noProof/>
                <w:sz w:val="16"/>
                <w:szCs w:val="16"/>
              </w:rPr>
              <w:t>Is the Justice Programme meeting its general objective at the Programme level?</w:t>
            </w:r>
          </w:p>
        </w:tc>
      </w:tr>
      <w:tr>
        <w:trPr>
          <w:trHeight w:val="227"/>
        </w:trPr>
        <w:tc>
          <w:tcPr>
            <w:tcW w:w="978" w:type="pct"/>
            <w:vMerge/>
            <w:shd w:val="clear" w:color="auto" w:fill="D9D9D9" w:themeFill="background1" w:themeFillShade="D9"/>
          </w:tcPr>
          <w:p>
            <w:pPr>
              <w:pStyle w:val="Text1"/>
              <w:spacing w:after="60"/>
              <w:ind w:left="0"/>
              <w:rPr>
                <w:noProof/>
                <w:sz w:val="16"/>
              </w:rPr>
            </w:pPr>
          </w:p>
        </w:tc>
        <w:tc>
          <w:tcPr>
            <w:tcW w:w="4022" w:type="pct"/>
          </w:tcPr>
          <w:p>
            <w:pPr>
              <w:pStyle w:val="ListParagraph"/>
              <w:keepNext/>
              <w:numPr>
                <w:ilvl w:val="0"/>
                <w:numId w:val="28"/>
              </w:numPr>
              <w:spacing w:after="60"/>
              <w:ind w:left="317"/>
              <w:rPr>
                <w:noProof/>
                <w:sz w:val="18"/>
                <w:szCs w:val="18"/>
                <w:lang w:eastAsia="fr-FR"/>
              </w:rPr>
            </w:pPr>
            <w:r>
              <w:rPr>
                <w:b/>
                <w:i/>
                <w:noProof/>
                <w:sz w:val="16"/>
                <w:szCs w:val="16"/>
              </w:rPr>
              <w:t>EQ2. How adequate were the actions funded under the Programme to the objectives of the Programme?</w:t>
            </w:r>
          </w:p>
        </w:tc>
      </w:tr>
      <w:tr>
        <w:trPr>
          <w:trHeight w:val="227"/>
        </w:trPr>
        <w:tc>
          <w:tcPr>
            <w:tcW w:w="978" w:type="pct"/>
            <w:vMerge/>
            <w:shd w:val="clear" w:color="auto" w:fill="D9D9D9" w:themeFill="background1" w:themeFillShade="D9"/>
          </w:tcPr>
          <w:p>
            <w:pPr>
              <w:pStyle w:val="Text1"/>
              <w:spacing w:after="60"/>
              <w:ind w:left="0"/>
              <w:rPr>
                <w:noProof/>
                <w:sz w:val="16"/>
              </w:rPr>
            </w:pPr>
          </w:p>
        </w:tc>
        <w:tc>
          <w:tcPr>
            <w:tcW w:w="4022" w:type="pct"/>
          </w:tcPr>
          <w:p>
            <w:pPr>
              <w:pStyle w:val="ListParagraph"/>
              <w:keepNext/>
              <w:numPr>
                <w:ilvl w:val="0"/>
                <w:numId w:val="28"/>
              </w:numPr>
              <w:spacing w:after="60"/>
              <w:ind w:left="317"/>
              <w:rPr>
                <w:b/>
                <w:i/>
                <w:noProof/>
                <w:sz w:val="16"/>
                <w:szCs w:val="16"/>
              </w:rPr>
            </w:pPr>
            <w:r>
              <w:rPr>
                <w:b/>
                <w:i/>
                <w:noProof/>
                <w:sz w:val="16"/>
                <w:szCs w:val="16"/>
              </w:rPr>
              <w:t xml:space="preserve">EQ3. What factors influenced the achievements observed? </w:t>
            </w:r>
          </w:p>
          <w:p>
            <w:pPr>
              <w:pStyle w:val="ListParagraph"/>
              <w:numPr>
                <w:ilvl w:val="2"/>
                <w:numId w:val="30"/>
              </w:numPr>
              <w:spacing w:after="60"/>
              <w:rPr>
                <w:i/>
                <w:noProof/>
                <w:sz w:val="16"/>
                <w:szCs w:val="16"/>
              </w:rPr>
            </w:pPr>
            <w:r>
              <w:rPr>
                <w:i/>
                <w:noProof/>
                <w:sz w:val="16"/>
                <w:szCs w:val="16"/>
              </w:rPr>
              <w:t xml:space="preserve">Have any specific factors favoured or deterred the achievement of the SOs of the Programme? </w:t>
            </w:r>
          </w:p>
          <w:p>
            <w:pPr>
              <w:pStyle w:val="ListParagraph"/>
              <w:numPr>
                <w:ilvl w:val="2"/>
                <w:numId w:val="30"/>
              </w:numPr>
              <w:spacing w:after="60"/>
              <w:rPr>
                <w:i/>
                <w:noProof/>
                <w:sz w:val="16"/>
                <w:szCs w:val="16"/>
              </w:rPr>
            </w:pPr>
            <w:r>
              <w:rPr>
                <w:i/>
                <w:noProof/>
                <w:sz w:val="16"/>
                <w:szCs w:val="16"/>
              </w:rPr>
              <w:t>Have any unintended effects influenced the effectiveness of the Programme?</w:t>
            </w:r>
          </w:p>
        </w:tc>
      </w:tr>
      <w:tr>
        <w:trPr>
          <w:trHeight w:val="227"/>
        </w:trPr>
        <w:tc>
          <w:tcPr>
            <w:tcW w:w="978" w:type="pct"/>
            <w:vMerge/>
            <w:shd w:val="clear" w:color="auto" w:fill="D9D9D9" w:themeFill="background1" w:themeFillShade="D9"/>
          </w:tcPr>
          <w:p>
            <w:pPr>
              <w:pStyle w:val="Text1"/>
              <w:spacing w:after="60"/>
              <w:ind w:left="0"/>
              <w:rPr>
                <w:noProof/>
                <w:sz w:val="16"/>
              </w:rPr>
            </w:pPr>
          </w:p>
        </w:tc>
        <w:tc>
          <w:tcPr>
            <w:tcW w:w="4022" w:type="pct"/>
          </w:tcPr>
          <w:p>
            <w:pPr>
              <w:pStyle w:val="ListParagraph"/>
              <w:keepNext/>
              <w:numPr>
                <w:ilvl w:val="0"/>
                <w:numId w:val="28"/>
              </w:numPr>
              <w:spacing w:after="60"/>
              <w:ind w:left="317"/>
              <w:rPr>
                <w:b/>
                <w:i/>
                <w:noProof/>
                <w:sz w:val="16"/>
                <w:szCs w:val="16"/>
              </w:rPr>
            </w:pPr>
            <w:r>
              <w:rPr>
                <w:b/>
                <w:i/>
                <w:noProof/>
                <w:sz w:val="16"/>
                <w:szCs w:val="16"/>
              </w:rPr>
              <w:t>EQ4: How have the eligibility criteria influenced the formation of partnerships and the scope of proposals?</w:t>
            </w:r>
          </w:p>
        </w:tc>
      </w:tr>
      <w:tr>
        <w:trPr>
          <w:trHeight w:val="227"/>
        </w:trPr>
        <w:tc>
          <w:tcPr>
            <w:tcW w:w="978" w:type="pct"/>
            <w:vMerge/>
            <w:shd w:val="clear" w:color="auto" w:fill="D9D9D9" w:themeFill="background1" w:themeFillShade="D9"/>
          </w:tcPr>
          <w:p>
            <w:pPr>
              <w:pStyle w:val="Text1"/>
              <w:spacing w:after="60"/>
              <w:ind w:left="0"/>
              <w:rPr>
                <w:noProof/>
                <w:sz w:val="16"/>
              </w:rPr>
            </w:pPr>
          </w:p>
        </w:tc>
        <w:tc>
          <w:tcPr>
            <w:tcW w:w="4022" w:type="pct"/>
          </w:tcPr>
          <w:p>
            <w:pPr>
              <w:pStyle w:val="ListParagraph"/>
              <w:keepNext/>
              <w:numPr>
                <w:ilvl w:val="0"/>
                <w:numId w:val="28"/>
              </w:numPr>
              <w:spacing w:after="60"/>
              <w:ind w:left="317"/>
              <w:rPr>
                <w:b/>
                <w:i/>
                <w:noProof/>
                <w:sz w:val="16"/>
                <w:szCs w:val="16"/>
              </w:rPr>
            </w:pPr>
            <w:r>
              <w:rPr>
                <w:b/>
                <w:i/>
                <w:noProof/>
                <w:sz w:val="16"/>
                <w:szCs w:val="16"/>
              </w:rPr>
              <w:t xml:space="preserve">EQ5. Compared to the 2007-2013 six predecessor programmes, how did the Justice Programme perform in terms of better policy targeting, and targeting of the right groups of beneficiaries, Programme management and economies of scale? </w:t>
            </w:r>
          </w:p>
          <w:p>
            <w:pPr>
              <w:pStyle w:val="ListParagraph"/>
              <w:numPr>
                <w:ilvl w:val="2"/>
                <w:numId w:val="31"/>
              </w:numPr>
              <w:spacing w:after="60"/>
              <w:rPr>
                <w:i/>
                <w:noProof/>
                <w:sz w:val="16"/>
                <w:szCs w:val="16"/>
              </w:rPr>
            </w:pPr>
            <w:r>
              <w:rPr>
                <w:i/>
                <w:noProof/>
                <w:sz w:val="16"/>
                <w:szCs w:val="16"/>
              </w:rPr>
              <w:t xml:space="preserve">How has the consolidation of predecessor programmes influenced the management of the Justice Programme in terms reduction of administrative burden and the achievement of economies of scale? </w:t>
            </w:r>
          </w:p>
          <w:p>
            <w:pPr>
              <w:pStyle w:val="ListParagraph"/>
              <w:numPr>
                <w:ilvl w:val="2"/>
                <w:numId w:val="31"/>
              </w:numPr>
              <w:spacing w:after="60"/>
              <w:rPr>
                <w:i/>
                <w:noProof/>
                <w:sz w:val="16"/>
                <w:szCs w:val="16"/>
              </w:rPr>
            </w:pPr>
            <w:r>
              <w:rPr>
                <w:i/>
                <w:noProof/>
                <w:sz w:val="16"/>
                <w:szCs w:val="16"/>
              </w:rPr>
              <w:t xml:space="preserve">Has the consolidation of predecessor programmes resulted in better policy targeting, in terms of a reduction of dispersion/proliferation of calls with similar or overlapping objectives? </w:t>
            </w:r>
          </w:p>
          <w:p>
            <w:pPr>
              <w:pStyle w:val="ListParagraph"/>
              <w:numPr>
                <w:ilvl w:val="2"/>
                <w:numId w:val="31"/>
              </w:numPr>
              <w:spacing w:after="60"/>
              <w:rPr>
                <w:i/>
                <w:noProof/>
                <w:sz w:val="16"/>
                <w:szCs w:val="16"/>
              </w:rPr>
            </w:pPr>
            <w:r>
              <w:rPr>
                <w:i/>
                <w:noProof/>
                <w:sz w:val="16"/>
                <w:szCs w:val="16"/>
              </w:rPr>
              <w:t>Have funded beneficiaries been able to enhance their capacity to support relevant target groups?</w:t>
            </w:r>
          </w:p>
        </w:tc>
      </w:tr>
      <w:tr>
        <w:trPr>
          <w:trHeight w:val="227"/>
        </w:trPr>
        <w:tc>
          <w:tcPr>
            <w:tcW w:w="978" w:type="pct"/>
            <w:vMerge/>
            <w:shd w:val="clear" w:color="auto" w:fill="D9D9D9" w:themeFill="background1" w:themeFillShade="D9"/>
          </w:tcPr>
          <w:p>
            <w:pPr>
              <w:pStyle w:val="Text1"/>
              <w:spacing w:after="60"/>
              <w:ind w:left="0"/>
              <w:rPr>
                <w:noProof/>
                <w:sz w:val="16"/>
              </w:rPr>
            </w:pPr>
          </w:p>
        </w:tc>
        <w:tc>
          <w:tcPr>
            <w:tcW w:w="4022" w:type="pct"/>
          </w:tcPr>
          <w:p>
            <w:pPr>
              <w:pStyle w:val="ListParagraph"/>
              <w:keepNext/>
              <w:numPr>
                <w:ilvl w:val="0"/>
                <w:numId w:val="28"/>
              </w:numPr>
              <w:spacing w:after="60"/>
              <w:ind w:left="317"/>
              <w:rPr>
                <w:b/>
                <w:i/>
                <w:noProof/>
                <w:sz w:val="16"/>
                <w:szCs w:val="16"/>
              </w:rPr>
            </w:pPr>
            <w:r>
              <w:rPr>
                <w:b/>
                <w:i/>
                <w:noProof/>
                <w:sz w:val="16"/>
                <w:szCs w:val="16"/>
              </w:rPr>
              <w:t>EQ6: How effective have been the communication activities in informing the potential applicants about upcoming calls and in increasing the visibility of funded projects?</w:t>
            </w:r>
          </w:p>
        </w:tc>
      </w:tr>
      <w:tr>
        <w:trPr>
          <w:trHeight w:val="227"/>
        </w:trPr>
        <w:tc>
          <w:tcPr>
            <w:tcW w:w="978" w:type="pct"/>
            <w:vMerge/>
            <w:shd w:val="clear" w:color="auto" w:fill="D9D9D9" w:themeFill="background1" w:themeFillShade="D9"/>
          </w:tcPr>
          <w:p>
            <w:pPr>
              <w:pStyle w:val="Text1"/>
              <w:spacing w:after="60"/>
              <w:ind w:left="0"/>
              <w:rPr>
                <w:noProof/>
                <w:sz w:val="16"/>
              </w:rPr>
            </w:pPr>
          </w:p>
        </w:tc>
        <w:tc>
          <w:tcPr>
            <w:tcW w:w="4022" w:type="pct"/>
          </w:tcPr>
          <w:p>
            <w:pPr>
              <w:pStyle w:val="ListParagraph"/>
              <w:keepNext/>
              <w:numPr>
                <w:ilvl w:val="0"/>
                <w:numId w:val="28"/>
              </w:numPr>
              <w:spacing w:after="60"/>
              <w:ind w:left="317"/>
              <w:rPr>
                <w:b/>
                <w:i/>
                <w:noProof/>
                <w:sz w:val="16"/>
                <w:szCs w:val="16"/>
              </w:rPr>
            </w:pPr>
            <w:r>
              <w:rPr>
                <w:b/>
                <w:i/>
                <w:noProof/>
                <w:sz w:val="16"/>
                <w:szCs w:val="16"/>
              </w:rPr>
              <w:t xml:space="preserve">EQ7. Will the results of the implemented actions be sustainable in the long-term? </w:t>
            </w:r>
          </w:p>
          <w:p>
            <w:pPr>
              <w:pStyle w:val="ListParagraph"/>
              <w:numPr>
                <w:ilvl w:val="2"/>
                <w:numId w:val="32"/>
              </w:numPr>
              <w:spacing w:after="60"/>
              <w:rPr>
                <w:i/>
                <w:noProof/>
                <w:sz w:val="16"/>
                <w:szCs w:val="16"/>
              </w:rPr>
            </w:pPr>
            <w:r>
              <w:rPr>
                <w:i/>
                <w:noProof/>
                <w:sz w:val="16"/>
                <w:szCs w:val="16"/>
              </w:rPr>
              <w:t xml:space="preserve">Do funded actions achieve results that last beyond the duration of individual projects? </w:t>
            </w:r>
          </w:p>
          <w:p>
            <w:pPr>
              <w:pStyle w:val="ListParagraph"/>
              <w:numPr>
                <w:ilvl w:val="2"/>
                <w:numId w:val="32"/>
              </w:numPr>
              <w:spacing w:after="60"/>
              <w:rPr>
                <w:i/>
                <w:noProof/>
                <w:sz w:val="16"/>
                <w:szCs w:val="16"/>
              </w:rPr>
            </w:pPr>
            <w:r>
              <w:rPr>
                <w:i/>
                <w:noProof/>
                <w:sz w:val="16"/>
                <w:szCs w:val="16"/>
              </w:rPr>
              <w:t>Do partnerships among beneficiaries of the Justice and REC Programme endure beyond participation in the individual calls?</w:t>
            </w:r>
          </w:p>
        </w:tc>
      </w:tr>
      <w:tr>
        <w:trPr>
          <w:trHeight w:val="227"/>
        </w:trPr>
        <w:tc>
          <w:tcPr>
            <w:tcW w:w="978" w:type="pct"/>
            <w:vMerge w:val="restart"/>
            <w:shd w:val="clear" w:color="auto" w:fill="D9D9D9" w:themeFill="background1" w:themeFillShade="D9"/>
            <w:vAlign w:val="center"/>
          </w:tcPr>
          <w:p>
            <w:pPr>
              <w:pStyle w:val="Text1"/>
              <w:spacing w:after="60"/>
              <w:ind w:left="0"/>
              <w:jc w:val="left"/>
              <w:rPr>
                <w:b/>
                <w:noProof/>
                <w:sz w:val="16"/>
              </w:rPr>
            </w:pPr>
            <w:r>
              <w:rPr>
                <w:b/>
                <w:noProof/>
                <w:sz w:val="16"/>
              </w:rPr>
              <w:t>Efficiency</w:t>
            </w:r>
          </w:p>
        </w:tc>
        <w:tc>
          <w:tcPr>
            <w:tcW w:w="4022" w:type="pct"/>
          </w:tcPr>
          <w:p>
            <w:pPr>
              <w:pStyle w:val="ListParagraph"/>
              <w:keepNext/>
              <w:numPr>
                <w:ilvl w:val="0"/>
                <w:numId w:val="28"/>
              </w:numPr>
              <w:spacing w:after="60"/>
              <w:ind w:left="317"/>
              <w:rPr>
                <w:b/>
                <w:i/>
                <w:noProof/>
                <w:sz w:val="16"/>
              </w:rPr>
            </w:pPr>
            <w:r>
              <w:rPr>
                <w:b/>
                <w:i/>
                <w:noProof/>
                <w:sz w:val="16"/>
                <w:szCs w:val="18"/>
                <w:lang w:eastAsia="fr-FR"/>
              </w:rPr>
              <w:t>EQ8: Which are the costs and benefits of the intervention?</w:t>
            </w:r>
          </w:p>
        </w:tc>
      </w:tr>
      <w:tr>
        <w:trPr>
          <w:trHeight w:val="227"/>
        </w:trPr>
        <w:tc>
          <w:tcPr>
            <w:tcW w:w="978" w:type="pct"/>
            <w:vMerge/>
            <w:shd w:val="clear" w:color="auto" w:fill="D9D9D9" w:themeFill="background1" w:themeFillShade="D9"/>
          </w:tcPr>
          <w:p>
            <w:pPr>
              <w:spacing w:after="80"/>
              <w:rPr>
                <w:noProof/>
                <w:sz w:val="16"/>
              </w:rPr>
            </w:pPr>
          </w:p>
        </w:tc>
        <w:tc>
          <w:tcPr>
            <w:tcW w:w="4022" w:type="pct"/>
          </w:tcPr>
          <w:p>
            <w:pPr>
              <w:pStyle w:val="ListParagraph"/>
              <w:keepNext/>
              <w:numPr>
                <w:ilvl w:val="0"/>
                <w:numId w:val="28"/>
              </w:numPr>
              <w:spacing w:after="60"/>
              <w:ind w:left="317"/>
              <w:rPr>
                <w:rFonts w:eastAsia="Calibri"/>
                <w:noProof/>
                <w:sz w:val="20"/>
              </w:rPr>
            </w:pPr>
            <w:r>
              <w:rPr>
                <w:b/>
                <w:i/>
                <w:noProof/>
                <w:sz w:val="16"/>
                <w:szCs w:val="18"/>
                <w:lang w:eastAsia="fr-FR"/>
              </w:rPr>
              <w:t>EQ9: To what extent has the intervention been cost-effective?</w:t>
            </w:r>
          </w:p>
        </w:tc>
      </w:tr>
      <w:tr>
        <w:trPr>
          <w:trHeight w:val="227"/>
        </w:trPr>
        <w:tc>
          <w:tcPr>
            <w:tcW w:w="978" w:type="pct"/>
            <w:vMerge/>
            <w:shd w:val="clear" w:color="auto" w:fill="D9D9D9" w:themeFill="background1" w:themeFillShade="D9"/>
          </w:tcPr>
          <w:p>
            <w:pPr>
              <w:spacing w:after="80"/>
              <w:rPr>
                <w:noProof/>
                <w:sz w:val="16"/>
              </w:rPr>
            </w:pPr>
          </w:p>
        </w:tc>
        <w:tc>
          <w:tcPr>
            <w:tcW w:w="4022" w:type="pct"/>
          </w:tcPr>
          <w:p>
            <w:pPr>
              <w:pStyle w:val="ListParagraph"/>
              <w:keepNext/>
              <w:numPr>
                <w:ilvl w:val="0"/>
                <w:numId w:val="28"/>
              </w:numPr>
              <w:spacing w:after="60"/>
              <w:ind w:left="317"/>
              <w:rPr>
                <w:b/>
                <w:i/>
                <w:noProof/>
                <w:sz w:val="16"/>
                <w:szCs w:val="18"/>
                <w:lang w:eastAsia="fr-FR"/>
              </w:rPr>
            </w:pPr>
            <w:r>
              <w:rPr>
                <w:b/>
                <w:i/>
                <w:noProof/>
                <w:sz w:val="16"/>
                <w:szCs w:val="18"/>
                <w:lang w:eastAsia="fr-FR"/>
              </w:rPr>
              <w:t>EQ10: What factors influenced the efficiency with which the achievements observed were attained?</w:t>
            </w:r>
          </w:p>
        </w:tc>
      </w:tr>
      <w:tr>
        <w:trPr>
          <w:trHeight w:val="227"/>
        </w:trPr>
        <w:tc>
          <w:tcPr>
            <w:tcW w:w="978" w:type="pct"/>
            <w:vMerge/>
            <w:shd w:val="clear" w:color="auto" w:fill="D9D9D9" w:themeFill="background1" w:themeFillShade="D9"/>
          </w:tcPr>
          <w:p>
            <w:pPr>
              <w:spacing w:after="80"/>
              <w:rPr>
                <w:noProof/>
                <w:sz w:val="16"/>
              </w:rPr>
            </w:pPr>
          </w:p>
        </w:tc>
        <w:tc>
          <w:tcPr>
            <w:tcW w:w="4022" w:type="pct"/>
          </w:tcPr>
          <w:p>
            <w:pPr>
              <w:pStyle w:val="ListParagraph"/>
              <w:keepNext/>
              <w:numPr>
                <w:ilvl w:val="0"/>
                <w:numId w:val="28"/>
              </w:numPr>
              <w:spacing w:after="60"/>
              <w:ind w:left="317"/>
              <w:rPr>
                <w:rFonts w:eastAsia="Calibri"/>
                <w:noProof/>
                <w:sz w:val="20"/>
              </w:rPr>
            </w:pPr>
            <w:r>
              <w:rPr>
                <w:b/>
                <w:i/>
                <w:noProof/>
                <w:sz w:val="16"/>
                <w:szCs w:val="16"/>
              </w:rPr>
              <w:t>EQ11: Is there any scope for using alternative implementing measures other than action grants and operating grants, e.g. innovative financial instruments?</w:t>
            </w:r>
          </w:p>
        </w:tc>
      </w:tr>
      <w:tr>
        <w:trPr>
          <w:trHeight w:val="227"/>
        </w:trPr>
        <w:tc>
          <w:tcPr>
            <w:tcW w:w="978" w:type="pct"/>
            <w:vMerge w:val="restart"/>
            <w:shd w:val="clear" w:color="auto" w:fill="D9D9D9" w:themeFill="background1" w:themeFillShade="D9"/>
            <w:vAlign w:val="center"/>
          </w:tcPr>
          <w:p>
            <w:pPr>
              <w:spacing w:after="80"/>
              <w:rPr>
                <w:b/>
                <w:noProof/>
                <w:sz w:val="16"/>
              </w:rPr>
            </w:pPr>
            <w:r>
              <w:rPr>
                <w:b/>
                <w:noProof/>
                <w:sz w:val="16"/>
              </w:rPr>
              <w:t>Relevance</w:t>
            </w:r>
          </w:p>
        </w:tc>
        <w:tc>
          <w:tcPr>
            <w:tcW w:w="4022" w:type="pct"/>
          </w:tcPr>
          <w:p>
            <w:pPr>
              <w:pStyle w:val="ListParagraph"/>
              <w:keepNext/>
              <w:numPr>
                <w:ilvl w:val="0"/>
                <w:numId w:val="28"/>
              </w:numPr>
              <w:spacing w:after="60"/>
              <w:ind w:left="317"/>
              <w:rPr>
                <w:b/>
                <w:i/>
                <w:noProof/>
                <w:sz w:val="16"/>
                <w:szCs w:val="16"/>
              </w:rPr>
            </w:pPr>
            <w:r>
              <w:rPr>
                <w:b/>
                <w:i/>
                <w:noProof/>
                <w:sz w:val="16"/>
                <w:szCs w:val="16"/>
              </w:rPr>
              <w:t>EQ12: How relevant were the actions funded under the Justice and REC Programme to the needs of the different stakeholders?</w:t>
            </w:r>
          </w:p>
          <w:p>
            <w:pPr>
              <w:pStyle w:val="ListParagraph"/>
              <w:numPr>
                <w:ilvl w:val="2"/>
                <w:numId w:val="33"/>
              </w:numPr>
              <w:spacing w:after="60"/>
              <w:rPr>
                <w:i/>
                <w:noProof/>
                <w:sz w:val="16"/>
                <w:szCs w:val="16"/>
              </w:rPr>
            </w:pPr>
            <w:r>
              <w:rPr>
                <w:i/>
                <w:noProof/>
                <w:sz w:val="16"/>
                <w:szCs w:val="16"/>
              </w:rPr>
              <w:t xml:space="preserve">Did the Programmes address stakeholders’ needs, as identified in the IL of the Programmes? </w:t>
            </w:r>
          </w:p>
          <w:p>
            <w:pPr>
              <w:pStyle w:val="ListParagraph"/>
              <w:numPr>
                <w:ilvl w:val="2"/>
                <w:numId w:val="33"/>
              </w:numPr>
              <w:spacing w:after="60"/>
              <w:rPr>
                <w:i/>
                <w:noProof/>
                <w:sz w:val="16"/>
                <w:szCs w:val="16"/>
              </w:rPr>
            </w:pPr>
            <w:r>
              <w:rPr>
                <w:i/>
                <w:noProof/>
                <w:sz w:val="16"/>
                <w:szCs w:val="16"/>
              </w:rPr>
              <w:t>Has the Justice Programme provided relevant support to beneficiaries, in terms of capacity to address the needs of target groups?</w:t>
            </w:r>
          </w:p>
        </w:tc>
      </w:tr>
      <w:tr>
        <w:trPr>
          <w:trHeight w:val="227"/>
        </w:trPr>
        <w:tc>
          <w:tcPr>
            <w:tcW w:w="978" w:type="pct"/>
            <w:vMerge/>
            <w:shd w:val="clear" w:color="auto" w:fill="D9D9D9" w:themeFill="background1" w:themeFillShade="D9"/>
          </w:tcPr>
          <w:p>
            <w:pPr>
              <w:spacing w:after="80"/>
              <w:rPr>
                <w:noProof/>
                <w:sz w:val="16"/>
              </w:rPr>
            </w:pPr>
          </w:p>
        </w:tc>
        <w:tc>
          <w:tcPr>
            <w:tcW w:w="4022" w:type="pct"/>
          </w:tcPr>
          <w:p>
            <w:pPr>
              <w:pStyle w:val="ListParagraph"/>
              <w:keepNext/>
              <w:numPr>
                <w:ilvl w:val="0"/>
                <w:numId w:val="28"/>
              </w:numPr>
              <w:spacing w:after="60"/>
              <w:ind w:left="317"/>
              <w:rPr>
                <w:b/>
                <w:i/>
                <w:noProof/>
                <w:sz w:val="16"/>
                <w:szCs w:val="16"/>
              </w:rPr>
            </w:pPr>
            <w:r>
              <w:rPr>
                <w:b/>
                <w:i/>
                <w:noProof/>
                <w:sz w:val="16"/>
                <w:szCs w:val="16"/>
              </w:rPr>
              <w:t>EQ13: How well do the (original) objectives (still) correspond to the needs within the EU?</w:t>
            </w:r>
          </w:p>
        </w:tc>
      </w:tr>
      <w:tr>
        <w:trPr>
          <w:trHeight w:val="227"/>
        </w:trPr>
        <w:tc>
          <w:tcPr>
            <w:tcW w:w="978" w:type="pct"/>
            <w:vMerge/>
            <w:shd w:val="clear" w:color="auto" w:fill="D9D9D9" w:themeFill="background1" w:themeFillShade="D9"/>
          </w:tcPr>
          <w:p>
            <w:pPr>
              <w:spacing w:after="80"/>
              <w:rPr>
                <w:noProof/>
                <w:sz w:val="16"/>
              </w:rPr>
            </w:pPr>
          </w:p>
        </w:tc>
        <w:tc>
          <w:tcPr>
            <w:tcW w:w="4022" w:type="pct"/>
          </w:tcPr>
          <w:p>
            <w:pPr>
              <w:pStyle w:val="ListParagraph"/>
              <w:keepNext/>
              <w:numPr>
                <w:ilvl w:val="0"/>
                <w:numId w:val="28"/>
              </w:numPr>
              <w:spacing w:after="60"/>
              <w:ind w:left="317"/>
              <w:rPr>
                <w:rFonts w:eastAsia="Calibri"/>
                <w:noProof/>
                <w:sz w:val="20"/>
              </w:rPr>
            </w:pPr>
            <w:r>
              <w:rPr>
                <w:b/>
                <w:i/>
                <w:noProof/>
                <w:sz w:val="16"/>
                <w:szCs w:val="16"/>
              </w:rPr>
              <w:t>EQ14: How relevant is the EU intervention to EU citizens?</w:t>
            </w:r>
          </w:p>
        </w:tc>
      </w:tr>
      <w:tr>
        <w:trPr>
          <w:trHeight w:val="227"/>
        </w:trPr>
        <w:tc>
          <w:tcPr>
            <w:tcW w:w="978" w:type="pct"/>
            <w:vMerge/>
            <w:shd w:val="clear" w:color="auto" w:fill="D9D9D9" w:themeFill="background1" w:themeFillShade="D9"/>
          </w:tcPr>
          <w:p>
            <w:pPr>
              <w:spacing w:after="80"/>
              <w:rPr>
                <w:noProof/>
                <w:sz w:val="16"/>
              </w:rPr>
            </w:pPr>
          </w:p>
        </w:tc>
        <w:tc>
          <w:tcPr>
            <w:tcW w:w="4022" w:type="pct"/>
          </w:tcPr>
          <w:p>
            <w:pPr>
              <w:pStyle w:val="ListParagraph"/>
              <w:keepNext/>
              <w:numPr>
                <w:ilvl w:val="0"/>
                <w:numId w:val="28"/>
              </w:numPr>
              <w:spacing w:after="60"/>
              <w:ind w:left="317"/>
              <w:rPr>
                <w:b/>
                <w:i/>
                <w:noProof/>
                <w:sz w:val="16"/>
                <w:szCs w:val="16"/>
              </w:rPr>
            </w:pPr>
            <w:r>
              <w:rPr>
                <w:b/>
                <w:i/>
                <w:noProof/>
                <w:sz w:val="16"/>
                <w:szCs w:val="16"/>
              </w:rPr>
              <w:t>EQ15: How relevant were the groups targeted by the intervention?</w:t>
            </w:r>
            <w:r>
              <w:rPr>
                <w:noProof/>
              </w:rPr>
              <w:t xml:space="preserve"> </w:t>
            </w:r>
          </w:p>
        </w:tc>
      </w:tr>
      <w:tr>
        <w:trPr>
          <w:trHeight w:val="227"/>
        </w:trPr>
        <w:tc>
          <w:tcPr>
            <w:tcW w:w="978" w:type="pct"/>
            <w:vMerge w:val="restart"/>
            <w:shd w:val="clear" w:color="auto" w:fill="D9D9D9" w:themeFill="background1" w:themeFillShade="D9"/>
            <w:vAlign w:val="center"/>
          </w:tcPr>
          <w:p>
            <w:pPr>
              <w:spacing w:after="80"/>
              <w:rPr>
                <w:b/>
                <w:noProof/>
                <w:sz w:val="16"/>
              </w:rPr>
            </w:pPr>
            <w:r>
              <w:rPr>
                <w:b/>
                <w:noProof/>
                <w:sz w:val="16"/>
              </w:rPr>
              <w:t>Coherence, Complementarity, Synergies</w:t>
            </w:r>
          </w:p>
        </w:tc>
        <w:tc>
          <w:tcPr>
            <w:tcW w:w="4022" w:type="pct"/>
          </w:tcPr>
          <w:p>
            <w:pPr>
              <w:pStyle w:val="ListParagraph"/>
              <w:keepNext/>
              <w:numPr>
                <w:ilvl w:val="0"/>
                <w:numId w:val="28"/>
              </w:numPr>
              <w:spacing w:after="60"/>
              <w:ind w:left="317"/>
              <w:rPr>
                <w:b/>
                <w:i/>
                <w:noProof/>
                <w:sz w:val="16"/>
                <w:szCs w:val="16"/>
              </w:rPr>
            </w:pPr>
            <w:r>
              <w:rPr>
                <w:b/>
                <w:i/>
                <w:noProof/>
                <w:sz w:val="16"/>
                <w:szCs w:val="16"/>
              </w:rPr>
              <w:t>EQ16: To what extent is the Justice Programme coherent / complementary with other EU and/or national policies and funding Programmes that have similar objectives to the Union bodies' work (external coherence)?</w:t>
            </w:r>
          </w:p>
        </w:tc>
      </w:tr>
      <w:tr>
        <w:trPr>
          <w:trHeight w:val="227"/>
        </w:trPr>
        <w:tc>
          <w:tcPr>
            <w:tcW w:w="978" w:type="pct"/>
            <w:vMerge/>
            <w:shd w:val="clear" w:color="auto" w:fill="D9D9D9" w:themeFill="background1" w:themeFillShade="D9"/>
          </w:tcPr>
          <w:p>
            <w:pPr>
              <w:spacing w:after="80"/>
              <w:rPr>
                <w:noProof/>
                <w:sz w:val="18"/>
              </w:rPr>
            </w:pPr>
          </w:p>
        </w:tc>
        <w:tc>
          <w:tcPr>
            <w:tcW w:w="4022" w:type="pct"/>
          </w:tcPr>
          <w:p>
            <w:pPr>
              <w:pStyle w:val="ListParagraph"/>
              <w:keepNext/>
              <w:numPr>
                <w:ilvl w:val="0"/>
                <w:numId w:val="28"/>
              </w:numPr>
              <w:spacing w:after="60"/>
              <w:ind w:left="317"/>
              <w:rPr>
                <w:b/>
                <w:i/>
                <w:noProof/>
                <w:sz w:val="16"/>
                <w:szCs w:val="16"/>
              </w:rPr>
            </w:pPr>
            <w:r>
              <w:rPr>
                <w:b/>
                <w:i/>
                <w:noProof/>
                <w:sz w:val="16"/>
                <w:szCs w:val="16"/>
              </w:rPr>
              <w:t>EQ17: What synergies exist within the Programme and with other EU Programmes?</w:t>
            </w:r>
          </w:p>
        </w:tc>
      </w:tr>
      <w:tr>
        <w:trPr>
          <w:trHeight w:val="227"/>
        </w:trPr>
        <w:tc>
          <w:tcPr>
            <w:tcW w:w="978" w:type="pct"/>
            <w:vMerge/>
            <w:shd w:val="clear" w:color="auto" w:fill="D9D9D9" w:themeFill="background1" w:themeFillShade="D9"/>
          </w:tcPr>
          <w:p>
            <w:pPr>
              <w:spacing w:after="80"/>
              <w:rPr>
                <w:noProof/>
                <w:sz w:val="18"/>
              </w:rPr>
            </w:pPr>
          </w:p>
        </w:tc>
        <w:tc>
          <w:tcPr>
            <w:tcW w:w="4022" w:type="pct"/>
          </w:tcPr>
          <w:p>
            <w:pPr>
              <w:pStyle w:val="ListParagraph"/>
              <w:keepNext/>
              <w:numPr>
                <w:ilvl w:val="0"/>
                <w:numId w:val="28"/>
              </w:numPr>
              <w:spacing w:after="60"/>
              <w:ind w:left="317"/>
              <w:rPr>
                <w:b/>
                <w:i/>
                <w:noProof/>
                <w:sz w:val="16"/>
                <w:szCs w:val="16"/>
              </w:rPr>
            </w:pPr>
            <w:r>
              <w:rPr>
                <w:b/>
                <w:i/>
                <w:noProof/>
                <w:sz w:val="16"/>
                <w:szCs w:val="16"/>
              </w:rPr>
              <w:t>EQ18: To what extent the different actions and interventions lead to a coherent approach within the Programme (internal coherence)?</w:t>
            </w:r>
          </w:p>
        </w:tc>
      </w:tr>
      <w:tr>
        <w:trPr>
          <w:trHeight w:val="227"/>
        </w:trPr>
        <w:tc>
          <w:tcPr>
            <w:tcW w:w="978" w:type="pct"/>
            <w:vMerge/>
            <w:shd w:val="clear" w:color="auto" w:fill="D9D9D9" w:themeFill="background1" w:themeFillShade="D9"/>
          </w:tcPr>
          <w:p>
            <w:pPr>
              <w:spacing w:after="80"/>
              <w:rPr>
                <w:noProof/>
                <w:sz w:val="18"/>
              </w:rPr>
            </w:pPr>
          </w:p>
        </w:tc>
        <w:tc>
          <w:tcPr>
            <w:tcW w:w="4022" w:type="pct"/>
          </w:tcPr>
          <w:p>
            <w:pPr>
              <w:pStyle w:val="ListParagraph"/>
              <w:keepNext/>
              <w:numPr>
                <w:ilvl w:val="0"/>
                <w:numId w:val="28"/>
              </w:numPr>
              <w:spacing w:after="60"/>
              <w:ind w:left="317"/>
              <w:rPr>
                <w:b/>
                <w:i/>
                <w:noProof/>
                <w:sz w:val="16"/>
                <w:szCs w:val="16"/>
              </w:rPr>
            </w:pPr>
            <w:r>
              <w:rPr>
                <w:b/>
                <w:i/>
                <w:noProof/>
                <w:sz w:val="16"/>
                <w:szCs w:val="16"/>
              </w:rPr>
              <w:t>EQ19: To what extent is the intervention coherent with international obligations, including the 2030 Agenda for sustainable development?</w:t>
            </w:r>
          </w:p>
        </w:tc>
      </w:tr>
      <w:tr>
        <w:trPr>
          <w:trHeight w:val="227"/>
        </w:trPr>
        <w:tc>
          <w:tcPr>
            <w:tcW w:w="978" w:type="pct"/>
            <w:vMerge w:val="restart"/>
            <w:shd w:val="clear" w:color="auto" w:fill="D9D9D9" w:themeFill="background1" w:themeFillShade="D9"/>
            <w:vAlign w:val="center"/>
          </w:tcPr>
          <w:p>
            <w:pPr>
              <w:spacing w:after="80"/>
              <w:rPr>
                <w:b/>
                <w:noProof/>
                <w:sz w:val="16"/>
              </w:rPr>
            </w:pPr>
            <w:r>
              <w:rPr>
                <w:b/>
                <w:noProof/>
                <w:sz w:val="16"/>
              </w:rPr>
              <w:t>EU added value</w:t>
            </w:r>
          </w:p>
        </w:tc>
        <w:tc>
          <w:tcPr>
            <w:tcW w:w="4022" w:type="pct"/>
          </w:tcPr>
          <w:p>
            <w:pPr>
              <w:pStyle w:val="ListParagraph"/>
              <w:keepNext/>
              <w:numPr>
                <w:ilvl w:val="0"/>
                <w:numId w:val="28"/>
              </w:numPr>
              <w:spacing w:after="60"/>
              <w:ind w:left="317"/>
              <w:rPr>
                <w:b/>
                <w:i/>
                <w:noProof/>
                <w:sz w:val="16"/>
                <w:szCs w:val="16"/>
              </w:rPr>
            </w:pPr>
            <w:r>
              <w:rPr>
                <w:b/>
                <w:i/>
                <w:noProof/>
                <w:sz w:val="16"/>
                <w:szCs w:val="16"/>
              </w:rPr>
              <w:t>EQ20: What is the additional value resulting from the EU intervention(s), compared to what could be achieved by Member States?</w:t>
            </w:r>
          </w:p>
        </w:tc>
      </w:tr>
      <w:tr>
        <w:trPr>
          <w:trHeight w:val="227"/>
        </w:trPr>
        <w:tc>
          <w:tcPr>
            <w:tcW w:w="978" w:type="pct"/>
            <w:vMerge/>
            <w:shd w:val="clear" w:color="auto" w:fill="D9D9D9" w:themeFill="background1" w:themeFillShade="D9"/>
          </w:tcPr>
          <w:p>
            <w:pPr>
              <w:spacing w:after="80"/>
              <w:rPr>
                <w:noProof/>
                <w:sz w:val="16"/>
              </w:rPr>
            </w:pPr>
          </w:p>
        </w:tc>
        <w:tc>
          <w:tcPr>
            <w:tcW w:w="4022" w:type="pct"/>
          </w:tcPr>
          <w:p>
            <w:pPr>
              <w:pStyle w:val="ListParagraph"/>
              <w:keepNext/>
              <w:numPr>
                <w:ilvl w:val="0"/>
                <w:numId w:val="28"/>
              </w:numPr>
              <w:spacing w:after="60"/>
              <w:ind w:left="317"/>
              <w:rPr>
                <w:b/>
                <w:i/>
                <w:noProof/>
                <w:sz w:val="16"/>
                <w:szCs w:val="16"/>
              </w:rPr>
            </w:pPr>
            <w:r>
              <w:rPr>
                <w:b/>
                <w:i/>
                <w:noProof/>
                <w:sz w:val="16"/>
                <w:szCs w:val="16"/>
              </w:rPr>
              <w:t>EQ21: To what extent do the issues addressed by the intervention continue to require action at EU level?</w:t>
            </w:r>
          </w:p>
        </w:tc>
      </w:tr>
      <w:tr>
        <w:trPr>
          <w:trHeight w:val="227"/>
        </w:trPr>
        <w:tc>
          <w:tcPr>
            <w:tcW w:w="978" w:type="pct"/>
            <w:vMerge/>
            <w:shd w:val="clear" w:color="auto" w:fill="D9D9D9" w:themeFill="background1" w:themeFillShade="D9"/>
          </w:tcPr>
          <w:p>
            <w:pPr>
              <w:spacing w:after="80"/>
              <w:rPr>
                <w:noProof/>
                <w:sz w:val="16"/>
              </w:rPr>
            </w:pPr>
          </w:p>
        </w:tc>
        <w:tc>
          <w:tcPr>
            <w:tcW w:w="4022" w:type="pct"/>
          </w:tcPr>
          <w:p>
            <w:pPr>
              <w:pStyle w:val="ListParagraph"/>
              <w:keepNext/>
              <w:numPr>
                <w:ilvl w:val="0"/>
                <w:numId w:val="28"/>
              </w:numPr>
              <w:spacing w:after="60"/>
              <w:ind w:left="317"/>
              <w:rPr>
                <w:b/>
                <w:i/>
                <w:noProof/>
                <w:sz w:val="16"/>
                <w:szCs w:val="16"/>
              </w:rPr>
            </w:pPr>
            <w:r>
              <w:rPr>
                <w:b/>
                <w:i/>
                <w:noProof/>
                <w:sz w:val="16"/>
                <w:szCs w:val="16"/>
              </w:rPr>
              <w:t xml:space="preserve">EQ22: What would be the most likely consequences of limiting the level of the existing EU intervention or completely stopping/withdrawing from it? </w:t>
            </w:r>
          </w:p>
          <w:p>
            <w:pPr>
              <w:pStyle w:val="ListParagraph"/>
              <w:numPr>
                <w:ilvl w:val="2"/>
                <w:numId w:val="34"/>
              </w:numPr>
              <w:spacing w:after="60"/>
              <w:rPr>
                <w:i/>
                <w:noProof/>
                <w:sz w:val="16"/>
                <w:szCs w:val="16"/>
              </w:rPr>
            </w:pPr>
            <w:r>
              <w:rPr>
                <w:i/>
                <w:noProof/>
                <w:sz w:val="16"/>
                <w:szCs w:val="16"/>
              </w:rPr>
              <w:t xml:space="preserve">How have policy areas relevant to the Justice Programme evolved since 2014, and how does this affect the added value of the Programme? </w:t>
            </w:r>
          </w:p>
          <w:p>
            <w:pPr>
              <w:pStyle w:val="ListParagraph"/>
              <w:numPr>
                <w:ilvl w:val="2"/>
                <w:numId w:val="34"/>
              </w:numPr>
              <w:spacing w:after="60"/>
              <w:rPr>
                <w:i/>
                <w:noProof/>
                <w:sz w:val="16"/>
                <w:szCs w:val="16"/>
              </w:rPr>
            </w:pPr>
            <w:r>
              <w:rPr>
                <w:i/>
                <w:noProof/>
                <w:sz w:val="16"/>
                <w:szCs w:val="16"/>
              </w:rPr>
              <w:t>How has the Justice Programme influenced national policies in its respective fields?</w:t>
            </w:r>
          </w:p>
        </w:tc>
      </w:tr>
      <w:tr>
        <w:trPr>
          <w:trHeight w:val="227"/>
        </w:trPr>
        <w:tc>
          <w:tcPr>
            <w:tcW w:w="978" w:type="pct"/>
            <w:vMerge/>
            <w:shd w:val="clear" w:color="auto" w:fill="D9D9D9" w:themeFill="background1" w:themeFillShade="D9"/>
          </w:tcPr>
          <w:p>
            <w:pPr>
              <w:spacing w:after="80"/>
              <w:rPr>
                <w:noProof/>
                <w:sz w:val="16"/>
              </w:rPr>
            </w:pPr>
          </w:p>
        </w:tc>
        <w:tc>
          <w:tcPr>
            <w:tcW w:w="4022" w:type="pct"/>
          </w:tcPr>
          <w:p>
            <w:pPr>
              <w:pStyle w:val="ListParagraph"/>
              <w:keepNext/>
              <w:numPr>
                <w:ilvl w:val="0"/>
                <w:numId w:val="28"/>
              </w:numPr>
              <w:spacing w:after="60"/>
              <w:ind w:left="317"/>
              <w:rPr>
                <w:b/>
                <w:i/>
                <w:noProof/>
                <w:sz w:val="16"/>
                <w:szCs w:val="16"/>
              </w:rPr>
            </w:pPr>
            <w:r>
              <w:rPr>
                <w:b/>
                <w:i/>
                <w:noProof/>
                <w:sz w:val="16"/>
                <w:szCs w:val="16"/>
              </w:rPr>
              <w:t xml:space="preserve">EQ23: How much EU added value resulted from national projects compared to transnational projects? </w:t>
            </w:r>
          </w:p>
          <w:p>
            <w:pPr>
              <w:pStyle w:val="ListParagraph"/>
              <w:numPr>
                <w:ilvl w:val="2"/>
                <w:numId w:val="35"/>
              </w:numPr>
              <w:spacing w:after="60"/>
              <w:rPr>
                <w:i/>
                <w:noProof/>
                <w:sz w:val="16"/>
                <w:szCs w:val="16"/>
              </w:rPr>
            </w:pPr>
            <w:r>
              <w:rPr>
                <w:i/>
                <w:noProof/>
                <w:sz w:val="16"/>
                <w:szCs w:val="16"/>
              </w:rPr>
              <w:t>Did any national projects overlap with, and address the same needs as, projects funded by the Justice Programme?</w:t>
            </w:r>
          </w:p>
          <w:p>
            <w:pPr>
              <w:pStyle w:val="ListParagraph"/>
              <w:numPr>
                <w:ilvl w:val="2"/>
                <w:numId w:val="35"/>
              </w:numPr>
              <w:spacing w:after="60"/>
              <w:rPr>
                <w:b/>
                <w:i/>
                <w:noProof/>
                <w:sz w:val="16"/>
                <w:szCs w:val="16"/>
              </w:rPr>
            </w:pPr>
            <w:r>
              <w:rPr>
                <w:i/>
                <w:noProof/>
                <w:sz w:val="16"/>
                <w:szCs w:val="16"/>
              </w:rPr>
              <w:t>Did projects funded under the Justice Programme foster the development of effective and durable cross-border networks?</w:t>
            </w:r>
          </w:p>
        </w:tc>
      </w:tr>
      <w:tr>
        <w:trPr>
          <w:trHeight w:val="227"/>
        </w:trPr>
        <w:tc>
          <w:tcPr>
            <w:tcW w:w="978" w:type="pct"/>
            <w:vMerge w:val="restart"/>
            <w:shd w:val="clear" w:color="auto" w:fill="D9D9D9" w:themeFill="background1" w:themeFillShade="D9"/>
            <w:vAlign w:val="center"/>
          </w:tcPr>
          <w:p>
            <w:pPr>
              <w:spacing w:after="80"/>
              <w:rPr>
                <w:b/>
                <w:noProof/>
                <w:sz w:val="16"/>
              </w:rPr>
            </w:pPr>
            <w:r>
              <w:rPr>
                <w:b/>
                <w:noProof/>
                <w:sz w:val="16"/>
              </w:rPr>
              <w:t>Equity</w:t>
            </w:r>
          </w:p>
        </w:tc>
        <w:tc>
          <w:tcPr>
            <w:tcW w:w="4022" w:type="pct"/>
          </w:tcPr>
          <w:p>
            <w:pPr>
              <w:pStyle w:val="ListParagraph"/>
              <w:keepNext/>
              <w:numPr>
                <w:ilvl w:val="0"/>
                <w:numId w:val="28"/>
              </w:numPr>
              <w:spacing w:after="60"/>
              <w:ind w:left="317"/>
              <w:rPr>
                <w:b/>
                <w:i/>
                <w:noProof/>
                <w:sz w:val="16"/>
                <w:szCs w:val="16"/>
              </w:rPr>
            </w:pPr>
            <w:r>
              <w:rPr>
                <w:b/>
                <w:i/>
                <w:noProof/>
                <w:sz w:val="16"/>
                <w:szCs w:val="16"/>
              </w:rPr>
              <w:t>EQ24: How fairly are the different activities distributed across the different target groups and EU Member States?</w:t>
            </w:r>
          </w:p>
          <w:p>
            <w:pPr>
              <w:pStyle w:val="ListParagraph"/>
              <w:numPr>
                <w:ilvl w:val="2"/>
                <w:numId w:val="36"/>
              </w:numPr>
              <w:spacing w:after="60"/>
              <w:rPr>
                <w:i/>
                <w:noProof/>
                <w:sz w:val="16"/>
                <w:szCs w:val="16"/>
              </w:rPr>
            </w:pPr>
            <w:r>
              <w:rPr>
                <w:i/>
                <w:noProof/>
                <w:sz w:val="16"/>
                <w:szCs w:val="16"/>
              </w:rPr>
              <w:t>Were resources of the Justice and Programme allocated with the differentiated needs of target groups from different Member States in mind?</w:t>
            </w:r>
          </w:p>
          <w:p>
            <w:pPr>
              <w:pStyle w:val="ListParagraph"/>
              <w:numPr>
                <w:ilvl w:val="2"/>
                <w:numId w:val="36"/>
              </w:numPr>
              <w:spacing w:after="60"/>
              <w:rPr>
                <w:i/>
                <w:noProof/>
                <w:sz w:val="16"/>
                <w:szCs w:val="16"/>
              </w:rPr>
            </w:pPr>
            <w:r>
              <w:rPr>
                <w:i/>
                <w:noProof/>
                <w:sz w:val="16"/>
                <w:szCs w:val="16"/>
              </w:rPr>
              <w:t>Were resources allocated also in consideration of the different needs of beneficiaries across Member States?</w:t>
            </w:r>
          </w:p>
        </w:tc>
      </w:tr>
      <w:tr>
        <w:trPr>
          <w:trHeight w:val="227"/>
        </w:trPr>
        <w:tc>
          <w:tcPr>
            <w:tcW w:w="978" w:type="pct"/>
            <w:vMerge/>
            <w:shd w:val="clear" w:color="auto" w:fill="D9D9D9" w:themeFill="background1" w:themeFillShade="D9"/>
          </w:tcPr>
          <w:p>
            <w:pPr>
              <w:spacing w:after="80"/>
              <w:rPr>
                <w:noProof/>
                <w:sz w:val="16"/>
              </w:rPr>
            </w:pPr>
          </w:p>
        </w:tc>
        <w:tc>
          <w:tcPr>
            <w:tcW w:w="4022" w:type="pct"/>
          </w:tcPr>
          <w:p>
            <w:pPr>
              <w:pStyle w:val="ListParagraph"/>
              <w:keepNext/>
              <w:numPr>
                <w:ilvl w:val="0"/>
                <w:numId w:val="28"/>
              </w:numPr>
              <w:spacing w:after="60"/>
              <w:ind w:left="317"/>
              <w:rPr>
                <w:b/>
                <w:i/>
                <w:noProof/>
                <w:sz w:val="16"/>
                <w:szCs w:val="16"/>
              </w:rPr>
            </w:pPr>
            <w:r>
              <w:rPr>
                <w:b/>
                <w:i/>
                <w:noProof/>
                <w:sz w:val="16"/>
                <w:szCs w:val="16"/>
              </w:rPr>
              <w:t>EQ25: How has gender mainstreaming been promoted?</w:t>
            </w:r>
          </w:p>
          <w:p>
            <w:pPr>
              <w:pStyle w:val="ListParagraph"/>
              <w:numPr>
                <w:ilvl w:val="2"/>
                <w:numId w:val="37"/>
              </w:numPr>
              <w:spacing w:after="60"/>
              <w:rPr>
                <w:i/>
                <w:noProof/>
                <w:sz w:val="16"/>
                <w:szCs w:val="16"/>
              </w:rPr>
            </w:pPr>
            <w:r>
              <w:rPr>
                <w:i/>
                <w:noProof/>
                <w:sz w:val="16"/>
                <w:szCs w:val="16"/>
              </w:rPr>
              <w:t xml:space="preserve">Was gender mainstreaming (intended as a cross-cutting theme) included in the programming and implementation of the Justice Programme, including calls for proposals? </w:t>
            </w:r>
          </w:p>
          <w:p>
            <w:pPr>
              <w:pStyle w:val="ListParagraph"/>
              <w:numPr>
                <w:ilvl w:val="2"/>
                <w:numId w:val="37"/>
              </w:numPr>
              <w:spacing w:after="60"/>
              <w:rPr>
                <w:i/>
                <w:noProof/>
                <w:sz w:val="16"/>
                <w:szCs w:val="16"/>
              </w:rPr>
            </w:pPr>
            <w:r>
              <w:rPr>
                <w:i/>
                <w:noProof/>
                <w:sz w:val="16"/>
                <w:szCs w:val="16"/>
              </w:rPr>
              <w:t>How was the principle of gender mainstreaming applied in practice by beneficiaries?</w:t>
            </w:r>
          </w:p>
        </w:tc>
      </w:tr>
      <w:tr>
        <w:trPr>
          <w:trHeight w:val="227"/>
        </w:trPr>
        <w:tc>
          <w:tcPr>
            <w:tcW w:w="978" w:type="pct"/>
            <w:vMerge/>
            <w:shd w:val="clear" w:color="auto" w:fill="D9D9D9" w:themeFill="background1" w:themeFillShade="D9"/>
          </w:tcPr>
          <w:p>
            <w:pPr>
              <w:spacing w:after="80"/>
              <w:rPr>
                <w:noProof/>
                <w:sz w:val="16"/>
              </w:rPr>
            </w:pPr>
          </w:p>
        </w:tc>
        <w:tc>
          <w:tcPr>
            <w:tcW w:w="4022" w:type="pct"/>
          </w:tcPr>
          <w:p>
            <w:pPr>
              <w:pStyle w:val="ListParagraph"/>
              <w:keepNext/>
              <w:numPr>
                <w:ilvl w:val="0"/>
                <w:numId w:val="28"/>
              </w:numPr>
              <w:spacing w:after="60"/>
              <w:ind w:left="317"/>
              <w:rPr>
                <w:b/>
                <w:i/>
                <w:noProof/>
                <w:sz w:val="16"/>
                <w:szCs w:val="16"/>
              </w:rPr>
            </w:pPr>
            <w:r>
              <w:rPr>
                <w:b/>
                <w:i/>
                <w:noProof/>
                <w:sz w:val="16"/>
                <w:szCs w:val="16"/>
              </w:rPr>
              <w:t>EQ26: How have the rights of the child been promoted?</w:t>
            </w:r>
          </w:p>
        </w:tc>
      </w:tr>
      <w:tr>
        <w:trPr>
          <w:trHeight w:val="227"/>
        </w:trPr>
        <w:tc>
          <w:tcPr>
            <w:tcW w:w="978" w:type="pct"/>
            <w:vMerge/>
            <w:shd w:val="clear" w:color="auto" w:fill="D9D9D9" w:themeFill="background1" w:themeFillShade="D9"/>
          </w:tcPr>
          <w:p>
            <w:pPr>
              <w:spacing w:after="80"/>
              <w:rPr>
                <w:noProof/>
                <w:sz w:val="16"/>
              </w:rPr>
            </w:pPr>
          </w:p>
        </w:tc>
        <w:tc>
          <w:tcPr>
            <w:tcW w:w="4022" w:type="pct"/>
          </w:tcPr>
          <w:p>
            <w:pPr>
              <w:pStyle w:val="ListParagraph"/>
              <w:keepNext/>
              <w:numPr>
                <w:ilvl w:val="0"/>
                <w:numId w:val="28"/>
              </w:numPr>
              <w:spacing w:after="60"/>
              <w:ind w:left="317"/>
              <w:rPr>
                <w:b/>
                <w:i/>
                <w:noProof/>
                <w:sz w:val="16"/>
                <w:szCs w:val="16"/>
              </w:rPr>
            </w:pPr>
            <w:r>
              <w:rPr>
                <w:b/>
                <w:i/>
                <w:noProof/>
                <w:sz w:val="16"/>
                <w:szCs w:val="16"/>
              </w:rPr>
              <w:t>EQ27: How have the rights of people with disabilities been promoted?</w:t>
            </w:r>
          </w:p>
        </w:tc>
      </w:tr>
      <w:tr>
        <w:trPr>
          <w:trHeight w:val="227"/>
        </w:trPr>
        <w:tc>
          <w:tcPr>
            <w:tcW w:w="978" w:type="pct"/>
            <w:shd w:val="clear" w:color="auto" w:fill="D9D9D9" w:themeFill="background1" w:themeFillShade="D9"/>
            <w:vAlign w:val="center"/>
          </w:tcPr>
          <w:p>
            <w:pPr>
              <w:spacing w:after="80"/>
              <w:rPr>
                <w:b/>
                <w:noProof/>
                <w:sz w:val="16"/>
              </w:rPr>
            </w:pPr>
            <w:r>
              <w:rPr>
                <w:b/>
                <w:noProof/>
                <w:sz w:val="16"/>
              </w:rPr>
              <w:t>Scope for simplification</w:t>
            </w:r>
          </w:p>
        </w:tc>
        <w:tc>
          <w:tcPr>
            <w:tcW w:w="4022" w:type="pct"/>
          </w:tcPr>
          <w:p>
            <w:pPr>
              <w:pStyle w:val="ListParagraph"/>
              <w:keepNext/>
              <w:numPr>
                <w:ilvl w:val="0"/>
                <w:numId w:val="28"/>
              </w:numPr>
              <w:spacing w:after="60"/>
              <w:ind w:left="317"/>
              <w:rPr>
                <w:b/>
                <w:i/>
                <w:noProof/>
                <w:sz w:val="16"/>
                <w:szCs w:val="16"/>
              </w:rPr>
            </w:pPr>
            <w:r>
              <w:rPr>
                <w:b/>
                <w:i/>
                <w:noProof/>
                <w:sz w:val="16"/>
                <w:szCs w:val="16"/>
              </w:rPr>
              <w:t>EQ28: How can the Programme management with focus in particular on the grant management, be further simplified to alleviate administrative burden of the Commission and of the applicants?</w:t>
            </w:r>
          </w:p>
          <w:p>
            <w:pPr>
              <w:pStyle w:val="ListParagraph"/>
              <w:keepNext/>
              <w:numPr>
                <w:ilvl w:val="0"/>
                <w:numId w:val="28"/>
              </w:numPr>
              <w:spacing w:after="60"/>
              <w:ind w:left="317"/>
              <w:rPr>
                <w:b/>
                <w:i/>
                <w:noProof/>
                <w:sz w:val="16"/>
                <w:szCs w:val="16"/>
              </w:rPr>
            </w:pPr>
            <w:r>
              <w:rPr>
                <w:b/>
                <w:i/>
                <w:noProof/>
                <w:sz w:val="16"/>
                <w:szCs w:val="16"/>
              </w:rPr>
              <w:t>EQ29. Is there any scope for further simplification through changes in the management mode of the Programme?</w:t>
            </w:r>
          </w:p>
        </w:tc>
      </w:tr>
    </w:tbl>
    <w:p>
      <w:pPr>
        <w:spacing w:after="120" w:line="240" w:lineRule="auto"/>
        <w:jc w:val="both"/>
        <w:rPr>
          <w:rFonts w:ascii="Times New Roman" w:eastAsia="Calibri" w:hAnsi="Times New Roman" w:cs="Times New Roman"/>
          <w:noProof/>
          <w:sz w:val="24"/>
          <w:szCs w:val="24"/>
          <w:lang w:val="en-GB"/>
        </w:rPr>
      </w:pPr>
    </w:p>
    <w:p>
      <w:pPr>
        <w:spacing w:after="120" w:line="240" w:lineRule="auto"/>
        <w:jc w:val="both"/>
        <w:rPr>
          <w:rFonts w:ascii="Times New Roman" w:eastAsia="Calibri" w:hAnsi="Times New Roman" w:cs="Times New Roman"/>
          <w:noProof/>
          <w:sz w:val="24"/>
          <w:szCs w:val="24"/>
          <w:lang w:val="en-GB"/>
        </w:rPr>
      </w:pPr>
      <w:r>
        <w:rPr>
          <w:rFonts w:ascii="Times New Roman" w:hAnsi="Times New Roman"/>
          <w:noProof/>
          <w:sz w:val="24"/>
          <w:szCs w:val="24"/>
          <w:lang w:val="en-GB"/>
        </w:rPr>
        <w:t xml:space="preserve">The evaluation deployed a series of quantitative and qualitative tools, which were devised to provide detailed responses to specific evaluation questions associated with each evaluation criteria. </w:t>
      </w:r>
      <w:r>
        <w:rPr>
          <w:rFonts w:ascii="Times New Roman" w:eastAsia="Calibri" w:hAnsi="Times New Roman" w:cs="Times New Roman"/>
          <w:noProof/>
          <w:sz w:val="24"/>
          <w:szCs w:val="24"/>
          <w:lang w:val="en-GB"/>
        </w:rPr>
        <w:t xml:space="preserve">The evaluation methodology relied on </w:t>
      </w:r>
      <w:r>
        <w:rPr>
          <w:rFonts w:ascii="Times New Roman" w:hAnsi="Times New Roman" w:cs="Times New Roman"/>
          <w:noProof/>
          <w:sz w:val="24"/>
          <w:szCs w:val="24"/>
          <w:lang w:val="en-GB" w:eastAsia="nl-BE"/>
        </w:rPr>
        <w:t xml:space="preserve">a </w:t>
      </w:r>
      <w:r>
        <w:rPr>
          <w:rFonts w:ascii="Times New Roman" w:hAnsi="Times New Roman" w:cs="Times New Roman"/>
          <w:b/>
          <w:noProof/>
          <w:sz w:val="24"/>
          <w:szCs w:val="24"/>
          <w:lang w:val="en-GB" w:eastAsia="nl-BE"/>
        </w:rPr>
        <w:t>Mixed Methods approach</w:t>
      </w:r>
      <w:r>
        <w:rPr>
          <w:rFonts w:ascii="Times New Roman" w:hAnsi="Times New Roman" w:cs="Times New Roman"/>
          <w:noProof/>
          <w:sz w:val="24"/>
          <w:szCs w:val="24"/>
          <w:lang w:val="en-GB" w:eastAsia="nl-BE"/>
        </w:rPr>
        <w:t xml:space="preserve"> which integrates and compares quantitative and qualitative approaches, data collection, data analysis and interpretation in order to strengthen the reliability of data, the validity of the findings and recommendations by triangulating multiple sources of information.</w:t>
      </w:r>
    </w:p>
    <w:p>
      <w:pPr>
        <w:pStyle w:val="Body"/>
        <w:spacing w:before="0"/>
        <w:rPr>
          <w:rFonts w:ascii="Times New Roman" w:hAnsi="Times New Roman"/>
          <w:noProof/>
          <w:sz w:val="24"/>
          <w:szCs w:val="24"/>
        </w:rPr>
      </w:pPr>
      <w:bookmarkStart w:id="21" w:name="_Toc493581258"/>
      <w:bookmarkStart w:id="22" w:name="_Toc493582309"/>
      <w:r>
        <w:rPr>
          <w:rFonts w:ascii="Times New Roman" w:hAnsi="Times New Roman"/>
          <w:noProof/>
          <w:sz w:val="24"/>
          <w:szCs w:val="24"/>
        </w:rPr>
        <w:t xml:space="preserve">The analysis covered the call for proposals and procurement activities financed in 2014, 2015 and 2016 Annual Work Programmes. The 2017 Work Programme on the other hand has been analysed chiefly in terms of design and structure, not in terms of execution. </w:t>
      </w:r>
    </w:p>
    <w:p>
      <w:pPr>
        <w:pStyle w:val="Body"/>
        <w:spacing w:before="0"/>
        <w:rPr>
          <w:rFonts w:ascii="Times New Roman" w:hAnsi="Times New Roman"/>
          <w:noProof/>
          <w:sz w:val="24"/>
          <w:szCs w:val="24"/>
        </w:rPr>
      </w:pPr>
      <w:r>
        <w:rPr>
          <w:rFonts w:ascii="Times New Roman" w:hAnsi="Times New Roman"/>
          <w:noProof/>
          <w:sz w:val="24"/>
          <w:szCs w:val="24"/>
        </w:rPr>
        <w:t xml:space="preserve">One key method used to analyse the Programme was </w:t>
      </w:r>
      <w:r>
        <w:rPr>
          <w:rFonts w:ascii="Times New Roman" w:hAnsi="Times New Roman"/>
          <w:b/>
          <w:noProof/>
          <w:sz w:val="24"/>
          <w:szCs w:val="24"/>
          <w:lang w:eastAsia="nl-BE"/>
        </w:rPr>
        <w:t>desk research</w:t>
      </w:r>
      <w:r>
        <w:rPr>
          <w:rFonts w:ascii="Times New Roman" w:hAnsi="Times New Roman"/>
          <w:noProof/>
          <w:sz w:val="24"/>
          <w:szCs w:val="24"/>
          <w:lang w:eastAsia="nl-BE"/>
        </w:rPr>
        <w:t xml:space="preserve">, which focused </w:t>
      </w:r>
      <w:r>
        <w:rPr>
          <w:rFonts w:ascii="Times New Roman" w:hAnsi="Times New Roman"/>
          <w:noProof/>
          <w:sz w:val="24"/>
          <w:szCs w:val="24"/>
        </w:rPr>
        <w:t xml:space="preserve">on available documents at programme, policy and project level. </w:t>
      </w:r>
      <w:r>
        <w:rPr>
          <w:rFonts w:ascii="Times New Roman" w:hAnsi="Times New Roman"/>
          <w:noProof/>
          <w:sz w:val="24"/>
          <w:szCs w:val="24"/>
          <w:lang w:eastAsia="nl-BE"/>
        </w:rPr>
        <w:t xml:space="preserve">The desk research was complemented by </w:t>
      </w:r>
      <w:r>
        <w:rPr>
          <w:rFonts w:ascii="Times New Roman" w:hAnsi="Times New Roman"/>
          <w:b/>
          <w:noProof/>
          <w:sz w:val="24"/>
          <w:szCs w:val="24"/>
          <w:lang w:eastAsia="nl-BE"/>
        </w:rPr>
        <w:t>fieldwork</w:t>
      </w:r>
      <w:r>
        <w:rPr>
          <w:rFonts w:ascii="Times New Roman" w:hAnsi="Times New Roman"/>
          <w:noProof/>
          <w:sz w:val="24"/>
          <w:szCs w:val="24"/>
          <w:lang w:eastAsia="nl-BE"/>
        </w:rPr>
        <w:t xml:space="preserve">, which was leveraged to collect relevant data and input from stakeholders. This helped to fill knowledge gaps and validate information which was retrieved during the course of the desk research. The following fieldwork activities were performed: </w:t>
      </w:r>
      <w:r>
        <w:rPr>
          <w:rFonts w:ascii="Times New Roman" w:hAnsi="Times New Roman"/>
          <w:b/>
          <w:noProof/>
          <w:sz w:val="24"/>
          <w:lang w:eastAsia="nl-BE"/>
        </w:rPr>
        <w:t>1.</w:t>
      </w:r>
      <w:r>
        <w:rPr>
          <w:rFonts w:ascii="Times New Roman" w:hAnsi="Times New Roman"/>
          <w:noProof/>
          <w:sz w:val="24"/>
          <w:lang w:eastAsia="nl-BE"/>
        </w:rPr>
        <w:t xml:space="preserve"> A</w:t>
      </w:r>
      <w:r>
        <w:rPr>
          <w:rFonts w:ascii="Times New Roman" w:hAnsi="Times New Roman"/>
          <w:b/>
          <w:noProof/>
          <w:sz w:val="24"/>
        </w:rPr>
        <w:t xml:space="preserve"> web-based survey</w:t>
      </w:r>
      <w:r>
        <w:rPr>
          <w:rFonts w:ascii="Times New Roman" w:hAnsi="Times New Roman"/>
          <w:noProof/>
          <w:sz w:val="24"/>
        </w:rPr>
        <w:t xml:space="preserve"> was launched to gauge and compare the views of relevant stakeholders (i.e. project applicants, project beneficiaries, Programme Committee Members and additional relevant stakeholders);</w:t>
      </w:r>
      <w:r>
        <w:rPr>
          <w:rFonts w:ascii="Times New Roman" w:hAnsi="Times New Roman"/>
          <w:b/>
          <w:noProof/>
          <w:sz w:val="24"/>
        </w:rPr>
        <w:t xml:space="preserve"> 2. Some interviews</w:t>
      </w:r>
      <w:r>
        <w:rPr>
          <w:rFonts w:ascii="Times New Roman" w:hAnsi="Times New Roman"/>
          <w:noProof/>
          <w:sz w:val="24"/>
        </w:rPr>
        <w:t xml:space="preserve"> were conducted with project beneficiaries and Commission officials; </w:t>
      </w:r>
      <w:r>
        <w:rPr>
          <w:rFonts w:ascii="Times New Roman" w:hAnsi="Times New Roman"/>
          <w:b/>
          <w:noProof/>
          <w:sz w:val="24"/>
        </w:rPr>
        <w:t>3.</w:t>
      </w:r>
      <w:r>
        <w:rPr>
          <w:rFonts w:ascii="Times New Roman" w:hAnsi="Times New Roman"/>
          <w:noProof/>
          <w:sz w:val="24"/>
        </w:rPr>
        <w:t xml:space="preserve"> Finally, </w:t>
      </w:r>
      <w:r>
        <w:rPr>
          <w:rFonts w:ascii="Times New Roman" w:hAnsi="Times New Roman"/>
          <w:b/>
          <w:noProof/>
          <w:sz w:val="24"/>
        </w:rPr>
        <w:t xml:space="preserve">a webinar </w:t>
      </w:r>
      <w:r>
        <w:rPr>
          <w:rFonts w:ascii="Times New Roman" w:hAnsi="Times New Roman"/>
          <w:noProof/>
          <w:sz w:val="24"/>
        </w:rPr>
        <w:t>was held, which provided a chance</w:t>
      </w:r>
      <w:r>
        <w:rPr>
          <w:rFonts w:ascii="Times New Roman" w:hAnsi="Times New Roman"/>
          <w:b/>
          <w:noProof/>
          <w:sz w:val="24"/>
        </w:rPr>
        <w:t xml:space="preserve"> </w:t>
      </w:r>
      <w:r>
        <w:rPr>
          <w:rFonts w:ascii="Times New Roman" w:hAnsi="Times New Roman"/>
          <w:noProof/>
          <w:sz w:val="24"/>
        </w:rPr>
        <w:t>to discuss preliminary findings with a number of beneficiaries.</w:t>
      </w:r>
      <w:r>
        <w:rPr>
          <w:rFonts w:ascii="Times New Roman" w:hAnsi="Times New Roman"/>
          <w:noProof/>
          <w:sz w:val="24"/>
          <w:szCs w:val="24"/>
        </w:rPr>
        <w:t xml:space="preserve"> </w:t>
      </w:r>
    </w:p>
    <w:p>
      <w:pPr>
        <w:pStyle w:val="Body"/>
        <w:spacing w:before="0"/>
        <w:rPr>
          <w:rFonts w:ascii="Times New Roman" w:hAnsi="Times New Roman"/>
          <w:noProof/>
          <w:sz w:val="24"/>
          <w:szCs w:val="24"/>
        </w:rPr>
      </w:pPr>
      <w:r>
        <w:rPr>
          <w:rFonts w:ascii="Times New Roman" w:hAnsi="Times New Roman"/>
          <w:noProof/>
          <w:sz w:val="24"/>
          <w:szCs w:val="24"/>
        </w:rPr>
        <w:t xml:space="preserve">The collected data was then used to perform a series of quantitative and qualitative analyses. On the quantitative side, </w:t>
      </w:r>
      <w:r>
        <w:rPr>
          <w:rFonts w:ascii="Times New Roman" w:hAnsi="Times New Roman"/>
          <w:b/>
          <w:noProof/>
          <w:sz w:val="24"/>
          <w:szCs w:val="24"/>
        </w:rPr>
        <w:t>the analysis performed</w:t>
      </w:r>
      <w:r>
        <w:rPr>
          <w:rFonts w:ascii="Times New Roman" w:hAnsi="Times New Roman"/>
          <w:noProof/>
          <w:sz w:val="24"/>
          <w:szCs w:val="24"/>
        </w:rPr>
        <w:t xml:space="preserve"> helped provide perspective both at the Programme level, assessing for instance how and where the Programme has deployed the available financial resources, and at the project level, giving a granular view of quantitative results indicators provided by individual projects. Also, a </w:t>
      </w:r>
      <w:r>
        <w:rPr>
          <w:rFonts w:ascii="Times New Roman" w:hAnsi="Times New Roman"/>
          <w:b/>
          <w:noProof/>
          <w:sz w:val="24"/>
          <w:szCs w:val="24"/>
        </w:rPr>
        <w:t>Social Network Analysis</w:t>
      </w:r>
      <w:r>
        <w:rPr>
          <w:rFonts w:ascii="Times New Roman" w:hAnsi="Times New Roman"/>
          <w:noProof/>
          <w:sz w:val="24"/>
          <w:szCs w:val="24"/>
        </w:rPr>
        <w:t xml:space="preserve"> was performed. This analysis helped achieve a “bird’s-eye” view of the collaborations and transnational networks that were developed as a result of projects financed by the 2014-2020 Justice Programme. Finally, concerning the qualitative analysis, </w:t>
      </w:r>
      <w:r>
        <w:rPr>
          <w:rFonts w:ascii="Times New Roman" w:hAnsi="Times New Roman"/>
          <w:b/>
          <w:noProof/>
          <w:sz w:val="24"/>
          <w:szCs w:val="24"/>
        </w:rPr>
        <w:t>automated text mining techniques reinforced with</w:t>
      </w:r>
      <w:r>
        <w:rPr>
          <w:rFonts w:ascii="Times New Roman" w:hAnsi="Times New Roman"/>
          <w:noProof/>
          <w:sz w:val="24"/>
          <w:szCs w:val="24"/>
        </w:rPr>
        <w:t xml:space="preserve"> </w:t>
      </w:r>
      <w:r>
        <w:rPr>
          <w:rFonts w:ascii="Times New Roman" w:hAnsi="Times New Roman"/>
          <w:b/>
          <w:noProof/>
          <w:sz w:val="24"/>
          <w:szCs w:val="24"/>
        </w:rPr>
        <w:t>machine learning algorithms</w:t>
      </w:r>
      <w:r>
        <w:rPr>
          <w:rFonts w:ascii="Times New Roman" w:hAnsi="Times New Roman"/>
          <w:noProof/>
          <w:sz w:val="24"/>
          <w:szCs w:val="24"/>
        </w:rPr>
        <w:t xml:space="preserve"> were deployed to help sift through the large amounts of data available on individual projects. This was done in light of the need to give structure and find meaning within a large and mostly unstructured dataset (namely project applications and final reports), so as to create taxonomies of the information present in free text fields. Crucially, text mining helped in the analysis to find commonalities and correlations in the data that might not been found had solely manual techniques been deployed.</w:t>
      </w:r>
    </w:p>
    <w:p>
      <w:pPr>
        <w:keepNext/>
        <w:tabs>
          <w:tab w:val="num" w:pos="1200"/>
        </w:tabs>
        <w:spacing w:after="120" w:line="240" w:lineRule="auto"/>
        <w:jc w:val="both"/>
        <w:outlineLvl w:val="1"/>
        <w:rPr>
          <w:rFonts w:ascii="Times New Roman" w:eastAsia="Times New Roman" w:hAnsi="Times New Roman" w:cs="Times New Roman"/>
          <w:b/>
          <w:noProof/>
          <w:sz w:val="24"/>
          <w:szCs w:val="20"/>
          <w:lang w:val="en-GB"/>
        </w:rPr>
      </w:pPr>
      <w:r>
        <w:rPr>
          <w:rFonts w:ascii="Times New Roman" w:eastAsia="Times New Roman" w:hAnsi="Times New Roman" w:cs="Times New Roman"/>
          <w:b/>
          <w:noProof/>
          <w:sz w:val="24"/>
          <w:szCs w:val="20"/>
          <w:lang w:val="en-GB"/>
        </w:rPr>
        <w:t>Robustness and limitations of findings</w:t>
      </w:r>
      <w:bookmarkEnd w:id="21"/>
      <w:bookmarkEnd w:id="22"/>
    </w:p>
    <w:p>
      <w:pPr>
        <w:tabs>
          <w:tab w:val="left" w:pos="2302"/>
        </w:tabs>
        <w:spacing w:after="120" w:line="240" w:lineRule="auto"/>
        <w:jc w:val="both"/>
        <w:rPr>
          <w:rFonts w:ascii="Times New Roman" w:eastAsia="Times New Roman" w:hAnsi="Times New Roman" w:cs="Times New Roman"/>
          <w:noProof/>
          <w:sz w:val="24"/>
          <w:szCs w:val="24"/>
          <w:u w:color="0000EE"/>
          <w:lang w:val="en-GB"/>
        </w:rPr>
      </w:pPr>
      <w:r>
        <w:rPr>
          <w:rFonts w:ascii="Times New Roman" w:eastAsia="Times New Roman" w:hAnsi="Times New Roman" w:cs="Times New Roman"/>
          <w:noProof/>
          <w:sz w:val="24"/>
          <w:szCs w:val="24"/>
          <w:u w:color="0000EE"/>
          <w:lang w:val="en-GB"/>
        </w:rPr>
        <w:t xml:space="preserve">The evaluation’s findings and conclusions are deemed as credible and consistent according to the methodology. There were, however, </w:t>
      </w:r>
      <w:r>
        <w:rPr>
          <w:rFonts w:ascii="Times New Roman" w:eastAsia="Times New Roman" w:hAnsi="Times New Roman" w:cs="Times New Roman"/>
          <w:b/>
          <w:noProof/>
          <w:sz w:val="24"/>
          <w:szCs w:val="24"/>
          <w:u w:color="0000EE"/>
          <w:lang w:val="en-GB"/>
        </w:rPr>
        <w:t>some challenges</w:t>
      </w:r>
      <w:r>
        <w:rPr>
          <w:rFonts w:ascii="Times New Roman" w:eastAsia="Times New Roman" w:hAnsi="Times New Roman" w:cs="Times New Roman"/>
          <w:noProof/>
          <w:sz w:val="24"/>
          <w:szCs w:val="24"/>
          <w:u w:color="0000EE"/>
          <w:lang w:val="en-GB"/>
        </w:rPr>
        <w:t xml:space="preserve"> which by their nature could not always be mitigated. </w:t>
      </w:r>
    </w:p>
    <w:p>
      <w:pPr>
        <w:tabs>
          <w:tab w:val="left" w:pos="2302"/>
        </w:tabs>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First of all, only 8 projects had both monitoring and survey data available which means that no statistical inference has proved feasible and that the triangulation of quantitative data at the project level has been limited. Nevertheless, the analysis of a series of output indicators allowed to have a description of the actions’ features as well as progress in terms of target groups reached and activities carried out. </w:t>
      </w:r>
    </w:p>
    <w:p>
      <w:pPr>
        <w:tabs>
          <w:tab w:val="left" w:pos="2302"/>
        </w:tabs>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Moreover, another challenge was that in evaluations of EU legislation “it can be difficult to identify a robust counterfactual situation (i.e. what the situation would be if EU laws had not been adopted)”, which made purely quantitative analysis problematic</w:t>
      </w:r>
      <w:r>
        <w:rPr>
          <w:rFonts w:ascii="Times New Roman" w:hAnsi="Times New Roman" w:cs="Times New Roman"/>
          <w:noProof/>
          <w:sz w:val="24"/>
          <w:szCs w:val="24"/>
          <w:vertAlign w:val="superscript"/>
          <w:lang w:val="en-GB"/>
        </w:rPr>
        <w:footnoteReference w:id="39"/>
      </w:r>
      <w:r>
        <w:rPr>
          <w:rFonts w:ascii="Times New Roman" w:hAnsi="Times New Roman" w:cs="Times New Roman"/>
          <w:noProof/>
          <w:sz w:val="24"/>
          <w:szCs w:val="24"/>
          <w:lang w:val="en-GB"/>
        </w:rPr>
        <w:t xml:space="preserve">. </w:t>
      </w:r>
    </w:p>
    <w:p>
      <w:pPr>
        <w:tabs>
          <w:tab w:val="left" w:pos="2302"/>
        </w:tabs>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view of these limitations, a counterfactual analysis, built on qualitative data, has been considered to be the more suitable method. The analysis of direct questions on behavioural change assumes that the respondents are able to reflect on their behaviour in hypothetical, counterfactual situations and that they are telling the truth to the best of their knowledge. However, as respondents have an interest in the continuation of public support, they might be tempted to over-emphasize the merits thereof by answering strategically</w:t>
      </w:r>
      <w:r>
        <w:rPr>
          <w:rStyle w:val="FootnoteReference"/>
          <w:rFonts w:ascii="Times New Roman" w:hAnsi="Times New Roman" w:cs="Times New Roman"/>
          <w:noProof/>
          <w:sz w:val="24"/>
          <w:szCs w:val="24"/>
          <w:lang w:val="en-GB"/>
        </w:rPr>
        <w:footnoteReference w:id="40"/>
      </w:r>
      <w:r>
        <w:rPr>
          <w:rFonts w:ascii="Times New Roman" w:hAnsi="Times New Roman" w:cs="Times New Roman"/>
          <w:noProof/>
          <w:sz w:val="24"/>
          <w:szCs w:val="24"/>
          <w:lang w:val="en-GB"/>
        </w:rPr>
        <w:t xml:space="preserve">. To address the positive bias in answers by beneficiaries and the self-selection bias in answers from applicants who have not received funding, a similar set of questions was asked to applicants having had their proposal rejected. As the features of all respondents (both successful and unsuccessful applicants) are known, this helped triangulate findings gathered from beneficiaries. </w:t>
      </w:r>
    </w:p>
    <w:p>
      <w:pPr>
        <w:tabs>
          <w:tab w:val="left" w:pos="2302"/>
        </w:tabs>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addition, </w:t>
      </w:r>
      <w:r>
        <w:rPr>
          <w:rFonts w:ascii="Times New Roman" w:eastAsia="Times New Roman" w:hAnsi="Times New Roman" w:cs="Times New Roman"/>
          <w:noProof/>
          <w:sz w:val="24"/>
          <w:szCs w:val="24"/>
          <w:lang w:val="en-GB"/>
        </w:rPr>
        <w:t>even though the four case studies proved to be a useful tool to get a better picture of the Programme’s activities, their representativeness of the Programme as a whole was somewhat limited.</w:t>
      </w:r>
      <w:r>
        <w:rPr>
          <w:rFonts w:ascii="Times New Roman" w:hAnsi="Times New Roman" w:cs="Times New Roman"/>
          <w:noProof/>
          <w:sz w:val="24"/>
          <w:szCs w:val="24"/>
          <w:lang w:val="en-GB"/>
        </w:rPr>
        <w:t xml:space="preserve"> </w:t>
      </w:r>
    </w:p>
    <w:p>
      <w:pPr>
        <w:spacing w:after="120" w:line="240" w:lineRule="auto"/>
        <w:jc w:val="both"/>
        <w:rPr>
          <w:rFonts w:ascii="Times New Roman" w:hAnsi="Times New Roman" w:cs="Times New Roman"/>
          <w:noProof/>
          <w:sz w:val="24"/>
          <w:szCs w:val="24"/>
          <w:lang w:val="en-GB"/>
        </w:rPr>
      </w:pPr>
      <w:r>
        <w:rPr>
          <w:rFonts w:ascii="Times New Roman" w:eastAsia="Times" w:hAnsi="Times New Roman" w:cs="Times New Roman"/>
          <w:noProof/>
          <w:sz w:val="24"/>
          <w:szCs w:val="24"/>
          <w:lang w:val="en-GB" w:eastAsia="zh-CN"/>
        </w:rPr>
        <w:t>Despite these limitations, the evaluation carried out is supported by a robust evidence base.</w:t>
      </w:r>
    </w:p>
    <w:p>
      <w:pPr>
        <w:tabs>
          <w:tab w:val="left" w:pos="2302"/>
        </w:tabs>
        <w:spacing w:after="120" w:line="240" w:lineRule="auto"/>
        <w:jc w:val="both"/>
        <w:rPr>
          <w:rFonts w:ascii="Times New Roman" w:hAnsi="Times New Roman" w:cs="Times New Roman"/>
          <w:noProof/>
          <w:sz w:val="24"/>
          <w:szCs w:val="24"/>
          <w:lang w:val="en-GB"/>
        </w:rPr>
      </w:pPr>
    </w:p>
    <w:p>
      <w:pPr>
        <w:pStyle w:val="Heading1"/>
        <w:numPr>
          <w:ilvl w:val="0"/>
          <w:numId w:val="3"/>
        </w:numPr>
        <w:spacing w:before="0" w:after="120"/>
        <w:rPr>
          <w:noProof/>
        </w:rPr>
      </w:pPr>
      <w:bookmarkStart w:id="23" w:name="_Toc493581259"/>
      <w:bookmarkStart w:id="24" w:name="_Toc493582310"/>
      <w:bookmarkStart w:id="25" w:name="_Toc514411214"/>
      <w:r>
        <w:rPr>
          <w:noProof/>
        </w:rPr>
        <w:t>Analysis and answers to the evaluation questions</w:t>
      </w:r>
      <w:bookmarkEnd w:id="23"/>
      <w:bookmarkEnd w:id="24"/>
      <w:bookmarkEnd w:id="25"/>
    </w:p>
    <w:p>
      <w:pPr>
        <w:spacing w:after="120" w:line="240" w:lineRule="auto"/>
        <w:jc w:val="both"/>
        <w:rPr>
          <w:rFonts w:ascii="Times New Roman" w:eastAsia="Times" w:hAnsi="Times New Roman" w:cs="Times New Roman"/>
          <w:noProof/>
          <w:sz w:val="24"/>
          <w:szCs w:val="24"/>
          <w:lang w:val="en-GB" w:eastAsia="zh-CN"/>
        </w:rPr>
      </w:pPr>
      <w:r>
        <w:rPr>
          <w:rFonts w:ascii="Times New Roman" w:eastAsia="Times" w:hAnsi="Times New Roman" w:cs="Times New Roman"/>
          <w:noProof/>
          <w:sz w:val="24"/>
          <w:szCs w:val="24"/>
          <w:lang w:val="en-GB" w:eastAsia="zh-CN"/>
        </w:rPr>
        <w:t>The Justice Programme is performing generally well at midterm with regard to its specific objectives, in terms of effectiveness, efficiency, relevance, coherence/complementarity/synergies and EU added value, but should do better in particular in terms of equity</w:t>
      </w:r>
      <w:r>
        <w:rPr>
          <w:rStyle w:val="FootnoteReference"/>
          <w:rFonts w:ascii="Times New Roman" w:eastAsia="Times" w:hAnsi="Times New Roman" w:cs="Times New Roman"/>
          <w:noProof/>
          <w:szCs w:val="24"/>
          <w:lang w:val="en-GB" w:eastAsia="zh-CN"/>
        </w:rPr>
        <w:footnoteReference w:id="41"/>
      </w:r>
      <w:r>
        <w:rPr>
          <w:rFonts w:ascii="Times New Roman" w:eastAsia="Times" w:hAnsi="Times New Roman" w:cs="Times New Roman"/>
          <w:noProof/>
          <w:sz w:val="24"/>
          <w:szCs w:val="24"/>
          <w:lang w:val="en-GB" w:eastAsia="zh-CN"/>
        </w:rPr>
        <w:t xml:space="preserve">. </w:t>
      </w: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5.1 Effectiveness</w:t>
      </w:r>
    </w:p>
    <w:p>
      <w:pPr>
        <w:spacing w:after="0" w:line="240" w:lineRule="auto"/>
        <w:jc w:val="both"/>
        <w:rPr>
          <w:rFonts w:ascii="Times New Roman" w:hAnsi="Times New Roman" w:cs="Times New Roman"/>
          <w:noProof/>
          <w:sz w:val="24"/>
          <w:szCs w:val="24"/>
          <w:lang w:val="en-GB"/>
        </w:rPr>
      </w:pPr>
      <w:r>
        <w:rPr>
          <w:rFonts w:ascii="Times New Roman" w:eastAsia="Calibri" w:hAnsi="Times New Roman" w:cs="Times New Roman"/>
          <w:noProof/>
          <w:sz w:val="24"/>
          <w:szCs w:val="24"/>
          <w:lang w:val="en-GB"/>
        </w:rPr>
        <w:t>The analysis of indicators has shown that significant progress has been achieved on several fronts since some targets are close to being achieved and others have already been achieved.</w:t>
      </w:r>
      <w:r>
        <w:rPr>
          <w:rFonts w:ascii="Times New Roman" w:eastAsia="Calibri" w:hAnsi="Times New Roman" w:cs="Times New Roman"/>
          <w:b/>
          <w:noProof/>
          <w:sz w:val="24"/>
          <w:szCs w:val="24"/>
          <w:lang w:val="en-GB"/>
        </w:rPr>
        <w:t xml:space="preserve"> </w:t>
      </w:r>
      <w:r>
        <w:rPr>
          <w:rFonts w:ascii="Times New Roman" w:eastAsia="Calibri" w:hAnsi="Times New Roman" w:cs="Times New Roman"/>
          <w:noProof/>
          <w:sz w:val="24"/>
          <w:szCs w:val="24"/>
          <w:lang w:val="en-GB"/>
        </w:rPr>
        <w:t>Therefore,</w:t>
      </w:r>
      <w:r>
        <w:rPr>
          <w:rFonts w:ascii="Times New Roman" w:eastAsia="Calibri" w:hAnsi="Times New Roman" w:cs="Times New Roman"/>
          <w:b/>
          <w:noProof/>
          <w:sz w:val="24"/>
          <w:szCs w:val="24"/>
          <w:lang w:val="en-GB"/>
        </w:rPr>
        <w:t xml:space="preserve"> the Justice Programme contributes positively to the general objective of the Programme through the progress under its specific objectives</w:t>
      </w:r>
      <w:r>
        <w:rPr>
          <w:rFonts w:ascii="Times New Roman" w:hAnsi="Times New Roman" w:cs="Times New Roman"/>
          <w:b/>
          <w:noProof/>
          <w:sz w:val="24"/>
          <w:szCs w:val="24"/>
          <w:lang w:val="en-GB"/>
        </w:rPr>
        <w:t xml:space="preserve">. </w:t>
      </w:r>
    </w:p>
    <w:p>
      <w:pPr>
        <w:spacing w:after="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b/>
          <w:noProof/>
          <w:sz w:val="24"/>
          <w:szCs w:val="24"/>
          <w:lang w:val="en-GB"/>
        </w:rPr>
        <w:t>The Programme-specific indicators are adequate to monitor progress towards the objectives of the Programme</w:t>
      </w:r>
      <w:r>
        <w:rPr>
          <w:rFonts w:ascii="Times New Roman" w:eastAsia="Calibri" w:hAnsi="Times New Roman" w:cs="Times New Roman"/>
          <w:noProof/>
          <w:sz w:val="24"/>
          <w:szCs w:val="24"/>
          <w:lang w:val="en-GB"/>
        </w:rPr>
        <w:t xml:space="preserve">, </w:t>
      </w:r>
      <w:r>
        <w:rPr>
          <w:rFonts w:ascii="Times New Roman" w:eastAsia="Calibri" w:hAnsi="Times New Roman" w:cs="Times New Roman"/>
          <w:b/>
          <w:noProof/>
          <w:sz w:val="24"/>
          <w:szCs w:val="24"/>
          <w:lang w:val="en-GB"/>
        </w:rPr>
        <w:t>but sometimes they are difficult to measure</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due to a lack of adequate tools (e.g. </w:t>
      </w:r>
      <w:r>
        <w:rPr>
          <w:rFonts w:ascii="Times New Roman" w:eastAsia="Calibri" w:hAnsi="Times New Roman" w:cs="Times New Roman"/>
          <w:noProof/>
          <w:sz w:val="24"/>
          <w:szCs w:val="24"/>
          <w:lang w:val="en-GB"/>
        </w:rPr>
        <w:t>there is no satisfaction survey to help gauge the perception of participants that took part in training activities</w:t>
      </w:r>
      <w:r>
        <w:rPr>
          <w:rFonts w:ascii="Times New Roman" w:hAnsi="Times New Roman" w:cs="Times New Roman"/>
          <w:noProof/>
          <w:sz w:val="24"/>
          <w:szCs w:val="24"/>
          <w:lang w:val="en-GB"/>
        </w:rPr>
        <w:t>) or to the influence of exogenous factors (</w:t>
      </w:r>
      <w:r>
        <w:rPr>
          <w:rFonts w:ascii="Times New Roman" w:eastAsia="Calibri" w:hAnsi="Times New Roman" w:cs="Times New Roman"/>
          <w:noProof/>
          <w:sz w:val="24"/>
          <w:szCs w:val="24"/>
          <w:lang w:val="en-GB"/>
        </w:rPr>
        <w:t>such as macroeconomic conditions, rate of development of new psychoactive substances</w:t>
      </w:r>
      <w:r>
        <w:rPr>
          <w:rFonts w:ascii="Times New Roman" w:hAnsi="Times New Roman" w:cs="Times New Roman"/>
          <w:noProof/>
          <w:sz w:val="24"/>
          <w:szCs w:val="24"/>
          <w:lang w:val="en-GB"/>
        </w:rPr>
        <w:t>)</w:t>
      </w:r>
      <w:r>
        <w:rPr>
          <w:rFonts w:ascii="Times New Roman" w:eastAsia="Calibri" w:hAnsi="Times New Roman" w:cs="Times New Roman"/>
          <w:noProof/>
          <w:sz w:val="24"/>
          <w:szCs w:val="24"/>
          <w:lang w:val="en-GB"/>
        </w:rPr>
        <w:t xml:space="preserve">. </w:t>
      </w:r>
      <w:r>
        <w:rPr>
          <w:rFonts w:ascii="Times New Roman" w:hAnsi="Times New Roman" w:cs="Times New Roman"/>
          <w:noProof/>
          <w:sz w:val="24"/>
          <w:szCs w:val="24"/>
          <w:lang w:val="en-GB"/>
        </w:rPr>
        <w:t>Moreover, some indicators, concerning for instance the geographical coverage of the Programme, do not capture certain underlying dynamics, such as the fact that the Programme, so far, has been dominated by beneficiaries from a small number of Member States.</w:t>
      </w:r>
    </w:p>
    <w:p>
      <w:pPr>
        <w:spacing w:after="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b/>
          <w:noProof/>
          <w:sz w:val="24"/>
          <w:szCs w:val="24"/>
          <w:lang w:val="en-GB"/>
        </w:rPr>
        <w:t>Overall, the 2014-2020 Justice Programme is broadly perceived by applicants, beneficiaries and stakeholders as an improvement compared to the three predecessor programmes (</w:t>
      </w:r>
      <w:r>
        <w:rPr>
          <w:rFonts w:ascii="Times New Roman" w:hAnsi="Times New Roman" w:cs="Times New Roman"/>
          <w:noProof/>
          <w:sz w:val="24"/>
          <w:szCs w:val="24"/>
          <w:lang w:val="en-GB"/>
        </w:rPr>
        <w:t>namely the Civil justice programme, the Criminal justice programme and the Drug prevention and information programme</w:t>
      </w:r>
      <w:r>
        <w:rPr>
          <w:rFonts w:ascii="Times New Roman" w:eastAsia="Times New Roman" w:hAnsi="Times New Roman" w:cs="Times New Roman"/>
          <w:noProof/>
          <w:sz w:val="24"/>
          <w:szCs w:val="24"/>
          <w:lang w:val="en-GB"/>
        </w:rPr>
        <w:t xml:space="preserve">), both in terms of better policy targeting and better involvement of the right stakeholder groups. </w:t>
      </w:r>
      <w:r>
        <w:rPr>
          <w:rFonts w:ascii="Times New Roman" w:hAnsi="Times New Roman" w:cs="Times New Roman"/>
          <w:noProof/>
          <w:sz w:val="24"/>
          <w:szCs w:val="24"/>
          <w:lang w:val="en-GB"/>
        </w:rPr>
        <w:t>A better targeting is observed in the sense that calls tend to tackle specific issues which are considered priorities</w:t>
      </w:r>
      <w:r>
        <w:rPr>
          <w:rStyle w:val="FootnoteReference"/>
          <w:rFonts w:ascii="Times New Roman" w:hAnsi="Times New Roman" w:cs="Times New Roman"/>
          <w:noProof/>
          <w:szCs w:val="24"/>
          <w:lang w:val="en-GB"/>
        </w:rPr>
        <w:footnoteReference w:id="42"/>
      </w:r>
      <w:r>
        <w:rPr>
          <w:rFonts w:ascii="Times New Roman" w:hAnsi="Times New Roman" w:cs="Times New Roman"/>
          <w:noProof/>
          <w:sz w:val="24"/>
          <w:szCs w:val="24"/>
          <w:lang w:val="en-GB"/>
        </w:rPr>
        <w:t>.</w:t>
      </w:r>
      <w:r>
        <w:rPr>
          <w:rFonts w:ascii="Times New Roman" w:eastAsia="Times New Roman" w:hAnsi="Times New Roman" w:cs="Times New Roman"/>
          <w:noProof/>
          <w:sz w:val="24"/>
          <w:szCs w:val="24"/>
          <w:lang w:val="en-GB"/>
        </w:rPr>
        <w:t xml:space="preserve"> The merging of predecessor programmes has been particularly effective in the field of European judicial training since this </w:t>
      </w:r>
      <w:r>
        <w:rPr>
          <w:rFonts w:ascii="Times New Roman" w:hAnsi="Times New Roman" w:cs="Times New Roman"/>
          <w:noProof/>
          <w:sz w:val="24"/>
          <w:szCs w:val="24"/>
          <w:lang w:val="en-GB"/>
        </w:rPr>
        <w:t xml:space="preserve">has reduced the overlaps and enhanced the capacity of training providers by reducing the complications associated </w:t>
      </w:r>
      <w:r>
        <w:rPr>
          <w:rFonts w:ascii="Times New Roman" w:eastAsia="Calibri" w:hAnsi="Times New Roman" w:cs="Times New Roman"/>
          <w:noProof/>
          <w:sz w:val="24"/>
          <w:szCs w:val="24"/>
          <w:lang w:val="en-GB"/>
        </w:rPr>
        <w:t>with having to deliver training across multiple programmes with different rules</w:t>
      </w:r>
      <w:r>
        <w:rPr>
          <w:rFonts w:ascii="Times New Roman" w:hAnsi="Times New Roman" w:cs="Times New Roman"/>
          <w:noProof/>
          <w:sz w:val="24"/>
          <w:szCs w:val="24"/>
          <w:lang w:val="en-GB"/>
        </w:rPr>
        <w:t>.</w:t>
      </w:r>
    </w:p>
    <w:p>
      <w:pPr>
        <w:spacing w:after="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Given the wide scope of the general objective of the Programme, a large number of external factors influenced its effectiveness, such as the migration crisis (concerning, in particular, the specific objective on “access to justice”) and, in general, the uneven pace at which Member States transpose and enforce the </w:t>
      </w:r>
      <w:r>
        <w:rPr>
          <w:rFonts w:ascii="Times New Roman" w:eastAsia="Calibri" w:hAnsi="Times New Roman" w:cs="Times New Roman"/>
          <w:i/>
          <w:noProof/>
          <w:sz w:val="24"/>
          <w:szCs w:val="24"/>
          <w:lang w:val="en-GB"/>
        </w:rPr>
        <w:t>EU acquis</w:t>
      </w:r>
      <w:r>
        <w:rPr>
          <w:rFonts w:ascii="Times New Roman" w:eastAsia="Calibri" w:hAnsi="Times New Roman" w:cs="Times New Roman"/>
          <w:noProof/>
          <w:sz w:val="24"/>
          <w:szCs w:val="24"/>
          <w:lang w:val="en-GB"/>
        </w:rPr>
        <w:t xml:space="preserve">. This, however, did not undermine its intervention logic and its </w:t>
      </w:r>
      <w:r>
        <w:rPr>
          <w:rFonts w:ascii="Times New Roman" w:eastAsia="Calibri" w:hAnsi="Times New Roman" w:cs="Times New Roman"/>
          <w:b/>
          <w:noProof/>
          <w:sz w:val="24"/>
          <w:szCs w:val="24"/>
          <w:lang w:val="en-GB"/>
        </w:rPr>
        <w:t>operational flexibility</w:t>
      </w:r>
      <w:r>
        <w:rPr>
          <w:rFonts w:ascii="Times New Roman" w:eastAsia="Calibri" w:hAnsi="Times New Roman" w:cs="Times New Roman"/>
          <w:noProof/>
          <w:sz w:val="24"/>
          <w:szCs w:val="24"/>
          <w:lang w:val="en-GB"/>
        </w:rPr>
        <w:t>: the annual work programmes can be easily adapted to emerging needs in the area of justice (see more under “Relevance”).</w:t>
      </w:r>
    </w:p>
    <w:p>
      <w:pPr>
        <w:spacing w:after="0" w:line="240" w:lineRule="auto"/>
        <w:jc w:val="both"/>
        <w:rPr>
          <w:rFonts w:ascii="Times New Roman" w:hAnsi="Times New Roman" w:cs="Times New Roman"/>
          <w:noProof/>
          <w:sz w:val="24"/>
          <w:szCs w:val="24"/>
          <w:lang w:val="en-GB" w:eastAsia="fr-FR"/>
        </w:rPr>
      </w:pPr>
      <w:r>
        <w:rPr>
          <w:rFonts w:ascii="Times New Roman" w:eastAsia="Calibri" w:hAnsi="Times New Roman" w:cs="Times New Roman"/>
          <w:noProof/>
          <w:sz w:val="24"/>
          <w:szCs w:val="24"/>
          <w:lang w:val="en-GB"/>
        </w:rPr>
        <w:t xml:space="preserve">Finally, </w:t>
      </w:r>
      <w:r>
        <w:rPr>
          <w:rFonts w:ascii="Times New Roman" w:eastAsia="Times New Roman" w:hAnsi="Times New Roman" w:cs="Times New Roman"/>
          <w:noProof/>
          <w:sz w:val="24"/>
          <w:szCs w:val="20"/>
          <w:lang w:val="en-GB"/>
        </w:rPr>
        <w:t xml:space="preserve">compared to the 2007-2013 period, </w:t>
      </w:r>
      <w:r>
        <w:rPr>
          <w:rFonts w:ascii="Times New Roman" w:eastAsia="Times New Roman" w:hAnsi="Times New Roman" w:cs="Times New Roman"/>
          <w:b/>
          <w:noProof/>
          <w:sz w:val="24"/>
          <w:szCs w:val="20"/>
          <w:lang w:val="en-GB"/>
        </w:rPr>
        <w:t>the</w:t>
      </w:r>
      <w:r>
        <w:rPr>
          <w:rFonts w:ascii="Times New Roman" w:eastAsia="Times New Roman" w:hAnsi="Times New Roman" w:cs="Times New Roman"/>
          <w:noProof/>
          <w:sz w:val="24"/>
          <w:szCs w:val="20"/>
          <w:lang w:val="en-GB"/>
        </w:rPr>
        <w:t xml:space="preserve"> </w:t>
      </w:r>
      <w:r>
        <w:rPr>
          <w:rFonts w:ascii="Times New Roman" w:eastAsia="Times New Roman" w:hAnsi="Times New Roman" w:cs="Times New Roman"/>
          <w:b/>
          <w:noProof/>
          <w:sz w:val="24"/>
          <w:szCs w:val="20"/>
          <w:lang w:val="en-GB"/>
        </w:rPr>
        <w:t>sustainability of projects (with their results and outputs</w:t>
      </w:r>
      <w:r>
        <w:rPr>
          <w:rStyle w:val="FootnoteReference"/>
          <w:rFonts w:ascii="Times New Roman" w:eastAsia="Times New Roman" w:hAnsi="Times New Roman" w:cs="Times New Roman"/>
          <w:b/>
          <w:noProof/>
          <w:szCs w:val="20"/>
          <w:lang w:val="en-GB"/>
        </w:rPr>
        <w:footnoteReference w:id="43"/>
      </w:r>
      <w:r>
        <w:rPr>
          <w:rFonts w:ascii="Times New Roman" w:eastAsia="Times New Roman" w:hAnsi="Times New Roman" w:cs="Times New Roman"/>
          <w:b/>
          <w:noProof/>
          <w:sz w:val="24"/>
          <w:szCs w:val="20"/>
          <w:lang w:val="en-GB"/>
        </w:rPr>
        <w:t>) beyond the end of their life-cycle has become an</w:t>
      </w:r>
      <w:r>
        <w:rPr>
          <w:rFonts w:ascii="Times New Roman" w:eastAsia="Times New Roman" w:hAnsi="Times New Roman" w:cs="Times New Roman"/>
          <w:noProof/>
          <w:sz w:val="24"/>
          <w:szCs w:val="20"/>
          <w:lang w:val="en-GB"/>
        </w:rPr>
        <w:t xml:space="preserve"> </w:t>
      </w:r>
      <w:r>
        <w:rPr>
          <w:rFonts w:ascii="Times New Roman" w:eastAsia="Times New Roman" w:hAnsi="Times New Roman" w:cs="Times New Roman"/>
          <w:b/>
          <w:noProof/>
          <w:sz w:val="24"/>
          <w:szCs w:val="20"/>
          <w:lang w:val="en-GB"/>
        </w:rPr>
        <w:t>increasingly important factor</w:t>
      </w:r>
      <w:r>
        <w:rPr>
          <w:rFonts w:ascii="Times New Roman" w:eastAsia="Times New Roman" w:hAnsi="Times New Roman" w:cs="Times New Roman"/>
          <w:noProof/>
          <w:sz w:val="24"/>
          <w:szCs w:val="20"/>
          <w:lang w:val="en-GB"/>
        </w:rPr>
        <w:t xml:space="preserve"> to consider in the evaluation process. </w:t>
      </w:r>
      <w:r>
        <w:rPr>
          <w:rFonts w:ascii="Times New Roman" w:hAnsi="Times New Roman" w:cs="Times New Roman"/>
          <w:noProof/>
          <w:sz w:val="24"/>
          <w:szCs w:val="24"/>
          <w:lang w:val="en-GB"/>
        </w:rPr>
        <w:t>However, projects focused on creating tools/outputs might have a more difficult sustainability landscape since, in these cases, sustainability depends on whether the organisations that implemented the projects can receive sufficient resources to maintain the tools once the EU funding is over.</w:t>
      </w:r>
    </w:p>
    <w:p>
      <w:pPr>
        <w:spacing w:after="0" w:line="240" w:lineRule="auto"/>
        <w:jc w:val="both"/>
        <w:rPr>
          <w:rFonts w:ascii="Times New Roman" w:eastAsia="Calibri" w:hAnsi="Times New Roman" w:cs="Times New Roman"/>
          <w:noProof/>
          <w:sz w:val="24"/>
          <w:szCs w:val="24"/>
          <w:lang w:val="en-GB"/>
        </w:rPr>
      </w:pP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5.2 Efficiency</w:t>
      </w:r>
    </w:p>
    <w:p>
      <w:pPr>
        <w:spacing w:after="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The Justice Programme has been cost-effective relative to the actions it has funded so far.</w:t>
      </w:r>
      <w:r>
        <w:rPr>
          <w:rFonts w:ascii="Times New Roman" w:hAnsi="Times New Roman" w:cs="Times New Roman"/>
          <w:noProof/>
          <w:sz w:val="24"/>
          <w:szCs w:val="24"/>
          <w:lang w:val="en-GB"/>
        </w:rPr>
        <w:t xml:space="preserve"> Indeed, the results of the evaluation have shown that the beneficiaries’ perception of the efficiency of the Programme is positive. 60% of respondents to the relevant survey question consider the benefits of the intervention greater than costs. This is true for the Programme as a whole, but, in particular,</w:t>
      </w:r>
      <w:r>
        <w:rPr>
          <w:rFonts w:ascii="Times New Roman" w:hAnsi="Times New Roman" w:cs="Times New Roman"/>
          <w:b/>
          <w:noProof/>
          <w:sz w:val="24"/>
          <w:szCs w:val="24"/>
          <w:lang w:val="en-GB"/>
        </w:rPr>
        <w:t xml:space="preserve"> for the specific objective on judicial training</w:t>
      </w:r>
      <w:r>
        <w:rPr>
          <w:rFonts w:ascii="Times New Roman" w:hAnsi="Times New Roman" w:cs="Times New Roman"/>
          <w:noProof/>
          <w:sz w:val="24"/>
          <w:szCs w:val="24"/>
          <w:lang w:val="en-GB"/>
        </w:rPr>
        <w:t xml:space="preserve"> where more projects than expected have reported to have carried out training events and activities and more people than expected have been involved in the activities, both within the categories foreseen and beyond. The increase is quite significant also in terms of the types of modules of training provided (live events/remote training/tools and guidelines). Moreover, the average expenditure on judicial training is on average lower than expected for the projects identified.</w:t>
      </w:r>
    </w:p>
    <w:p>
      <w:pPr>
        <w:spacing w:after="0" w:line="240" w:lineRule="auto"/>
        <w:jc w:val="both"/>
        <w:rPr>
          <w:rFonts w:ascii="Times New Roman" w:eastAsia="Calibri" w:hAnsi="Times New Roman" w:cs="Times New Roman"/>
          <w:noProof/>
          <w:sz w:val="24"/>
          <w:szCs w:val="24"/>
          <w:lang w:val="en-GB"/>
        </w:rPr>
      </w:pPr>
      <w:r>
        <w:rPr>
          <w:rFonts w:ascii="Times New Roman" w:eastAsia="Times New Roman" w:hAnsi="Times New Roman" w:cs="Times New Roman"/>
          <w:noProof/>
          <w:sz w:val="24"/>
          <w:szCs w:val="24"/>
          <w:lang w:val="en-GB"/>
        </w:rPr>
        <w:t xml:space="preserve">A key achievement of the Programme, compared to its predecessors, has been the </w:t>
      </w:r>
      <w:r>
        <w:rPr>
          <w:rFonts w:ascii="Times New Roman" w:eastAsia="Times New Roman" w:hAnsi="Times New Roman" w:cs="Times New Roman"/>
          <w:b/>
          <w:noProof/>
          <w:sz w:val="24"/>
          <w:szCs w:val="24"/>
          <w:lang w:val="en-GB"/>
        </w:rPr>
        <w:t>lower burden on beneficiaries in terms of time and financial resources</w:t>
      </w:r>
      <w:r>
        <w:rPr>
          <w:rFonts w:ascii="Times New Roman" w:eastAsia="Calibri" w:hAnsi="Times New Roman" w:cs="Times New Roman"/>
          <w:noProof/>
          <w:sz w:val="24"/>
          <w:szCs w:val="24"/>
          <w:lang w:val="en-GB"/>
        </w:rPr>
        <w:t xml:space="preserve">. Nevertheless, there is still room for improvement in terms of easing requirements and obligations to make the Programme even more efficient in its implementation (see more under “Scope for simplification”). </w:t>
      </w:r>
    </w:p>
    <w:p>
      <w:pPr>
        <w:spacing w:after="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According to beneficiaries, </w:t>
      </w:r>
      <w:r>
        <w:rPr>
          <w:rFonts w:ascii="Times New Roman" w:eastAsia="Calibri" w:hAnsi="Times New Roman" w:cs="Times New Roman"/>
          <w:b/>
          <w:noProof/>
          <w:sz w:val="24"/>
          <w:szCs w:val="24"/>
          <w:lang w:val="en-GB"/>
        </w:rPr>
        <w:t>the current instruments (action grants, operating grants and procurement activities) are adequate for the needs of the Programme</w:t>
      </w:r>
      <w:r>
        <w:rPr>
          <w:rFonts w:ascii="Times New Roman" w:eastAsia="Calibri" w:hAnsi="Times New Roman" w:cs="Times New Roman"/>
          <w:noProof/>
          <w:sz w:val="24"/>
          <w:szCs w:val="24"/>
          <w:lang w:val="en-GB"/>
        </w:rPr>
        <w:t xml:space="preserve"> and, therefore, using alternative and innovative funding instruments is not necessary. However,</w:t>
      </w:r>
      <w:r>
        <w:rPr>
          <w:rFonts w:ascii="Times New Roman" w:eastAsia="Times New Roman" w:hAnsi="Times New Roman" w:cs="Times New Roman"/>
          <w:noProof/>
          <w:sz w:val="24"/>
          <w:szCs w:val="24"/>
          <w:lang w:val="en-GB"/>
        </w:rPr>
        <w:t xml:space="preserve"> the efficiency of their implementation should continue</w:t>
      </w:r>
      <w:r>
        <w:rPr>
          <w:rFonts w:ascii="Times New Roman" w:eastAsia="Calibri" w:hAnsi="Times New Roman" w:cs="Times New Roman"/>
          <w:noProof/>
          <w:sz w:val="24"/>
          <w:szCs w:val="24"/>
          <w:lang w:val="en-GB"/>
        </w:rPr>
        <w:t xml:space="preserve"> to be improved, notably with regard to procurement actions, to ensure that the allocated funding is indeed used</w:t>
      </w:r>
      <w:r>
        <w:rPr>
          <w:rFonts w:ascii="Times New Roman" w:eastAsia="Times New Roman" w:hAnsi="Times New Roman" w:cs="Times New Roman"/>
          <w:noProof/>
          <w:sz w:val="24"/>
          <w:szCs w:val="24"/>
          <w:lang w:val="en-GB"/>
        </w:rPr>
        <w:t>.</w:t>
      </w:r>
      <w:r>
        <w:rPr>
          <w:rFonts w:ascii="Times New Roman" w:eastAsia="Calibri" w:hAnsi="Times New Roman" w:cs="Times New Roman"/>
          <w:noProof/>
          <w:sz w:val="24"/>
          <w:szCs w:val="24"/>
          <w:lang w:val="en-GB"/>
        </w:rPr>
        <w:t xml:space="preserve"> Indeed, </w:t>
      </w:r>
      <w:r>
        <w:rPr>
          <w:rFonts w:ascii="Times New Roman" w:hAnsi="Times New Roman" w:cs="Times New Roman"/>
          <w:noProof/>
          <w:sz w:val="24"/>
          <w:szCs w:val="24"/>
          <w:lang w:val="en-GB"/>
        </w:rPr>
        <w:t>since the forward planning for procurement actions occurs, usually, many months before the action itself, this leads to a tendency to overestimate procurement needs (to ensure that sufficient budget is allocated) and to a subsequent low implementation rate of the allocated funding. The efficiency of such actions must be increased by ensuring a greater degree of connection between the planning of procurement actions and their implementation.</w:t>
      </w:r>
    </w:p>
    <w:p>
      <w:pPr>
        <w:spacing w:after="0" w:line="240" w:lineRule="auto"/>
        <w:jc w:val="both"/>
        <w:rPr>
          <w:rFonts w:ascii="Times New Roman" w:eastAsia="Calibri" w:hAnsi="Times New Roman" w:cs="Times New Roman"/>
          <w:noProof/>
          <w:sz w:val="24"/>
          <w:szCs w:val="24"/>
          <w:lang w:val="en-GB"/>
        </w:rPr>
      </w:pPr>
    </w:p>
    <w:p>
      <w:pPr>
        <w:spacing w:after="120" w:line="240" w:lineRule="auto"/>
        <w:jc w:val="both"/>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5.3 Relevance</w:t>
      </w:r>
    </w:p>
    <w:p>
      <w:pPr>
        <w:spacing w:after="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According to all interviewed beneficiaries, the Programme is highly relevant to address the needs of selected target groups</w:t>
      </w:r>
      <w:r>
        <w:rPr>
          <w:rFonts w:ascii="Times New Roman" w:hAnsi="Times New Roman" w:cs="Times New Roman"/>
          <w:noProof/>
          <w:sz w:val="24"/>
          <w:szCs w:val="24"/>
          <w:lang w:val="en-GB"/>
        </w:rPr>
        <w:t>. Indeed, one of the key features of the Programme has been its ability to adapt and modify the priorities in light of emerging needs. For instance, following a string of terrorist attacks in Europe, two calls were issued to combat the radicalisation of inmates in prison. This can be achieved thanks to the unique structure of the Justice Programme, as the Programme has been devised with broad specific objectives, due to the fact that it has aggregated the three programmes from the previous programming period. The general and specific objectives allowed the Commission to adapt the Programme to evolving needs within the EU, especially in terms of the judicial cooperation.</w:t>
      </w:r>
      <w:r>
        <w:rPr>
          <w:noProof/>
          <w:lang w:val="en-GB"/>
        </w:rPr>
        <w:t xml:space="preserve"> </w:t>
      </w:r>
      <w:r>
        <w:rPr>
          <w:rFonts w:ascii="Times New Roman" w:eastAsia="Calibri" w:hAnsi="Times New Roman" w:cs="Times New Roman"/>
          <w:b/>
          <w:noProof/>
          <w:sz w:val="24"/>
          <w:szCs w:val="24"/>
          <w:lang w:val="en-GB"/>
        </w:rPr>
        <w:t>However, the specific objective concerning the initiatives in the field of drug policies is sometimes difficult to reconcile with other Programme priorities</w:t>
      </w:r>
      <w:r>
        <w:rPr>
          <w:rFonts w:ascii="Times New Roman" w:eastAsia="Calibri" w:hAnsi="Times New Roman" w:cs="Times New Roman"/>
          <w:noProof/>
          <w:sz w:val="24"/>
          <w:szCs w:val="24"/>
          <w:lang w:val="en-GB"/>
        </w:rPr>
        <w:t xml:space="preserve">, such as judicial cooperation and access to justice, as drug-related prevention policies tend to be broader in scope. </w:t>
      </w:r>
    </w:p>
    <w:p>
      <w:pPr>
        <w:pStyle w:val="BulletBody"/>
        <w:spacing w:before="0" w:after="0"/>
        <w:rPr>
          <w:rFonts w:ascii="Times New Roman" w:hAnsi="Times New Roman" w:cs="Times New Roman"/>
          <w:noProof/>
          <w:sz w:val="24"/>
          <w:szCs w:val="24"/>
        </w:rPr>
      </w:pPr>
      <w:r>
        <w:rPr>
          <w:rFonts w:ascii="Times New Roman" w:hAnsi="Times New Roman" w:cs="Times New Roman"/>
          <w:noProof/>
          <w:sz w:val="24"/>
          <w:szCs w:val="24"/>
        </w:rPr>
        <w:t xml:space="preserve">In general, however, the </w:t>
      </w:r>
      <w:r>
        <w:rPr>
          <w:rFonts w:ascii="Times New Roman" w:hAnsi="Times New Roman" w:cs="Times New Roman"/>
          <w:b/>
          <w:noProof/>
          <w:sz w:val="24"/>
          <w:szCs w:val="24"/>
        </w:rPr>
        <w:t>needs identified at the time of the Programme’s adoption are still actual and relevant</w:t>
      </w:r>
      <w:r>
        <w:rPr>
          <w:rFonts w:ascii="Times New Roman" w:hAnsi="Times New Roman" w:cs="Times New Roman"/>
          <w:noProof/>
          <w:sz w:val="24"/>
          <w:szCs w:val="24"/>
        </w:rPr>
        <w:t>, in particular</w:t>
      </w:r>
      <w:r>
        <w:rPr>
          <w:rFonts w:ascii="Times New Roman" w:hAnsi="Times New Roman" w:cs="Times New Roman"/>
          <w:b/>
          <w:noProof/>
          <w:sz w:val="24"/>
          <w:szCs w:val="24"/>
        </w:rPr>
        <w:t xml:space="preserve"> </w:t>
      </w:r>
      <w:r>
        <w:rPr>
          <w:rFonts w:ascii="Times New Roman" w:hAnsi="Times New Roman" w:cs="Times New Roman"/>
          <w:noProof/>
          <w:sz w:val="24"/>
          <w:szCs w:val="24"/>
        </w:rPr>
        <w:t>the general objective of further developing a European Area of Justice based on mutual recognition and mutual trust.</w:t>
      </w:r>
    </w:p>
    <w:p>
      <w:pPr>
        <w:pStyle w:val="BulletBody"/>
        <w:spacing w:before="0" w:after="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With respect to stakeholder needs, there is still scope to further increase the relevance of the Programme through systematic analyses per main stakeholder type, as well as per specific objective and Member States, so as to ensure that priorities related to each specific objective for each call, as set out in the annual work programmes, are in line with the current key needs of the stakeholders. Moreover, the Programme could include additional target groups that are relevant to the achievement of its general objective. These groups include staff in regulatory agencies, young judicial professionals and students and judicial professionals in candidate countries and countries within the scope of the European Neighbourhood policy. This is however currently not possible under the legal basis of the Justice Programme. </w:t>
      </w:r>
    </w:p>
    <w:p>
      <w:pPr>
        <w:pStyle w:val="BulletBody"/>
        <w:spacing w:before="0" w:after="0"/>
        <w:rPr>
          <w:rFonts w:ascii="Times New Roman" w:hAnsi="Times New Roman" w:cs="Times New Roman"/>
          <w:noProof/>
          <w:sz w:val="24"/>
          <w:szCs w:val="24"/>
        </w:rPr>
      </w:pP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5.4 Coherence, Complementarity, Synergies</w:t>
      </w:r>
    </w:p>
    <w:p>
      <w:pPr>
        <w:spacing w:after="0" w:line="240" w:lineRule="auto"/>
        <w:jc w:val="both"/>
        <w:rPr>
          <w:rFonts w:ascii="Times New Roman" w:eastAsia="Times New Roman" w:hAnsi="Times New Roman" w:cs="Times New Roman"/>
          <w:noProof/>
          <w:color w:val="000000" w:themeColor="text1"/>
          <w:sz w:val="24"/>
          <w:szCs w:val="24"/>
          <w:lang w:val="en-GB"/>
        </w:rPr>
      </w:pPr>
      <w:r>
        <w:rPr>
          <w:rFonts w:ascii="Times New Roman" w:eastAsia="Times New Roman" w:hAnsi="Times New Roman" w:cs="Times New Roman"/>
          <w:b/>
          <w:noProof/>
          <w:color w:val="000000" w:themeColor="text1"/>
          <w:sz w:val="24"/>
          <w:szCs w:val="24"/>
          <w:lang w:val="en-GB"/>
        </w:rPr>
        <w:t>The Programme presents a good level of coherence and complementarity with other EU instruments, programmes and actions (</w:t>
      </w:r>
      <w:r>
        <w:rPr>
          <w:rFonts w:ascii="Times New Roman" w:eastAsia="Times New Roman" w:hAnsi="Times New Roman" w:cs="Times New Roman"/>
          <w:noProof/>
          <w:color w:val="000000" w:themeColor="text1"/>
          <w:sz w:val="24"/>
          <w:szCs w:val="24"/>
          <w:lang w:val="en-GB"/>
        </w:rPr>
        <w:t>for instance, there is a very high coherence with the European Agenda for Justice 2020</w:t>
      </w:r>
      <w:r>
        <w:rPr>
          <w:rStyle w:val="FootnoteReference"/>
          <w:rFonts w:ascii="Times New Roman" w:eastAsia="Times New Roman" w:hAnsi="Times New Roman" w:cs="Times New Roman"/>
          <w:noProof/>
          <w:color w:val="000000" w:themeColor="text1"/>
          <w:sz w:val="24"/>
          <w:szCs w:val="24"/>
          <w:lang w:val="en-GB"/>
        </w:rPr>
        <w:footnoteReference w:id="44"/>
      </w:r>
      <w:r>
        <w:rPr>
          <w:rFonts w:ascii="Times New Roman" w:eastAsia="Times New Roman" w:hAnsi="Times New Roman" w:cs="Times New Roman"/>
          <w:b/>
          <w:noProof/>
          <w:color w:val="000000" w:themeColor="text1"/>
          <w:sz w:val="24"/>
          <w:szCs w:val="24"/>
          <w:lang w:val="en-GB"/>
        </w:rPr>
        <w:t>) and the risk of duplications or incoherence is very low</w:t>
      </w:r>
      <w:r>
        <w:rPr>
          <w:rFonts w:ascii="Times New Roman" w:eastAsia="Times New Roman" w:hAnsi="Times New Roman" w:cs="Times New Roman"/>
          <w:noProof/>
          <w:color w:val="000000" w:themeColor="text1"/>
          <w:sz w:val="24"/>
          <w:szCs w:val="24"/>
          <w:lang w:val="en-GB"/>
        </w:rPr>
        <w:t xml:space="preserve">. Especially in the case of judicial training, the merging of the predecessor programmes has increased the coherence with other EU initiatives and </w:t>
      </w:r>
      <w:r>
        <w:rPr>
          <w:rFonts w:ascii="Times New Roman" w:hAnsi="Times New Roman" w:cs="Times New Roman"/>
          <w:noProof/>
          <w:color w:val="000000" w:themeColor="text1"/>
          <w:sz w:val="24"/>
          <w:szCs w:val="24"/>
          <w:lang w:val="en-GB"/>
        </w:rPr>
        <w:t>among different training objectives and reduced the possibility of duplications, both in scope and in funding</w:t>
      </w:r>
      <w:r>
        <w:rPr>
          <w:rFonts w:ascii="Times New Roman" w:eastAsia="Times New Roman" w:hAnsi="Times New Roman" w:cs="Times New Roman"/>
          <w:noProof/>
          <w:color w:val="000000" w:themeColor="text1"/>
          <w:sz w:val="24"/>
          <w:szCs w:val="24"/>
          <w:lang w:val="en-GB"/>
        </w:rPr>
        <w:t xml:space="preserve">. A strong coherence and complementarity in the access to justice specific objective exist with Connecting Europe Facility Telecommunications Programme that also contributed to the development of e-Justice Portal and e-Codex. </w:t>
      </w:r>
    </w:p>
    <w:p>
      <w:pPr>
        <w:spacing w:after="0" w:line="240" w:lineRule="auto"/>
        <w:jc w:val="both"/>
        <w:rPr>
          <w:rFonts w:ascii="Times New Roman" w:eastAsia="Times New Roman" w:hAnsi="Times New Roman" w:cs="Times New Roman"/>
          <w:noProof/>
          <w:color w:val="000000" w:themeColor="text1"/>
          <w:sz w:val="24"/>
          <w:szCs w:val="24"/>
          <w:lang w:val="en-GB"/>
        </w:rPr>
      </w:pPr>
      <w:r>
        <w:rPr>
          <w:rFonts w:ascii="Times New Roman" w:eastAsia="Times New Roman" w:hAnsi="Times New Roman" w:cs="Times New Roman"/>
          <w:noProof/>
          <w:color w:val="000000" w:themeColor="text1"/>
          <w:sz w:val="24"/>
          <w:szCs w:val="24"/>
          <w:lang w:val="en-GB"/>
        </w:rPr>
        <w:t xml:space="preserve">Some exceptional overlaps in terms </w:t>
      </w:r>
      <w:r>
        <w:rPr>
          <w:rFonts w:ascii="Times New Roman" w:hAnsi="Times New Roman" w:cs="Times New Roman"/>
          <w:noProof/>
          <w:color w:val="000000" w:themeColor="text1"/>
          <w:sz w:val="24"/>
          <w:szCs w:val="24"/>
          <w:lang w:val="en-GB"/>
        </w:rPr>
        <w:t>of objectives, target groups and actions</w:t>
      </w:r>
      <w:r>
        <w:rPr>
          <w:rFonts w:ascii="Times New Roman" w:eastAsia="Times New Roman" w:hAnsi="Times New Roman" w:cs="Times New Roman"/>
          <w:noProof/>
          <w:color w:val="000000" w:themeColor="text1"/>
          <w:sz w:val="24"/>
          <w:szCs w:val="24"/>
          <w:lang w:val="en-GB"/>
        </w:rPr>
        <w:t xml:space="preserve"> still exist as a natural consequence of the broad objectives and target groups covered by the Programme, </w:t>
      </w:r>
      <w:r>
        <w:rPr>
          <w:rFonts w:ascii="Times New Roman" w:hAnsi="Times New Roman" w:cs="Times New Roman"/>
          <w:noProof/>
          <w:color w:val="000000" w:themeColor="text1"/>
          <w:sz w:val="24"/>
          <w:szCs w:val="24"/>
          <w:lang w:val="en-GB"/>
        </w:rPr>
        <w:t>ranging from judicial cooperation in civil and criminal matters (thus essentially the full spectrum of judicial activity) to drug policy and judicial training, as well as since it targets all EU citizens</w:t>
      </w:r>
      <w:r>
        <w:rPr>
          <w:rFonts w:ascii="Times New Roman" w:eastAsia="Times New Roman" w:hAnsi="Times New Roman" w:cs="Times New Roman"/>
          <w:noProof/>
          <w:color w:val="000000" w:themeColor="text1"/>
          <w:sz w:val="24"/>
          <w:szCs w:val="24"/>
          <w:lang w:val="en-GB"/>
        </w:rPr>
        <w:t>.</w:t>
      </w:r>
    </w:p>
    <w:p>
      <w:pPr>
        <w:spacing w:after="0" w:line="240" w:lineRule="auto"/>
        <w:jc w:val="both"/>
        <w:rPr>
          <w:rFonts w:ascii="Times New Roman" w:hAnsi="Times New Roman" w:cs="Times New Roman"/>
          <w:noProof/>
          <w:color w:val="000000" w:themeColor="text1"/>
          <w:sz w:val="24"/>
          <w:szCs w:val="24"/>
          <w:lang w:val="en-GB"/>
        </w:rPr>
      </w:pPr>
      <w:r>
        <w:rPr>
          <w:rFonts w:ascii="Times New Roman" w:eastAsia="Times New Roman" w:hAnsi="Times New Roman" w:cs="Times New Roman"/>
          <w:noProof/>
          <w:color w:val="000000" w:themeColor="text1"/>
          <w:sz w:val="24"/>
          <w:szCs w:val="24"/>
          <w:lang w:val="en-GB"/>
        </w:rPr>
        <w:t xml:space="preserve">In any case, there is still potential for strengthening the synergies with other EU funding programmes and initiatives. </w:t>
      </w:r>
      <w:r>
        <w:rPr>
          <w:rFonts w:ascii="Times New Roman" w:hAnsi="Times New Roman" w:cs="Times New Roman"/>
          <w:noProof/>
          <w:color w:val="000000" w:themeColor="text1"/>
          <w:sz w:val="24"/>
          <w:szCs w:val="24"/>
          <w:lang w:val="en-GB"/>
        </w:rPr>
        <w:t>This is the case, for instance, of the drugs policy area, where the coordination with the Health for Growth Programme could be increased.</w:t>
      </w:r>
    </w:p>
    <w:p>
      <w:pPr>
        <w:spacing w:after="0" w:line="240" w:lineRule="auto"/>
        <w:jc w:val="both"/>
        <w:rPr>
          <w:rFonts w:ascii="Times New Roman" w:eastAsia="Times New Roman" w:hAnsi="Times New Roman" w:cs="Times New Roman"/>
          <w:b/>
          <w:noProof/>
          <w:color w:val="000000" w:themeColor="text1"/>
          <w:sz w:val="24"/>
          <w:szCs w:val="24"/>
          <w:lang w:val="en-GB" w:eastAsia="ro-RO"/>
        </w:rPr>
      </w:pPr>
      <w:r>
        <w:rPr>
          <w:rFonts w:ascii="Times New Roman" w:eastAsia="Times New Roman" w:hAnsi="Times New Roman" w:cs="Times New Roman"/>
          <w:noProof/>
          <w:color w:val="000000" w:themeColor="text1"/>
          <w:sz w:val="24"/>
          <w:szCs w:val="24"/>
          <w:lang w:val="en-GB" w:eastAsia="ro-RO"/>
        </w:rPr>
        <w:t>According to interviewed stakeholders,</w:t>
      </w:r>
      <w:r>
        <w:rPr>
          <w:rFonts w:ascii="Times New Roman" w:eastAsia="Times New Roman" w:hAnsi="Times New Roman" w:cs="Times New Roman"/>
          <w:b/>
          <w:noProof/>
          <w:color w:val="000000" w:themeColor="text1"/>
          <w:sz w:val="24"/>
          <w:szCs w:val="24"/>
          <w:lang w:val="en-GB" w:eastAsia="ro-RO"/>
        </w:rPr>
        <w:t xml:space="preserve"> the coherence with national </w:t>
      </w:r>
      <w:r>
        <w:rPr>
          <w:rFonts w:ascii="Times New Roman" w:hAnsi="Times New Roman" w:cs="Times New Roman"/>
          <w:b/>
          <w:noProof/>
          <w:color w:val="000000" w:themeColor="text1"/>
          <w:sz w:val="24"/>
          <w:szCs w:val="24"/>
          <w:lang w:val="en-GB"/>
        </w:rPr>
        <w:t>policies and initiatives with similar objectives and/or targeting the same areas</w:t>
      </w:r>
      <w:r>
        <w:rPr>
          <w:rFonts w:ascii="Times New Roman" w:eastAsia="Times New Roman" w:hAnsi="Times New Roman" w:cs="Times New Roman"/>
          <w:b/>
          <w:noProof/>
          <w:color w:val="000000" w:themeColor="text1"/>
          <w:sz w:val="24"/>
          <w:szCs w:val="24"/>
          <w:lang w:val="en-GB" w:eastAsia="ro-RO"/>
        </w:rPr>
        <w:t xml:space="preserve"> is high. </w:t>
      </w:r>
      <w:r>
        <w:rPr>
          <w:rFonts w:ascii="Times New Roman" w:hAnsi="Times New Roman" w:cs="Times New Roman"/>
          <w:b/>
          <w:noProof/>
          <w:color w:val="000000" w:themeColor="text1"/>
          <w:sz w:val="24"/>
          <w:szCs w:val="24"/>
          <w:lang w:val="en-GB"/>
        </w:rPr>
        <w:t>The Programme fills the gaps left by national actions</w:t>
      </w:r>
      <w:r>
        <w:rPr>
          <w:rFonts w:ascii="Times New Roman" w:hAnsi="Times New Roman" w:cs="Times New Roman"/>
          <w:noProof/>
          <w:color w:val="000000" w:themeColor="text1"/>
          <w:sz w:val="24"/>
          <w:szCs w:val="24"/>
          <w:lang w:val="en-GB"/>
        </w:rPr>
        <w:t>, while existing national projects and initiatives complement the Programme rather than being in contrast with it or a mere duplication. Indeed, when both the Justice Programme and national initiatives have the same (or similar) objectives and target groups, there are always differences between them, in terms of size of geographical scope (with enlarged scope in terms of target groups), available resources and number of projects funded.</w:t>
      </w:r>
    </w:p>
    <w:p>
      <w:pPr>
        <w:spacing w:after="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b/>
          <w:noProof/>
          <w:color w:val="000000" w:themeColor="text1"/>
          <w:sz w:val="24"/>
          <w:szCs w:val="24"/>
          <w:lang w:val="en-GB"/>
        </w:rPr>
        <w:t>The</w:t>
      </w:r>
      <w:r>
        <w:rPr>
          <w:rFonts w:ascii="Times New Roman" w:hAnsi="Times New Roman" w:cs="Times New Roman"/>
          <w:noProof/>
          <w:color w:val="000000" w:themeColor="text1"/>
          <w:sz w:val="24"/>
          <w:szCs w:val="24"/>
          <w:lang w:val="en-GB"/>
        </w:rPr>
        <w:t xml:space="preserve"> </w:t>
      </w:r>
      <w:r>
        <w:rPr>
          <w:rFonts w:ascii="Times New Roman" w:hAnsi="Times New Roman" w:cs="Times New Roman"/>
          <w:b/>
          <w:noProof/>
          <w:color w:val="000000" w:themeColor="text1"/>
          <w:sz w:val="24"/>
          <w:szCs w:val="24"/>
          <w:lang w:val="en-GB"/>
        </w:rPr>
        <w:t>Justice Programme is coherent also with international obligations</w:t>
      </w:r>
      <w:r>
        <w:rPr>
          <w:rFonts w:ascii="Times New Roman" w:hAnsi="Times New Roman" w:cs="Times New Roman"/>
          <w:noProof/>
          <w:color w:val="000000" w:themeColor="text1"/>
          <w:sz w:val="24"/>
          <w:szCs w:val="24"/>
          <w:lang w:val="en-GB"/>
        </w:rPr>
        <w:t>, such as the UN 2030 Sustainable Development Agenda. Indeed, some general principles of the UN agenda can be linked to objectives and areas targeted by the Justice Programme. This is the case of the UN objective of ensuring peace and security, to be achieved through just and inclusive societies that provide equal access to justice, effective rule of law, as well as transparent and effective judicial institutions. All these elements can be found as integrative parts of the Justice Programme, both in terms of access to justice and judicial training. Moreover, the EU is party to The Hague Conference on Private International Law and pursues its international action in relation to civil justice mainly through this international organisation.</w:t>
      </w:r>
    </w:p>
    <w:p>
      <w:pPr>
        <w:spacing w:after="0" w:line="240" w:lineRule="auto"/>
        <w:jc w:val="both"/>
        <w:rPr>
          <w:rFonts w:ascii="Times New Roman" w:hAnsi="Times New Roman" w:cs="Times New Roman"/>
          <w:noProof/>
          <w:color w:val="000000" w:themeColor="text1"/>
          <w:sz w:val="24"/>
          <w:szCs w:val="24"/>
          <w:lang w:val="en-GB"/>
        </w:rPr>
      </w:pP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5.5 EU added value</w:t>
      </w:r>
    </w:p>
    <w:p>
      <w:pPr>
        <w:tabs>
          <w:tab w:val="num" w:pos="283"/>
        </w:tabs>
        <w:spacing w:after="0" w:line="240" w:lineRule="auto"/>
        <w:jc w:val="both"/>
        <w:rPr>
          <w:rFonts w:ascii="Times New Roman" w:eastAsia="Times New Roman" w:hAnsi="Times New Roman" w:cs="Times New Roman"/>
          <w:noProof/>
          <w:color w:val="000000" w:themeColor="text1"/>
          <w:sz w:val="24"/>
          <w:szCs w:val="24"/>
          <w:lang w:val="en-GB"/>
        </w:rPr>
      </w:pPr>
      <w:r>
        <w:rPr>
          <w:rFonts w:ascii="Times New Roman" w:eastAsia="Times New Roman" w:hAnsi="Times New Roman" w:cs="Times New Roman"/>
          <w:b/>
          <w:noProof/>
          <w:color w:val="000000" w:themeColor="text1"/>
          <w:sz w:val="24"/>
          <w:szCs w:val="24"/>
          <w:lang w:val="en-GB"/>
        </w:rPr>
        <w:t>All evidence collected confirms the high added value of the Programme intervention</w:t>
      </w:r>
      <w:r>
        <w:rPr>
          <w:rFonts w:ascii="Times New Roman" w:eastAsia="Times New Roman" w:hAnsi="Times New Roman" w:cs="Times New Roman"/>
          <w:noProof/>
          <w:color w:val="000000" w:themeColor="text1"/>
          <w:sz w:val="24"/>
          <w:szCs w:val="24"/>
          <w:lang w:val="en-GB"/>
        </w:rPr>
        <w:t xml:space="preserve">, which is considered </w:t>
      </w:r>
      <w:r>
        <w:rPr>
          <w:rFonts w:ascii="Times New Roman" w:eastAsia="Times New Roman" w:hAnsi="Times New Roman" w:cs="Times New Roman"/>
          <w:i/>
          <w:noProof/>
          <w:color w:val="000000" w:themeColor="text1"/>
          <w:sz w:val="24"/>
          <w:szCs w:val="24"/>
          <w:lang w:val="en-GB"/>
        </w:rPr>
        <w:t>de facto</w:t>
      </w:r>
      <w:r>
        <w:rPr>
          <w:rFonts w:ascii="Times New Roman" w:eastAsia="Times New Roman" w:hAnsi="Times New Roman" w:cs="Times New Roman"/>
          <w:noProof/>
          <w:color w:val="000000" w:themeColor="text1"/>
          <w:sz w:val="24"/>
          <w:szCs w:val="24"/>
          <w:lang w:val="en-GB"/>
        </w:rPr>
        <w:t xml:space="preserve"> instrumental for a good and effective achievement of objectives in the area of justice. </w:t>
      </w:r>
    </w:p>
    <w:p>
      <w:pPr>
        <w:tabs>
          <w:tab w:val="num" w:pos="283"/>
        </w:tabs>
        <w:spacing w:after="0" w:line="240" w:lineRule="auto"/>
        <w:jc w:val="both"/>
        <w:rPr>
          <w:rFonts w:ascii="Times New Roman" w:eastAsia="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The results of the evaluation show that the survey respondents agree in saying that not only the funded activities would have not been possible without the EU intervention, but also confirmed that the same results would have not been achieved with Member States intervention only, in terms of creation of partnerships, realisation of outputs, funding of innovative actions, sustainability of results, and, especially, implementation of projects of transnational size and scale. Indeed, </w:t>
      </w:r>
      <w:r>
        <w:rPr>
          <w:rFonts w:ascii="Times New Roman" w:eastAsia="Times New Roman" w:hAnsi="Times New Roman" w:cs="Times New Roman"/>
          <w:noProof/>
          <w:color w:val="000000" w:themeColor="text1"/>
          <w:sz w:val="24"/>
          <w:szCs w:val="24"/>
          <w:lang w:val="en-GB"/>
        </w:rPr>
        <w:t xml:space="preserve">the EU added value of the Justice Programme is evident, above all, in the promotion of transnational projects with a European dimension to tackle cross-border issues and in the provision of financial resources to fund activities in key areas that are not necessarily high on the agenda of </w:t>
      </w:r>
      <w:r>
        <w:rPr>
          <w:rFonts w:ascii="Times New Roman" w:hAnsi="Times New Roman" w:cs="Times New Roman"/>
          <w:noProof/>
          <w:color w:val="000000" w:themeColor="text1"/>
          <w:sz w:val="24"/>
          <w:szCs w:val="24"/>
          <w:lang w:val="en-GB"/>
        </w:rPr>
        <w:t xml:space="preserve">Member States, due to lack of political will </w:t>
      </w:r>
      <w:r>
        <w:rPr>
          <w:rFonts w:ascii="Times New Roman" w:eastAsia="Times New Roman" w:hAnsi="Times New Roman" w:cs="Times New Roman"/>
          <w:noProof/>
          <w:color w:val="000000" w:themeColor="text1"/>
          <w:sz w:val="24"/>
          <w:szCs w:val="24"/>
          <w:lang w:val="en-GB"/>
        </w:rPr>
        <w:t>(according to stakeholders, this is particularly true for the specific objective on access to justice</w:t>
      </w:r>
      <w:r>
        <w:rPr>
          <w:rStyle w:val="FootnoteReference"/>
          <w:rFonts w:ascii="Times New Roman" w:eastAsia="Times New Roman" w:hAnsi="Times New Roman" w:cs="Times New Roman"/>
          <w:noProof/>
          <w:color w:val="000000" w:themeColor="text1"/>
          <w:szCs w:val="24"/>
          <w:lang w:val="en-GB"/>
        </w:rPr>
        <w:footnoteReference w:id="45"/>
      </w:r>
      <w:r>
        <w:rPr>
          <w:rFonts w:ascii="Times New Roman" w:eastAsia="Times New Roman" w:hAnsi="Times New Roman" w:cs="Times New Roman"/>
          <w:noProof/>
          <w:color w:val="000000" w:themeColor="text1"/>
          <w:sz w:val="24"/>
          <w:szCs w:val="24"/>
          <w:lang w:val="en-GB"/>
        </w:rPr>
        <w:t xml:space="preserve">). </w:t>
      </w:r>
    </w:p>
    <w:p>
      <w:pPr>
        <w:tabs>
          <w:tab w:val="num" w:pos="283"/>
        </w:tabs>
        <w:spacing w:after="0" w:line="240" w:lineRule="auto"/>
        <w:jc w:val="both"/>
        <w:rPr>
          <w:rFonts w:ascii="Times New Roman" w:eastAsia="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According to beneficiaries interviewed, the Programme can influence and align, at least to a moderate extent, national actions in the targeted areas.</w:t>
      </w:r>
    </w:p>
    <w:p>
      <w:pPr>
        <w:tabs>
          <w:tab w:val="num" w:pos="283"/>
        </w:tabs>
        <w:spacing w:after="0" w:line="240" w:lineRule="auto"/>
        <w:jc w:val="both"/>
        <w:rPr>
          <w:rFonts w:ascii="Times New Roman" w:eastAsia="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 Programme makes also beneficiaries able to work with partners in other Member States, a possibility that increased their knowledge and understanding of the issues covered by the Programme, widened their approach and range of skills, and provided them with access to good practice examples and tools developed in other Member States. As already mentioned above, partnerships are a key element for the success of the Justice Programme and are present in the majority of projects.</w:t>
      </w:r>
    </w:p>
    <w:p>
      <w:pPr>
        <w:tabs>
          <w:tab w:val="num" w:pos="283"/>
        </w:tabs>
        <w:spacing w:after="0" w:line="240" w:lineRule="auto"/>
        <w:jc w:val="both"/>
        <w:rPr>
          <w:rFonts w:ascii="Times New Roman" w:eastAsia="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 lack of national funding is one of the main reasons why the Programmes’ funded activities would not have been possible through single Member States action. This is particularly true for the initiatives in the field of drug policies, where national initiatives are often missing a crucial transnational dimension that is pivotal in this field, and for EU-level judicial training that, usually, is not provided at national level. Moreover, the Justice Programme ensures the continued existence of European networks such as the European Judicial Training Network.</w:t>
      </w:r>
    </w:p>
    <w:p>
      <w:pPr>
        <w:pStyle w:val="Body"/>
        <w:spacing w:before="0" w:after="0"/>
        <w:rPr>
          <w:rFonts w:ascii="Times New Roman" w:hAnsi="Times New Roman"/>
          <w:noProof/>
          <w:color w:val="000000" w:themeColor="text1"/>
          <w:sz w:val="24"/>
          <w:szCs w:val="24"/>
        </w:rPr>
      </w:pPr>
      <w:r>
        <w:rPr>
          <w:rFonts w:ascii="Times New Roman" w:hAnsi="Times New Roman"/>
          <w:noProof/>
          <w:color w:val="000000" w:themeColor="text1"/>
          <w:sz w:val="24"/>
          <w:szCs w:val="24"/>
        </w:rPr>
        <w:t>The perceived importance of the Programme can be explained also by the high number of projects awarded after just three years, compared to the three predecessor programmes</w:t>
      </w:r>
      <w:r>
        <w:rPr>
          <w:rStyle w:val="FootnoteReference"/>
          <w:rFonts w:ascii="Times New Roman" w:hAnsi="Times New Roman"/>
          <w:noProof/>
          <w:color w:val="000000" w:themeColor="text1"/>
          <w:sz w:val="24"/>
          <w:szCs w:val="24"/>
        </w:rPr>
        <w:footnoteReference w:id="46"/>
      </w:r>
      <w:r>
        <w:rPr>
          <w:rFonts w:ascii="Times New Roman" w:hAnsi="Times New Roman"/>
          <w:noProof/>
          <w:color w:val="000000" w:themeColor="text1"/>
          <w:sz w:val="24"/>
          <w:szCs w:val="24"/>
        </w:rPr>
        <w:t xml:space="preserve"> and the </w:t>
      </w:r>
      <w:r>
        <w:rPr>
          <w:rFonts w:ascii="Times New Roman" w:hAnsi="Times New Roman"/>
          <w:noProof/>
          <w:color w:val="000000" w:themeColor="text1"/>
          <w:sz w:val="24"/>
          <w:szCs w:val="24"/>
          <w:lang w:eastAsia="en-GB"/>
        </w:rPr>
        <w:t xml:space="preserve">increase in the number of yearly applications received from potential beneficiaries </w:t>
      </w:r>
      <w:r>
        <w:rPr>
          <w:rFonts w:ascii="Times New Roman" w:hAnsi="Times New Roman"/>
          <w:noProof/>
          <w:color w:val="000000" w:themeColor="text1"/>
          <w:sz w:val="24"/>
          <w:szCs w:val="24"/>
        </w:rPr>
        <w:t xml:space="preserve">indicates that the Programme remains a key source of funding across the EU. </w:t>
      </w:r>
    </w:p>
    <w:p>
      <w:pPr>
        <w:tabs>
          <w:tab w:val="num" w:pos="283"/>
        </w:tabs>
        <w:spacing w:after="0" w:line="240" w:lineRule="auto"/>
        <w:jc w:val="both"/>
        <w:rPr>
          <w:rFonts w:ascii="Times New Roman" w:eastAsia="Times New Roman" w:hAnsi="Times New Roman" w:cs="Times New Roman"/>
          <w:noProof/>
          <w:color w:val="000000" w:themeColor="text1"/>
          <w:sz w:val="24"/>
          <w:szCs w:val="24"/>
          <w:lang w:val="en-GB"/>
        </w:rPr>
      </w:pPr>
      <w:r>
        <w:rPr>
          <w:rFonts w:ascii="Times New Roman" w:eastAsia="Times New Roman" w:hAnsi="Times New Roman" w:cs="Times New Roman"/>
          <w:noProof/>
          <w:color w:val="000000" w:themeColor="text1"/>
          <w:sz w:val="24"/>
          <w:szCs w:val="24"/>
          <w:lang w:val="en-GB"/>
        </w:rPr>
        <w:t xml:space="preserve">Moreover, </w:t>
      </w:r>
      <w:r>
        <w:rPr>
          <w:rFonts w:ascii="Times New Roman" w:eastAsia="Times New Roman" w:hAnsi="Times New Roman" w:cs="Times New Roman"/>
          <w:b/>
          <w:noProof/>
          <w:color w:val="000000" w:themeColor="text1"/>
          <w:sz w:val="24"/>
          <w:szCs w:val="24"/>
          <w:lang w:val="en-GB"/>
        </w:rPr>
        <w:t>judicial training</w:t>
      </w:r>
      <w:r>
        <w:rPr>
          <w:rFonts w:ascii="Times New Roman" w:eastAsia="Times New Roman" w:hAnsi="Times New Roman" w:cs="Times New Roman"/>
          <w:noProof/>
          <w:color w:val="000000" w:themeColor="text1"/>
          <w:sz w:val="24"/>
          <w:szCs w:val="24"/>
          <w:lang w:val="en-GB"/>
        </w:rPr>
        <w:t xml:space="preserve"> </w:t>
      </w:r>
      <w:r>
        <w:rPr>
          <w:rFonts w:ascii="Times New Roman" w:eastAsia="Times New Roman" w:hAnsi="Times New Roman" w:cs="Times New Roman"/>
          <w:b/>
          <w:noProof/>
          <w:color w:val="000000" w:themeColor="text1"/>
          <w:sz w:val="24"/>
          <w:szCs w:val="24"/>
          <w:lang w:val="en-GB"/>
        </w:rPr>
        <w:t>figures more</w:t>
      </w:r>
      <w:r>
        <w:rPr>
          <w:rFonts w:ascii="Times New Roman" w:eastAsia="Times New Roman" w:hAnsi="Times New Roman" w:cs="Times New Roman"/>
          <w:noProof/>
          <w:color w:val="000000" w:themeColor="text1"/>
          <w:sz w:val="24"/>
          <w:szCs w:val="24"/>
          <w:lang w:val="en-GB"/>
        </w:rPr>
        <w:t xml:space="preserve"> </w:t>
      </w:r>
      <w:r>
        <w:rPr>
          <w:rFonts w:ascii="Times New Roman" w:eastAsia="Times New Roman" w:hAnsi="Times New Roman" w:cs="Times New Roman"/>
          <w:b/>
          <w:noProof/>
          <w:color w:val="000000" w:themeColor="text1"/>
          <w:sz w:val="24"/>
          <w:szCs w:val="24"/>
          <w:lang w:val="en-GB"/>
        </w:rPr>
        <w:t xml:space="preserve">prominently </w:t>
      </w:r>
      <w:r>
        <w:rPr>
          <w:rFonts w:ascii="Times New Roman" w:eastAsia="Times New Roman" w:hAnsi="Times New Roman" w:cs="Times New Roman"/>
          <w:noProof/>
          <w:color w:val="000000" w:themeColor="text1"/>
          <w:sz w:val="24"/>
          <w:szCs w:val="24"/>
          <w:lang w:val="en-GB"/>
        </w:rPr>
        <w:t>in the intervention logic of the Justice Programme, compared to the predecessor programmes. This is an important step forward for the EU added value of the Programme since judicial training is central to build mutual trust, improve cooperation between judicial authorities and practitioners in the Member States and increase the coherence in the application of the EU legislation.</w:t>
      </w:r>
    </w:p>
    <w:p>
      <w:pPr>
        <w:pStyle w:val="Body"/>
        <w:spacing w:before="0" w:after="0"/>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The results of the evaluation show that the </w:t>
      </w:r>
      <w:r>
        <w:rPr>
          <w:rFonts w:ascii="Times New Roman" w:hAnsi="Times New Roman"/>
          <w:b/>
          <w:noProof/>
          <w:color w:val="000000" w:themeColor="text1"/>
          <w:sz w:val="24"/>
          <w:szCs w:val="24"/>
        </w:rPr>
        <w:t>issues and areas addressed by the Justice Programme would require further action</w:t>
      </w:r>
      <w:r>
        <w:rPr>
          <w:rFonts w:ascii="Times New Roman" w:hAnsi="Times New Roman"/>
          <w:noProof/>
          <w:color w:val="000000" w:themeColor="text1"/>
          <w:sz w:val="24"/>
          <w:szCs w:val="24"/>
        </w:rPr>
        <w:t xml:space="preserve"> </w:t>
      </w:r>
      <w:r>
        <w:rPr>
          <w:rFonts w:ascii="Times New Roman" w:hAnsi="Times New Roman"/>
          <w:b/>
          <w:noProof/>
          <w:color w:val="000000" w:themeColor="text1"/>
          <w:sz w:val="24"/>
          <w:szCs w:val="24"/>
        </w:rPr>
        <w:t>and involvement at EU level</w:t>
      </w:r>
      <w:r>
        <w:rPr>
          <w:rFonts w:ascii="Times New Roman" w:hAnsi="Times New Roman"/>
          <w:noProof/>
          <w:color w:val="000000" w:themeColor="text1"/>
          <w:sz w:val="24"/>
          <w:szCs w:val="24"/>
        </w:rPr>
        <w:t xml:space="preserve">. Indeed, the demand of EU action in these fields and the fact that the number of applications to the Programme are still higher than the number of awarded grants demonstrate a clear interest in the priorities addressed by the Programme. </w:t>
      </w:r>
    </w:p>
    <w:p>
      <w:pPr>
        <w:keepNext/>
        <w:spacing w:after="0" w:line="240" w:lineRule="auto"/>
        <w:jc w:val="both"/>
        <w:rPr>
          <w:rFonts w:ascii="Times New Roman" w:hAnsi="Times New Roman" w:cs="Times New Roman"/>
          <w:noProof/>
          <w:sz w:val="24"/>
          <w:szCs w:val="24"/>
          <w:lang w:val="en-GB"/>
        </w:rPr>
      </w:pP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5.6 Equity</w:t>
      </w:r>
    </w:p>
    <w:p>
      <w:pPr>
        <w:spacing w:after="0" w:line="240" w:lineRule="auto"/>
        <w:jc w:val="both"/>
        <w:rPr>
          <w:rFonts w:ascii="Times New Roman" w:eastAsia="Calibri" w:hAnsi="Times New Roman" w:cs="Times New Roman"/>
          <w:noProof/>
          <w:sz w:val="24"/>
          <w:szCs w:val="24"/>
          <w:lang w:val="en-GB"/>
        </w:rPr>
      </w:pPr>
      <w:r>
        <w:rPr>
          <w:rFonts w:ascii="Times New Roman" w:eastAsia="Times New Roman" w:hAnsi="Times New Roman" w:cs="Times New Roman"/>
          <w:b/>
          <w:noProof/>
          <w:color w:val="000000" w:themeColor="text1"/>
          <w:sz w:val="24"/>
          <w:szCs w:val="24"/>
          <w:lang w:val="en-GB"/>
        </w:rPr>
        <w:t xml:space="preserve">The promotion of the cross-cutting priorities of gender equality, rights of child and rights of people with disabilities is highly significant for the Justice Programme and it’s enshrined in its legal basis. </w:t>
      </w:r>
      <w:r>
        <w:rPr>
          <w:rFonts w:ascii="Times New Roman" w:eastAsia="Times New Roman" w:hAnsi="Times New Roman" w:cs="Times New Roman"/>
          <w:noProof/>
          <w:color w:val="000000" w:themeColor="text1"/>
          <w:sz w:val="24"/>
          <w:szCs w:val="24"/>
          <w:lang w:val="en-GB"/>
        </w:rPr>
        <w:t>In particular, the principles of</w:t>
      </w:r>
      <w:r>
        <w:rPr>
          <w:rFonts w:ascii="Times New Roman" w:eastAsia="Times New Roman" w:hAnsi="Times New Roman" w:cs="Times New Roman"/>
          <w:b/>
          <w:noProof/>
          <w:color w:val="000000" w:themeColor="text1"/>
          <w:sz w:val="24"/>
          <w:szCs w:val="24"/>
          <w:lang w:val="en-GB"/>
        </w:rPr>
        <w:t xml:space="preserve"> </w:t>
      </w:r>
      <w:r>
        <w:rPr>
          <w:rFonts w:ascii="Times New Roman" w:eastAsia="Times New Roman" w:hAnsi="Times New Roman" w:cs="Times New Roman"/>
          <w:noProof/>
          <w:color w:val="000000" w:themeColor="text1"/>
          <w:sz w:val="24"/>
          <w:szCs w:val="24"/>
          <w:lang w:val="en-GB"/>
        </w:rPr>
        <w:t xml:space="preserve">gender and child rights mainstreaming are evaluated during the evaluation process under the quality of proposals. </w:t>
      </w:r>
      <w:r>
        <w:rPr>
          <w:rFonts w:ascii="Times New Roman" w:hAnsi="Times New Roman" w:cs="Times New Roman"/>
          <w:noProof/>
          <w:color w:val="000000" w:themeColor="text1"/>
          <w:sz w:val="24"/>
          <w:szCs w:val="24"/>
          <w:lang w:val="en-GB"/>
        </w:rPr>
        <w:t>The issue of gender mainstreaming is specifically mentioned in the “part B” of the application form.</w:t>
      </w:r>
      <w:r>
        <w:rPr>
          <w:rFonts w:ascii="Times New Roman" w:eastAsia="Times New Roman" w:hAnsi="Times New Roman" w:cs="Times New Roman"/>
          <w:noProof/>
          <w:color w:val="000000" w:themeColor="text1"/>
          <w:sz w:val="24"/>
          <w:szCs w:val="24"/>
          <w:lang w:val="en-GB"/>
        </w:rPr>
        <w:t xml:space="preserve"> </w:t>
      </w:r>
      <w:r>
        <w:rPr>
          <w:rFonts w:ascii="Times New Roman" w:hAnsi="Times New Roman" w:cs="Times New Roman"/>
          <w:noProof/>
          <w:color w:val="000000" w:themeColor="text1"/>
          <w:sz w:val="24"/>
          <w:szCs w:val="24"/>
          <w:lang w:val="en-GB"/>
        </w:rPr>
        <w:t xml:space="preserve">However, the evaluation showed that, </w:t>
      </w:r>
      <w:r>
        <w:rPr>
          <w:rFonts w:ascii="Times New Roman" w:eastAsia="Calibri" w:hAnsi="Times New Roman" w:cs="Times New Roman"/>
          <w:noProof/>
          <w:color w:val="000000" w:themeColor="text1"/>
          <w:sz w:val="24"/>
          <w:szCs w:val="24"/>
          <w:lang w:val="en-GB"/>
        </w:rPr>
        <w:t xml:space="preserve">in terms of projects developed, gender issues and equality are hardly a major theme in most of them. Reference to women and gender equality are nonetheless found in five-six projects, which, still not focusing directly on the matter, take into account such element in their implementation. </w:t>
      </w:r>
    </w:p>
    <w:p>
      <w:pPr>
        <w:spacing w:after="0" w:line="240" w:lineRule="auto"/>
        <w:jc w:val="both"/>
        <w:rPr>
          <w:rFonts w:ascii="Times New Roman" w:eastAsia="Calibri" w:hAnsi="Times New Roman" w:cs="Times New Roman"/>
          <w:noProof/>
          <w:color w:val="000000" w:themeColor="text1"/>
          <w:sz w:val="24"/>
          <w:szCs w:val="24"/>
          <w:lang w:val="en-GB"/>
        </w:rPr>
      </w:pPr>
      <w:r>
        <w:rPr>
          <w:rFonts w:ascii="Times New Roman" w:hAnsi="Times New Roman" w:cs="Times New Roman"/>
          <w:noProof/>
          <w:sz w:val="24"/>
          <w:szCs w:val="24"/>
          <w:lang w:val="en-GB"/>
        </w:rPr>
        <w:t>The Justice Programme supports the rights of the child both in the programming phase (design of the calls for proposals) and by means of the activities of projects selected for funding.</w:t>
      </w:r>
      <w:r>
        <w:rPr>
          <w:rFonts w:ascii="Times New Roman" w:eastAsia="Calibri" w:hAnsi="Times New Roman" w:cs="Times New Roman"/>
          <w:noProof/>
          <w:color w:val="000000" w:themeColor="text1"/>
          <w:sz w:val="24"/>
          <w:szCs w:val="24"/>
          <w:lang w:val="en-GB"/>
        </w:rPr>
        <w:t xml:space="preserve"> </w:t>
      </w:r>
      <w:r>
        <w:rPr>
          <w:rFonts w:ascii="Times New Roman" w:eastAsia="Times New Roman" w:hAnsi="Times New Roman" w:cs="Times New Roman"/>
          <w:noProof/>
          <w:color w:val="000000" w:themeColor="text1"/>
          <w:sz w:val="24"/>
          <w:szCs w:val="24"/>
          <w:lang w:val="en-GB"/>
        </w:rPr>
        <w:t>T</w:t>
      </w:r>
      <w:r>
        <w:rPr>
          <w:rFonts w:ascii="Times New Roman" w:hAnsi="Times New Roman" w:cs="Times New Roman"/>
          <w:noProof/>
          <w:color w:val="000000" w:themeColor="text1"/>
          <w:sz w:val="24"/>
          <w:szCs w:val="24"/>
          <w:lang w:val="en-GB"/>
        </w:rPr>
        <w:t xml:space="preserve">he respect of the rights of the child is therefore enhanced by the fact that organisations applying for funding (and any of their partners), which will work directly with children during the project implementation, must provide the Commission with a description of their child protection policy. </w:t>
      </w:r>
      <w:r>
        <w:rPr>
          <w:rFonts w:ascii="Times New Roman" w:hAnsi="Times New Roman" w:cs="Times New Roman"/>
          <w:noProof/>
          <w:sz w:val="24"/>
          <w:szCs w:val="24"/>
          <w:lang w:val="en-GB"/>
        </w:rPr>
        <w:t>Moreover, calls for proposals funded under the Justice Programme contain topics that are relevant to the subject.</w:t>
      </w:r>
      <w:r>
        <w:rPr>
          <w:rFonts w:ascii="Times New Roman" w:eastAsia="Calibri" w:hAnsi="Times New Roman" w:cs="Times New Roman"/>
          <w:noProof/>
          <w:sz w:val="24"/>
          <w:szCs w:val="24"/>
          <w:lang w:val="en-GB"/>
        </w:rPr>
        <w:t xml:space="preserve"> The results of the evaluation show that the majority of respondents agree to further mainstream and promote the rights of the child in the Programme.</w:t>
      </w:r>
    </w:p>
    <w:p>
      <w:pPr>
        <w:spacing w:after="0" w:line="240" w:lineRule="auto"/>
        <w:jc w:val="both"/>
        <w:rPr>
          <w:rFonts w:ascii="Times New Roman" w:eastAsia="Calibri" w:hAnsi="Times New Roman" w:cs="Times New Roman"/>
          <w:noProof/>
          <w:color w:val="000000" w:themeColor="text1"/>
          <w:sz w:val="24"/>
          <w:szCs w:val="24"/>
          <w:lang w:val="en-GB"/>
        </w:rPr>
      </w:pPr>
      <w:r>
        <w:rPr>
          <w:rFonts w:ascii="Times New Roman" w:eastAsia="Calibri" w:hAnsi="Times New Roman" w:cs="Times New Roman"/>
          <w:noProof/>
          <w:color w:val="000000" w:themeColor="text1"/>
          <w:sz w:val="24"/>
          <w:szCs w:val="24"/>
          <w:lang w:val="en-GB"/>
        </w:rPr>
        <w:t xml:space="preserve">Concerning the priority of rights of people with disabilities, it seems </w:t>
      </w:r>
      <w:r>
        <w:rPr>
          <w:rFonts w:ascii="Times New Roman" w:eastAsia="Calibri" w:hAnsi="Times New Roman" w:cs="Times New Roman"/>
          <w:noProof/>
          <w:sz w:val="24"/>
          <w:szCs w:val="24"/>
          <w:lang w:val="en-GB"/>
        </w:rPr>
        <w:t xml:space="preserve">more in the background compared to the previous two. </w:t>
      </w:r>
      <w:r>
        <w:rPr>
          <w:rFonts w:ascii="Times New Roman" w:eastAsia="Calibri" w:hAnsi="Times New Roman" w:cs="Times New Roman"/>
          <w:noProof/>
          <w:color w:val="000000" w:themeColor="text1"/>
          <w:sz w:val="24"/>
          <w:szCs w:val="24"/>
          <w:lang w:val="en-GB"/>
        </w:rPr>
        <w:t>Indeed, among the projects funded, only one directly targeted at people with disabilities, under the specific objective access to justice</w:t>
      </w:r>
      <w:r>
        <w:rPr>
          <w:rStyle w:val="FootnoteReference"/>
          <w:rFonts w:ascii="Times New Roman" w:eastAsia="Calibri" w:hAnsi="Times New Roman" w:cs="Times New Roman"/>
          <w:noProof/>
          <w:color w:val="000000" w:themeColor="text1"/>
          <w:sz w:val="24"/>
          <w:szCs w:val="24"/>
          <w:lang w:val="en-GB"/>
        </w:rPr>
        <w:footnoteReference w:id="47"/>
      </w:r>
      <w:r>
        <w:rPr>
          <w:rFonts w:ascii="Times New Roman" w:eastAsia="Calibri" w:hAnsi="Times New Roman" w:cs="Times New Roman"/>
          <w:noProof/>
          <w:color w:val="000000" w:themeColor="text1"/>
          <w:sz w:val="24"/>
          <w:szCs w:val="24"/>
          <w:lang w:val="en-GB"/>
        </w:rPr>
        <w:t>. In terms of the need to further promote the rights of people with disability in the Programme, stakeholders have quite heterogeneous opinions, but all categories tend to think there is at least a “moderate” need to do it.</w:t>
      </w:r>
    </w:p>
    <w:p>
      <w:pPr>
        <w:spacing w:after="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To understand how the Programme promotes equity through the funded activities, participants' data broken down by sex, disability status or age, as required by the Regulation, shall be collected. This is however not yet done.</w:t>
      </w:r>
    </w:p>
    <w:p>
      <w:pPr>
        <w:spacing w:after="0" w:line="240" w:lineRule="auto"/>
        <w:jc w:val="both"/>
        <w:rPr>
          <w:rFonts w:ascii="Times New Roman" w:hAnsi="Times New Roman" w:cs="Times New Roman"/>
          <w:noProof/>
          <w:sz w:val="24"/>
          <w:szCs w:val="24"/>
          <w:lang w:val="en-GB"/>
        </w:rPr>
      </w:pPr>
      <w:r>
        <w:rPr>
          <w:rFonts w:ascii="Times New Roman" w:eastAsia="Calibri" w:hAnsi="Times New Roman" w:cs="Times New Roman"/>
          <w:noProof/>
          <w:sz w:val="24"/>
          <w:szCs w:val="24"/>
          <w:lang w:val="en-GB"/>
        </w:rPr>
        <w:t>Finally, as already mentioned, in the future, the Programme should try to distribute its resources in a more balanced manner across the different target groups of beneficiaries and Member States</w:t>
      </w:r>
      <w:r>
        <w:rPr>
          <w:rFonts w:ascii="Times New Roman" w:hAnsi="Times New Roman" w:cs="Times New Roman"/>
          <w:noProof/>
          <w:sz w:val="24"/>
          <w:szCs w:val="24"/>
          <w:lang w:val="en-GB"/>
        </w:rPr>
        <w:t>.</w:t>
      </w:r>
    </w:p>
    <w:p>
      <w:pPr>
        <w:spacing w:after="0" w:line="240" w:lineRule="auto"/>
        <w:jc w:val="both"/>
        <w:rPr>
          <w:rFonts w:ascii="Times New Roman" w:hAnsi="Times New Roman" w:cs="Times New Roman"/>
          <w:noProof/>
          <w:sz w:val="24"/>
          <w:szCs w:val="24"/>
          <w:lang w:val="en-GB"/>
        </w:rPr>
      </w:pP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5.7 Scope for simplification</w:t>
      </w:r>
    </w:p>
    <w:p>
      <w:pPr>
        <w:spacing w:after="0" w:line="240" w:lineRule="auto"/>
        <w:jc w:val="both"/>
        <w:rPr>
          <w:rFonts w:ascii="Times New Roman" w:eastAsia="Times New Roman" w:hAnsi="Times New Roman" w:cs="Times New Roman"/>
          <w:noProof/>
          <w:color w:val="000000" w:themeColor="text1"/>
          <w:sz w:val="24"/>
          <w:szCs w:val="24"/>
          <w:lang w:val="en-GB" w:eastAsia="ro-RO"/>
        </w:rPr>
      </w:pPr>
      <w:r>
        <w:rPr>
          <w:rFonts w:ascii="Times New Roman" w:eastAsia="Times New Roman" w:hAnsi="Times New Roman" w:cs="Times New Roman"/>
          <w:b/>
          <w:noProof/>
          <w:color w:val="000000" w:themeColor="text1"/>
          <w:sz w:val="24"/>
          <w:szCs w:val="24"/>
          <w:lang w:val="en-GB" w:eastAsia="ro-RO"/>
        </w:rPr>
        <w:t>The evaluation did not identify clear scope for further simplifications concerning the management mode of the Programme</w:t>
      </w:r>
      <w:r>
        <w:rPr>
          <w:rFonts w:ascii="Times New Roman" w:eastAsia="Times New Roman" w:hAnsi="Times New Roman" w:cs="Times New Roman"/>
          <w:noProof/>
          <w:color w:val="000000" w:themeColor="text1"/>
          <w:sz w:val="24"/>
          <w:szCs w:val="24"/>
          <w:lang w:val="en-GB" w:eastAsia="ro-RO"/>
        </w:rPr>
        <w:t xml:space="preserve">. The current direct management mode appears adequate given the size of the Programme. </w:t>
      </w:r>
    </w:p>
    <w:p>
      <w:pPr>
        <w:spacing w:after="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However, notwithstanding the improvements made with the current Programme, both Commission officials and beneficiaries interviewed expressed critical opinions on the implementation process, with specific regard to budget management and reporting duties. Among the reasons provided, beneficiaries indicate that the financial reporting is too detailed and inflexible when compared to the ones applied within other EU Programmes (e.g. Horizon 2020 and Erasmus+).</w:t>
      </w:r>
    </w:p>
    <w:p>
      <w:pPr>
        <w:spacing w:after="0" w:line="240" w:lineRule="auto"/>
        <w:jc w:val="both"/>
        <w:rPr>
          <w:rFonts w:ascii="Times New Roman" w:hAnsi="Times New Roman" w:cs="Times New Roman"/>
          <w:noProof/>
          <w:color w:val="000000" w:themeColor="text1"/>
          <w:sz w:val="24"/>
          <w:szCs w:val="24"/>
          <w:lang w:val="en-GB" w:eastAsia="nl-BE"/>
        </w:rPr>
      </w:pPr>
      <w:r>
        <w:rPr>
          <w:rFonts w:ascii="Times New Roman" w:eastAsia="Times New Roman" w:hAnsi="Times New Roman" w:cs="Times New Roman"/>
          <w:noProof/>
          <w:color w:val="000000" w:themeColor="text1"/>
          <w:sz w:val="24"/>
          <w:szCs w:val="24"/>
          <w:lang w:val="en-GB"/>
        </w:rPr>
        <w:t xml:space="preserve">In terms of administrative burden, nearly 70% of beneficiaries and applicants </w:t>
      </w:r>
      <w:r>
        <w:rPr>
          <w:rFonts w:ascii="Times New Roman" w:hAnsi="Times New Roman" w:cs="Times New Roman"/>
          <w:noProof/>
          <w:color w:val="000000" w:themeColor="text1"/>
          <w:sz w:val="24"/>
          <w:szCs w:val="24"/>
          <w:lang w:val="en-GB"/>
        </w:rPr>
        <w:t>perceived as still burdensome the</w:t>
      </w:r>
      <w:r>
        <w:rPr>
          <w:rFonts w:ascii="Times New Roman" w:hAnsi="Times New Roman" w:cs="Times New Roman"/>
          <w:b/>
          <w:noProof/>
          <w:color w:val="000000" w:themeColor="text1"/>
          <w:sz w:val="24"/>
          <w:szCs w:val="24"/>
          <w:lang w:val="en-GB"/>
        </w:rPr>
        <w:t xml:space="preserve"> </w:t>
      </w:r>
      <w:r>
        <w:rPr>
          <w:rFonts w:ascii="Times New Roman" w:eastAsia="Times New Roman" w:hAnsi="Times New Roman" w:cs="Times New Roman"/>
          <w:noProof/>
          <w:color w:val="000000" w:themeColor="text1"/>
          <w:sz w:val="24"/>
          <w:szCs w:val="24"/>
          <w:lang w:val="en-GB"/>
        </w:rPr>
        <w:t>proposal drafting, the provisions of necessary administrative and financial information to participate in the calls and the monitoring and reporting requirements.</w:t>
      </w:r>
      <w:r>
        <w:rPr>
          <w:rFonts w:ascii="Times New Roman" w:hAnsi="Times New Roman" w:cs="Times New Roman"/>
          <w:noProof/>
          <w:color w:val="000000" w:themeColor="text1"/>
          <w:sz w:val="24"/>
          <w:szCs w:val="24"/>
          <w:lang w:val="en-GB" w:eastAsia="nl-BE"/>
        </w:rPr>
        <w:t xml:space="preserve"> In general, beneficiaries agreed that the application and reporting procedures were complex and long, but recognised that it was probably hard to simplify them further, given the need to ensure accountability of European financial resources.</w:t>
      </w:r>
    </w:p>
    <w:p>
      <w:pPr>
        <w:spacing w:after="0" w:line="240" w:lineRule="auto"/>
        <w:jc w:val="both"/>
        <w:rPr>
          <w:rFonts w:ascii="Times New Roman" w:eastAsia="Times New Roman" w:hAnsi="Times New Roman" w:cs="Times New Roman"/>
          <w:noProof/>
          <w:color w:val="000000" w:themeColor="text1"/>
          <w:sz w:val="24"/>
          <w:szCs w:val="24"/>
          <w:lang w:val="en-GB" w:eastAsia="ro-RO"/>
        </w:rPr>
      </w:pPr>
      <w:r>
        <w:rPr>
          <w:rFonts w:ascii="Times New Roman" w:hAnsi="Times New Roman" w:cs="Times New Roman"/>
          <w:noProof/>
          <w:color w:val="000000" w:themeColor="text1"/>
          <w:sz w:val="24"/>
          <w:szCs w:val="24"/>
          <w:lang w:val="en-GB" w:eastAsia="nl-BE"/>
        </w:rPr>
        <w:t xml:space="preserve">According to beneficiaries, </w:t>
      </w:r>
      <w:r>
        <w:rPr>
          <w:rFonts w:ascii="Times New Roman" w:hAnsi="Times New Roman" w:cs="Times New Roman"/>
          <w:noProof/>
          <w:color w:val="000000" w:themeColor="text1"/>
          <w:sz w:val="24"/>
          <w:szCs w:val="24"/>
          <w:lang w:val="en-GB"/>
        </w:rPr>
        <w:t>the duration of projects financed by the Programme could be extended, especially with regards to action grants. In particular, an extension to three years was considered ideal, as it would be a timeframe that is aligned with the average duration of scientific partnerships between higher education institutions. Moreover, beneficiaries mentioned that also operating grants could be extended to cover at least two years (instead of one) in order to reduce the administrative burden, in terms of application and reporting. However, the annual operating grants allow the Commission to have oversight of the activities of the funded organisations and allow for more flexibility to adapt the work of beneficiaries to the emerging needs in their respective fields of expertise.</w:t>
      </w:r>
    </w:p>
    <w:p>
      <w:pPr>
        <w:spacing w:after="0" w:line="240" w:lineRule="auto"/>
        <w:jc w:val="both"/>
        <w:rPr>
          <w:rFonts w:ascii="Times New Roman" w:eastAsia="Calibri" w:hAnsi="Times New Roman" w:cs="Times New Roman"/>
          <w:noProof/>
          <w:color w:val="000000" w:themeColor="text1"/>
          <w:sz w:val="24"/>
          <w:szCs w:val="24"/>
          <w:lang w:val="en-GB"/>
        </w:rPr>
      </w:pPr>
      <w:r>
        <w:rPr>
          <w:rFonts w:ascii="Times New Roman" w:eastAsia="Times New Roman" w:hAnsi="Times New Roman" w:cs="Times New Roman"/>
          <w:noProof/>
          <w:color w:val="000000" w:themeColor="text1"/>
          <w:sz w:val="24"/>
          <w:szCs w:val="24"/>
          <w:lang w:val="en-GB"/>
        </w:rPr>
        <w:t>A</w:t>
      </w:r>
      <w:r>
        <w:rPr>
          <w:rFonts w:ascii="Times New Roman" w:hAnsi="Times New Roman" w:cs="Times New Roman"/>
          <w:noProof/>
          <w:color w:val="000000" w:themeColor="text1"/>
          <w:sz w:val="24"/>
          <w:szCs w:val="24"/>
          <w:lang w:val="en-GB"/>
        </w:rPr>
        <w:t xml:space="preserve">nother </w:t>
      </w:r>
      <w:r>
        <w:rPr>
          <w:rFonts w:ascii="Times New Roman" w:hAnsi="Times New Roman" w:cs="Times New Roman"/>
          <w:noProof/>
          <w:color w:val="000000" w:themeColor="text1"/>
          <w:sz w:val="24"/>
          <w:szCs w:val="24"/>
          <w:lang w:val="en-US"/>
        </w:rPr>
        <w:t xml:space="preserve">key issue, according to </w:t>
      </w:r>
      <w:r>
        <w:rPr>
          <w:rFonts w:ascii="Times New Roman" w:eastAsia="Calibri" w:hAnsi="Times New Roman" w:cs="Times New Roman"/>
          <w:noProof/>
          <w:color w:val="000000" w:themeColor="text1"/>
          <w:sz w:val="24"/>
          <w:szCs w:val="24"/>
          <w:lang w:val="en-GB"/>
        </w:rPr>
        <w:t>small civil society organisations</w:t>
      </w:r>
      <w:r>
        <w:rPr>
          <w:rFonts w:ascii="Times New Roman" w:hAnsi="Times New Roman" w:cs="Times New Roman"/>
          <w:noProof/>
          <w:color w:val="000000" w:themeColor="text1"/>
          <w:sz w:val="24"/>
          <w:szCs w:val="24"/>
          <w:lang w:val="en-US"/>
        </w:rPr>
        <w:t xml:space="preserve">, is the difficulty to find </w:t>
      </w:r>
      <w:r>
        <w:rPr>
          <w:rFonts w:ascii="Times New Roman" w:eastAsia="Calibri" w:hAnsi="Times New Roman" w:cs="Times New Roman"/>
          <w:noProof/>
          <w:color w:val="000000" w:themeColor="text1"/>
          <w:sz w:val="24"/>
          <w:szCs w:val="24"/>
          <w:lang w:val="en-GB"/>
        </w:rPr>
        <w:t>the co-financing amounts required; therefore, small non-governmental organisations could be more supported by the Justice Programme</w:t>
      </w:r>
      <w:r>
        <w:rPr>
          <w:rFonts w:ascii="Times New Roman" w:eastAsia="Calibri" w:hAnsi="Times New Roman" w:cs="Times New Roman"/>
          <w:noProof/>
          <w:color w:val="000000" w:themeColor="text1"/>
          <w:sz w:val="24"/>
          <w:szCs w:val="24"/>
          <w:vertAlign w:val="superscript"/>
          <w:lang w:val="en-GB"/>
        </w:rPr>
        <w:footnoteReference w:id="48"/>
      </w:r>
      <w:r>
        <w:rPr>
          <w:rFonts w:ascii="Times New Roman" w:eastAsia="Calibri" w:hAnsi="Times New Roman" w:cs="Times New Roman"/>
          <w:noProof/>
          <w:color w:val="000000" w:themeColor="text1"/>
          <w:sz w:val="24"/>
          <w:szCs w:val="24"/>
          <w:lang w:val="en-GB"/>
        </w:rPr>
        <w:t xml:space="preserve">. </w:t>
      </w:r>
    </w:p>
    <w:p>
      <w:pPr>
        <w:spacing w:after="0" w:line="240" w:lineRule="auto"/>
        <w:jc w:val="both"/>
        <w:rPr>
          <w:rFonts w:ascii="Times New Roman" w:eastAsia="Times New Roman" w:hAnsi="Times New Roman" w:cs="Times New Roman"/>
          <w:noProof/>
          <w:color w:val="000000" w:themeColor="text1"/>
          <w:sz w:val="24"/>
          <w:szCs w:val="24"/>
          <w:lang w:val="en-GB" w:eastAsia="ro-RO"/>
        </w:rPr>
      </w:pPr>
      <w:r>
        <w:rPr>
          <w:rFonts w:ascii="Times New Roman" w:hAnsi="Times New Roman" w:cs="Times New Roman"/>
          <w:noProof/>
          <w:color w:val="000000" w:themeColor="text1"/>
          <w:sz w:val="24"/>
          <w:szCs w:val="24"/>
          <w:lang w:val="en-GB"/>
        </w:rPr>
        <w:t>Even if, at first, the rollout of the new Participant Portal created some difficulties, currently stakeholders consider the submission of proposals via the Participant Portal an improvement, compared to the previous IT system</w:t>
      </w:r>
      <w:r>
        <w:rPr>
          <w:rFonts w:ascii="Times New Roman" w:eastAsia="Times New Roman" w:hAnsi="Times New Roman" w:cs="Times New Roman"/>
          <w:noProof/>
          <w:color w:val="000000" w:themeColor="text1"/>
          <w:sz w:val="24"/>
          <w:szCs w:val="24"/>
          <w:lang w:val="en-GB" w:eastAsia="ro-RO"/>
        </w:rPr>
        <w:t xml:space="preserve">, since the number of documents required for the eligibility check has decreased and, therefore, also the related administrative burden. In addition, once registered, these documents will not be required any more, only in case of changes. However, since the Participant Portal has been designed with research institutions and voluminous grants in mind, in its current form, the Portal appears ill-adapted to typical Justice Programme applicants. There is, therefore, scope for some improvements in this regard. </w:t>
      </w:r>
    </w:p>
    <w:p>
      <w:pPr>
        <w:spacing w:after="0" w:line="240" w:lineRule="auto"/>
        <w:jc w:val="both"/>
        <w:rPr>
          <w:rFonts w:ascii="Times New Roman" w:eastAsia="Times New Roman" w:hAnsi="Times New Roman" w:cs="Times New Roman"/>
          <w:noProof/>
          <w:color w:val="000000" w:themeColor="text1"/>
          <w:sz w:val="24"/>
          <w:szCs w:val="24"/>
          <w:lang w:val="en-GB"/>
        </w:rPr>
      </w:pPr>
      <w:r>
        <w:rPr>
          <w:rFonts w:ascii="Times New Roman" w:eastAsia="Times New Roman" w:hAnsi="Times New Roman" w:cs="Times New Roman"/>
          <w:noProof/>
          <w:color w:val="000000" w:themeColor="text1"/>
          <w:sz w:val="24"/>
          <w:szCs w:val="24"/>
          <w:lang w:val="en-GB"/>
        </w:rPr>
        <w:t>Finally, monitoring requirements and indicators, both at Programme and project level, could be simplified and streamlined.</w:t>
      </w:r>
    </w:p>
    <w:p>
      <w:pPr>
        <w:spacing w:after="0" w:line="240" w:lineRule="auto"/>
        <w:jc w:val="both"/>
        <w:rPr>
          <w:rFonts w:ascii="Times New Roman" w:eastAsia="Times New Roman" w:hAnsi="Times New Roman" w:cs="Times New Roman"/>
          <w:noProof/>
          <w:color w:val="000000"/>
          <w:sz w:val="24"/>
          <w:szCs w:val="24"/>
          <w:lang w:val="en-GB" w:eastAsia="ro-RO"/>
        </w:rPr>
      </w:pPr>
    </w:p>
    <w:p>
      <w:pPr>
        <w:pStyle w:val="Heading1"/>
        <w:numPr>
          <w:ilvl w:val="0"/>
          <w:numId w:val="3"/>
        </w:numPr>
        <w:spacing w:before="0" w:after="120"/>
        <w:ind w:left="0" w:firstLine="0"/>
        <w:rPr>
          <w:noProof/>
        </w:rPr>
      </w:pPr>
      <w:bookmarkStart w:id="26" w:name="_Toc514411215"/>
      <w:r>
        <w:rPr>
          <w:noProof/>
        </w:rPr>
        <w:t>Conclusions and way forward</w:t>
      </w:r>
      <w:bookmarkEnd w:id="26"/>
    </w:p>
    <w:p>
      <w:pPr>
        <w:spacing w:after="120" w:line="240" w:lineRule="auto"/>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 xml:space="preserve">Without the Programme's support, there is broad agreement among beneficiaries, legal professionals and Commission officials that a lot of activities, above all cross-border activities (such as the judicial training and the judicial cooperation in both civil and criminal matter) would not be provided by the Member States and the existence of relevant European networks, such as the European Judicial Training Network (a key player in the field of judicial training), would be at risk. Indeed, </w:t>
      </w:r>
      <w:r>
        <w:rPr>
          <w:rFonts w:ascii="Times New Roman" w:eastAsia="Times New Roman" w:hAnsi="Times New Roman" w:cs="Times New Roman"/>
          <w:noProof/>
          <w:sz w:val="24"/>
          <w:szCs w:val="24"/>
          <w:lang w:val="en-GB"/>
        </w:rPr>
        <w:t>the areas covered by the Justice Programme are often not prioritised at national level and this makes the Programme unique since its positive impacts are not likely to be felt by other means or by single Member States' actions. In this sense, the EU added value of the Justice programme is undeniable and t</w:t>
      </w:r>
      <w:r>
        <w:rPr>
          <w:rFonts w:ascii="Times New Roman" w:eastAsia="Calibri" w:hAnsi="Times New Roman" w:cs="Times New Roman"/>
          <w:noProof/>
          <w:color w:val="000000"/>
          <w:sz w:val="24"/>
          <w:szCs w:val="24"/>
          <w:u w:color="000000"/>
          <w:bdr w:val="nil"/>
          <w:lang w:val="en-GB" w:eastAsia="en-GB"/>
        </w:rPr>
        <w:t>his is true for both its general objective and specific objectives.</w:t>
      </w:r>
      <w:r>
        <w:rPr>
          <w:rFonts w:ascii="Times New Roman" w:eastAsia="Times New Roman" w:hAnsi="Times New Roman" w:cs="Times New Roman"/>
          <w:noProof/>
          <w:sz w:val="24"/>
          <w:szCs w:val="24"/>
          <w:lang w:val="en-GB"/>
        </w:rPr>
        <w:t xml:space="preserve"> The activities financed help to tackle cross-border issues by creating partnerships,</w:t>
      </w:r>
      <w:r>
        <w:rPr>
          <w:rFonts w:ascii="Times New Roman" w:eastAsia="Calibri" w:hAnsi="Times New Roman" w:cs="Times New Roman"/>
          <w:noProof/>
          <w:color w:val="000000"/>
          <w:sz w:val="24"/>
          <w:szCs w:val="24"/>
          <w:u w:color="000000"/>
          <w:bdr w:val="nil"/>
          <w:lang w:val="en-GB" w:eastAsia="en-GB"/>
        </w:rPr>
        <w:t xml:space="preserve"> networking opportunities and occasions to build trust among judicial staff of different Member States</w:t>
      </w:r>
      <w:r>
        <w:rPr>
          <w:rFonts w:ascii="Times New Roman" w:eastAsia="Times New Roman" w:hAnsi="Times New Roman" w:cs="Times New Roman"/>
          <w:noProof/>
          <w:sz w:val="24"/>
          <w:szCs w:val="24"/>
          <w:lang w:val="en-GB"/>
        </w:rPr>
        <w:t xml:space="preserve">. This </w:t>
      </w:r>
      <w:r>
        <w:rPr>
          <w:rFonts w:ascii="Times New Roman" w:eastAsia="Calibri" w:hAnsi="Times New Roman" w:cs="Times New Roman"/>
          <w:noProof/>
          <w:color w:val="000000"/>
          <w:sz w:val="24"/>
          <w:szCs w:val="24"/>
          <w:u w:color="000000"/>
          <w:bdr w:val="nil"/>
          <w:lang w:val="en-GB" w:eastAsia="en-GB"/>
        </w:rPr>
        <w:t>fosters the acquisition of durable legal knowledge and competencies</w:t>
      </w:r>
      <w:r>
        <w:rPr>
          <w:rFonts w:ascii="Times New Roman" w:eastAsia="Times New Roman" w:hAnsi="Times New Roman" w:cs="Times New Roman"/>
          <w:noProof/>
          <w:sz w:val="24"/>
          <w:szCs w:val="24"/>
          <w:lang w:val="en-GB"/>
        </w:rPr>
        <w:t xml:space="preserve">.  Moreover, </w:t>
      </w:r>
      <w:r>
        <w:rPr>
          <w:rFonts w:ascii="Times New Roman" w:eastAsia="Times New Roman" w:hAnsi="Times New Roman" w:cs="Times New Roman"/>
          <w:noProof/>
          <w:sz w:val="24"/>
          <w:szCs w:val="20"/>
          <w:lang w:val="en-GB"/>
        </w:rPr>
        <w:t>the broader scope of the current Justice Programme makes possible to identify each year the adequate priorities and to adapt them to emerging needs and threats.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Programme's interim evaluation confirms its </w:t>
      </w:r>
      <w:r>
        <w:rPr>
          <w:rFonts w:ascii="Times New Roman" w:hAnsi="Times New Roman" w:cs="Times New Roman"/>
          <w:b/>
          <w:noProof/>
          <w:sz w:val="24"/>
          <w:szCs w:val="24"/>
          <w:lang w:val="en-GB"/>
        </w:rPr>
        <w:t>relevance</w:t>
      </w:r>
      <w:r>
        <w:rPr>
          <w:rFonts w:ascii="Times New Roman" w:hAnsi="Times New Roman" w:cs="Times New Roman"/>
          <w:noProof/>
          <w:sz w:val="24"/>
          <w:szCs w:val="24"/>
          <w:lang w:val="en-GB"/>
        </w:rPr>
        <w:t xml:space="preserve"> for:</w:t>
      </w:r>
    </w:p>
    <w:p>
      <w:pPr>
        <w:pStyle w:val="ListBullet"/>
        <w:spacing w:after="120"/>
        <w:rPr>
          <w:noProof/>
          <w:szCs w:val="24"/>
        </w:rPr>
      </w:pPr>
      <w:r>
        <w:rPr>
          <w:noProof/>
        </w:rPr>
        <w:t>contributing to upholding EU values such as the rule of law, the independence of the judiciary, the effectiveness of the justice system and its equal access to all;</w:t>
      </w:r>
    </w:p>
    <w:p>
      <w:pPr>
        <w:pStyle w:val="ListBullet"/>
        <w:spacing w:after="120"/>
        <w:rPr>
          <w:noProof/>
          <w:szCs w:val="24"/>
        </w:rPr>
      </w:pPr>
      <w:r>
        <w:rPr>
          <w:noProof/>
        </w:rPr>
        <w:t>supporting Member States to achieve more effective justice systems, where legal practitioners know how and when to apply EU acquis, where cross-border cooperation is thriving and the rights of victims and persons accused of crime are respected;</w:t>
      </w:r>
    </w:p>
    <w:p>
      <w:pPr>
        <w:pStyle w:val="ListBullet"/>
        <w:spacing w:after="120"/>
        <w:rPr>
          <w:noProof/>
          <w:szCs w:val="24"/>
        </w:rPr>
      </w:pPr>
      <w:r>
        <w:rPr>
          <w:noProof/>
        </w:rPr>
        <w:t>supporting to collect comparative information on the efficiency, quality and independence of national justice systems and national rule of law safeguards.</w:t>
      </w:r>
    </w:p>
    <w:p>
      <w:pPr>
        <w:spacing w:after="120" w:line="240" w:lineRule="auto"/>
        <w:jc w:val="both"/>
        <w:rPr>
          <w:rFonts w:ascii="Times New Roman" w:eastAsia="Calibri" w:hAnsi="Times New Roman" w:cs="Times New Roman"/>
          <w:noProof/>
          <w:color w:val="000000" w:themeColor="text1"/>
          <w:sz w:val="24"/>
          <w:szCs w:val="24"/>
          <w:u w:color="000000"/>
          <w:bdr w:val="nil"/>
          <w:lang w:val="en-GB" w:eastAsia="en-GB"/>
        </w:rPr>
      </w:pPr>
      <w:r>
        <w:rPr>
          <w:rFonts w:ascii="Times New Roman" w:eastAsia="Calibri" w:hAnsi="Times New Roman" w:cs="Times New Roman"/>
          <w:noProof/>
          <w:color w:val="000000"/>
          <w:sz w:val="24"/>
          <w:szCs w:val="24"/>
          <w:u w:color="000000"/>
          <w:bdr w:val="nil"/>
          <w:lang w:val="en-GB" w:eastAsia="en-GB"/>
        </w:rPr>
        <w:t xml:space="preserve">Some new priorities emerged and improvement could be made in specific areas of the Programme. In particular, </w:t>
      </w:r>
      <w:r>
        <w:rPr>
          <w:rFonts w:ascii="Times New Roman" w:eastAsia="Times New Roman" w:hAnsi="Times New Roman" w:cs="Times New Roman"/>
          <w:noProof/>
          <w:sz w:val="24"/>
          <w:szCs w:val="24"/>
          <w:lang w:val="en-GB"/>
        </w:rPr>
        <w:t xml:space="preserve">the basin of potential recipients of the actions could be </w:t>
      </w:r>
      <w:r>
        <w:rPr>
          <w:rFonts w:ascii="Times New Roman" w:eastAsia="Times New Roman" w:hAnsi="Times New Roman" w:cs="Times New Roman"/>
          <w:noProof/>
          <w:color w:val="000000" w:themeColor="text1"/>
          <w:sz w:val="24"/>
          <w:szCs w:val="24"/>
          <w:lang w:val="en-GB"/>
        </w:rPr>
        <w:t>expanded to increase its relevance and the achievement of its general objective. Moreover, the geographic balance is still not good overall, since the Justice Programme is dominated by beneficiaries from only a small number of Member States</w:t>
      </w:r>
      <w:r>
        <w:rPr>
          <w:rFonts w:ascii="Times New Roman" w:eastAsia="Calibri" w:hAnsi="Times New Roman" w:cs="Times New Roman"/>
          <w:noProof/>
          <w:color w:val="000000" w:themeColor="text1"/>
          <w:sz w:val="24"/>
          <w:szCs w:val="24"/>
          <w:u w:color="000000"/>
          <w:bdr w:val="nil"/>
          <w:lang w:val="en-GB" w:eastAsia="en-GB"/>
        </w:rPr>
        <w:t>.</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Regarding the </w:t>
      </w:r>
      <w:r>
        <w:rPr>
          <w:rFonts w:ascii="Times New Roman" w:eastAsia="Times New Roman" w:hAnsi="Times New Roman" w:cs="Times New Roman"/>
          <w:b/>
          <w:noProof/>
          <w:sz w:val="24"/>
          <w:szCs w:val="24"/>
          <w:lang w:val="en-GB"/>
        </w:rPr>
        <w:t>efficiency</w:t>
      </w:r>
      <w:r>
        <w:rPr>
          <w:rFonts w:ascii="Times New Roman" w:eastAsia="Times New Roman" w:hAnsi="Times New Roman" w:cs="Times New Roman"/>
          <w:noProof/>
          <w:sz w:val="24"/>
          <w:szCs w:val="24"/>
          <w:lang w:val="en-GB"/>
        </w:rPr>
        <w:t xml:space="preserve"> of the Programme, the administrative burden on beneficiaries has been reduced but there is still room for improvements to make the Programme even more efficient in its implementation.</w:t>
      </w:r>
    </w:p>
    <w:p>
      <w:pPr>
        <w:autoSpaceDE w:val="0"/>
        <w:autoSpaceDN w:val="0"/>
        <w:adjustRightInd w:val="0"/>
        <w:spacing w:after="120" w:line="240" w:lineRule="auto"/>
        <w:jc w:val="both"/>
        <w:rPr>
          <w:rFonts w:ascii="Times New Roman" w:eastAsia="Calibri" w:hAnsi="Times New Roman" w:cs="Times New Roman"/>
          <w:noProof/>
          <w:color w:val="000000"/>
          <w:sz w:val="24"/>
          <w:szCs w:val="24"/>
          <w:u w:color="000000"/>
          <w:bdr w:val="nil"/>
          <w:lang w:val="en-GB" w:eastAsia="en-GB"/>
        </w:rPr>
      </w:pPr>
      <w:r>
        <w:rPr>
          <w:rFonts w:ascii="Times New Roman" w:eastAsia="Times New Roman" w:hAnsi="Times New Roman" w:cs="Times New Roman"/>
          <w:noProof/>
          <w:sz w:val="24"/>
          <w:szCs w:val="24"/>
          <w:lang w:val="en-GB"/>
        </w:rPr>
        <w:t xml:space="preserve">The </w:t>
      </w:r>
      <w:r>
        <w:rPr>
          <w:rFonts w:ascii="Times New Roman" w:eastAsia="Times New Roman" w:hAnsi="Times New Roman" w:cs="Times New Roman"/>
          <w:b/>
          <w:noProof/>
          <w:sz w:val="24"/>
          <w:szCs w:val="24"/>
          <w:lang w:val="en-GB"/>
        </w:rPr>
        <w:t>simplification</w:t>
      </w:r>
      <w:r>
        <w:rPr>
          <w:rFonts w:ascii="Times New Roman" w:eastAsia="Times New Roman" w:hAnsi="Times New Roman" w:cs="Times New Roman"/>
          <w:noProof/>
          <w:sz w:val="24"/>
          <w:szCs w:val="24"/>
          <w:lang w:val="en-GB"/>
        </w:rPr>
        <w:t xml:space="preserve"> carried out, thanks to the merger of the three previous programmes, has produced improvements in the quality of the evaluation and monitoring process. However, </w:t>
      </w:r>
      <w:r>
        <w:rPr>
          <w:rFonts w:ascii="Times New Roman" w:eastAsia="Calibri" w:hAnsi="Times New Roman" w:cs="Times New Roman"/>
          <w:noProof/>
          <w:color w:val="000000"/>
          <w:sz w:val="24"/>
          <w:szCs w:val="24"/>
          <w:u w:color="000000"/>
          <w:bdr w:val="nil"/>
          <w:lang w:val="en-GB" w:eastAsia="en-GB"/>
        </w:rPr>
        <w:t>the development of workable indicators, allowing for precise monitoring of the quality and the impact of projects, should be better taken into consideration.</w:t>
      </w:r>
    </w:p>
    <w:p>
      <w:pPr>
        <w:spacing w:after="120" w:line="240" w:lineRule="auto"/>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Programme’s current structure works well by reducing the risks of duplications and allowing the Programme to be sufficiently flexible to adapt to emerging needs, even though coordination and information exchange between EU programmes and projects could be strengthened in order to guarantee a more coherent and efficient allocation of resources according to the most relevant priorities. </w:t>
      </w:r>
    </w:p>
    <w:p>
      <w:pPr>
        <w:spacing w:after="120" w:line="240" w:lineRule="auto"/>
        <w:jc w:val="both"/>
        <w:rPr>
          <w:rFonts w:ascii="Times New Roman" w:eastAsia="Calibri" w:hAnsi="Times New Roman" w:cs="Times New Roman"/>
          <w:noProof/>
          <w:color w:val="000000"/>
          <w:sz w:val="24"/>
          <w:szCs w:val="24"/>
          <w:u w:color="000000"/>
          <w:bdr w:val="nil"/>
          <w:lang w:val="en-GB" w:eastAsia="en-GB"/>
        </w:rPr>
      </w:pPr>
      <w:r>
        <w:rPr>
          <w:rFonts w:ascii="Times New Roman" w:eastAsia="Times New Roman" w:hAnsi="Times New Roman" w:cs="Times New Roman"/>
          <w:noProof/>
          <w:sz w:val="24"/>
          <w:szCs w:val="24"/>
          <w:lang w:val="en-GB"/>
        </w:rPr>
        <w:t xml:space="preserve">At EU level, the Justice Programme is </w:t>
      </w:r>
      <w:r>
        <w:rPr>
          <w:rFonts w:ascii="Times New Roman" w:eastAsia="Times New Roman" w:hAnsi="Times New Roman" w:cs="Times New Roman"/>
          <w:b/>
          <w:noProof/>
          <w:sz w:val="24"/>
          <w:szCs w:val="24"/>
          <w:lang w:val="en-GB"/>
        </w:rPr>
        <w:t>coherent</w:t>
      </w:r>
      <w:r>
        <w:rPr>
          <w:rFonts w:ascii="Times New Roman" w:eastAsia="Times New Roman" w:hAnsi="Times New Roman" w:cs="Times New Roman"/>
          <w:noProof/>
          <w:sz w:val="24"/>
          <w:szCs w:val="24"/>
          <w:lang w:val="en-GB"/>
        </w:rPr>
        <w:t xml:space="preserve"> </w:t>
      </w:r>
      <w:r>
        <w:rPr>
          <w:rFonts w:ascii="Times New Roman" w:eastAsia="Times New Roman" w:hAnsi="Times New Roman" w:cs="Times New Roman"/>
          <w:b/>
          <w:noProof/>
          <w:sz w:val="24"/>
          <w:szCs w:val="24"/>
          <w:lang w:val="en-GB"/>
        </w:rPr>
        <w:t>and complementary</w:t>
      </w:r>
      <w:r>
        <w:rPr>
          <w:rFonts w:ascii="Times New Roman" w:eastAsia="Times New Roman" w:hAnsi="Times New Roman" w:cs="Times New Roman"/>
          <w:noProof/>
          <w:sz w:val="24"/>
          <w:szCs w:val="24"/>
          <w:lang w:val="en-GB"/>
        </w:rPr>
        <w:t xml:space="preserve"> with other EU instruments, programmes and actions. However, in the future, there could be scope for further </w:t>
      </w:r>
      <w:r>
        <w:rPr>
          <w:rFonts w:ascii="Times New Roman" w:eastAsia="Calibri" w:hAnsi="Times New Roman" w:cs="Times New Roman"/>
          <w:noProof/>
          <w:color w:val="000000"/>
          <w:sz w:val="24"/>
          <w:szCs w:val="24"/>
          <w:u w:color="000000"/>
          <w:bdr w:val="nil"/>
          <w:lang w:val="en-GB" w:eastAsia="en-GB"/>
        </w:rPr>
        <w:t>centralisation in terms of Judicial Training for legal practitioners</w:t>
      </w:r>
      <w:r>
        <w:rPr>
          <w:rStyle w:val="FootnoteReference"/>
          <w:rFonts w:ascii="Times New Roman" w:eastAsia="Calibri" w:hAnsi="Times New Roman" w:cs="Times New Roman"/>
          <w:noProof/>
          <w:color w:val="000000"/>
          <w:szCs w:val="24"/>
          <w:u w:color="000000"/>
          <w:bdr w:val="nil"/>
          <w:lang w:val="en-GB" w:eastAsia="en-GB"/>
        </w:rPr>
        <w:footnoteReference w:id="49"/>
      </w:r>
      <w:r>
        <w:rPr>
          <w:rFonts w:ascii="Times New Roman" w:eastAsia="Calibri" w:hAnsi="Times New Roman" w:cs="Times New Roman"/>
          <w:noProof/>
          <w:color w:val="000000"/>
          <w:sz w:val="24"/>
          <w:szCs w:val="24"/>
          <w:u w:color="000000"/>
          <w:bdr w:val="nil"/>
          <w:lang w:val="en-GB" w:eastAsia="en-GB"/>
        </w:rPr>
        <w:t>.</w:t>
      </w:r>
    </w:p>
    <w:p>
      <w:pPr>
        <w:spacing w:after="120" w:line="240" w:lineRule="auto"/>
        <w:jc w:val="both"/>
        <w:rPr>
          <w:rFonts w:ascii="Times New Roman" w:eastAsia="Calibri" w:hAnsi="Times New Roman" w:cs="Times New Roman"/>
          <w:noProof/>
          <w:color w:val="000000"/>
          <w:sz w:val="24"/>
          <w:szCs w:val="24"/>
          <w:u w:color="000000"/>
          <w:bdr w:val="nil"/>
          <w:lang w:val="en-GB" w:eastAsia="en-GB"/>
        </w:rPr>
      </w:pPr>
      <w:r>
        <w:rPr>
          <w:rFonts w:ascii="Times New Roman" w:eastAsia="Calibri" w:hAnsi="Times New Roman" w:cs="Times New Roman"/>
          <w:b/>
          <w:noProof/>
          <w:color w:val="000000"/>
          <w:sz w:val="24"/>
          <w:szCs w:val="24"/>
          <w:u w:color="000000"/>
          <w:bdr w:val="nil"/>
          <w:lang w:val="en-GB" w:eastAsia="en-GB"/>
        </w:rPr>
        <w:t xml:space="preserve">Lessons learned and way forward </w:t>
      </w:r>
      <w:r>
        <w:rPr>
          <w:rFonts w:ascii="Times New Roman" w:eastAsia="Calibri" w:hAnsi="Times New Roman" w:cs="Times New Roman"/>
          <w:noProof/>
          <w:color w:val="000000"/>
          <w:sz w:val="24"/>
          <w:szCs w:val="24"/>
          <w:u w:color="000000"/>
          <w:bdr w:val="nil"/>
          <w:lang w:val="en-GB" w:eastAsia="en-GB"/>
        </w:rPr>
        <w:t>for the next programming period</w:t>
      </w:r>
      <w:r>
        <w:rPr>
          <w:rStyle w:val="FootnoteReference"/>
          <w:rFonts w:ascii="Times New Roman" w:eastAsia="Calibri" w:hAnsi="Times New Roman" w:cs="Times New Roman"/>
          <w:noProof/>
          <w:color w:val="000000"/>
          <w:szCs w:val="24"/>
          <w:u w:color="000000"/>
          <w:bdr w:val="nil"/>
          <w:lang w:val="en-GB" w:eastAsia="en-GB"/>
        </w:rPr>
        <w:footnoteReference w:id="50"/>
      </w:r>
      <w:r>
        <w:rPr>
          <w:rFonts w:ascii="Times New Roman" w:eastAsia="Calibri" w:hAnsi="Times New Roman" w:cs="Times New Roman"/>
          <w:noProof/>
          <w:color w:val="000000"/>
          <w:sz w:val="24"/>
          <w:szCs w:val="24"/>
          <w:u w:color="000000"/>
          <w:bdr w:val="nil"/>
          <w:lang w:val="en-GB" w:eastAsia="en-GB"/>
        </w:rPr>
        <w:t xml:space="preserve">: </w:t>
      </w:r>
    </w:p>
    <w:p>
      <w:pPr>
        <w:spacing w:after="0" w:line="240" w:lineRule="auto"/>
        <w:jc w:val="both"/>
        <w:rPr>
          <w:rFonts w:ascii="Times New Roman" w:eastAsia="Calibri" w:hAnsi="Times New Roman" w:cs="Times New Roman"/>
          <w:noProof/>
          <w:color w:val="000000"/>
          <w:sz w:val="24"/>
          <w:szCs w:val="24"/>
          <w:u w:color="000000"/>
          <w:bdr w:val="nil"/>
          <w:lang w:val="en-GB" w:eastAsia="en-GB"/>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FFFFFF" w:themeFill="background1"/>
        <w:tblLook w:val="04A0" w:firstRow="1" w:lastRow="0" w:firstColumn="1" w:lastColumn="0" w:noHBand="0" w:noVBand="1"/>
      </w:tblPr>
      <w:tblGrid>
        <w:gridCol w:w="8834"/>
      </w:tblGrid>
      <w:tr>
        <w:tc>
          <w:tcPr>
            <w:tcW w:w="9628" w:type="dxa"/>
            <w:shd w:val="clear" w:color="auto" w:fill="FFFFFF" w:themeFill="background1"/>
            <w:hideMark/>
          </w:tcPr>
          <w:p>
            <w:pPr>
              <w:pStyle w:val="BulletBody"/>
              <w:rPr>
                <w:rFonts w:ascii="Times New Roman" w:hAnsi="Times New Roman" w:cs="Times New Roman"/>
                <w:b/>
                <w:noProof/>
                <w:sz w:val="20"/>
                <w:szCs w:val="20"/>
              </w:rPr>
            </w:pPr>
            <w:r>
              <w:rPr>
                <w:rFonts w:ascii="Times New Roman" w:hAnsi="Times New Roman" w:cs="Times New Roman"/>
                <w:b/>
                <w:noProof/>
                <w:sz w:val="24"/>
                <w:szCs w:val="24"/>
              </w:rPr>
              <w:t>Effectiveness</w:t>
            </w:r>
            <w:r>
              <w:rPr>
                <w:rFonts w:ascii="Times New Roman" w:hAnsi="Times New Roman" w:cs="Times New Roman"/>
                <w:b/>
                <w:noProof/>
                <w:sz w:val="20"/>
                <w:szCs w:val="20"/>
              </w:rPr>
              <w:t xml:space="preserve"> </w:t>
            </w:r>
          </w:p>
          <w:p>
            <w:pPr>
              <w:pStyle w:val="BulletBody"/>
              <w:numPr>
                <w:ilvl w:val="0"/>
                <w:numId w:val="7"/>
              </w:numPr>
              <w:rPr>
                <w:rFonts w:ascii="Times New Roman" w:hAnsi="Times New Roman" w:cs="Times New Roman"/>
                <w:b/>
                <w:noProof/>
                <w:sz w:val="20"/>
                <w:szCs w:val="20"/>
              </w:rPr>
            </w:pPr>
            <w:r>
              <w:rPr>
                <w:rFonts w:ascii="Times New Roman" w:hAnsi="Times New Roman" w:cs="Times New Roman"/>
                <w:noProof/>
                <w:sz w:val="20"/>
                <w:szCs w:val="20"/>
              </w:rPr>
              <w:t>The Commission will consider the possibility to separate the specific objective on drug policy from the Justice Programme and move it to a dedicated fund addressing drug policies.</w:t>
            </w:r>
          </w:p>
        </w:tc>
      </w:tr>
    </w:tbl>
    <w:p>
      <w:pPr>
        <w:spacing w:after="0" w:line="240" w:lineRule="auto"/>
        <w:jc w:val="both"/>
        <w:rPr>
          <w:rFonts w:ascii="Times New Roman" w:hAnsi="Times New Roman" w:cs="Times New Roman"/>
          <w:b/>
          <w:noProof/>
          <w:sz w:val="24"/>
          <w:szCs w:val="24"/>
          <w:lang w:val="en-GB"/>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FFFFFF" w:themeFill="background1"/>
        <w:tblLook w:val="04A0" w:firstRow="1" w:lastRow="0" w:firstColumn="1" w:lastColumn="0" w:noHBand="0" w:noVBand="1"/>
      </w:tblPr>
      <w:tblGrid>
        <w:gridCol w:w="8834"/>
      </w:tblGrid>
      <w:tr>
        <w:tc>
          <w:tcPr>
            <w:tcW w:w="9395" w:type="dxa"/>
            <w:shd w:val="clear" w:color="auto" w:fill="FFFFFF" w:themeFill="background1"/>
            <w:hideMark/>
          </w:tcPr>
          <w:p>
            <w:pPr>
              <w:pStyle w:val="BulletBody"/>
              <w:rPr>
                <w:rFonts w:ascii="Times New Roman" w:hAnsi="Times New Roman" w:cs="Times New Roman"/>
                <w:b/>
                <w:noProof/>
                <w:sz w:val="20"/>
                <w:szCs w:val="20"/>
              </w:rPr>
            </w:pPr>
            <w:r>
              <w:rPr>
                <w:rFonts w:ascii="Times New Roman" w:hAnsi="Times New Roman" w:cs="Times New Roman"/>
                <w:b/>
                <w:noProof/>
                <w:sz w:val="24"/>
                <w:szCs w:val="24"/>
              </w:rPr>
              <w:t>Efficiency</w:t>
            </w:r>
            <w:r>
              <w:rPr>
                <w:rFonts w:ascii="Times New Roman" w:hAnsi="Times New Roman" w:cs="Times New Roman"/>
                <w:b/>
                <w:noProof/>
                <w:sz w:val="20"/>
                <w:szCs w:val="20"/>
              </w:rPr>
              <w:t xml:space="preserve"> </w:t>
            </w:r>
          </w:p>
          <w:p>
            <w:pPr>
              <w:pStyle w:val="BulletBody"/>
              <w:numPr>
                <w:ilvl w:val="0"/>
                <w:numId w:val="42"/>
              </w:numPr>
              <w:rPr>
                <w:b/>
                <w:noProof/>
              </w:rPr>
            </w:pPr>
            <w:r>
              <w:rPr>
                <w:rFonts w:ascii="Times New Roman" w:hAnsi="Times New Roman" w:cs="Times New Roman"/>
                <w:noProof/>
                <w:sz w:val="20"/>
                <w:szCs w:val="20"/>
              </w:rPr>
              <w:t xml:space="preserve">The Programme should increase its capacity to make an efficient use of resources allocated to procurement actions, by re-assessing the way these actions are planned. For example, needs assessments should be performed to gauge the amount of resources required to finance procurement actions. </w:t>
            </w:r>
          </w:p>
        </w:tc>
      </w:tr>
    </w:tbl>
    <w:p>
      <w:pPr>
        <w:spacing w:after="0" w:line="240" w:lineRule="auto"/>
        <w:jc w:val="both"/>
        <w:rPr>
          <w:rFonts w:ascii="Times New Roman" w:hAnsi="Times New Roman" w:cs="Times New Roman"/>
          <w:noProof/>
          <w:sz w:val="24"/>
          <w:szCs w:val="24"/>
          <w:lang w:val="en-GB"/>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FFFFFF" w:themeFill="background1"/>
        <w:tblLook w:val="04A0" w:firstRow="1" w:lastRow="0" w:firstColumn="1" w:lastColumn="0" w:noHBand="0" w:noVBand="1"/>
      </w:tblPr>
      <w:tblGrid>
        <w:gridCol w:w="8834"/>
      </w:tblGrid>
      <w:tr>
        <w:tc>
          <w:tcPr>
            <w:tcW w:w="9395" w:type="dxa"/>
            <w:shd w:val="clear" w:color="auto" w:fill="FFFFFF" w:themeFill="background1"/>
            <w:hideMark/>
          </w:tcPr>
          <w:p>
            <w:pPr>
              <w:jc w:val="both"/>
              <w:rPr>
                <w:b/>
                <w:noProof/>
                <w:sz w:val="24"/>
                <w:szCs w:val="24"/>
              </w:rPr>
            </w:pPr>
            <w:r>
              <w:rPr>
                <w:b/>
                <w:noProof/>
                <w:sz w:val="24"/>
                <w:szCs w:val="24"/>
              </w:rPr>
              <w:t>Relevance</w:t>
            </w:r>
          </w:p>
          <w:p>
            <w:pPr>
              <w:pStyle w:val="BulletBody"/>
              <w:numPr>
                <w:ilvl w:val="0"/>
                <w:numId w:val="7"/>
              </w:numPr>
              <w:rPr>
                <w:rFonts w:ascii="Times New Roman" w:hAnsi="Times New Roman" w:cs="Times New Roman"/>
                <w:b/>
                <w:noProof/>
                <w:sz w:val="20"/>
                <w:szCs w:val="20"/>
              </w:rPr>
            </w:pPr>
            <w:r>
              <w:rPr>
                <w:rFonts w:ascii="Times New Roman" w:hAnsi="Times New Roman" w:cs="Times New Roman"/>
                <w:noProof/>
                <w:sz w:val="20"/>
                <w:szCs w:val="20"/>
              </w:rPr>
              <w:t>The relevance of the Programme could be improved by engaging in a more systematic manner with stakeholders concerning the definition of the annual work programmes. This could be achieved, for instance, by means of open public consultations or yearly surveys. The Commission will also consider the possibility to target additional groups that are currently outside the scope of the Programme.</w:t>
            </w:r>
          </w:p>
        </w:tc>
      </w:tr>
    </w:tbl>
    <w:p>
      <w:pPr>
        <w:spacing w:after="0" w:line="240" w:lineRule="auto"/>
        <w:jc w:val="both"/>
        <w:rPr>
          <w:rFonts w:ascii="Times New Roman" w:eastAsia="Times New Roman" w:hAnsi="Times New Roman" w:cs="Times New Roman"/>
          <w:noProof/>
          <w:sz w:val="24"/>
          <w:szCs w:val="24"/>
          <w:lang w:val="en-GB"/>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FFFFFF" w:themeFill="background1"/>
        <w:tblLook w:val="04A0" w:firstRow="1" w:lastRow="0" w:firstColumn="1" w:lastColumn="0" w:noHBand="0" w:noVBand="1"/>
      </w:tblPr>
      <w:tblGrid>
        <w:gridCol w:w="8834"/>
      </w:tblGrid>
      <w:tr>
        <w:tc>
          <w:tcPr>
            <w:tcW w:w="9395" w:type="dxa"/>
            <w:shd w:val="clear" w:color="auto" w:fill="FFFFFF" w:themeFill="background1"/>
            <w:hideMark/>
          </w:tcPr>
          <w:p>
            <w:pPr>
              <w:jc w:val="both"/>
              <w:rPr>
                <w:b/>
                <w:noProof/>
                <w:sz w:val="24"/>
                <w:szCs w:val="24"/>
              </w:rPr>
            </w:pPr>
            <w:r>
              <w:rPr>
                <w:b/>
                <w:noProof/>
                <w:sz w:val="24"/>
                <w:szCs w:val="24"/>
              </w:rPr>
              <w:t>Coherence, Complementarity, Synergies</w:t>
            </w:r>
          </w:p>
          <w:p>
            <w:pPr>
              <w:pStyle w:val="BulletBody"/>
              <w:numPr>
                <w:ilvl w:val="0"/>
                <w:numId w:val="7"/>
              </w:numPr>
              <w:rPr>
                <w:rFonts w:ascii="Times New Roman" w:hAnsi="Times New Roman" w:cs="Times New Roman"/>
                <w:b/>
                <w:noProof/>
                <w:sz w:val="20"/>
                <w:szCs w:val="20"/>
              </w:rPr>
            </w:pPr>
            <w:r>
              <w:rPr>
                <w:rFonts w:ascii="Times New Roman" w:hAnsi="Times New Roman" w:cs="Times New Roman"/>
                <w:noProof/>
                <w:sz w:val="20"/>
                <w:szCs w:val="20"/>
              </w:rPr>
              <w:t>The Commission will consider the possibility to ensure that projects with similar objectives are aware of each other and can build on their achievements. Commission could also help projects funded across specific objectives to get in touch with each other.</w:t>
            </w:r>
          </w:p>
        </w:tc>
      </w:tr>
    </w:tbl>
    <w:p>
      <w:pPr>
        <w:spacing w:after="0" w:line="240" w:lineRule="auto"/>
        <w:jc w:val="both"/>
        <w:rPr>
          <w:rFonts w:ascii="Times New Roman" w:hAnsi="Times New Roman" w:cs="Times New Roman"/>
          <w:b/>
          <w:noProof/>
          <w:sz w:val="24"/>
          <w:szCs w:val="24"/>
          <w:lang w:val="en-GB"/>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FFFFFF" w:themeFill="background1"/>
        <w:tblLook w:val="04A0" w:firstRow="1" w:lastRow="0" w:firstColumn="1" w:lastColumn="0" w:noHBand="0" w:noVBand="1"/>
      </w:tblPr>
      <w:tblGrid>
        <w:gridCol w:w="8834"/>
      </w:tblGrid>
      <w:tr>
        <w:tc>
          <w:tcPr>
            <w:tcW w:w="9395" w:type="dxa"/>
            <w:shd w:val="clear" w:color="auto" w:fill="FFFFFF" w:themeFill="background1"/>
            <w:hideMark/>
          </w:tcPr>
          <w:p>
            <w:pPr>
              <w:jc w:val="both"/>
              <w:rPr>
                <w:b/>
                <w:noProof/>
                <w:sz w:val="24"/>
                <w:szCs w:val="24"/>
              </w:rPr>
            </w:pPr>
            <w:r>
              <w:rPr>
                <w:b/>
                <w:noProof/>
                <w:sz w:val="24"/>
                <w:szCs w:val="24"/>
              </w:rPr>
              <w:t>EU added value</w:t>
            </w:r>
          </w:p>
          <w:p>
            <w:pPr>
              <w:pStyle w:val="BulletBody"/>
              <w:numPr>
                <w:ilvl w:val="0"/>
                <w:numId w:val="41"/>
              </w:numPr>
              <w:rPr>
                <w:rFonts w:ascii="Times New Roman" w:hAnsi="Times New Roman" w:cs="Times New Roman"/>
                <w:b/>
                <w:noProof/>
                <w:sz w:val="20"/>
                <w:szCs w:val="20"/>
              </w:rPr>
            </w:pPr>
            <w:r>
              <w:rPr>
                <w:rFonts w:ascii="Times New Roman" w:hAnsi="Times New Roman" w:cs="Times New Roman"/>
                <w:noProof/>
                <w:sz w:val="20"/>
                <w:szCs w:val="20"/>
              </w:rPr>
              <w:t xml:space="preserve">The Commission will consider the possibility to set up </w:t>
            </w:r>
            <w:r>
              <w:rPr>
                <w:rFonts w:ascii="Times New Roman" w:hAnsi="Times New Roman" w:cs="Times New Roman"/>
                <w:noProof/>
                <w:color w:val="auto"/>
                <w:sz w:val="20"/>
                <w:szCs w:val="20"/>
              </w:rPr>
              <w:t>analytical activities and needs assessments that identify systematically the critical conditions for the successful implementation of tools and policies at national level before the launch of calls for projects</w:t>
            </w:r>
            <w:r>
              <w:rPr>
                <w:rFonts w:ascii="Times New Roman" w:hAnsi="Times New Roman" w:cs="Times New Roman"/>
                <w:noProof/>
                <w:sz w:val="20"/>
                <w:szCs w:val="20"/>
              </w:rPr>
              <w:t>.</w:t>
            </w:r>
          </w:p>
        </w:tc>
      </w:tr>
    </w:tbl>
    <w:p>
      <w:pPr>
        <w:spacing w:after="120" w:line="240" w:lineRule="auto"/>
        <w:jc w:val="both"/>
        <w:rPr>
          <w:rFonts w:ascii="Times New Roman" w:hAnsi="Times New Roman" w:cs="Times New Roman"/>
          <w:noProof/>
          <w:color w:val="000000"/>
          <w:sz w:val="24"/>
          <w:szCs w:val="24"/>
          <w:lang w:val="en-GB" w:eastAsia="ro-RO"/>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FFFFFF" w:themeFill="background1"/>
        <w:tblLook w:val="04A0" w:firstRow="1" w:lastRow="0" w:firstColumn="1" w:lastColumn="0" w:noHBand="0" w:noVBand="1"/>
      </w:tblPr>
      <w:tblGrid>
        <w:gridCol w:w="8834"/>
      </w:tblGrid>
      <w:tr>
        <w:tc>
          <w:tcPr>
            <w:tcW w:w="9395" w:type="dxa"/>
            <w:shd w:val="clear" w:color="auto" w:fill="FFFFFF" w:themeFill="background1"/>
            <w:hideMark/>
          </w:tcPr>
          <w:p>
            <w:pPr>
              <w:jc w:val="both"/>
              <w:rPr>
                <w:b/>
                <w:noProof/>
                <w:sz w:val="24"/>
                <w:szCs w:val="24"/>
              </w:rPr>
            </w:pPr>
            <w:r>
              <w:rPr>
                <w:b/>
                <w:noProof/>
                <w:sz w:val="24"/>
                <w:szCs w:val="24"/>
              </w:rPr>
              <w:t>Equity</w:t>
            </w:r>
          </w:p>
          <w:p>
            <w:pPr>
              <w:pStyle w:val="BulletBody"/>
              <w:numPr>
                <w:ilvl w:val="0"/>
                <w:numId w:val="7"/>
              </w:numPr>
              <w:rPr>
                <w:rFonts w:ascii="Times New Roman" w:hAnsi="Times New Roman" w:cs="Times New Roman"/>
                <w:b/>
                <w:noProof/>
                <w:sz w:val="20"/>
                <w:szCs w:val="20"/>
              </w:rPr>
            </w:pPr>
            <w:r>
              <w:rPr>
                <w:rFonts w:ascii="Times New Roman" w:hAnsi="Times New Roman" w:cs="Times New Roman"/>
                <w:noProof/>
                <w:sz w:val="20"/>
                <w:szCs w:val="20"/>
              </w:rPr>
              <w:t>The Commission will consider to instruct the applicants more concretely on how to include the gender mainstreaming and the promotion of the rights of the child and of people with disabilities in the different stages of a project. The Programme should also stress more the importance of collecting data disaggregated by age and sex. The Commission will also consider to what extent the participation of non-governmental organisations (for which co-financing might represent an issue), should be supported. Actions should also be taken to foster a more equitable distribution of resources among organisations in different Member States and to foster development of Framework Partnership Agreements with a broader set of organisations.</w:t>
            </w:r>
            <w:r>
              <w:rPr>
                <w:noProof/>
                <w:sz w:val="18"/>
              </w:rPr>
              <w:t xml:space="preserve"> </w:t>
            </w:r>
          </w:p>
        </w:tc>
      </w:tr>
    </w:tbl>
    <w:p>
      <w:pPr>
        <w:spacing w:after="120" w:line="240" w:lineRule="auto"/>
        <w:jc w:val="both"/>
        <w:rPr>
          <w:rFonts w:ascii="Times New Roman" w:eastAsia="Times New Roman" w:hAnsi="Times New Roman" w:cs="Times New Roman"/>
          <w:noProof/>
          <w:color w:val="000000"/>
          <w:sz w:val="24"/>
          <w:szCs w:val="24"/>
          <w:lang w:val="en-GB" w:eastAsia="ro-RO"/>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FFFFFF" w:themeFill="background1"/>
        <w:tblLook w:val="04A0" w:firstRow="1" w:lastRow="0" w:firstColumn="1" w:lastColumn="0" w:noHBand="0" w:noVBand="1"/>
      </w:tblPr>
      <w:tblGrid>
        <w:gridCol w:w="8834"/>
      </w:tblGrid>
      <w:tr>
        <w:tc>
          <w:tcPr>
            <w:tcW w:w="9395" w:type="dxa"/>
            <w:shd w:val="clear" w:color="auto" w:fill="FFFFFF" w:themeFill="background1"/>
            <w:hideMark/>
          </w:tcPr>
          <w:p>
            <w:pPr>
              <w:jc w:val="both"/>
              <w:rPr>
                <w:b/>
                <w:noProof/>
                <w:sz w:val="24"/>
                <w:szCs w:val="24"/>
              </w:rPr>
            </w:pPr>
            <w:r>
              <w:rPr>
                <w:b/>
                <w:noProof/>
                <w:sz w:val="24"/>
                <w:szCs w:val="24"/>
              </w:rPr>
              <w:t>Scope for simplification</w:t>
            </w:r>
          </w:p>
          <w:p>
            <w:pPr>
              <w:pStyle w:val="ListParagraph"/>
              <w:numPr>
                <w:ilvl w:val="0"/>
                <w:numId w:val="40"/>
              </w:numPr>
              <w:spacing w:before="120" w:after="120"/>
              <w:rPr>
                <w:b/>
                <w:noProof/>
                <w:sz w:val="20"/>
              </w:rPr>
            </w:pPr>
            <w:r>
              <w:rPr>
                <w:noProof/>
                <w:sz w:val="20"/>
              </w:rPr>
              <w:t xml:space="preserve">The Commission will consider to provide more guidance to the applicants in the template Part B. Each item should be better explained and complemented with examples. In addition, the Guide for Evaluators could be published, to make the applicants aware of the evaluation methodology, and the Participant Portal should be more adapted to cater to the needs of typical Justice Programme applicants. Moreover, indicators contained in the Regulation should be separated conceptually into output and outcome/impact indicators, indicate how the Programme contributes to the fulfilment of said indicators and identify the main data sources for each indicator as well as their availability. Finally, the monitoring system should envisage the possibility for the beneficiary to update the values of the indicators. </w:t>
            </w:r>
          </w:p>
        </w:tc>
      </w:tr>
    </w:tbl>
    <w:p>
      <w:pPr>
        <w:spacing w:after="0" w:line="240" w:lineRule="auto"/>
        <w:jc w:val="both"/>
        <w:rPr>
          <w:rFonts w:ascii="Times New Roman" w:eastAsia="Calibri" w:hAnsi="Times New Roman" w:cs="Times New Roman"/>
          <w:noProof/>
          <w:color w:val="000000"/>
          <w:sz w:val="24"/>
          <w:szCs w:val="24"/>
          <w:u w:color="000000"/>
          <w:bdr w:val="nil"/>
          <w:lang w:val="en-GB" w:eastAsia="en-GB"/>
        </w:rPr>
        <w:sectPr>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pgNumType w:start="2"/>
          <w:cols w:space="720"/>
          <w:titlePg/>
        </w:sectPr>
      </w:pPr>
    </w:p>
    <w:p>
      <w:pPr>
        <w:pStyle w:val="Heading1"/>
        <w:spacing w:before="0" w:after="120"/>
        <w:jc w:val="center"/>
        <w:rPr>
          <w:noProof/>
        </w:rPr>
      </w:pPr>
      <w:bookmarkStart w:id="27" w:name="_Toc481484483"/>
      <w:bookmarkStart w:id="28" w:name="_Toc514411216"/>
      <w:r>
        <w:rPr>
          <w:noProof/>
        </w:rPr>
        <w:t>Annex 1: Procedural information</w:t>
      </w:r>
      <w:bookmarkEnd w:id="27"/>
      <w:bookmarkEnd w:id="28"/>
    </w:p>
    <w:p>
      <w:pPr>
        <w:keepNext/>
        <w:numPr>
          <w:ilvl w:val="0"/>
          <w:numId w:val="4"/>
        </w:numPr>
        <w:spacing w:after="120" w:line="240" w:lineRule="auto"/>
        <w:jc w:val="both"/>
        <w:outlineLvl w:val="0"/>
        <w:rPr>
          <w:rFonts w:ascii="Times New Roman" w:hAnsi="Times New Roman" w:cs="Times New Roman"/>
          <w:b/>
          <w:smallCaps/>
          <w:noProof/>
          <w:sz w:val="24"/>
          <w:szCs w:val="24"/>
          <w:lang w:val="en-GB"/>
        </w:rPr>
      </w:pPr>
      <w:bookmarkStart w:id="29" w:name="_Toc471997754"/>
      <w:bookmarkStart w:id="30" w:name="_Toc481484484"/>
      <w:r>
        <w:rPr>
          <w:rFonts w:ascii="Times New Roman" w:hAnsi="Times New Roman" w:cs="Times New Roman"/>
          <w:b/>
          <w:smallCaps/>
          <w:noProof/>
          <w:sz w:val="24"/>
          <w:szCs w:val="24"/>
          <w:lang w:val="en-GB"/>
        </w:rPr>
        <w:t>Lead DG, Decide Planning/CWP References</w:t>
      </w:r>
      <w:bookmarkEnd w:id="29"/>
      <w:bookmarkEnd w:id="30"/>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Lead Directorate-General:</w:t>
      </w:r>
      <w:r>
        <w:rPr>
          <w:rFonts w:ascii="Times New Roman" w:hAnsi="Times New Roman" w:cs="Times New Roman"/>
          <w:noProof/>
          <w:sz w:val="24"/>
          <w:szCs w:val="24"/>
          <w:lang w:val="en-GB"/>
        </w:rPr>
        <w:t xml:space="preserve"> Directorate-General for Justice and Consumers (DG JUST)</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Decide planning reference</w:t>
      </w:r>
      <w:r>
        <w:rPr>
          <w:rFonts w:ascii="Times New Roman" w:hAnsi="Times New Roman" w:cs="Times New Roman"/>
          <w:noProof/>
          <w:sz w:val="24"/>
          <w:szCs w:val="24"/>
          <w:lang w:val="en-GB"/>
        </w:rPr>
        <w:t xml:space="preserve">: </w:t>
      </w:r>
    </w:p>
    <w:p>
      <w:pPr>
        <w:keepNext/>
        <w:numPr>
          <w:ilvl w:val="0"/>
          <w:numId w:val="4"/>
        </w:numPr>
        <w:spacing w:after="120" w:line="240" w:lineRule="auto"/>
        <w:jc w:val="both"/>
        <w:outlineLvl w:val="0"/>
        <w:rPr>
          <w:rFonts w:ascii="Times New Roman" w:hAnsi="Times New Roman" w:cs="Times New Roman"/>
          <w:b/>
          <w:smallCaps/>
          <w:noProof/>
          <w:sz w:val="24"/>
          <w:szCs w:val="24"/>
          <w:lang w:val="en-GB"/>
        </w:rPr>
      </w:pPr>
      <w:bookmarkStart w:id="31" w:name="_Toc471997755"/>
      <w:bookmarkStart w:id="32" w:name="_Toc481484485"/>
      <w:r>
        <w:rPr>
          <w:rFonts w:ascii="Times New Roman" w:hAnsi="Times New Roman" w:cs="Times New Roman"/>
          <w:b/>
          <w:smallCaps/>
          <w:noProof/>
          <w:sz w:val="24"/>
          <w:szCs w:val="24"/>
          <w:lang w:val="en-GB"/>
        </w:rPr>
        <w:t>Organisation and timing</w:t>
      </w:r>
      <w:bookmarkEnd w:id="31"/>
      <w:bookmarkEnd w:id="32"/>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was carried out between October 2017 and April 2018.</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An external contractor, </w:t>
      </w:r>
      <w:r>
        <w:rPr>
          <w:rFonts w:ascii="Times New Roman" w:hAnsi="Times New Roman" w:cs="Times New Roman"/>
          <w:noProof/>
          <w:color w:val="000000"/>
          <w:sz w:val="24"/>
          <w:szCs w:val="24"/>
          <w:lang w:val="en-GB" w:eastAsia="it-IT"/>
        </w:rPr>
        <w:t>Ernst &amp; Young Financial-Business Advisors</w:t>
      </w:r>
      <w:r>
        <w:rPr>
          <w:rFonts w:ascii="Times New Roman" w:hAnsi="Times New Roman" w:cs="Times New Roman"/>
          <w:noProof/>
          <w:sz w:val="24"/>
          <w:szCs w:val="24"/>
          <w:lang w:val="en-GB"/>
        </w:rPr>
        <w:t xml:space="preserve">, was commissioned under the Framework Contract for evaluation, Impact Assessment and Related Services (JUST/2016/JCOO/FW/JU04/0178) to carry out a interim evaluation of the Justice programme (2014-2020). The final report was completed in April 2018. An Inter-service Steering Group led by DG JUST was set up specifically for this evaluation. The representatives of the following Commission services were members of the group: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Secretariat General, Directorate-General for Budget, Directorate-General for International Cooperation and Development, Legal Service, Directorate-General for Communications Networks, Content and Technology, Directorate-General for Migration and Home Affairs, Directorate-General for Neighbourhood and Enlargement Negotiations, Directorate-General for Health and Food Safety, and European Anti-Fraud Office.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Chronology of the interim evaluation: </w:t>
      </w:r>
    </w:p>
    <w:p>
      <w:pPr>
        <w:spacing w:after="120" w:line="240" w:lineRule="auto"/>
        <w:jc w:val="both"/>
        <w:rPr>
          <w:rFonts w:ascii="Times New Roman" w:hAnsi="Times New Roman" w:cs="Times New Roman"/>
          <w:noProof/>
          <w:sz w:val="24"/>
          <w:szCs w:val="20"/>
          <w:highlight w:val="yellow"/>
          <w:lang w:val="en-GB"/>
        </w:rPr>
      </w:pPr>
    </w:p>
    <w:tbl>
      <w:tblPr>
        <w:tblStyle w:val="none1"/>
        <w:tblW w:w="8330" w:type="dxa"/>
        <w:tblInd w:w="283" w:type="dxa"/>
        <w:tblLook w:val="04A0" w:firstRow="1" w:lastRow="0" w:firstColumn="1" w:lastColumn="0" w:noHBand="0" w:noVBand="1"/>
      </w:tblPr>
      <w:tblGrid>
        <w:gridCol w:w="1952"/>
        <w:gridCol w:w="6378"/>
      </w:tblGrid>
      <w:tr>
        <w:tc>
          <w:tcPr>
            <w:tcW w:w="1952" w:type="dxa"/>
            <w:shd w:val="clear" w:color="auto" w:fill="auto"/>
          </w:tcPr>
          <w:p>
            <w:pPr>
              <w:spacing w:after="120"/>
              <w:jc w:val="center"/>
              <w:rPr>
                <w:rFonts w:eastAsiaTheme="minorHAnsi"/>
                <w:noProof/>
                <w:sz w:val="24"/>
                <w:szCs w:val="24"/>
              </w:rPr>
            </w:pPr>
            <w:r>
              <w:rPr>
                <w:rFonts w:eastAsiaTheme="minorHAnsi"/>
                <w:b/>
                <w:noProof/>
                <w:sz w:val="24"/>
                <w:szCs w:val="24"/>
              </w:rPr>
              <w:t>Date</w:t>
            </w:r>
          </w:p>
        </w:tc>
        <w:tc>
          <w:tcPr>
            <w:tcW w:w="6378" w:type="dxa"/>
            <w:shd w:val="clear" w:color="auto" w:fill="auto"/>
          </w:tcPr>
          <w:p>
            <w:pPr>
              <w:spacing w:after="120"/>
              <w:rPr>
                <w:rFonts w:eastAsiaTheme="minorHAnsi"/>
                <w:b/>
                <w:noProof/>
                <w:sz w:val="24"/>
                <w:szCs w:val="24"/>
              </w:rPr>
            </w:pPr>
            <w:r>
              <w:rPr>
                <w:rFonts w:eastAsiaTheme="minorHAnsi"/>
                <w:b/>
                <w:noProof/>
                <w:sz w:val="24"/>
                <w:szCs w:val="24"/>
              </w:rPr>
              <w:t xml:space="preserve"> Meetings of Inter-service Steering Group</w:t>
            </w:r>
          </w:p>
        </w:tc>
      </w:tr>
      <w:tr>
        <w:tc>
          <w:tcPr>
            <w:tcW w:w="1952" w:type="dxa"/>
          </w:tcPr>
          <w:p>
            <w:pPr>
              <w:spacing w:after="120"/>
              <w:jc w:val="both"/>
              <w:rPr>
                <w:rFonts w:eastAsiaTheme="minorHAnsi"/>
                <w:b/>
                <w:noProof/>
                <w:sz w:val="24"/>
                <w:szCs w:val="24"/>
              </w:rPr>
            </w:pPr>
            <w:r>
              <w:rPr>
                <w:rFonts w:eastAsiaTheme="minorHAnsi"/>
                <w:b/>
                <w:noProof/>
                <w:sz w:val="24"/>
                <w:szCs w:val="24"/>
              </w:rPr>
              <w:t>January 2017</w:t>
            </w:r>
          </w:p>
        </w:tc>
        <w:tc>
          <w:tcPr>
            <w:tcW w:w="6378" w:type="dxa"/>
          </w:tcPr>
          <w:p>
            <w:pPr>
              <w:spacing w:after="120"/>
              <w:jc w:val="both"/>
              <w:rPr>
                <w:rFonts w:eastAsiaTheme="minorHAnsi"/>
                <w:noProof/>
                <w:sz w:val="24"/>
                <w:szCs w:val="24"/>
              </w:rPr>
            </w:pPr>
            <w:r>
              <w:rPr>
                <w:rFonts w:eastAsiaTheme="minorHAnsi"/>
                <w:b/>
                <w:noProof/>
                <w:sz w:val="24"/>
                <w:szCs w:val="24"/>
              </w:rPr>
              <w:t>Kick-off meeting</w:t>
            </w:r>
            <w:r>
              <w:rPr>
                <w:rFonts w:eastAsiaTheme="minorHAnsi"/>
                <w:noProof/>
                <w:sz w:val="24"/>
                <w:szCs w:val="24"/>
              </w:rPr>
              <w:t xml:space="preserve"> of the mid-term evaluation Inter-Service Steering group</w:t>
            </w:r>
          </w:p>
        </w:tc>
      </w:tr>
      <w:tr>
        <w:tc>
          <w:tcPr>
            <w:tcW w:w="1952" w:type="dxa"/>
          </w:tcPr>
          <w:p>
            <w:pPr>
              <w:spacing w:after="120"/>
              <w:jc w:val="both"/>
              <w:rPr>
                <w:rFonts w:eastAsiaTheme="minorHAnsi"/>
                <w:b/>
                <w:noProof/>
                <w:sz w:val="24"/>
                <w:szCs w:val="24"/>
              </w:rPr>
            </w:pPr>
            <w:r>
              <w:rPr>
                <w:rFonts w:eastAsiaTheme="minorHAnsi"/>
                <w:b/>
                <w:noProof/>
                <w:sz w:val="24"/>
                <w:szCs w:val="24"/>
              </w:rPr>
              <w:t>December 2017</w:t>
            </w:r>
          </w:p>
        </w:tc>
        <w:tc>
          <w:tcPr>
            <w:tcW w:w="6378" w:type="dxa"/>
          </w:tcPr>
          <w:p>
            <w:pPr>
              <w:spacing w:after="120"/>
              <w:jc w:val="both"/>
              <w:rPr>
                <w:rFonts w:eastAsiaTheme="minorHAnsi"/>
                <w:noProof/>
                <w:sz w:val="24"/>
                <w:szCs w:val="24"/>
              </w:rPr>
            </w:pPr>
            <w:r>
              <w:rPr>
                <w:rFonts w:eastAsiaTheme="minorHAnsi"/>
                <w:b/>
                <w:noProof/>
                <w:sz w:val="24"/>
                <w:szCs w:val="24"/>
              </w:rPr>
              <w:t>Second meeting</w:t>
            </w:r>
            <w:r>
              <w:rPr>
                <w:rFonts w:eastAsiaTheme="minorHAnsi"/>
                <w:noProof/>
                <w:sz w:val="24"/>
                <w:szCs w:val="24"/>
              </w:rPr>
              <w:t xml:space="preserve"> of the mid-term evaluation Inter-Service Steering group </w:t>
            </w:r>
            <w:r>
              <w:rPr>
                <w:rFonts w:eastAsiaTheme="minorHAnsi"/>
                <w:b/>
                <w:noProof/>
                <w:sz w:val="24"/>
                <w:szCs w:val="24"/>
              </w:rPr>
              <w:t>to discuss the interim report</w:t>
            </w:r>
          </w:p>
        </w:tc>
      </w:tr>
      <w:tr>
        <w:tc>
          <w:tcPr>
            <w:tcW w:w="1952" w:type="dxa"/>
          </w:tcPr>
          <w:p>
            <w:pPr>
              <w:spacing w:after="120"/>
              <w:jc w:val="both"/>
              <w:rPr>
                <w:rFonts w:eastAsiaTheme="minorHAnsi"/>
                <w:b/>
                <w:noProof/>
                <w:sz w:val="24"/>
                <w:szCs w:val="24"/>
              </w:rPr>
            </w:pPr>
            <w:r>
              <w:rPr>
                <w:rFonts w:eastAsiaTheme="minorHAnsi"/>
                <w:b/>
                <w:noProof/>
                <w:sz w:val="24"/>
                <w:szCs w:val="24"/>
              </w:rPr>
              <w:t>April 2018</w:t>
            </w:r>
          </w:p>
        </w:tc>
        <w:tc>
          <w:tcPr>
            <w:tcW w:w="6378" w:type="dxa"/>
          </w:tcPr>
          <w:p>
            <w:pPr>
              <w:spacing w:after="120"/>
              <w:jc w:val="both"/>
              <w:rPr>
                <w:rFonts w:eastAsiaTheme="minorHAnsi"/>
                <w:noProof/>
                <w:sz w:val="24"/>
                <w:szCs w:val="24"/>
              </w:rPr>
            </w:pPr>
            <w:r>
              <w:rPr>
                <w:rFonts w:eastAsiaTheme="minorHAnsi"/>
                <w:b/>
                <w:noProof/>
                <w:sz w:val="24"/>
                <w:szCs w:val="24"/>
              </w:rPr>
              <w:t>Third meeting</w:t>
            </w:r>
            <w:r>
              <w:rPr>
                <w:rFonts w:eastAsiaTheme="minorHAnsi"/>
                <w:noProof/>
                <w:sz w:val="24"/>
                <w:szCs w:val="24"/>
              </w:rPr>
              <w:t xml:space="preserve"> of the mid-term evaluation Inter-Service Steering group </w:t>
            </w:r>
            <w:r>
              <w:rPr>
                <w:rFonts w:eastAsiaTheme="minorHAnsi"/>
                <w:b/>
                <w:noProof/>
                <w:sz w:val="24"/>
                <w:szCs w:val="24"/>
              </w:rPr>
              <w:t>to discuss the draft final report and ask for several improvements</w:t>
            </w:r>
          </w:p>
        </w:tc>
      </w:tr>
    </w:tbl>
    <w:p>
      <w:pPr>
        <w:pStyle w:val="ListBullet"/>
        <w:numPr>
          <w:ilvl w:val="0"/>
          <w:numId w:val="0"/>
        </w:numPr>
        <w:spacing w:after="120"/>
        <w:rPr>
          <w:rFonts w:eastAsiaTheme="minorHAnsi"/>
          <w:noProof/>
          <w:szCs w:val="24"/>
        </w:rPr>
      </w:pPr>
    </w:p>
    <w:p>
      <w:pPr>
        <w:keepNext/>
        <w:numPr>
          <w:ilvl w:val="0"/>
          <w:numId w:val="4"/>
        </w:numPr>
        <w:spacing w:after="120" w:line="240" w:lineRule="auto"/>
        <w:jc w:val="both"/>
        <w:outlineLvl w:val="0"/>
        <w:rPr>
          <w:rFonts w:ascii="Times New Roman" w:hAnsi="Times New Roman" w:cs="Times New Roman"/>
          <w:b/>
          <w:smallCaps/>
          <w:noProof/>
          <w:sz w:val="24"/>
          <w:szCs w:val="24"/>
          <w:lang w:val="en-GB"/>
        </w:rPr>
      </w:pPr>
      <w:bookmarkStart w:id="33" w:name="_Toc471997756"/>
      <w:bookmarkStart w:id="34" w:name="_Toc481484486"/>
      <w:r>
        <w:rPr>
          <w:rFonts w:ascii="Times New Roman" w:hAnsi="Times New Roman" w:cs="Times New Roman"/>
          <w:b/>
          <w:smallCaps/>
          <w:noProof/>
          <w:sz w:val="24"/>
          <w:szCs w:val="24"/>
          <w:lang w:val="en-GB"/>
        </w:rPr>
        <w:t>Exceptions to the better regulation guidelines</w:t>
      </w:r>
      <w:bookmarkEnd w:id="33"/>
      <w:bookmarkEnd w:id="34"/>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 public consultation was not carried out specifically under this evaluation, but under the Impact Assessment for the post-2020 Multiannual Financial Framework. </w:t>
      </w:r>
    </w:p>
    <w:p>
      <w:pPr>
        <w:keepNext/>
        <w:numPr>
          <w:ilvl w:val="0"/>
          <w:numId w:val="4"/>
        </w:numPr>
        <w:spacing w:after="120" w:line="240" w:lineRule="auto"/>
        <w:jc w:val="both"/>
        <w:outlineLvl w:val="0"/>
        <w:rPr>
          <w:rFonts w:ascii="Times New Roman" w:hAnsi="Times New Roman" w:cs="Times New Roman"/>
          <w:b/>
          <w:smallCaps/>
          <w:noProof/>
          <w:sz w:val="24"/>
          <w:szCs w:val="24"/>
          <w:lang w:val="en-GB"/>
        </w:rPr>
      </w:pPr>
      <w:bookmarkStart w:id="35" w:name="_Toc471997757"/>
      <w:bookmarkStart w:id="36" w:name="_Toc481484487"/>
      <w:r>
        <w:rPr>
          <w:rFonts w:ascii="Times New Roman" w:hAnsi="Times New Roman" w:cs="Times New Roman"/>
          <w:b/>
          <w:smallCaps/>
          <w:noProof/>
          <w:sz w:val="24"/>
          <w:szCs w:val="24"/>
          <w:lang w:val="en-GB"/>
        </w:rPr>
        <w:t>Consultation of the RSB</w:t>
      </w:r>
      <w:bookmarkEnd w:id="35"/>
      <w:bookmarkEnd w:id="36"/>
      <w:r>
        <w:rPr>
          <w:rFonts w:ascii="Times New Roman" w:hAnsi="Times New Roman" w:cs="Times New Roman"/>
          <w:b/>
          <w:smallCaps/>
          <w:noProof/>
          <w:sz w:val="24"/>
          <w:szCs w:val="24"/>
          <w:lang w:val="en-GB"/>
        </w:rPr>
        <w:t xml:space="preserve"> (if applicable)</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N/A</w:t>
      </w:r>
    </w:p>
    <w:p>
      <w:pPr>
        <w:keepNext/>
        <w:numPr>
          <w:ilvl w:val="0"/>
          <w:numId w:val="4"/>
        </w:numPr>
        <w:spacing w:after="120" w:line="240" w:lineRule="auto"/>
        <w:jc w:val="both"/>
        <w:outlineLvl w:val="0"/>
        <w:rPr>
          <w:rFonts w:ascii="Times New Roman" w:hAnsi="Times New Roman" w:cs="Times New Roman"/>
          <w:b/>
          <w:smallCaps/>
          <w:noProof/>
          <w:sz w:val="24"/>
          <w:szCs w:val="24"/>
          <w:lang w:val="en-GB"/>
        </w:rPr>
      </w:pPr>
      <w:bookmarkStart w:id="37" w:name="_Toc471997758"/>
      <w:bookmarkStart w:id="38" w:name="_Toc481484488"/>
      <w:r>
        <w:rPr>
          <w:rFonts w:ascii="Times New Roman" w:hAnsi="Times New Roman" w:cs="Times New Roman"/>
          <w:b/>
          <w:smallCaps/>
          <w:noProof/>
          <w:sz w:val="24"/>
          <w:szCs w:val="24"/>
          <w:lang w:val="en-GB"/>
        </w:rPr>
        <w:t>Evidence, sources and quality</w:t>
      </w:r>
      <w:bookmarkEnd w:id="37"/>
      <w:bookmarkEnd w:id="38"/>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was based on evidence from different sources. The complete set of documents that were consulted for this evaluation is listed below:</w:t>
      </w: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Legal basis of the Justice Programme:</w:t>
      </w:r>
    </w:p>
    <w:p>
      <w:pPr>
        <w:pStyle w:val="ListBullet"/>
        <w:spacing w:after="120"/>
        <w:rPr>
          <w:rFonts w:eastAsiaTheme="minorHAnsi"/>
          <w:noProof/>
          <w:szCs w:val="24"/>
        </w:rPr>
      </w:pPr>
      <w:r>
        <w:rPr>
          <w:rFonts w:eastAsiaTheme="minorHAnsi"/>
          <w:noProof/>
          <w:szCs w:val="24"/>
        </w:rPr>
        <w:t>Arts. 81(1) and 82(1) TFUE;</w:t>
      </w:r>
    </w:p>
    <w:p>
      <w:pPr>
        <w:pStyle w:val="ListBullet"/>
        <w:spacing w:after="120"/>
        <w:rPr>
          <w:rFonts w:eastAsiaTheme="minorHAnsi"/>
          <w:noProof/>
          <w:szCs w:val="24"/>
        </w:rPr>
      </w:pPr>
      <w:r>
        <w:rPr>
          <w:rFonts w:eastAsiaTheme="minorHAnsi"/>
          <w:noProof/>
          <w:szCs w:val="24"/>
        </w:rPr>
        <w:t>Regulation (EU) No 1382/2013 of the European Parliament and of The Council of 17 December 2013 establishing a Justice Programme for the period 2014 to 2020.</w:t>
      </w: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Commission Implementing Decisions 2014, 2015, 2016:</w:t>
      </w:r>
    </w:p>
    <w:p>
      <w:pPr>
        <w:pStyle w:val="ListBullet"/>
        <w:spacing w:after="120"/>
        <w:rPr>
          <w:rFonts w:eastAsiaTheme="minorHAnsi"/>
          <w:noProof/>
          <w:szCs w:val="24"/>
        </w:rPr>
      </w:pPr>
      <w:r>
        <w:rPr>
          <w:rFonts w:eastAsiaTheme="minorHAnsi"/>
          <w:noProof/>
          <w:szCs w:val="24"/>
        </w:rPr>
        <w:t>Commission Implementing Decision C(2014)2556 concerning the adoption  of the work programme for 2014 and the financing for the implementation of the Justice Programme;</w:t>
      </w:r>
    </w:p>
    <w:p>
      <w:pPr>
        <w:pStyle w:val="ListBullet"/>
        <w:spacing w:after="120"/>
        <w:rPr>
          <w:rFonts w:eastAsiaTheme="minorHAnsi"/>
          <w:noProof/>
          <w:szCs w:val="24"/>
        </w:rPr>
      </w:pPr>
      <w:r>
        <w:rPr>
          <w:rFonts w:eastAsiaTheme="minorHAnsi"/>
          <w:noProof/>
          <w:szCs w:val="24"/>
        </w:rPr>
        <w:t>Commission Implementing Decision C(2015)1997 concerning the adoption  of the work programme for 2015 and the financing for the implementation of the Justice Programme;</w:t>
      </w:r>
    </w:p>
    <w:p>
      <w:pPr>
        <w:pStyle w:val="ListBullet"/>
        <w:spacing w:after="120"/>
        <w:rPr>
          <w:rFonts w:eastAsiaTheme="minorHAnsi"/>
          <w:noProof/>
          <w:szCs w:val="24"/>
        </w:rPr>
      </w:pPr>
      <w:r>
        <w:rPr>
          <w:rFonts w:eastAsiaTheme="minorHAnsi"/>
          <w:noProof/>
          <w:szCs w:val="24"/>
        </w:rPr>
        <w:t>Commission Implementing Decision C(2016)1677 concerning the adoption  of the work programme for 2016 and the financing for the implementation of the Justice Programme.</w:t>
      </w: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EU documents:</w:t>
      </w:r>
    </w:p>
    <w:p>
      <w:pPr>
        <w:pStyle w:val="ListBullet"/>
        <w:spacing w:after="120"/>
        <w:rPr>
          <w:rFonts w:eastAsiaTheme="minorHAnsi"/>
          <w:noProof/>
          <w:szCs w:val="24"/>
        </w:rPr>
      </w:pPr>
      <w:r>
        <w:rPr>
          <w:rFonts w:eastAsiaTheme="minorHAnsi"/>
          <w:noProof/>
          <w:szCs w:val="24"/>
        </w:rPr>
        <w:t>Council conclusions on the European Judicial Network in civil and commercial matters (15349/16) on 8 and 9 December 2016;</w:t>
      </w:r>
    </w:p>
    <w:p>
      <w:pPr>
        <w:pStyle w:val="ListBullet"/>
        <w:spacing w:after="120"/>
        <w:rPr>
          <w:rFonts w:eastAsiaTheme="minorHAnsi"/>
          <w:noProof/>
          <w:szCs w:val="24"/>
        </w:rPr>
      </w:pPr>
      <w:r>
        <w:rPr>
          <w:rFonts w:eastAsiaTheme="minorHAnsi"/>
          <w:noProof/>
          <w:szCs w:val="24"/>
        </w:rPr>
        <w:t>Conclusions of the European Council on 26-27 June 2014 in the area of freedom, security and justice (including on judicial cooperation in civil matters)</w:t>
      </w:r>
    </w:p>
    <w:p>
      <w:pPr>
        <w:pStyle w:val="ListBullet"/>
        <w:spacing w:after="120"/>
        <w:rPr>
          <w:rFonts w:eastAsiaTheme="minorHAnsi"/>
          <w:noProof/>
          <w:szCs w:val="24"/>
        </w:rPr>
      </w:pPr>
      <w:r>
        <w:rPr>
          <w:rFonts w:eastAsiaTheme="minorHAnsi"/>
          <w:noProof/>
          <w:szCs w:val="24"/>
        </w:rPr>
        <w:t xml:space="preserve">The European Agenda for Justice for 2020, adopted in 2014; </w:t>
      </w:r>
    </w:p>
    <w:p>
      <w:pPr>
        <w:pStyle w:val="ListBullet"/>
        <w:spacing w:after="120"/>
        <w:rPr>
          <w:rFonts w:eastAsiaTheme="minorHAnsi"/>
          <w:noProof/>
          <w:szCs w:val="24"/>
        </w:rPr>
      </w:pPr>
      <w:r>
        <w:rPr>
          <w:rFonts w:eastAsiaTheme="minorHAnsi"/>
          <w:noProof/>
          <w:szCs w:val="24"/>
        </w:rPr>
        <w:t>The European Agenda for Security, adopted in 2015;</w:t>
      </w:r>
    </w:p>
    <w:p>
      <w:pPr>
        <w:pStyle w:val="ListBullet"/>
        <w:spacing w:after="120"/>
        <w:rPr>
          <w:rFonts w:eastAsiaTheme="minorHAnsi"/>
          <w:noProof/>
          <w:szCs w:val="24"/>
        </w:rPr>
      </w:pPr>
      <w:r>
        <w:rPr>
          <w:rFonts w:eastAsiaTheme="minorHAnsi"/>
          <w:noProof/>
          <w:szCs w:val="24"/>
        </w:rPr>
        <w:t xml:space="preserve">The 2030 Sustainable Development Agenda; </w:t>
      </w:r>
    </w:p>
    <w:p>
      <w:pPr>
        <w:pStyle w:val="ListBullet"/>
        <w:spacing w:after="120"/>
        <w:rPr>
          <w:rFonts w:eastAsiaTheme="minorHAnsi"/>
          <w:noProof/>
          <w:szCs w:val="24"/>
        </w:rPr>
      </w:pPr>
      <w:r>
        <w:rPr>
          <w:rFonts w:eastAsiaTheme="minorHAnsi"/>
          <w:noProof/>
          <w:szCs w:val="24"/>
        </w:rPr>
        <w:t>The “Juncker Priorities” for 2015-2019;</w:t>
      </w:r>
    </w:p>
    <w:p>
      <w:pPr>
        <w:pStyle w:val="ListBullet"/>
        <w:spacing w:after="120"/>
        <w:rPr>
          <w:rFonts w:eastAsiaTheme="minorHAnsi"/>
          <w:noProof/>
          <w:szCs w:val="24"/>
        </w:rPr>
      </w:pPr>
      <w:r>
        <w:rPr>
          <w:rFonts w:eastAsiaTheme="minorHAnsi"/>
          <w:noProof/>
          <w:szCs w:val="24"/>
        </w:rPr>
        <w:t>Conclusions of the European Council on 26-27 June 2014 in the area of freedom, security and justice;</w:t>
      </w:r>
    </w:p>
    <w:p>
      <w:pPr>
        <w:pStyle w:val="ListBullet"/>
        <w:spacing w:after="120"/>
        <w:rPr>
          <w:b/>
          <w:noProof/>
        </w:rPr>
      </w:pPr>
      <w:r>
        <w:rPr>
          <w:rFonts w:eastAsiaTheme="minorHAnsi"/>
          <w:noProof/>
          <w:szCs w:val="24"/>
        </w:rPr>
        <w:t>Multiannual European e-Justice Action Plan 2014-2018.</w:t>
      </w:r>
      <w:r>
        <w:rPr>
          <w:b/>
          <w:noProof/>
        </w:rPr>
        <w:t xml:space="preserve">     </w:t>
      </w: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Justice Programme documentation:</w:t>
      </w:r>
    </w:p>
    <w:p>
      <w:pPr>
        <w:pStyle w:val="ListBullet"/>
        <w:spacing w:after="0"/>
        <w:ind w:left="284" w:hanging="284"/>
        <w:rPr>
          <w:rFonts w:eastAsiaTheme="minorHAnsi"/>
          <w:noProof/>
          <w:szCs w:val="24"/>
        </w:rPr>
      </w:pPr>
      <w:r>
        <w:rPr>
          <w:rFonts w:eastAsiaTheme="minorHAnsi"/>
          <w:noProof/>
          <w:szCs w:val="24"/>
        </w:rPr>
        <w:t>Ex-post evaluation report of Civil Justice Programme (2007-2013)</w:t>
      </w:r>
    </w:p>
    <w:p>
      <w:pPr>
        <w:spacing w:after="120" w:line="240" w:lineRule="auto"/>
        <w:ind w:left="720"/>
        <w:rPr>
          <w:rFonts w:ascii="Times New Roman" w:hAnsi="Times New Roman" w:cs="Times New Roman"/>
          <w:noProof/>
          <w:szCs w:val="24"/>
          <w:lang w:val="en-GB"/>
        </w:rPr>
      </w:pPr>
      <w:hyperlink r:id="rId31" w:history="1">
        <w:r>
          <w:rPr>
            <w:rStyle w:val="Hyperlink"/>
            <w:rFonts w:ascii="Times New Roman" w:hAnsi="Times New Roman" w:cs="Times New Roman"/>
            <w:noProof/>
            <w:szCs w:val="24"/>
            <w:lang w:val="en-GB"/>
          </w:rPr>
          <w:t>http://eur-lex.europa.eu/legal-content/en/TXT/?uri=CELEX:52017DC0059</w:t>
        </w:r>
      </w:hyperlink>
      <w:r>
        <w:rPr>
          <w:rFonts w:ascii="Times New Roman" w:hAnsi="Times New Roman" w:cs="Times New Roman"/>
          <w:noProof/>
          <w:szCs w:val="24"/>
          <w:lang w:val="en-GB"/>
        </w:rPr>
        <w:t xml:space="preserve"> </w:t>
      </w:r>
    </w:p>
    <w:p>
      <w:pPr>
        <w:pStyle w:val="ListBullet"/>
        <w:spacing w:after="0"/>
        <w:ind w:left="284" w:hanging="284"/>
        <w:rPr>
          <w:rFonts w:eastAsiaTheme="minorHAnsi"/>
          <w:noProof/>
          <w:szCs w:val="24"/>
        </w:rPr>
      </w:pPr>
      <w:r>
        <w:rPr>
          <w:rFonts w:eastAsiaTheme="minorHAnsi"/>
          <w:noProof/>
          <w:szCs w:val="24"/>
        </w:rPr>
        <w:t>Ex-post evaluation report of Criminal Justice Programme (2007-2013)</w:t>
      </w:r>
    </w:p>
    <w:p>
      <w:pPr>
        <w:spacing w:after="120" w:line="240" w:lineRule="auto"/>
        <w:ind w:left="720"/>
        <w:rPr>
          <w:rStyle w:val="Hyperlink"/>
          <w:rFonts w:ascii="Times New Roman" w:hAnsi="Times New Roman" w:cs="Times New Roman"/>
          <w:noProof/>
          <w:lang w:val="en-GB"/>
        </w:rPr>
      </w:pPr>
      <w:hyperlink r:id="rId32" w:history="1">
        <w:r>
          <w:rPr>
            <w:rStyle w:val="Hyperlink"/>
            <w:rFonts w:ascii="Times New Roman" w:hAnsi="Times New Roman" w:cs="Times New Roman"/>
            <w:noProof/>
            <w:szCs w:val="24"/>
            <w:lang w:val="en-GB"/>
          </w:rPr>
          <w:t>http://eur-lex.europa.eu/legal-content/EN/TXT/PDF/?uri=CELEX:52017DC0115</w:t>
        </w:r>
      </w:hyperlink>
      <w:r>
        <w:rPr>
          <w:rStyle w:val="Hyperlink"/>
          <w:rFonts w:ascii="Times New Roman" w:hAnsi="Times New Roman" w:cs="Times New Roman"/>
          <w:noProof/>
          <w:lang w:val="en-GB"/>
        </w:rPr>
        <w:t xml:space="preserve"> </w:t>
      </w:r>
    </w:p>
    <w:p>
      <w:pPr>
        <w:pStyle w:val="ListBullet"/>
        <w:spacing w:after="120"/>
        <w:ind w:left="284" w:hanging="284"/>
        <w:rPr>
          <w:rFonts w:eastAsiaTheme="minorHAnsi"/>
          <w:noProof/>
          <w:szCs w:val="24"/>
        </w:rPr>
      </w:pPr>
      <w:r>
        <w:rPr>
          <w:rFonts w:eastAsiaTheme="minorHAnsi"/>
          <w:noProof/>
          <w:szCs w:val="24"/>
        </w:rPr>
        <w:t>Ex-post evaluation report of Drugs Prevention and Information Programme (2007-2013)</w:t>
      </w:r>
    </w:p>
    <w:p>
      <w:pPr>
        <w:pStyle w:val="ListBullet"/>
        <w:spacing w:after="0"/>
        <w:ind w:left="284" w:hanging="284"/>
        <w:rPr>
          <w:rFonts w:eastAsiaTheme="minorHAnsi"/>
          <w:noProof/>
          <w:szCs w:val="24"/>
        </w:rPr>
      </w:pPr>
      <w:r>
        <w:rPr>
          <w:rFonts w:eastAsiaTheme="minorHAnsi"/>
          <w:noProof/>
          <w:szCs w:val="24"/>
        </w:rPr>
        <w:t>The mid-term evaluation report of Civil Justice Programme, 2011</w:t>
      </w:r>
    </w:p>
    <w:p>
      <w:pPr>
        <w:spacing w:after="120" w:line="240" w:lineRule="auto"/>
        <w:ind w:left="720"/>
        <w:rPr>
          <w:rStyle w:val="Hyperlink"/>
          <w:rFonts w:ascii="Times New Roman" w:hAnsi="Times New Roman" w:cs="Times New Roman"/>
          <w:noProof/>
          <w:lang w:val="en-GB"/>
        </w:rPr>
      </w:pPr>
      <w:hyperlink r:id="rId33" w:history="1">
        <w:r>
          <w:rPr>
            <w:rStyle w:val="Hyperlink"/>
            <w:rFonts w:ascii="Times New Roman" w:hAnsi="Times New Roman" w:cs="Times New Roman"/>
            <w:noProof/>
            <w:szCs w:val="24"/>
            <w:lang w:val="en-GB"/>
          </w:rPr>
          <w:t>http://eur-lex.europa.eu/LexUriServ/LexUriServ.do?uri=COM:2011:0351:FIN:EN:PDF</w:t>
        </w:r>
      </w:hyperlink>
      <w:r>
        <w:rPr>
          <w:rStyle w:val="Hyperlink"/>
          <w:rFonts w:ascii="Times New Roman" w:hAnsi="Times New Roman" w:cs="Times New Roman"/>
          <w:noProof/>
          <w:szCs w:val="24"/>
          <w:lang w:val="en-GB"/>
        </w:rPr>
        <w:t xml:space="preserve"> </w:t>
      </w:r>
    </w:p>
    <w:p>
      <w:pPr>
        <w:pStyle w:val="ListBullet"/>
        <w:spacing w:after="0"/>
        <w:ind w:left="284" w:hanging="284"/>
        <w:rPr>
          <w:rFonts w:eastAsiaTheme="minorHAnsi"/>
          <w:noProof/>
          <w:szCs w:val="24"/>
        </w:rPr>
      </w:pPr>
      <w:r>
        <w:rPr>
          <w:rFonts w:eastAsiaTheme="minorHAnsi"/>
          <w:noProof/>
          <w:szCs w:val="24"/>
        </w:rPr>
        <w:t>The mid-term evaluation report of Criminal Justice Programme, 2011</w:t>
      </w:r>
    </w:p>
    <w:p>
      <w:pPr>
        <w:spacing w:after="120" w:line="240" w:lineRule="auto"/>
        <w:ind w:left="720"/>
        <w:rPr>
          <w:rStyle w:val="Hyperlink"/>
          <w:rFonts w:ascii="Times New Roman" w:hAnsi="Times New Roman" w:cs="Times New Roman"/>
          <w:noProof/>
          <w:lang w:val="en-GB"/>
        </w:rPr>
      </w:pPr>
      <w:hyperlink r:id="rId34" w:history="1">
        <w:r>
          <w:rPr>
            <w:rStyle w:val="Hyperlink"/>
            <w:rFonts w:ascii="Times New Roman" w:hAnsi="Times New Roman" w:cs="Times New Roman"/>
            <w:noProof/>
            <w:szCs w:val="24"/>
            <w:lang w:val="en-GB"/>
          </w:rPr>
          <w:t>http://ec.europa.eu/justice/funding/jpen/interim_evaluation_report_2011_en.pdf</w:t>
        </w:r>
      </w:hyperlink>
      <w:r>
        <w:rPr>
          <w:rStyle w:val="Hyperlink"/>
          <w:rFonts w:ascii="Times New Roman" w:hAnsi="Times New Roman" w:cs="Times New Roman"/>
          <w:noProof/>
          <w:szCs w:val="24"/>
          <w:lang w:val="en-GB"/>
        </w:rPr>
        <w:t xml:space="preserve"> </w:t>
      </w:r>
    </w:p>
    <w:p>
      <w:pPr>
        <w:pStyle w:val="ListBullet"/>
        <w:spacing w:after="0"/>
        <w:ind w:left="284" w:hanging="284"/>
        <w:rPr>
          <w:rFonts w:eastAsiaTheme="minorHAnsi"/>
          <w:noProof/>
          <w:szCs w:val="24"/>
        </w:rPr>
      </w:pPr>
      <w:r>
        <w:rPr>
          <w:rFonts w:eastAsiaTheme="minorHAnsi"/>
          <w:noProof/>
          <w:szCs w:val="24"/>
        </w:rPr>
        <w:t>The mid-term evaluation report of Drugs Prevention and Information Programme, 2011</w:t>
      </w:r>
    </w:p>
    <w:p>
      <w:pPr>
        <w:spacing w:after="120" w:line="240" w:lineRule="auto"/>
        <w:ind w:left="720"/>
        <w:rPr>
          <w:rStyle w:val="Hyperlink"/>
          <w:rFonts w:ascii="Times New Roman" w:hAnsi="Times New Roman" w:cs="Times New Roman"/>
          <w:noProof/>
          <w:szCs w:val="24"/>
        </w:rPr>
      </w:pPr>
      <w:hyperlink r:id="rId35" w:history="1">
        <w:r>
          <w:rPr>
            <w:rStyle w:val="Hyperlink"/>
            <w:rFonts w:ascii="Times New Roman" w:hAnsi="Times New Roman" w:cs="Times New Roman"/>
            <w:noProof/>
            <w:szCs w:val="24"/>
          </w:rPr>
          <w:t>http://eur-lex.europa.eu/legal content/EN/TXT/PDF/?uri=CELEX:52011DC0246&amp;qid=1467122450426&amp;from=EN</w:t>
        </w:r>
      </w:hyperlink>
    </w:p>
    <w:p>
      <w:pPr>
        <w:pStyle w:val="ListBullet"/>
        <w:spacing w:after="0"/>
        <w:ind w:left="284" w:hanging="284"/>
        <w:rPr>
          <w:rFonts w:eastAsiaTheme="minorHAnsi"/>
          <w:noProof/>
          <w:szCs w:val="24"/>
        </w:rPr>
      </w:pPr>
      <w:r>
        <w:rPr>
          <w:rFonts w:eastAsiaTheme="minorHAnsi"/>
          <w:noProof/>
          <w:szCs w:val="24"/>
        </w:rPr>
        <w:t xml:space="preserve">Policy-specific reports published by DG Justice and Consumers, such as the annual report on European judicial training </w:t>
      </w:r>
    </w:p>
    <w:p>
      <w:pPr>
        <w:spacing w:after="120" w:line="240" w:lineRule="auto"/>
        <w:ind w:left="360"/>
        <w:jc w:val="both"/>
        <w:rPr>
          <w:noProof/>
          <w:lang w:val="en-GB"/>
        </w:rPr>
      </w:pPr>
      <w:hyperlink r:id="rId36" w:history="1">
        <w:r>
          <w:rPr>
            <w:rStyle w:val="Hyperlink"/>
            <w:rFonts w:ascii="Times New Roman" w:hAnsi="Times New Roman" w:cs="Times New Roman"/>
            <w:noProof/>
            <w:szCs w:val="24"/>
            <w:lang w:val="en-GB"/>
          </w:rPr>
          <w:t>https://e-justice.europa.eu/fileDownload.do?id=5799faaa-b4ce-498c-aeb1-bba4b81d900e</w:t>
        </w:r>
      </w:hyperlink>
      <w:r>
        <w:rPr>
          <w:rStyle w:val="Hyperlink"/>
          <w:rFonts w:ascii="Times New Roman" w:hAnsi="Times New Roman" w:cs="Times New Roman"/>
          <w:noProof/>
          <w:lang w:val="en-GB"/>
        </w:rPr>
        <w:t xml:space="preserve">, </w:t>
      </w:r>
      <w:hyperlink r:id="rId37" w:history="1">
        <w:r>
          <w:rPr>
            <w:rStyle w:val="Hyperlink"/>
            <w:rFonts w:ascii="Times New Roman" w:hAnsi="Times New Roman" w:cs="Times New Roman"/>
            <w:noProof/>
            <w:szCs w:val="24"/>
            <w:lang w:val="en-GB"/>
          </w:rPr>
          <w:t>https://e-justice.europa.eu/fileDownload.do?id=ae7d84cc-2bd0-4eb3-9c31-94b753a20bdb</w:t>
        </w:r>
      </w:hyperlink>
    </w:p>
    <w:p>
      <w:pPr>
        <w:pStyle w:val="ListBullet"/>
        <w:spacing w:after="0"/>
        <w:ind w:left="284" w:hanging="284"/>
        <w:rPr>
          <w:rFonts w:eastAsiaTheme="minorHAnsi"/>
          <w:noProof/>
          <w:szCs w:val="24"/>
        </w:rPr>
      </w:pPr>
      <w:r>
        <w:rPr>
          <w:rFonts w:eastAsiaTheme="minorHAnsi"/>
          <w:noProof/>
          <w:szCs w:val="24"/>
        </w:rPr>
        <w:t xml:space="preserve">EU Justice Scoreboard COM (2017) 167 final </w:t>
      </w:r>
    </w:p>
    <w:p>
      <w:pPr>
        <w:spacing w:after="120" w:line="240" w:lineRule="auto"/>
        <w:ind w:left="720"/>
        <w:rPr>
          <w:rStyle w:val="Hyperlink"/>
          <w:rFonts w:ascii="Times New Roman" w:hAnsi="Times New Roman" w:cs="Times New Roman"/>
          <w:noProof/>
          <w:szCs w:val="24"/>
          <w:lang w:val="en-GB"/>
        </w:rPr>
      </w:pPr>
      <w:hyperlink r:id="rId38" w:history="1">
        <w:r>
          <w:rPr>
            <w:rStyle w:val="Hyperlink"/>
            <w:rFonts w:ascii="Times New Roman" w:hAnsi="Times New Roman" w:cs="Times New Roman"/>
            <w:noProof/>
            <w:szCs w:val="24"/>
            <w:lang w:val="en-GB"/>
          </w:rPr>
          <w:t>https://ec.europa.eu/info/strategy/justice-and-fundamental-rights/effective-justice/eu-justice-scoreboard_en</w:t>
        </w:r>
      </w:hyperlink>
      <w:r>
        <w:rPr>
          <w:rStyle w:val="Hyperlink"/>
          <w:rFonts w:ascii="Times New Roman" w:hAnsi="Times New Roman" w:cs="Times New Roman"/>
          <w:noProof/>
          <w:szCs w:val="24"/>
          <w:lang w:val="en-GB"/>
        </w:rPr>
        <w:t xml:space="preserve"> </w:t>
      </w:r>
    </w:p>
    <w:p>
      <w:pPr>
        <w:keepNext/>
        <w:spacing w:after="120" w:line="240" w:lineRule="auto"/>
        <w:jc w:val="center"/>
        <w:rPr>
          <w:b/>
          <w:noProof/>
          <w:sz w:val="32"/>
          <w:lang w:val="en-GB"/>
        </w:rPr>
        <w:sectPr>
          <w:headerReference w:type="even" r:id="rId39"/>
          <w:headerReference w:type="default" r:id="rId40"/>
          <w:footerReference w:type="even" r:id="rId41"/>
          <w:footerReference w:type="default" r:id="rId42"/>
          <w:headerReference w:type="first" r:id="rId43"/>
          <w:footerReference w:type="first" r:id="rId44"/>
          <w:pgSz w:w="11906" w:h="16838"/>
          <w:pgMar w:top="1020" w:right="1701" w:bottom="1020" w:left="1587" w:header="601" w:footer="1077" w:gutter="0"/>
          <w:cols w:space="720"/>
          <w:titlePg/>
        </w:sectPr>
      </w:pPr>
      <w:bookmarkStart w:id="39" w:name="_Toc481484489"/>
    </w:p>
    <w:p>
      <w:pPr>
        <w:pStyle w:val="Heading1"/>
        <w:spacing w:before="0" w:after="120"/>
        <w:jc w:val="center"/>
        <w:rPr>
          <w:noProof/>
        </w:rPr>
      </w:pPr>
      <w:bookmarkStart w:id="40" w:name="_Toc514411217"/>
      <w:r>
        <w:rPr>
          <w:noProof/>
        </w:rPr>
        <w:t>Annex 2: Stakeholders consultation</w:t>
      </w:r>
      <w:bookmarkEnd w:id="39"/>
      <w:bookmarkEnd w:id="40"/>
    </w:p>
    <w:p>
      <w:pPr>
        <w:keepNext/>
        <w:spacing w:after="120" w:line="240" w:lineRule="auto"/>
        <w:jc w:val="both"/>
        <w:outlineLvl w:val="0"/>
        <w:rPr>
          <w:noProof/>
          <w:szCs w:val="24"/>
          <w:lang w:val="en-GB"/>
        </w:rPr>
      </w:pPr>
      <w:bookmarkStart w:id="41" w:name="_Toc493581266"/>
      <w:bookmarkStart w:id="42" w:name="_Toc493582317"/>
      <w:r>
        <w:rPr>
          <w:rFonts w:ascii="Times New Roman" w:eastAsia="Times New Roman" w:hAnsi="Times New Roman" w:cs="Times New Roman"/>
          <w:noProof/>
          <w:sz w:val="24"/>
          <w:szCs w:val="24"/>
          <w:lang w:val="en-GB"/>
        </w:rPr>
        <w:t xml:space="preserve">Consultations with the main stakeholders of the ‘Justice Programme’ </w:t>
      </w:r>
      <w:bookmarkEnd w:id="41"/>
      <w:bookmarkEnd w:id="42"/>
      <w:r>
        <w:rPr>
          <w:rFonts w:ascii="Times New Roman" w:eastAsia="Times New Roman" w:hAnsi="Times New Roman" w:cs="Times New Roman"/>
          <w:noProof/>
          <w:sz w:val="24"/>
          <w:szCs w:val="24"/>
          <w:lang w:val="en-GB"/>
        </w:rPr>
        <w:t>were conducted over several steps:</w:t>
      </w:r>
    </w:p>
    <w:p>
      <w:pPr>
        <w:pStyle w:val="ListBullet"/>
        <w:spacing w:after="120"/>
        <w:rPr>
          <w:rFonts w:eastAsiaTheme="minorHAnsi"/>
          <w:noProof/>
          <w:szCs w:val="24"/>
        </w:rPr>
      </w:pPr>
      <w:r>
        <w:rPr>
          <w:rFonts w:eastAsiaTheme="minorHAnsi"/>
          <w:noProof/>
          <w:szCs w:val="24"/>
        </w:rPr>
        <w:t xml:space="preserve">A </w:t>
      </w:r>
      <w:r>
        <w:rPr>
          <w:rFonts w:eastAsiaTheme="minorHAnsi"/>
          <w:b/>
          <w:noProof/>
          <w:szCs w:val="24"/>
        </w:rPr>
        <w:t>web-based survey</w:t>
      </w:r>
      <w:r>
        <w:rPr>
          <w:rFonts w:eastAsiaTheme="minorHAnsi"/>
          <w:noProof/>
          <w:szCs w:val="24"/>
        </w:rPr>
        <w:t xml:space="preserve"> targeting the following stakeholder groups: </w:t>
      </w:r>
    </w:p>
    <w:p>
      <w:pPr>
        <w:pStyle w:val="ListBullet1"/>
        <w:numPr>
          <w:ilvl w:val="0"/>
          <w:numId w:val="26"/>
        </w:numPr>
        <w:spacing w:after="120"/>
        <w:rPr>
          <w:b/>
          <w:noProof/>
        </w:rPr>
      </w:pPr>
      <w:r>
        <w:rPr>
          <w:noProof/>
        </w:rPr>
        <w:t>projects applicants (also unsuccessful applicants )</w:t>
      </w:r>
      <w:r>
        <w:rPr>
          <w:rStyle w:val="FootnoteReference"/>
          <w:noProof/>
        </w:rPr>
        <w:footnoteReference w:id="51"/>
      </w:r>
      <w:r>
        <w:rPr>
          <w:noProof/>
        </w:rPr>
        <w:t>;</w:t>
      </w:r>
    </w:p>
    <w:p>
      <w:pPr>
        <w:pStyle w:val="ListBullet1"/>
        <w:numPr>
          <w:ilvl w:val="0"/>
          <w:numId w:val="26"/>
        </w:numPr>
        <w:spacing w:after="120"/>
        <w:rPr>
          <w:b/>
          <w:noProof/>
        </w:rPr>
      </w:pPr>
      <w:r>
        <w:rPr>
          <w:noProof/>
        </w:rPr>
        <w:t>projects beneficiaries</w:t>
      </w:r>
      <w:r>
        <w:rPr>
          <w:rStyle w:val="FootnoteReference"/>
          <w:noProof/>
        </w:rPr>
        <w:footnoteReference w:id="52"/>
      </w:r>
      <w:r>
        <w:rPr>
          <w:noProof/>
        </w:rPr>
        <w:t xml:space="preserve">; </w:t>
      </w:r>
    </w:p>
    <w:p>
      <w:pPr>
        <w:pStyle w:val="ListBullet1"/>
        <w:numPr>
          <w:ilvl w:val="0"/>
          <w:numId w:val="26"/>
        </w:numPr>
        <w:spacing w:after="120"/>
        <w:rPr>
          <w:b/>
          <w:noProof/>
        </w:rPr>
      </w:pPr>
      <w:r>
        <w:rPr>
          <w:noProof/>
        </w:rPr>
        <w:t>EU26 Member State Programme Committee Members</w:t>
      </w:r>
      <w:r>
        <w:rPr>
          <w:rStyle w:val="FootnoteReference"/>
          <w:noProof/>
        </w:rPr>
        <w:footnoteReference w:id="53"/>
      </w:r>
      <w:r>
        <w:rPr>
          <w:noProof/>
        </w:rPr>
        <w:t>;</w:t>
      </w:r>
    </w:p>
    <w:p>
      <w:pPr>
        <w:pStyle w:val="ListBullet1"/>
        <w:numPr>
          <w:ilvl w:val="0"/>
          <w:numId w:val="26"/>
        </w:numPr>
        <w:spacing w:after="120"/>
        <w:rPr>
          <w:b/>
          <w:noProof/>
        </w:rPr>
      </w:pPr>
      <w:r>
        <w:rPr>
          <w:noProof/>
        </w:rPr>
        <w:t>Other relevant stakeholders involved directly by the Commission;</w:t>
      </w:r>
    </w:p>
    <w:p>
      <w:pPr>
        <w:pStyle w:val="ListBullet"/>
        <w:numPr>
          <w:ilvl w:val="0"/>
          <w:numId w:val="0"/>
        </w:numPr>
        <w:spacing w:after="120"/>
        <w:ind w:left="283"/>
        <w:rPr>
          <w:b/>
          <w:noProof/>
        </w:rPr>
      </w:pPr>
      <w:r>
        <w:rPr>
          <w:noProof/>
        </w:rPr>
        <w:t xml:space="preserve">This consultation was launched by the external consultant via the EU Survey tool and was open from 23 December 2017 until 6 March 2018. It received </w:t>
      </w:r>
      <w:r>
        <w:rPr>
          <w:b/>
          <w:noProof/>
        </w:rPr>
        <w:t>132 responses</w:t>
      </w:r>
      <w:r>
        <w:rPr>
          <w:rStyle w:val="FootnoteReference"/>
          <w:b/>
          <w:noProof/>
        </w:rPr>
        <w:footnoteReference w:id="54"/>
      </w:r>
      <w:r>
        <w:rPr>
          <w:b/>
          <w:noProof/>
        </w:rPr>
        <w:t>.</w:t>
      </w:r>
    </w:p>
    <w:p>
      <w:pPr>
        <w:pStyle w:val="ListBullet"/>
        <w:spacing w:after="120"/>
        <w:rPr>
          <w:b/>
          <w:noProof/>
          <w:szCs w:val="24"/>
        </w:rPr>
      </w:pPr>
      <w:r>
        <w:rPr>
          <w:b/>
          <w:noProof/>
          <w:szCs w:val="24"/>
        </w:rPr>
        <w:t>33 interviews</w:t>
      </w:r>
      <w:r>
        <w:rPr>
          <w:noProof/>
          <w:szCs w:val="24"/>
        </w:rPr>
        <w:t xml:space="preserve"> with 12 Commission officials and 21 selected projects beneficiaries and representatives of target groups were performed between the 8</w:t>
      </w:r>
      <w:r>
        <w:rPr>
          <w:noProof/>
          <w:szCs w:val="24"/>
          <w:vertAlign w:val="superscript"/>
        </w:rPr>
        <w:t>th</w:t>
      </w:r>
      <w:r>
        <w:rPr>
          <w:noProof/>
          <w:szCs w:val="24"/>
        </w:rPr>
        <w:t xml:space="preserve"> of January 2018 and the 26</w:t>
      </w:r>
      <w:r>
        <w:rPr>
          <w:noProof/>
          <w:szCs w:val="24"/>
          <w:vertAlign w:val="superscript"/>
        </w:rPr>
        <w:t>th</w:t>
      </w:r>
      <w:r>
        <w:rPr>
          <w:noProof/>
          <w:szCs w:val="24"/>
        </w:rPr>
        <w:t xml:space="preserve"> of March 2018. Interviews had a twofold objective: 1. Collecting additional information (from </w:t>
      </w:r>
      <w:r>
        <w:rPr>
          <w:rFonts w:eastAsiaTheme="minorHAnsi"/>
          <w:noProof/>
          <w:szCs w:val="24"/>
        </w:rPr>
        <w:t>the</w:t>
      </w:r>
      <w:r>
        <w:rPr>
          <w:noProof/>
          <w:szCs w:val="24"/>
        </w:rPr>
        <w:t xml:space="preserve"> survey and the desk research) to feed the analysis alongside the evaluation criteria, filling gaps (especially in terms of quantification of costs and benefits) and going more in-depth with specific aspects, such as the identification of best practices; 3. Gathering insight and input to draw conclusions and recommendations on how to improve the design and functioning of the Programmes. </w:t>
      </w:r>
    </w:p>
    <w:p>
      <w:pPr>
        <w:pStyle w:val="ListBullet"/>
        <w:numPr>
          <w:ilvl w:val="0"/>
          <w:numId w:val="0"/>
        </w:numPr>
        <w:spacing w:after="120"/>
        <w:ind w:left="283"/>
        <w:rPr>
          <w:b/>
          <w:noProof/>
          <w:szCs w:val="24"/>
        </w:rPr>
      </w:pPr>
      <w:r>
        <w:rPr>
          <w:noProof/>
          <w:szCs w:val="24"/>
        </w:rPr>
        <w:t>Interviews consisted of semi-structured phone interviews. Questions were customised according to the different categories of stakeholders targeted, taking into account their different contribution to the evaluation questions;</w:t>
      </w:r>
    </w:p>
    <w:p>
      <w:pPr>
        <w:pStyle w:val="ListBullet"/>
        <w:spacing w:after="120"/>
        <w:rPr>
          <w:b/>
          <w:noProof/>
        </w:rPr>
      </w:pPr>
      <w:r>
        <w:rPr>
          <w:rFonts w:eastAsiaTheme="minorHAnsi"/>
          <w:b/>
          <w:noProof/>
        </w:rPr>
        <w:t>1</w:t>
      </w:r>
      <w:r>
        <w:rPr>
          <w:rFonts w:eastAsiaTheme="minorHAnsi"/>
          <w:noProof/>
        </w:rPr>
        <w:t xml:space="preserve"> </w:t>
      </w:r>
      <w:r>
        <w:rPr>
          <w:rFonts w:eastAsiaTheme="minorHAnsi"/>
          <w:b/>
          <w:noProof/>
        </w:rPr>
        <w:t>webinar</w:t>
      </w:r>
      <w:r>
        <w:rPr>
          <w:rFonts w:eastAsiaTheme="minorHAnsi"/>
          <w:noProof/>
        </w:rPr>
        <w:t>, organized in March 2018,</w:t>
      </w:r>
      <w:r>
        <w:rPr>
          <w:rFonts w:eastAsiaTheme="minorHAnsi"/>
          <w:b/>
          <w:noProof/>
        </w:rPr>
        <w:t xml:space="preserve"> </w:t>
      </w:r>
      <w:r>
        <w:rPr>
          <w:rFonts w:eastAsiaTheme="minorHAnsi"/>
          <w:noProof/>
        </w:rPr>
        <w:t xml:space="preserve">to discuss preliminary findings with few selected project beneficiaries. </w:t>
      </w:r>
      <w:r>
        <w:rPr>
          <w:noProof/>
        </w:rPr>
        <w:t>The webinar aimed at assessing at a higher level results achieved by the Programme, testing and discussing preliminary findings and conclusions, also identifying key success factors and areas for improvement in view of the design of operational recommendations. It was organised using Zoom (an online tool);</w:t>
      </w:r>
    </w:p>
    <w:p>
      <w:pPr>
        <w:pStyle w:val="ListBullet"/>
        <w:spacing w:after="120"/>
        <w:rPr>
          <w:b/>
          <w:noProof/>
          <w:szCs w:val="24"/>
        </w:rPr>
      </w:pPr>
      <w:r>
        <w:rPr>
          <w:noProof/>
        </w:rPr>
        <w:t xml:space="preserve">A broad </w:t>
      </w:r>
      <w:r>
        <w:rPr>
          <w:b/>
          <w:noProof/>
        </w:rPr>
        <w:t>public consultation</w:t>
      </w:r>
      <w:r>
        <w:rPr>
          <w:noProof/>
        </w:rPr>
        <w:t xml:space="preserve"> undertook by the Commission </w:t>
      </w:r>
      <w:r>
        <w:rPr>
          <w:b/>
          <w:bCs/>
          <w:noProof/>
        </w:rPr>
        <w:t>in the area of "values and mobility"</w:t>
      </w:r>
      <w:r>
        <w:rPr>
          <w:bCs/>
          <w:noProof/>
        </w:rPr>
        <w:t xml:space="preserve"> </w:t>
      </w:r>
      <w:r>
        <w:rPr>
          <w:noProof/>
        </w:rPr>
        <w:t xml:space="preserve">was available online in 23 official EU languages for a mandatory period between 10 January 2018 and 9 March 2018. The purpose of this consultation was </w:t>
      </w:r>
      <w:r>
        <w:rPr>
          <w:bCs/>
          <w:noProof/>
        </w:rPr>
        <w:t>to collect the views of all interested parties on how to make the most of every euro of the EU budget</w:t>
      </w:r>
      <w:r>
        <w:rPr>
          <w:noProof/>
        </w:rPr>
        <w:t xml:space="preserve">. </w:t>
      </w:r>
      <w:r>
        <w:rPr>
          <w:bCs/>
          <w:noProof/>
        </w:rPr>
        <w:t>Consultations have taken place in the context of evaluations of existing EU financial programmes covering several policy areas, including the Justice Programme.</w:t>
      </w:r>
      <w:r>
        <w:rPr>
          <w:noProof/>
        </w:rPr>
        <w:t xml:space="preserve"> In total, the public consultation received </w:t>
      </w:r>
      <w:r>
        <w:rPr>
          <w:b/>
          <w:bCs/>
          <w:noProof/>
        </w:rPr>
        <w:t>1839 replies from all over Europe</w:t>
      </w:r>
      <w:r>
        <w:rPr>
          <w:noProof/>
        </w:rPr>
        <w:t xml:space="preserve">. </w:t>
      </w:r>
      <w:r>
        <w:rPr>
          <w:noProof/>
          <w:szCs w:val="24"/>
        </w:rPr>
        <w:t>The respondents had experience with the following EU programmes: 1. Europe for Citizens Programme and /or 2. Rights, Equality and Citizenship Programme and /or 3. Creative Europe Programme and /or 4. Justice Programme. The results of this public consultation have shown that, according to the majority of respondents, "</w:t>
      </w:r>
      <w:r>
        <w:rPr>
          <w:b/>
          <w:noProof/>
          <w:szCs w:val="24"/>
        </w:rPr>
        <w:t>promote European identity and common values</w:t>
      </w:r>
      <w:r>
        <w:rPr>
          <w:noProof/>
          <w:szCs w:val="24"/>
        </w:rPr>
        <w:t>", as well as "</w:t>
      </w:r>
      <w:r>
        <w:rPr>
          <w:b/>
          <w:noProof/>
          <w:szCs w:val="24"/>
        </w:rPr>
        <w:t>promote rights and equality</w:t>
      </w:r>
      <w:r>
        <w:rPr>
          <w:noProof/>
          <w:szCs w:val="24"/>
        </w:rPr>
        <w:t>", are important common policy challenges to be addressed in each of the four programmes. "</w:t>
      </w:r>
      <w:r>
        <w:rPr>
          <w:b/>
          <w:noProof/>
          <w:szCs w:val="24"/>
        </w:rPr>
        <w:t>Support active citizenship, democratic participation in society and the rule of law</w:t>
      </w:r>
      <w:r>
        <w:rPr>
          <w:noProof/>
          <w:szCs w:val="24"/>
        </w:rPr>
        <w:t>" and "</w:t>
      </w:r>
      <w:r>
        <w:rPr>
          <w:b/>
          <w:noProof/>
          <w:szCs w:val="24"/>
        </w:rPr>
        <w:t>promote social inclusion and fairness</w:t>
      </w:r>
      <w:r>
        <w:rPr>
          <w:noProof/>
          <w:szCs w:val="24"/>
        </w:rPr>
        <w:t>" appear to be important challenges to be addressed in the concerned programmes as well.</w:t>
      </w:r>
      <w:r>
        <w:rPr>
          <w:b/>
          <w:noProof/>
          <w:szCs w:val="24"/>
        </w:rPr>
        <w:t xml:space="preserve"> </w:t>
      </w:r>
      <w:r>
        <w:rPr>
          <w:noProof/>
          <w:szCs w:val="24"/>
        </w:rPr>
        <w:t>Instead,</w:t>
      </w:r>
      <w:r>
        <w:rPr>
          <w:b/>
          <w:noProof/>
          <w:szCs w:val="24"/>
        </w:rPr>
        <w:t xml:space="preserve"> "support innovation", "foster European cultural diversity and cultural heritage", "promote European identity and common values</w:t>
      </w:r>
      <w:r>
        <w:rPr>
          <w:noProof/>
          <w:szCs w:val="24"/>
        </w:rPr>
        <w:t xml:space="preserve">" are considered as policies that fully or fairly well address the challenges by half or more of the respondents. Around 80% the respondents agree that these programmes add value to a large extent or to a fairly good extent to what Member States could achieve at national, regional and/or local levels. The main obstacles identified by the respondents, that could prevent the current programmes/funds from achieving their objectives, are very similar regardless of the programme concerned: </w:t>
      </w:r>
      <w:r>
        <w:rPr>
          <w:b/>
          <w:noProof/>
          <w:szCs w:val="24"/>
        </w:rPr>
        <w:t xml:space="preserve">"lack of budget of the programmes to satisfy demand", "insufficient support provided to small-scale stakeholders" </w:t>
      </w:r>
      <w:r>
        <w:rPr>
          <w:noProof/>
          <w:szCs w:val="24"/>
        </w:rPr>
        <w:t>and</w:t>
      </w:r>
      <w:r>
        <w:rPr>
          <w:b/>
          <w:noProof/>
          <w:szCs w:val="24"/>
        </w:rPr>
        <w:t xml:space="preserve"> "lack of support to first-time applicants"</w:t>
      </w:r>
      <w:r>
        <w:rPr>
          <w:noProof/>
          <w:szCs w:val="24"/>
        </w:rPr>
        <w:t xml:space="preserve"> are identified as the main three obstacles. Finally, the respondents agree that </w:t>
      </w:r>
      <w:r>
        <w:rPr>
          <w:b/>
          <w:noProof/>
          <w:szCs w:val="24"/>
        </w:rPr>
        <w:t xml:space="preserve">"the use of more simplified application forms", "facilitating structured network and partnerships", "facilitating funding for actions cutting across the sectors of action", </w:t>
      </w:r>
      <w:r>
        <w:rPr>
          <w:noProof/>
          <w:szCs w:val="24"/>
        </w:rPr>
        <w:t>as well as</w:t>
      </w:r>
      <w:r>
        <w:rPr>
          <w:b/>
          <w:noProof/>
          <w:szCs w:val="24"/>
        </w:rPr>
        <w:t xml:space="preserve"> "better coordination between different programmes/funds",</w:t>
      </w:r>
      <w:r>
        <w:rPr>
          <w:noProof/>
          <w:szCs w:val="24"/>
        </w:rPr>
        <w:t xml:space="preserve"> are the main steps to be taken to simplify and reduce the administrative burdens for beneficiaries.</w:t>
      </w:r>
    </w:p>
    <w:p>
      <w:pPr>
        <w:pStyle w:val="ListBullet"/>
        <w:numPr>
          <w:ilvl w:val="0"/>
          <w:numId w:val="0"/>
        </w:numPr>
        <w:spacing w:after="120"/>
        <w:ind w:left="283"/>
        <w:rPr>
          <w:b/>
          <w:bCs/>
          <w:noProof/>
        </w:rPr>
      </w:pPr>
    </w:p>
    <w:p>
      <w:pPr>
        <w:pStyle w:val="ListBullet"/>
        <w:numPr>
          <w:ilvl w:val="0"/>
          <w:numId w:val="0"/>
        </w:numPr>
        <w:spacing w:after="120"/>
        <w:ind w:left="283" w:hanging="283"/>
        <w:rPr>
          <w:noProof/>
        </w:rPr>
      </w:pPr>
    </w:p>
    <w:p>
      <w:pPr>
        <w:pStyle w:val="ListBullet"/>
        <w:numPr>
          <w:ilvl w:val="0"/>
          <w:numId w:val="0"/>
        </w:numPr>
        <w:spacing w:after="120"/>
        <w:ind w:left="283" w:hanging="283"/>
        <w:rPr>
          <w:noProof/>
        </w:rPr>
      </w:pPr>
    </w:p>
    <w:p>
      <w:pPr>
        <w:rPr>
          <w:rFonts w:ascii="Times New Roman" w:eastAsia="Times New Roman" w:hAnsi="Times New Roman" w:cs="Times New Roman"/>
          <w:b/>
          <w:bCs/>
          <w:smallCaps/>
          <w:noProof/>
          <w:sz w:val="24"/>
          <w:szCs w:val="24"/>
          <w:lang w:val="en-GB"/>
        </w:rPr>
      </w:pPr>
      <w:bookmarkStart w:id="43" w:name="_Toc512248100"/>
      <w:r>
        <w:rPr>
          <w:bCs/>
          <w:noProof/>
          <w:szCs w:val="24"/>
          <w:lang w:val="en-GB"/>
        </w:rPr>
        <w:br w:type="page"/>
      </w:r>
    </w:p>
    <w:p>
      <w:pPr>
        <w:pStyle w:val="Heading1"/>
        <w:spacing w:before="0" w:after="120"/>
        <w:jc w:val="center"/>
        <w:rPr>
          <w:bCs/>
          <w:noProof/>
          <w:szCs w:val="24"/>
        </w:rPr>
      </w:pPr>
      <w:bookmarkStart w:id="44" w:name="_Toc514411218"/>
      <w:r>
        <w:rPr>
          <w:bCs/>
          <w:noProof/>
          <w:szCs w:val="24"/>
        </w:rPr>
        <w:t>Annex 3: Methods</w:t>
      </w:r>
      <w:bookmarkEnd w:id="43"/>
      <w:bookmarkEnd w:id="44"/>
    </w:p>
    <w:p>
      <w:pPr>
        <w:spacing w:after="12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following methodological tools have been used:  </w:t>
      </w:r>
    </w:p>
    <w:p>
      <w:pPr>
        <w:spacing w:after="120" w:line="240" w:lineRule="auto"/>
        <w:jc w:val="both"/>
        <w:rPr>
          <w:rFonts w:ascii="Times New Roman" w:eastAsia="Calibri" w:hAnsi="Times New Roman" w:cs="Times New Roman"/>
          <w:b/>
          <w:noProof/>
          <w:sz w:val="24"/>
          <w:szCs w:val="24"/>
          <w:lang w:val="en-GB"/>
        </w:rPr>
      </w:pPr>
      <w:r>
        <w:rPr>
          <w:rFonts w:ascii="Times New Roman" w:eastAsia="Calibri" w:hAnsi="Times New Roman" w:cs="Times New Roman"/>
          <w:b/>
          <w:noProof/>
          <w:sz w:val="24"/>
          <w:szCs w:val="24"/>
          <w:lang w:val="en-GB"/>
        </w:rPr>
        <w:t>1. Data collection</w:t>
      </w:r>
      <w:r>
        <w:rPr>
          <w:rFonts w:ascii="Times New Roman" w:eastAsia="Calibri" w:hAnsi="Times New Roman" w:cs="Times New Roman"/>
          <w:b/>
          <w:noProof/>
          <w:sz w:val="20"/>
          <w:szCs w:val="24"/>
          <w:vertAlign w:val="superscript"/>
          <w:lang w:val="en-GB"/>
        </w:rPr>
        <w:footnoteReference w:id="55"/>
      </w:r>
      <w:r>
        <w:rPr>
          <w:rFonts w:ascii="Times New Roman" w:eastAsia="Calibri" w:hAnsi="Times New Roman" w:cs="Times New Roman"/>
          <w:noProof/>
          <w:sz w:val="24"/>
          <w:szCs w:val="24"/>
          <w:lang w:val="en-GB"/>
        </w:rPr>
        <w:t>;</w:t>
      </w:r>
    </w:p>
    <w:p>
      <w:pPr>
        <w:pStyle w:val="ListBullet"/>
        <w:spacing w:after="120"/>
        <w:rPr>
          <w:rFonts w:eastAsia="Calibri"/>
          <w:noProof/>
        </w:rPr>
      </w:pPr>
      <w:r>
        <w:rPr>
          <w:rFonts w:eastAsia="Calibri"/>
          <w:b/>
          <w:noProof/>
        </w:rPr>
        <w:t>desk research</w:t>
      </w:r>
      <w:r>
        <w:rPr>
          <w:rFonts w:eastAsia="Calibri"/>
          <w:noProof/>
        </w:rPr>
        <w:t xml:space="preserve"> of relevant documents (at programme, policy and project level);</w:t>
      </w:r>
    </w:p>
    <w:p>
      <w:pPr>
        <w:pStyle w:val="ListBullet"/>
        <w:spacing w:after="120"/>
        <w:rPr>
          <w:rFonts w:eastAsia="Calibri"/>
          <w:noProof/>
        </w:rPr>
      </w:pPr>
      <w:r>
        <w:rPr>
          <w:rFonts w:eastAsia="Calibri"/>
          <w:b/>
          <w:noProof/>
        </w:rPr>
        <w:t>field research</w:t>
      </w:r>
      <w:r>
        <w:rPr>
          <w:rFonts w:eastAsia="Calibri"/>
          <w:noProof/>
        </w:rPr>
        <w:t xml:space="preserve"> relied on </w:t>
      </w:r>
      <w:r>
        <w:rPr>
          <w:noProof/>
        </w:rPr>
        <w:t xml:space="preserve">a </w:t>
      </w:r>
      <w:r>
        <w:rPr>
          <w:b/>
          <w:noProof/>
        </w:rPr>
        <w:t>web-based survey</w:t>
      </w:r>
      <w:r>
        <w:rPr>
          <w:noProof/>
        </w:rPr>
        <w:t xml:space="preserve"> with relevant stakeholders, i.e. (unsuccessful) project applicants, project beneficiaries, Programme Committee members, Commission staff  and additional relevant stakeholders, </w:t>
      </w:r>
      <w:r>
        <w:rPr>
          <w:b/>
          <w:noProof/>
        </w:rPr>
        <w:t>33</w:t>
      </w:r>
      <w:r>
        <w:rPr>
          <w:noProof/>
        </w:rPr>
        <w:t xml:space="preserve"> </w:t>
      </w:r>
      <w:r>
        <w:rPr>
          <w:b/>
          <w:noProof/>
        </w:rPr>
        <w:t>interviews</w:t>
      </w:r>
      <w:r>
        <w:rPr>
          <w:noProof/>
        </w:rPr>
        <w:t xml:space="preserve"> with 21 selected project beneficiaries and representatives of target groups and 12 with Commission officials and </w:t>
      </w:r>
      <w:r>
        <w:rPr>
          <w:b/>
          <w:noProof/>
        </w:rPr>
        <w:t>one</w:t>
      </w:r>
      <w:r>
        <w:rPr>
          <w:noProof/>
        </w:rPr>
        <w:t xml:space="preserve"> </w:t>
      </w:r>
      <w:r>
        <w:rPr>
          <w:b/>
          <w:noProof/>
        </w:rPr>
        <w:t xml:space="preserve">webinar </w:t>
      </w:r>
      <w:r>
        <w:rPr>
          <w:noProof/>
        </w:rPr>
        <w:t>to test and discuss preliminary findings and conclusions with few selected project beneficiaries.</w:t>
      </w:r>
    </w:p>
    <w:p>
      <w:pPr>
        <w:pStyle w:val="ListBullet"/>
        <w:spacing w:after="120"/>
        <w:rPr>
          <w:rFonts w:eastAsia="Calibri"/>
          <w:noProof/>
        </w:rPr>
      </w:pPr>
      <w:r>
        <w:rPr>
          <w:rFonts w:eastAsia="Calibri"/>
          <w:b/>
          <w:noProof/>
        </w:rPr>
        <w:t>four case studies</w:t>
      </w:r>
      <w:r>
        <w:rPr>
          <w:rFonts w:eastAsia="Calibri"/>
          <w:noProof/>
        </w:rPr>
        <w:t xml:space="preserve"> of projects connected to the specific objectives</w:t>
      </w:r>
      <w:r>
        <w:rPr>
          <w:rFonts w:asciiTheme="minorHAnsi" w:eastAsia="Calibri" w:hAnsiTheme="minorHAnsi" w:cstheme="minorBidi"/>
          <w:noProof/>
          <w:sz w:val="20"/>
          <w:szCs w:val="22"/>
          <w:vertAlign w:val="superscript"/>
          <w:lang w:val="fr-BE"/>
        </w:rPr>
        <w:footnoteReference w:id="56"/>
      </w:r>
      <w:r>
        <w:rPr>
          <w:rFonts w:eastAsia="Calibri"/>
          <w:noProof/>
        </w:rPr>
        <w:t>;</w:t>
      </w:r>
    </w:p>
    <w:p>
      <w:pPr>
        <w:pStyle w:val="ListBullet"/>
        <w:spacing w:after="120"/>
        <w:rPr>
          <w:rFonts w:eastAsia="Calibri"/>
          <w:noProof/>
        </w:rPr>
      </w:pPr>
      <w:r>
        <w:rPr>
          <w:rFonts w:eastAsia="Calibri"/>
          <w:noProof/>
        </w:rPr>
        <w:t xml:space="preserve">analysis of the results of a </w:t>
      </w:r>
      <w:r>
        <w:rPr>
          <w:rFonts w:eastAsia="Calibri"/>
          <w:b/>
          <w:noProof/>
        </w:rPr>
        <w:t>broad public consultation</w:t>
      </w:r>
      <w:r>
        <w:rPr>
          <w:rFonts w:eastAsia="Calibri"/>
          <w:noProof/>
        </w:rPr>
        <w:t xml:space="preserve"> undertaken by the Commission between 10</w:t>
      </w:r>
      <w:r>
        <w:rPr>
          <w:rFonts w:eastAsia="Calibri"/>
          <w:noProof/>
          <w:vertAlign w:val="superscript"/>
        </w:rPr>
        <w:t xml:space="preserve"> </w:t>
      </w:r>
      <w:r>
        <w:rPr>
          <w:rFonts w:eastAsia="Calibri"/>
          <w:noProof/>
        </w:rPr>
        <w:t xml:space="preserve">January and 8 March 2018 </w:t>
      </w:r>
      <w:r>
        <w:rPr>
          <w:noProof/>
        </w:rPr>
        <w:t xml:space="preserve">in the framework of the proposal for the post 2020 </w:t>
      </w:r>
      <w:r>
        <w:rPr>
          <w:noProof/>
          <w:szCs w:val="24"/>
        </w:rPr>
        <w:t>Multiannual Financial Framework</w:t>
      </w:r>
      <w:r>
        <w:rPr>
          <w:noProof/>
        </w:rPr>
        <w:t xml:space="preserve"> in the area of </w:t>
      </w:r>
      <w:r>
        <w:rPr>
          <w:rFonts w:eastAsia="Calibri"/>
          <w:noProof/>
        </w:rPr>
        <w:t xml:space="preserve">"European </w:t>
      </w:r>
      <w:r>
        <w:rPr>
          <w:noProof/>
        </w:rPr>
        <w:t>values and mobility"</w:t>
      </w:r>
      <w:r>
        <w:rPr>
          <w:rFonts w:eastAsia="Calibri"/>
          <w:noProof/>
        </w:rPr>
        <w:t xml:space="preserve">. </w:t>
      </w:r>
    </w:p>
    <w:p>
      <w:pPr>
        <w:spacing w:after="120" w:line="240" w:lineRule="auto"/>
        <w:jc w:val="both"/>
        <w:rPr>
          <w:rFonts w:eastAsia="Calibri"/>
          <w:b/>
          <w:noProof/>
          <w:szCs w:val="24"/>
          <w:lang w:val="en-GB"/>
        </w:rPr>
      </w:pPr>
      <w:r>
        <w:rPr>
          <w:rFonts w:ascii="Times New Roman" w:eastAsia="Calibri" w:hAnsi="Times New Roman" w:cs="Times New Roman"/>
          <w:b/>
          <w:noProof/>
          <w:sz w:val="24"/>
          <w:szCs w:val="24"/>
          <w:lang w:val="en-GB"/>
        </w:rPr>
        <w:t>2. Data analysis:</w:t>
      </w:r>
    </w:p>
    <w:p>
      <w:pPr>
        <w:pStyle w:val="ListBullet"/>
        <w:spacing w:after="120"/>
        <w:rPr>
          <w:rFonts w:eastAsiaTheme="minorHAnsi"/>
          <w:noProof/>
        </w:rPr>
      </w:pPr>
      <w:r>
        <w:rPr>
          <w:b/>
          <w:noProof/>
        </w:rPr>
        <w:t>quantitative data analysis</w:t>
      </w:r>
      <w:r>
        <w:rPr>
          <w:rFonts w:asciiTheme="minorHAnsi" w:eastAsiaTheme="minorHAnsi" w:hAnsiTheme="minorHAnsi" w:cstheme="minorBidi"/>
          <w:b/>
          <w:noProof/>
          <w:sz w:val="20"/>
          <w:szCs w:val="22"/>
          <w:vertAlign w:val="superscript"/>
          <w:lang w:val="fr-BE"/>
        </w:rPr>
        <w:footnoteReference w:id="57"/>
      </w:r>
      <w:r>
        <w:rPr>
          <w:noProof/>
        </w:rPr>
        <w:t xml:space="preserve">: in addition to monitoring and survey data, </w:t>
      </w:r>
      <w:r>
        <w:rPr>
          <w:b/>
          <w:noProof/>
        </w:rPr>
        <w:t>descriptive statistics</w:t>
      </w:r>
      <w:r>
        <w:rPr>
          <w:noProof/>
        </w:rPr>
        <w:t xml:space="preserve"> was used to analyse the effectiveness, efficiency and EU added value of the Programme; </w:t>
      </w:r>
      <w:r>
        <w:rPr>
          <w:b/>
          <w:noProof/>
        </w:rPr>
        <w:t>self-reported counterfactual analysis</w:t>
      </w:r>
      <w:r>
        <w:rPr>
          <w:noProof/>
        </w:rPr>
        <w:t xml:space="preserve"> have been used for the analysis of its effectiveness and added value</w:t>
      </w:r>
      <w:r>
        <w:rPr>
          <w:rStyle w:val="FootnoteReference"/>
          <w:noProof/>
          <w:sz w:val="24"/>
          <w:szCs w:val="24"/>
        </w:rPr>
        <w:footnoteReference w:id="58"/>
      </w:r>
      <w:r>
        <w:rPr>
          <w:noProof/>
        </w:rPr>
        <w:t xml:space="preserve">; </w:t>
      </w:r>
      <w:r>
        <w:rPr>
          <w:b/>
          <w:noProof/>
        </w:rPr>
        <w:t>exploratory data analysis and econometric modelling</w:t>
      </w:r>
      <w:r>
        <w:rPr>
          <w:noProof/>
        </w:rPr>
        <w:t xml:space="preserve"> were used to analyse its effectiveness and EU added value</w:t>
      </w:r>
      <w:r>
        <w:rPr>
          <w:rStyle w:val="FootnoteReference"/>
          <w:noProof/>
          <w:sz w:val="24"/>
          <w:szCs w:val="24"/>
        </w:rPr>
        <w:footnoteReference w:id="59"/>
      </w:r>
      <w:r>
        <w:rPr>
          <w:noProof/>
        </w:rPr>
        <w:t xml:space="preserve">; </w:t>
      </w:r>
      <w:r>
        <w:rPr>
          <w:b/>
          <w:noProof/>
        </w:rPr>
        <w:t>cost-benefit analysis</w:t>
      </w:r>
      <w:r>
        <w:rPr>
          <w:noProof/>
        </w:rPr>
        <w:t xml:space="preserve"> to analyse its efficiency</w:t>
      </w:r>
      <w:r>
        <w:rPr>
          <w:rStyle w:val="FootnoteReference"/>
          <w:noProof/>
          <w:sz w:val="24"/>
          <w:szCs w:val="24"/>
        </w:rPr>
        <w:footnoteReference w:id="60"/>
      </w:r>
      <w:r>
        <w:rPr>
          <w:noProof/>
        </w:rPr>
        <w:t xml:space="preserve"> and </w:t>
      </w:r>
      <w:r>
        <w:rPr>
          <w:b/>
          <w:noProof/>
        </w:rPr>
        <w:t>Social Network Analysis</w:t>
      </w:r>
      <w:r>
        <w:rPr>
          <w:noProof/>
        </w:rPr>
        <w:t xml:space="preserve"> to analyse its effectiveness and equity</w:t>
      </w:r>
      <w:r>
        <w:rPr>
          <w:rStyle w:val="FootnoteReference"/>
          <w:noProof/>
          <w:sz w:val="24"/>
          <w:szCs w:val="24"/>
        </w:rPr>
        <w:footnoteReference w:id="61"/>
      </w:r>
      <w:r>
        <w:rPr>
          <w:noProof/>
        </w:rPr>
        <w:t>;</w:t>
      </w:r>
    </w:p>
    <w:p>
      <w:pPr>
        <w:pStyle w:val="ListBullet"/>
        <w:spacing w:after="120"/>
        <w:rPr>
          <w:noProof/>
        </w:rPr>
      </w:pPr>
      <w:r>
        <w:rPr>
          <w:rFonts w:eastAsia="Calibri"/>
          <w:b/>
          <w:noProof/>
        </w:rPr>
        <w:t>qualitative data analysis</w:t>
      </w:r>
      <w:r>
        <w:rPr>
          <w:rFonts w:asciiTheme="minorHAnsi" w:eastAsia="Calibri" w:hAnsiTheme="minorHAnsi" w:cstheme="minorBidi"/>
          <w:b/>
          <w:noProof/>
          <w:sz w:val="20"/>
          <w:szCs w:val="22"/>
          <w:vertAlign w:val="superscript"/>
          <w:lang w:val="fr-BE"/>
        </w:rPr>
        <w:footnoteReference w:id="62"/>
      </w:r>
      <w:r>
        <w:rPr>
          <w:rFonts w:eastAsia="Calibri"/>
          <w:noProof/>
        </w:rPr>
        <w:t>: a "</w:t>
      </w:r>
      <w:r>
        <w:rPr>
          <w:rFonts w:eastAsia="Calibri"/>
          <w:b/>
          <w:noProof/>
        </w:rPr>
        <w:t>text mining" methodology</w:t>
      </w:r>
      <w:r>
        <w:rPr>
          <w:rFonts w:eastAsia="Calibri"/>
          <w:noProof/>
        </w:rPr>
        <w:t xml:space="preserve"> was used</w:t>
      </w:r>
      <w:r>
        <w:rPr>
          <w:rStyle w:val="FootnoteReference"/>
          <w:rFonts w:eastAsia="Calibri"/>
          <w:noProof/>
          <w:sz w:val="24"/>
          <w:szCs w:val="24"/>
        </w:rPr>
        <w:footnoteReference w:id="63"/>
      </w:r>
      <w:r>
        <w:rPr>
          <w:rFonts w:eastAsia="Calibri"/>
          <w:noProof/>
        </w:rPr>
        <w:t>.</w:t>
      </w:r>
    </w:p>
    <w:p>
      <w:pPr>
        <w:spacing w:after="120" w:line="240" w:lineRule="auto"/>
        <w:jc w:val="both"/>
        <w:rPr>
          <w:rFonts w:ascii="Times New Roman" w:eastAsia="Times New Roman" w:hAnsi="Times New Roman" w:cs="Times New Roman"/>
          <w:noProof/>
          <w:sz w:val="24"/>
          <w:szCs w:val="24"/>
          <w:u w:color="0000EE"/>
          <w:lang w:val="en-GB"/>
        </w:rPr>
      </w:pPr>
      <w:r>
        <w:rPr>
          <w:rFonts w:ascii="Times New Roman" w:eastAsia="Times New Roman" w:hAnsi="Times New Roman" w:cs="Times New Roman"/>
          <w:noProof/>
          <w:sz w:val="24"/>
          <w:szCs w:val="24"/>
          <w:u w:color="0000EE"/>
          <w:lang w:val="en-GB"/>
        </w:rPr>
        <w:t xml:space="preserve">Based on this methodology, output indicators (as monitoring data at project level) and results indicators (based on Eurobarometer and other sources) were used. The analysis of the performance at the project level has mainly relied on the answers to the survey. </w:t>
      </w:r>
    </w:p>
    <w:p>
      <w:pPr>
        <w:pStyle w:val="ListBullet"/>
        <w:numPr>
          <w:ilvl w:val="0"/>
          <w:numId w:val="0"/>
        </w:numPr>
        <w:spacing w:after="120"/>
        <w:ind w:left="283" w:hanging="283"/>
        <w:rPr>
          <w:rStyle w:val="Strong"/>
          <w:noProof/>
        </w:rPr>
      </w:pPr>
    </w:p>
    <w:sectPr>
      <w:headerReference w:type="even" r:id="rId45"/>
      <w:headerReference w:type="default" r:id="rId46"/>
      <w:footerReference w:type="even" r:id="rId47"/>
      <w:footerReference w:type="default" r:id="rId48"/>
      <w:headerReference w:type="first" r:id="rId49"/>
      <w:footerReference w:type="first" r:id="rId5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4631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9062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780661"/>
      <w:docPartObj>
        <w:docPartGallery w:val="Page Numbers (Bottom of Page)"/>
        <w:docPartUnique/>
      </w:docPartObj>
    </w:sdtPr>
    <w:sdtEndPr>
      <w:rPr>
        <w:noProof/>
      </w:rPr>
    </w:sdtEndPr>
    <w:sdtContent>
      <w:p>
        <w:pPr>
          <w:pStyle w:val="Footer"/>
          <w:jc w:val="center"/>
        </w:pP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8409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rPr>
          <w:sz w:val="16"/>
          <w:szCs w:val="16"/>
        </w:rPr>
      </w:pPr>
      <w:r>
        <w:rPr>
          <w:rStyle w:val="FootnoteReference"/>
          <w:sz w:val="16"/>
          <w:szCs w:val="16"/>
        </w:rPr>
        <w:footnoteRef/>
      </w:r>
      <w:r>
        <w:rPr>
          <w:sz w:val="16"/>
          <w:szCs w:val="16"/>
        </w:rPr>
        <w:t xml:space="preserve"> </w:t>
      </w:r>
      <w:r>
        <w:rPr>
          <w:rStyle w:val="Strong"/>
          <w:b w:val="0"/>
          <w:sz w:val="16"/>
          <w:szCs w:val="16"/>
          <w:lang w:val="en"/>
        </w:rPr>
        <w:t xml:space="preserve">Regulation (EU) No 1382/2013 of the European Parliament and of the Council of 17 December 2013 establishing a Justice </w:t>
      </w:r>
      <w:r>
        <w:rPr>
          <w:rStyle w:val="Strong"/>
          <w:b w:val="0"/>
          <w:sz w:val="16"/>
          <w:szCs w:val="16"/>
          <w:lang w:val="en-CA"/>
        </w:rPr>
        <w:t>Programme</w:t>
      </w:r>
      <w:r>
        <w:rPr>
          <w:rStyle w:val="Strong"/>
          <w:b w:val="0"/>
          <w:sz w:val="16"/>
          <w:szCs w:val="16"/>
          <w:lang w:val="en"/>
        </w:rPr>
        <w:t xml:space="preserve"> for the period 2014 to 2020</w:t>
      </w:r>
      <w:r>
        <w:rPr>
          <w:rStyle w:val="Strong"/>
          <w:sz w:val="16"/>
          <w:szCs w:val="16"/>
          <w:lang w:val="en"/>
        </w:rPr>
        <w:t xml:space="preserve"> </w:t>
      </w:r>
      <w:r>
        <w:rPr>
          <w:sz w:val="16"/>
          <w:szCs w:val="16"/>
        </w:rPr>
        <w:t>(</w:t>
      </w:r>
      <w:r>
        <w:rPr>
          <w:iCs/>
          <w:sz w:val="16"/>
          <w:szCs w:val="16"/>
          <w:lang w:val="en"/>
        </w:rPr>
        <w:t xml:space="preserve">OJ L 354 </w:t>
      </w:r>
      <w:r>
        <w:rPr>
          <w:sz w:val="16"/>
          <w:szCs w:val="16"/>
        </w:rPr>
        <w:t xml:space="preserve">of </w:t>
      </w:r>
      <w:r>
        <w:rPr>
          <w:iCs/>
          <w:sz w:val="16"/>
          <w:szCs w:val="16"/>
          <w:lang w:val="en"/>
        </w:rPr>
        <w:t>28.12.2013),</w:t>
      </w:r>
      <w:r>
        <w:rPr>
          <w:sz w:val="16"/>
          <w:szCs w:val="16"/>
        </w:rPr>
        <w:t xml:space="preserve"> available online at: </w:t>
      </w:r>
      <w:hyperlink r:id="rId1" w:history="1">
        <w:r>
          <w:rPr>
            <w:rStyle w:val="Hyperlink"/>
            <w:sz w:val="16"/>
            <w:szCs w:val="16"/>
          </w:rPr>
          <w:t>http://eur-lex.europa.eu/legal-content/EN/TXT/PDF/?uri=CELEX:32013R1381&amp;from=EN</w:t>
        </w:r>
      </w:hyperlink>
      <w:r>
        <w:rPr>
          <w:sz w:val="16"/>
          <w:szCs w:val="16"/>
        </w:rPr>
        <w:t>.</w:t>
      </w:r>
    </w:p>
  </w:footnote>
  <w:footnote w:id="2">
    <w:p>
      <w:pPr>
        <w:pStyle w:val="FootnoteText"/>
        <w:spacing w:after="0"/>
        <w:ind w:left="0" w:firstLine="0"/>
        <w:rPr>
          <w:sz w:val="16"/>
          <w:szCs w:val="16"/>
        </w:rPr>
      </w:pPr>
      <w:r>
        <w:rPr>
          <w:rStyle w:val="FootnoteReference"/>
          <w:sz w:val="16"/>
          <w:szCs w:val="16"/>
        </w:rPr>
        <w:footnoteRef/>
      </w:r>
      <w:r>
        <w:rPr>
          <w:sz w:val="16"/>
          <w:szCs w:val="16"/>
        </w:rPr>
        <w:t xml:space="preserve"> </w:t>
      </w:r>
      <w:r>
        <w:rPr>
          <w:color w:val="000000"/>
          <w:sz w:val="16"/>
          <w:szCs w:val="16"/>
        </w:rPr>
        <w:t>Ex-post evaluation of five programmes implemented under the 2007-2013 financial perspective – Final Report. Specific programme evaluation: Civil Justice,</w:t>
      </w:r>
      <w:r>
        <w:rPr>
          <w:sz w:val="16"/>
          <w:szCs w:val="16"/>
        </w:rPr>
        <w:t xml:space="preserve"> available here </w:t>
      </w:r>
      <w:hyperlink r:id="rId2" w:history="1">
        <w:r>
          <w:rPr>
            <w:rStyle w:val="Hyperlink"/>
            <w:sz w:val="16"/>
            <w:szCs w:val="16"/>
          </w:rPr>
          <w:t>http://ec.europa.eu/justice/grants1/files/expost_evaluations_reports_2007_2013/civil_justice_programme.pdf</w:t>
        </w:r>
      </w:hyperlink>
      <w:r>
        <w:rPr>
          <w:color w:val="000000"/>
          <w:sz w:val="16"/>
          <w:szCs w:val="16"/>
        </w:rPr>
        <w:t xml:space="preserve"> .</w:t>
      </w:r>
      <w:r>
        <w:rPr>
          <w:sz w:val="16"/>
          <w:szCs w:val="16"/>
        </w:rPr>
        <w:t xml:space="preserve"> </w:t>
      </w:r>
      <w:r>
        <w:rPr>
          <w:color w:val="000000"/>
          <w:sz w:val="16"/>
          <w:szCs w:val="16"/>
        </w:rPr>
        <w:t xml:space="preserve">Ex-post evaluation of five programmes implemented under the 2007-2013 financial perspective - </w:t>
      </w:r>
      <w:r>
        <w:rPr>
          <w:sz w:val="16"/>
          <w:szCs w:val="16"/>
        </w:rPr>
        <w:t xml:space="preserve">specific programme evaluation: Criminal Justice Support Programme, available here </w:t>
      </w:r>
      <w:hyperlink r:id="rId3" w:history="1">
        <w:r>
          <w:rPr>
            <w:rStyle w:val="Hyperlink"/>
            <w:sz w:val="16"/>
            <w:szCs w:val="16"/>
          </w:rPr>
          <w:t>http://ec.europa.eu/justice/grants1/files/expost_evaluations_reports_2007_2013/criminal_justice_programme.pdf</w:t>
        </w:r>
      </w:hyperlink>
      <w:r>
        <w:rPr>
          <w:sz w:val="16"/>
          <w:szCs w:val="16"/>
        </w:rPr>
        <w:t xml:space="preserve">. Ex-post evaluation of five programmes implemented under the 2007-2013 financial perspective Specific programme evaluation: Drug Prevention and Information Programme, available here </w:t>
      </w:r>
      <w:hyperlink r:id="rId4" w:history="1">
        <w:r>
          <w:rPr>
            <w:rStyle w:val="Hyperlink"/>
            <w:sz w:val="16"/>
            <w:szCs w:val="16"/>
          </w:rPr>
          <w:t>http://ec.europa.eu/justice/grants1/files/expost_evaluations_reports_2007_2013/dpip_programme.pdf</w:t>
        </w:r>
      </w:hyperlink>
      <w:r>
        <w:rPr>
          <w:sz w:val="16"/>
          <w:szCs w:val="16"/>
        </w:rPr>
        <w:t xml:space="preserve"> .</w:t>
      </w:r>
    </w:p>
  </w:footnote>
  <w:footnote w:id="3">
    <w:p>
      <w:pPr>
        <w:pStyle w:val="FootnoteText"/>
        <w:spacing w:after="0"/>
        <w:ind w:left="0" w:firstLine="0"/>
        <w:rPr>
          <w:sz w:val="16"/>
          <w:szCs w:val="16"/>
          <w:lang w:val="en-US"/>
        </w:rPr>
      </w:pPr>
      <w:r>
        <w:rPr>
          <w:rStyle w:val="FootnoteReference"/>
          <w:sz w:val="16"/>
          <w:szCs w:val="16"/>
        </w:rPr>
        <w:footnoteRef/>
      </w:r>
      <w:r>
        <w:rPr>
          <w:sz w:val="16"/>
          <w:szCs w:val="16"/>
        </w:rPr>
        <w:t xml:space="preserve"> SEC (2011) 1364 Final.</w:t>
      </w:r>
    </w:p>
  </w:footnote>
  <w:footnote w:id="4">
    <w:p>
      <w:pPr>
        <w:pStyle w:val="FootnoteText"/>
        <w:spacing w:after="0"/>
        <w:ind w:left="0" w:firstLine="0"/>
        <w:rPr>
          <w:color w:val="000000" w:themeColor="text1"/>
          <w:sz w:val="16"/>
          <w:szCs w:val="16"/>
        </w:rPr>
      </w:pPr>
      <w:r>
        <w:rPr>
          <w:rStyle w:val="FootnoteReference"/>
          <w:color w:val="000000" w:themeColor="text1"/>
          <w:sz w:val="16"/>
          <w:szCs w:val="16"/>
        </w:rPr>
        <w:footnoteRef/>
      </w:r>
      <w:r>
        <w:rPr>
          <w:color w:val="000000" w:themeColor="text1"/>
          <w:sz w:val="16"/>
          <w:szCs w:val="16"/>
        </w:rPr>
        <w:t xml:space="preserve"> As already mentioned, the Justice Programme has replaced three programmes that were in force during the 2007-2013 Multi-annual Financial Framework.</w:t>
      </w:r>
    </w:p>
  </w:footnote>
  <w:footnote w:id="5">
    <w:p>
      <w:pPr>
        <w:pStyle w:val="FootnoteText"/>
        <w:spacing w:after="0"/>
        <w:ind w:left="0" w:firstLine="0"/>
        <w:rPr>
          <w:color w:val="000000" w:themeColor="text1"/>
          <w:sz w:val="16"/>
          <w:szCs w:val="16"/>
        </w:rPr>
      </w:pPr>
      <w:r>
        <w:rPr>
          <w:rStyle w:val="FootnoteReference"/>
          <w:color w:val="000000" w:themeColor="text1"/>
          <w:sz w:val="16"/>
          <w:szCs w:val="16"/>
        </w:rPr>
        <w:footnoteRef/>
      </w:r>
      <w:r>
        <w:rPr>
          <w:color w:val="000000" w:themeColor="text1"/>
          <w:sz w:val="16"/>
          <w:szCs w:val="16"/>
        </w:rPr>
        <w:t xml:space="preserve"> In this context, “equity” does not mean necessarily equality (i.e. that target groups and Member States receive the same level of support in terms of projects funded and resources allocated). Instead, the concept of equity relates to the allocation of resources mirroring the different intensity of, and urgency for, support of each target group/Member States rather than for example their capacity for advocacy or in accessing the Programme funds/managing projects.</w:t>
      </w:r>
    </w:p>
  </w:footnote>
  <w:footnote w:id="6">
    <w:p>
      <w:pPr>
        <w:pStyle w:val="FootnoteText"/>
        <w:spacing w:after="0"/>
        <w:ind w:left="0" w:firstLine="0"/>
        <w:rPr>
          <w:color w:val="000000" w:themeColor="text1"/>
          <w:sz w:val="16"/>
          <w:szCs w:val="16"/>
        </w:rPr>
      </w:pPr>
      <w:r>
        <w:rPr>
          <w:rStyle w:val="FootnoteReference"/>
          <w:color w:val="000000" w:themeColor="text1"/>
          <w:sz w:val="16"/>
          <w:szCs w:val="16"/>
        </w:rPr>
        <w:footnoteRef/>
      </w:r>
      <w:r>
        <w:rPr>
          <w:color w:val="000000" w:themeColor="text1"/>
          <w:sz w:val="16"/>
          <w:szCs w:val="16"/>
        </w:rPr>
        <w:t xml:space="preserve"> The United Kingdom and Denmark do not participate in the Programme.</w:t>
      </w:r>
    </w:p>
  </w:footnote>
  <w:footnote w:id="7">
    <w:p>
      <w:pPr>
        <w:pStyle w:val="FootnoteText"/>
        <w:spacing w:after="0"/>
        <w:ind w:left="0" w:firstLine="0"/>
        <w:rPr>
          <w:sz w:val="16"/>
          <w:szCs w:val="16"/>
        </w:rPr>
      </w:pPr>
      <w:r>
        <w:rPr>
          <w:rStyle w:val="FootnoteReference"/>
          <w:color w:val="000000" w:themeColor="text1"/>
          <w:sz w:val="16"/>
          <w:szCs w:val="16"/>
        </w:rPr>
        <w:footnoteRef/>
      </w:r>
      <w:r>
        <w:rPr>
          <w:color w:val="000000" w:themeColor="text1"/>
          <w:sz w:val="16"/>
          <w:szCs w:val="16"/>
        </w:rPr>
        <w:t xml:space="preserve"> Given its relatively early stage of implementation, the 2017 Annual Working Programme has been analysed in terms of design and structure, not in terms of execution.</w:t>
      </w:r>
    </w:p>
  </w:footnote>
  <w:footnote w:id="8">
    <w:p>
      <w:pPr>
        <w:pStyle w:val="Defaul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OJ C 115, 4.5.2010, p. 1.</w:t>
      </w:r>
    </w:p>
  </w:footnote>
  <w:footnote w:id="9">
    <w:p>
      <w:pPr>
        <w:pStyle w:val="FootnoteText"/>
        <w:spacing w:after="0"/>
        <w:ind w:left="0" w:firstLine="0"/>
        <w:rPr>
          <w:sz w:val="16"/>
          <w:szCs w:val="16"/>
        </w:rPr>
      </w:pPr>
      <w:r>
        <w:rPr>
          <w:rStyle w:val="FootnoteReference"/>
          <w:sz w:val="16"/>
          <w:szCs w:val="16"/>
        </w:rPr>
        <w:footnoteRef/>
      </w:r>
      <w:r>
        <w:rPr>
          <w:sz w:val="16"/>
          <w:szCs w:val="16"/>
        </w:rPr>
        <w:t xml:space="preserve"> Such as, in particular, insufficient judicial cooperation in civil and criminal matters, wide differences in national procedures and laws across the EU, lack of trust from EU citizens in the functioning of judicial systems of other Member States, lack of awareness and difficulties in the exercise of EU citizenship rights by people, limited improvements in preventing and combating drug-related crimes.</w:t>
      </w:r>
    </w:p>
  </w:footnote>
  <w:footnote w:id="10">
    <w:p>
      <w:pPr>
        <w:pStyle w:val="FootnoteText"/>
        <w:spacing w:after="0"/>
        <w:ind w:left="0" w:firstLine="0"/>
        <w:rPr>
          <w:color w:val="000000" w:themeColor="text1"/>
          <w:sz w:val="16"/>
          <w:szCs w:val="16"/>
        </w:rPr>
      </w:pPr>
      <w:r>
        <w:rPr>
          <w:rStyle w:val="FootnoteReference"/>
          <w:color w:val="000000" w:themeColor="text1"/>
          <w:sz w:val="16"/>
          <w:szCs w:val="16"/>
        </w:rPr>
        <w:footnoteRef/>
      </w:r>
      <w:r>
        <w:rPr>
          <w:color w:val="000000" w:themeColor="text1"/>
          <w:sz w:val="16"/>
          <w:szCs w:val="16"/>
        </w:rPr>
        <w:t xml:space="preserve"> The EU is party to The Hague Conference on Private International Law since in 2007. The purpose of this international intergovernmental organisation is to work for the progressive unification of the rules of private international law in the participating countries. Most of the conventions developed by The Hague Conference fall within exclusive or partial external competence of the EU and are part of the EU </w:t>
      </w:r>
      <w:r>
        <w:rPr>
          <w:i/>
          <w:color w:val="000000" w:themeColor="text1"/>
          <w:sz w:val="16"/>
          <w:szCs w:val="16"/>
        </w:rPr>
        <w:t>acquis</w:t>
      </w:r>
      <w:r>
        <w:rPr>
          <w:color w:val="000000" w:themeColor="text1"/>
          <w:sz w:val="16"/>
          <w:szCs w:val="16"/>
        </w:rPr>
        <w:t>.</w:t>
      </w:r>
    </w:p>
  </w:footnote>
  <w:footnote w:id="11">
    <w:p>
      <w:pPr>
        <w:pStyle w:val="FootnoteText"/>
        <w:spacing w:after="0"/>
        <w:ind w:left="0" w:firstLine="0"/>
        <w:rPr>
          <w:color w:val="000000" w:themeColor="text1"/>
          <w:sz w:val="16"/>
          <w:szCs w:val="16"/>
          <w:lang w:val="en-US"/>
        </w:rPr>
      </w:pPr>
      <w:r>
        <w:rPr>
          <w:rStyle w:val="FootnoteReference"/>
          <w:color w:val="000000" w:themeColor="text1"/>
          <w:sz w:val="16"/>
          <w:szCs w:val="16"/>
        </w:rPr>
        <w:footnoteRef/>
      </w:r>
      <w:r>
        <w:rPr>
          <w:color w:val="000000" w:themeColor="text1"/>
          <w:sz w:val="16"/>
          <w:szCs w:val="16"/>
        </w:rPr>
        <w:t xml:space="preserve"> European Commission, Directorate-General for Justice and Consumers, European Judicial Training 2016. Available online at the following address: </w:t>
      </w:r>
      <w:hyperlink r:id="rId5" w:history="1">
        <w:r>
          <w:rPr>
            <w:rStyle w:val="Hyperlink"/>
            <w:color w:val="000000" w:themeColor="text1"/>
            <w:sz w:val="16"/>
            <w:szCs w:val="16"/>
          </w:rPr>
          <w:t>http://ec.europa.eu/justice/criminal/files/final_report_2015_en.pdf</w:t>
        </w:r>
      </w:hyperlink>
      <w:r>
        <w:rPr>
          <w:color w:val="000000" w:themeColor="text1"/>
          <w:sz w:val="16"/>
          <w:szCs w:val="16"/>
        </w:rPr>
        <w:t>.</w:t>
      </w:r>
    </w:p>
  </w:footnote>
  <w:footnote w:id="12">
    <w:p>
      <w:pPr>
        <w:pStyle w:val="Default"/>
        <w:jc w:val="both"/>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Council of the European Union, </w:t>
      </w:r>
      <w:r>
        <w:rPr>
          <w:rFonts w:ascii="Times New Roman" w:hAnsi="Times New Roman" w:cs="Times New Roman"/>
          <w:color w:val="343434"/>
          <w:sz w:val="16"/>
          <w:szCs w:val="16"/>
        </w:rPr>
        <w:t xml:space="preserve">Multiannual European e-Justice Action Plan 2014-2018, </w:t>
      </w:r>
      <w:r>
        <w:rPr>
          <w:rFonts w:ascii="Times New Roman" w:hAnsi="Times New Roman" w:cs="Times New Roman"/>
          <w:sz w:val="16"/>
          <w:szCs w:val="16"/>
        </w:rPr>
        <w:t xml:space="preserve">2014/C 182/02, available here </w:t>
      </w:r>
      <w:hyperlink r:id="rId6" w:history="1">
        <w:r>
          <w:rPr>
            <w:rStyle w:val="Hyperlink"/>
            <w:rFonts w:ascii="Times New Roman" w:hAnsi="Times New Roman" w:cs="Times New Roman"/>
            <w:sz w:val="16"/>
            <w:szCs w:val="16"/>
          </w:rPr>
          <w:t>https://publications.europa.eu/en/publication-detail/-/publication/2a2f84b9-f3a4-11e3-831f-01aa75ed71a1/language-en</w:t>
        </w:r>
      </w:hyperlink>
      <w:r>
        <w:rPr>
          <w:rFonts w:ascii="Times New Roman" w:hAnsi="Times New Roman" w:cs="Times New Roman"/>
          <w:sz w:val="16"/>
          <w:szCs w:val="16"/>
        </w:rPr>
        <w:t xml:space="preserve">. </w:t>
      </w:r>
    </w:p>
  </w:footnote>
  <w:footnote w:id="13">
    <w:p>
      <w:pPr>
        <w:pStyle w:val="FootnoteText"/>
        <w:spacing w:after="0"/>
        <w:ind w:left="0" w:firstLine="0"/>
        <w:rPr>
          <w:sz w:val="16"/>
          <w:szCs w:val="16"/>
        </w:rPr>
      </w:pPr>
      <w:r>
        <w:rPr>
          <w:rStyle w:val="FootnoteReference"/>
          <w:sz w:val="16"/>
          <w:szCs w:val="16"/>
        </w:rPr>
        <w:footnoteRef/>
      </w:r>
      <w:r>
        <w:rPr>
          <w:sz w:val="16"/>
          <w:szCs w:val="16"/>
        </w:rPr>
        <w:t xml:space="preserve"> Communication from the Commission to the European Parliament, the Council, the European Economic and Social Committee and the Committee of the Regions, The EU Justice Agenda for 2020 - Strengthening Trust, Mobility and Growth within the Union, Strasbourg, 11.3.2014, COM(2014) 144 final.</w:t>
      </w:r>
    </w:p>
  </w:footnote>
  <w:footnote w:id="14">
    <w:p>
      <w:pPr>
        <w:jc w:val="both"/>
        <w:rPr>
          <w:rFonts w:ascii="Times New Roman" w:eastAsia="Calibri"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w:t>
      </w:r>
      <w:r>
        <w:rPr>
          <w:rFonts w:ascii="Times New Roman" w:eastAsia="Calibri" w:hAnsi="Times New Roman" w:cs="Times New Roman"/>
          <w:sz w:val="16"/>
          <w:szCs w:val="16"/>
          <w:lang w:val="en-GB"/>
        </w:rPr>
        <w:t xml:space="preserve">Insofar as this kind of initiatives are not covered </w:t>
      </w:r>
      <w:r>
        <w:rPr>
          <w:rFonts w:ascii="Times New Roman" w:hAnsi="Times New Roman" w:cs="Times New Roman"/>
          <w:sz w:val="16"/>
          <w:szCs w:val="16"/>
          <w:lang w:val="en-GB"/>
        </w:rPr>
        <w:t xml:space="preserve">by the Internal Security Fund for financial support for police cooperation, preventing and combating crime and crisis management (for more info, see </w:t>
      </w:r>
      <w:hyperlink r:id="rId7" w:history="1">
        <w:r>
          <w:rPr>
            <w:rStyle w:val="Hyperlink"/>
            <w:rFonts w:ascii="Times New Roman" w:hAnsi="Times New Roman" w:cs="Times New Roman"/>
            <w:sz w:val="16"/>
            <w:szCs w:val="16"/>
            <w:lang w:val="en-GB"/>
          </w:rPr>
          <w:t>https://ec.europa.eu/home-affairs/financing/fundings/security-and-safeguarding-liberties/internal-security-fund-police_en</w:t>
        </w:r>
      </w:hyperlink>
      <w:r>
        <w:rPr>
          <w:rFonts w:ascii="Times New Roman" w:hAnsi="Times New Roman" w:cs="Times New Roman"/>
          <w:sz w:val="16"/>
          <w:szCs w:val="16"/>
          <w:lang w:val="en-GB"/>
        </w:rPr>
        <w:t xml:space="preserve"> ), or by the Health for Growth Programme (for more info, see </w:t>
      </w:r>
      <w:hyperlink r:id="rId8" w:history="1">
        <w:r>
          <w:rPr>
            <w:rStyle w:val="Hyperlink"/>
            <w:rFonts w:ascii="Times New Roman" w:hAnsi="Times New Roman" w:cs="Times New Roman"/>
            <w:sz w:val="16"/>
            <w:szCs w:val="16"/>
            <w:lang w:val="en-GB"/>
          </w:rPr>
          <w:t>https://ec.europa.eu/health/funding/programme/2014-2020_en</w:t>
        </w:r>
      </w:hyperlink>
      <w:r>
        <w:rPr>
          <w:rFonts w:ascii="Times New Roman" w:hAnsi="Times New Roman" w:cs="Times New Roman"/>
          <w:sz w:val="16"/>
          <w:szCs w:val="16"/>
          <w:lang w:val="en-GB"/>
        </w:rPr>
        <w:t xml:space="preserve"> )</w:t>
      </w:r>
      <w:r>
        <w:rPr>
          <w:rFonts w:ascii="Times New Roman" w:eastAsia="Calibri" w:hAnsi="Times New Roman" w:cs="Times New Roman"/>
          <w:sz w:val="16"/>
          <w:szCs w:val="16"/>
          <w:lang w:val="en-GB"/>
        </w:rPr>
        <w:t>.</w:t>
      </w:r>
    </w:p>
  </w:footnote>
  <w:footnote w:id="15">
    <w:p>
      <w:pPr>
        <w:pStyle w:val="FootnoteText"/>
        <w:spacing w:after="0"/>
        <w:ind w:left="0" w:firstLine="0"/>
        <w:rPr>
          <w:sz w:val="16"/>
          <w:szCs w:val="16"/>
        </w:rPr>
      </w:pPr>
      <w:r>
        <w:rPr>
          <w:rStyle w:val="FootnoteReference"/>
          <w:sz w:val="16"/>
          <w:szCs w:val="16"/>
        </w:rPr>
        <w:footnoteRef/>
      </w:r>
      <w:r>
        <w:rPr>
          <w:sz w:val="16"/>
          <w:szCs w:val="16"/>
        </w:rPr>
        <w:t xml:space="preserve"> To see the types of activities funded by the Justice Programme in 2014, 2015 and 2016, see the Mid-term evaluation of the Justice Programme 2014-2020, </w:t>
      </w:r>
      <w:r>
        <w:rPr>
          <w:color w:val="000000"/>
          <w:sz w:val="16"/>
          <w:szCs w:val="16"/>
          <w:lang w:eastAsia="it-IT"/>
        </w:rPr>
        <w:t>Ernst &amp; Young Financial-Business Advisors</w:t>
      </w:r>
      <w:r>
        <w:rPr>
          <w:sz w:val="16"/>
          <w:szCs w:val="16"/>
        </w:rPr>
        <w:t>, Final Report, April 2018, p. 71-72.</w:t>
      </w:r>
    </w:p>
  </w:footnote>
  <w:footnote w:id="16">
    <w:p>
      <w:pPr>
        <w:pStyle w:val="FootnoteText"/>
        <w:spacing w:after="0"/>
        <w:ind w:left="0" w:firstLine="0"/>
        <w:rPr>
          <w:sz w:val="16"/>
          <w:szCs w:val="16"/>
          <w:lang w:val="en-US"/>
        </w:rPr>
      </w:pPr>
      <w:r>
        <w:rPr>
          <w:rStyle w:val="FootnoteReference"/>
          <w:sz w:val="16"/>
          <w:szCs w:val="16"/>
        </w:rPr>
        <w:footnoteRef/>
      </w:r>
      <w:r>
        <w:rPr>
          <w:sz w:val="16"/>
          <w:szCs w:val="16"/>
        </w:rPr>
        <w:t xml:space="preserve"> Bodies and entities which are profit-oriented can be funded only in conjunction with non-profit or public organisations.</w:t>
      </w:r>
    </w:p>
  </w:footnote>
  <w:footnote w:id="17">
    <w:p>
      <w:pPr>
        <w:pStyle w:val="FootnoteText"/>
        <w:spacing w:after="0"/>
        <w:ind w:left="0" w:firstLine="0"/>
        <w:rPr>
          <w:sz w:val="16"/>
          <w:szCs w:val="16"/>
        </w:rPr>
      </w:pPr>
      <w:r>
        <w:rPr>
          <w:rStyle w:val="FootnoteReference"/>
          <w:sz w:val="16"/>
          <w:szCs w:val="16"/>
        </w:rPr>
        <w:footnoteRef/>
      </w:r>
      <w:r>
        <w:rPr>
          <w:sz w:val="16"/>
          <w:szCs w:val="16"/>
        </w:rPr>
        <w:t xml:space="preserve"> For more information, see below p. 15 and see also section 5.4 on "Target groups and beneficiaries" in the Interim report, p. 77 et seq.</w:t>
      </w:r>
    </w:p>
  </w:footnote>
  <w:footnote w:id="18">
    <w:p>
      <w:pPr>
        <w:pStyle w:val="FootnoteText"/>
        <w:spacing w:after="0"/>
        <w:ind w:left="0" w:firstLine="0"/>
      </w:pPr>
      <w:r>
        <w:rPr>
          <w:rStyle w:val="FootnoteReference"/>
          <w:sz w:val="16"/>
          <w:szCs w:val="16"/>
        </w:rPr>
        <w:footnoteRef/>
      </w:r>
      <w:r>
        <w:rPr>
          <w:sz w:val="16"/>
          <w:szCs w:val="16"/>
        </w:rPr>
        <w:t xml:space="preserve"> For more information on the number of action grants and operating grants awarded per year and on the number of procurement activities, see section 5 "Implementation state of play" in the Interim report, in particular p. 69 et seq.</w:t>
      </w:r>
    </w:p>
  </w:footnote>
  <w:footnote w:id="19">
    <w:p>
      <w:pPr>
        <w:pStyle w:val="FootnoteText"/>
        <w:spacing w:after="0"/>
        <w:ind w:left="0" w:firstLine="0"/>
        <w:rPr>
          <w:sz w:val="16"/>
          <w:szCs w:val="16"/>
        </w:rPr>
      </w:pPr>
      <w:r>
        <w:rPr>
          <w:rStyle w:val="FootnoteReference"/>
          <w:sz w:val="16"/>
          <w:szCs w:val="16"/>
        </w:rPr>
        <w:footnoteRef/>
      </w:r>
      <w:r>
        <w:rPr>
          <w:sz w:val="16"/>
          <w:szCs w:val="16"/>
        </w:rPr>
        <w:t xml:space="preserve"> Mid-term evaluation of the Justice Programme 2014-2020, </w:t>
      </w:r>
      <w:r>
        <w:rPr>
          <w:color w:val="000000"/>
          <w:sz w:val="16"/>
          <w:szCs w:val="16"/>
          <w:lang w:eastAsia="it-IT"/>
        </w:rPr>
        <w:t>Ernst &amp; Young Financial-Business Advisors</w:t>
      </w:r>
      <w:r>
        <w:rPr>
          <w:sz w:val="16"/>
          <w:szCs w:val="16"/>
        </w:rPr>
        <w:t>, Final Report, April 2018, published.</w:t>
      </w:r>
    </w:p>
  </w:footnote>
  <w:footnote w:id="20">
    <w:p>
      <w:pPr>
        <w:pStyle w:val="FootnoteText"/>
        <w:spacing w:after="0"/>
        <w:ind w:left="0" w:firstLine="0"/>
        <w:rPr>
          <w:sz w:val="16"/>
          <w:szCs w:val="16"/>
        </w:rPr>
      </w:pPr>
      <w:r>
        <w:rPr>
          <w:rStyle w:val="FootnoteReference"/>
          <w:sz w:val="16"/>
          <w:szCs w:val="16"/>
        </w:rPr>
        <w:footnoteRef/>
      </w:r>
      <w:r>
        <w:rPr>
          <w:sz w:val="16"/>
          <w:szCs w:val="16"/>
        </w:rPr>
        <w:t xml:space="preserve"> Ibid.</w:t>
      </w:r>
    </w:p>
  </w:footnote>
  <w:footnote w:id="21">
    <w:p>
      <w:pPr>
        <w:pStyle w:val="FootnoteText"/>
        <w:spacing w:after="0"/>
        <w:ind w:left="0" w:firstLine="0"/>
        <w:rPr>
          <w:sz w:val="16"/>
          <w:szCs w:val="16"/>
        </w:rPr>
      </w:pPr>
      <w:r>
        <w:rPr>
          <w:rStyle w:val="FootnoteReference"/>
          <w:sz w:val="16"/>
          <w:szCs w:val="16"/>
        </w:rPr>
        <w:footnoteRef/>
      </w:r>
      <w:r>
        <w:rPr>
          <w:sz w:val="16"/>
          <w:szCs w:val="16"/>
        </w:rPr>
        <w:t xml:space="preserve"> European Commission, 'Commission Staff Working Paper – Impact Assessment - Accompanying the document Proposal for a Regulation of the European Parliament and of the Council establishing for the Period 2014-2020 the Justice Programme. Impact Assessment’. SEC (2011) 1364 Final.</w:t>
      </w:r>
    </w:p>
  </w:footnote>
  <w:footnote w:id="22">
    <w:p>
      <w:pPr>
        <w:pStyle w:val="FootnoteText"/>
        <w:spacing w:after="0"/>
        <w:ind w:left="0" w:firstLine="0"/>
        <w:rPr>
          <w:sz w:val="16"/>
          <w:szCs w:val="16"/>
        </w:rPr>
      </w:pPr>
      <w:r>
        <w:rPr>
          <w:rStyle w:val="FootnoteReference"/>
          <w:sz w:val="16"/>
          <w:szCs w:val="16"/>
        </w:rPr>
        <w:footnoteRef/>
      </w:r>
      <w:r>
        <w:rPr>
          <w:sz w:val="16"/>
          <w:szCs w:val="16"/>
        </w:rPr>
        <w:t xml:space="preserve"> </w:t>
      </w:r>
      <w:r>
        <w:rPr>
          <w:color w:val="000000"/>
          <w:sz w:val="16"/>
          <w:szCs w:val="16"/>
        </w:rPr>
        <w:t>Ex-post evaluation of five programmes implemented under the 2007-2013 financial perspective – Final Report, ibid</w:t>
      </w:r>
      <w:r>
        <w:rPr>
          <w:sz w:val="16"/>
          <w:szCs w:val="16"/>
        </w:rPr>
        <w:t>.</w:t>
      </w:r>
    </w:p>
  </w:footnote>
  <w:footnote w:id="23">
    <w:p>
      <w:pPr>
        <w:pStyle w:val="FootnoteText"/>
        <w:spacing w:after="0"/>
        <w:ind w:left="0" w:firstLine="0"/>
        <w:rPr>
          <w:sz w:val="16"/>
          <w:szCs w:val="16"/>
        </w:rPr>
      </w:pPr>
      <w:r>
        <w:rPr>
          <w:rStyle w:val="FootnoteReference"/>
          <w:sz w:val="16"/>
          <w:szCs w:val="16"/>
        </w:rPr>
        <w:footnoteRef/>
      </w:r>
      <w:r>
        <w:rPr>
          <w:sz w:val="16"/>
          <w:szCs w:val="16"/>
        </w:rPr>
        <w:t xml:space="preserve"> Although, the beneficiaries interviewed were not specifically asked to describe their experience with other kinds of Programme management.</w:t>
      </w:r>
    </w:p>
  </w:footnote>
  <w:footnote w:id="24">
    <w:p>
      <w:pPr>
        <w:pStyle w:val="FootnoteText"/>
        <w:spacing w:after="0"/>
        <w:ind w:left="0" w:firstLine="0"/>
        <w:rPr>
          <w:sz w:val="16"/>
          <w:szCs w:val="16"/>
          <w:lang w:val="en-US"/>
        </w:rPr>
      </w:pPr>
      <w:r>
        <w:rPr>
          <w:rStyle w:val="FootnoteReference"/>
          <w:sz w:val="16"/>
          <w:szCs w:val="16"/>
        </w:rPr>
        <w:footnoteRef/>
      </w:r>
      <w:r>
        <w:rPr>
          <w:sz w:val="16"/>
          <w:szCs w:val="16"/>
        </w:rPr>
        <w:t xml:space="preserve"> COM (2017) 400 - May 2017, Draft Budget of the European Union 2017. Information on indicators related to the general objectives of the Programmes and indicators related to the specific objectives of the Programmes are provided by this document.</w:t>
      </w:r>
    </w:p>
  </w:footnote>
  <w:footnote w:id="25">
    <w:p>
      <w:pPr>
        <w:pStyle w:val="FootnoteText"/>
        <w:spacing w:after="0"/>
        <w:ind w:left="0" w:firstLine="0"/>
        <w:rPr>
          <w:sz w:val="16"/>
          <w:szCs w:val="16"/>
        </w:rPr>
      </w:pPr>
      <w:r>
        <w:rPr>
          <w:rStyle w:val="FootnoteReference"/>
          <w:sz w:val="16"/>
          <w:szCs w:val="16"/>
        </w:rPr>
        <w:footnoteRef/>
      </w:r>
      <w:r>
        <w:rPr>
          <w:sz w:val="16"/>
          <w:szCs w:val="16"/>
        </w:rPr>
        <w:t xml:space="preserve"> Moreover, gaps in data described in the training reports lead to surmise that the number of trained judicial staff is somewhat underreported.</w:t>
      </w:r>
    </w:p>
  </w:footnote>
  <w:footnote w:id="26">
    <w:p>
      <w:pPr>
        <w:shd w:val="clear" w:color="auto" w:fill="FFFFFF"/>
        <w:spacing w:after="0" w:line="240" w:lineRule="auto"/>
        <w:jc w:val="both"/>
        <w:textAlignment w:val="top"/>
        <w:rPr>
          <w:rFonts w:ascii="Times New Roman" w:eastAsia="Times New Roman" w:hAnsi="Times New Roman" w:cs="Times New Roman"/>
          <w:bCs/>
          <w:color w:val="000000"/>
          <w:sz w:val="16"/>
          <w:szCs w:val="16"/>
          <w:lang w:val="en" w:eastAsia="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w:t>
      </w:r>
      <w:r>
        <w:rPr>
          <w:rFonts w:ascii="Times New Roman" w:eastAsia="Times New Roman" w:hAnsi="Times New Roman" w:cs="Times New Roman"/>
          <w:bCs/>
          <w:sz w:val="16"/>
          <w:szCs w:val="16"/>
          <w:lang w:val="en" w:eastAsia="en-GB"/>
        </w:rPr>
        <w:t xml:space="preserve">The European arrest warrant has been operational since 1 January 2004. It has replaced the extradition procedure that used to exist between EU countries. At present, a </w:t>
      </w:r>
      <w:r>
        <w:rPr>
          <w:rFonts w:ascii="Times New Roman" w:hAnsi="Times New Roman" w:cs="Times New Roman"/>
          <w:sz w:val="16"/>
          <w:szCs w:val="16"/>
          <w:lang w:val="en"/>
        </w:rPr>
        <w:t>person who has committed a serious crime in a Member State, but who lives in another can be returned to the first country to face justice quickly and with little administrative burden</w:t>
      </w:r>
      <w:r>
        <w:rPr>
          <w:rFonts w:ascii="Times New Roman" w:eastAsia="Times New Roman" w:hAnsi="Times New Roman" w:cs="Times New Roman"/>
          <w:bCs/>
          <w:sz w:val="16"/>
          <w:szCs w:val="16"/>
          <w:lang w:val="en" w:eastAsia="en-GB"/>
        </w:rPr>
        <w:t xml:space="preserve">. </w:t>
      </w:r>
      <w:r>
        <w:rPr>
          <w:rFonts w:ascii="Times New Roman" w:eastAsia="Times New Roman" w:hAnsi="Times New Roman" w:cs="Times New Roman"/>
          <w:bCs/>
          <w:color w:val="000000"/>
          <w:sz w:val="16"/>
          <w:szCs w:val="16"/>
          <w:lang w:val="en" w:eastAsia="en-GB"/>
        </w:rPr>
        <w:t>For more info, see</w:t>
      </w:r>
      <w:r>
        <w:rPr>
          <w:rFonts w:ascii="Times New Roman" w:hAnsi="Times New Roman" w:cs="Times New Roman"/>
          <w:color w:val="000000"/>
          <w:sz w:val="16"/>
          <w:szCs w:val="16"/>
          <w:lang w:val="en-GB" w:eastAsia="nl-BE"/>
        </w:rPr>
        <w:t xml:space="preserve"> Council Framework Decision of 13 June 2002 on the European arrest warrant and the surrender procedures between Member States (2002/584/JHA)</w:t>
      </w:r>
      <w:r>
        <w:rPr>
          <w:rFonts w:ascii="Times New Roman" w:eastAsia="Times New Roman" w:hAnsi="Times New Roman" w:cs="Times New Roman"/>
          <w:bCs/>
          <w:color w:val="000000"/>
          <w:sz w:val="16"/>
          <w:szCs w:val="16"/>
          <w:lang w:val="en" w:eastAsia="en-GB"/>
        </w:rPr>
        <w:t>.</w:t>
      </w:r>
    </w:p>
  </w:footnote>
  <w:footnote w:id="27">
    <w:p>
      <w:pPr>
        <w:pStyle w:val="FootnoteText"/>
        <w:spacing w:after="0"/>
        <w:ind w:left="0" w:firstLine="0"/>
        <w:rPr>
          <w:sz w:val="16"/>
          <w:szCs w:val="16"/>
        </w:rPr>
      </w:pPr>
      <w:r>
        <w:rPr>
          <w:rStyle w:val="FootnoteReference"/>
          <w:sz w:val="16"/>
          <w:szCs w:val="16"/>
        </w:rPr>
        <w:footnoteRef/>
      </w:r>
      <w:r>
        <w:rPr>
          <w:sz w:val="16"/>
          <w:szCs w:val="16"/>
        </w:rPr>
        <w:t xml:space="preserve"> </w:t>
      </w:r>
      <w:r>
        <w:rPr>
          <w:sz w:val="16"/>
          <w:szCs w:val="16"/>
          <w:lang w:val="en"/>
        </w:rPr>
        <w:t xml:space="preserve">This database ensures that information on convictions is exchanged between EU </w:t>
      </w:r>
      <w:r>
        <w:rPr>
          <w:color w:val="000000"/>
          <w:sz w:val="16"/>
          <w:szCs w:val="16"/>
          <w:lang w:eastAsia="nl-BE"/>
        </w:rPr>
        <w:t>Member States</w:t>
      </w:r>
      <w:r>
        <w:rPr>
          <w:sz w:val="16"/>
          <w:szCs w:val="16"/>
          <w:lang w:val="en"/>
        </w:rPr>
        <w:t xml:space="preserve"> in a uniform, fast and compatible way, provides judges and prosecutors with easy access to comprehensive information on the criminal history of persons concerned, including in which EU </w:t>
      </w:r>
      <w:r>
        <w:rPr>
          <w:color w:val="000000"/>
          <w:sz w:val="16"/>
          <w:szCs w:val="16"/>
          <w:lang w:eastAsia="nl-BE"/>
        </w:rPr>
        <w:t>Member States</w:t>
      </w:r>
      <w:r>
        <w:rPr>
          <w:sz w:val="16"/>
          <w:szCs w:val="16"/>
          <w:lang w:val="en"/>
        </w:rPr>
        <w:t xml:space="preserve"> that person has previously been convicted and removes the possibility for offenders to escape convictions by moving from one </w:t>
      </w:r>
      <w:r>
        <w:rPr>
          <w:color w:val="000000"/>
          <w:sz w:val="16"/>
          <w:szCs w:val="16"/>
          <w:lang w:eastAsia="nl-BE"/>
        </w:rPr>
        <w:t xml:space="preserve">Member State </w:t>
      </w:r>
      <w:r>
        <w:rPr>
          <w:sz w:val="16"/>
          <w:szCs w:val="16"/>
          <w:lang w:val="en"/>
        </w:rPr>
        <w:t>to another. On 28 June 2017, the European Commission published its first report on the use of this database by EU countries.</w:t>
      </w:r>
    </w:p>
  </w:footnote>
  <w:footnote w:id="28">
    <w:p>
      <w:pPr>
        <w:pStyle w:val="FootnoteText"/>
        <w:spacing w:after="0"/>
        <w:ind w:left="0" w:firstLine="0"/>
      </w:pPr>
      <w:r>
        <w:rPr>
          <w:rStyle w:val="FootnoteReference"/>
          <w:sz w:val="16"/>
          <w:szCs w:val="16"/>
        </w:rPr>
        <w:footnoteRef/>
      </w:r>
      <w:r>
        <w:rPr>
          <w:sz w:val="16"/>
          <w:szCs w:val="16"/>
        </w:rPr>
        <w:t xml:space="preserve"> These obstacles were mentioned by several projects and shown also by the "Justice Scorecards".</w:t>
      </w:r>
    </w:p>
  </w:footnote>
  <w:footnote w:id="29">
    <w:p>
      <w:pPr>
        <w:pStyle w:val="FootnoteText"/>
        <w:spacing w:after="0"/>
        <w:ind w:left="0" w:firstLine="0"/>
      </w:pPr>
      <w:r>
        <w:rPr>
          <w:rStyle w:val="FootnoteReference"/>
          <w:sz w:val="16"/>
          <w:szCs w:val="16"/>
        </w:rPr>
        <w:footnoteRef/>
      </w:r>
      <w:r>
        <w:rPr>
          <w:sz w:val="16"/>
          <w:szCs w:val="16"/>
        </w:rPr>
        <w:t xml:space="preserve"> For more info on the European Social Fund, see </w:t>
      </w:r>
      <w:hyperlink r:id="rId9" w:history="1">
        <w:r>
          <w:rPr>
            <w:rStyle w:val="Hyperlink"/>
            <w:sz w:val="16"/>
            <w:szCs w:val="16"/>
          </w:rPr>
          <w:t>http://ec.europa.eu/social/main.jsp?catId=325&amp;langId=en</w:t>
        </w:r>
      </w:hyperlink>
      <w:r>
        <w:rPr>
          <w:sz w:val="16"/>
          <w:szCs w:val="16"/>
        </w:rPr>
        <w:t>.</w:t>
      </w:r>
    </w:p>
  </w:footnote>
  <w:footnote w:id="30">
    <w:p>
      <w:pPr>
        <w:pStyle w:val="FootnoteText"/>
        <w:spacing w:after="0"/>
        <w:ind w:left="0" w:firstLine="0"/>
        <w:rPr>
          <w:sz w:val="16"/>
          <w:szCs w:val="16"/>
        </w:rPr>
      </w:pPr>
      <w:r>
        <w:rPr>
          <w:rStyle w:val="FootnoteReference"/>
          <w:sz w:val="16"/>
          <w:szCs w:val="16"/>
        </w:rPr>
        <w:footnoteRef/>
      </w:r>
      <w:r>
        <w:rPr>
          <w:sz w:val="16"/>
          <w:szCs w:val="16"/>
        </w:rPr>
        <w:t xml:space="preserve"> More info available at the following link: </w:t>
      </w:r>
      <w:hyperlink r:id="rId10" w:history="1">
        <w:r>
          <w:rPr>
            <w:rStyle w:val="Hyperlink"/>
            <w:sz w:val="16"/>
            <w:szCs w:val="16"/>
          </w:rPr>
          <w:t>https://e-justice.europa.eu/home</w:t>
        </w:r>
      </w:hyperlink>
      <w:r>
        <w:rPr>
          <w:sz w:val="16"/>
          <w:szCs w:val="16"/>
        </w:rPr>
        <w:t>.</w:t>
      </w:r>
    </w:p>
  </w:footnote>
  <w:footnote w:id="31">
    <w:p>
      <w:pPr>
        <w:pStyle w:val="FootnoteText"/>
        <w:spacing w:after="0"/>
        <w:ind w:left="0" w:firstLine="0"/>
        <w:rPr>
          <w:sz w:val="16"/>
          <w:szCs w:val="16"/>
          <w:lang w:val="en-US"/>
        </w:rPr>
      </w:pPr>
      <w:r>
        <w:rPr>
          <w:rStyle w:val="FootnoteReference"/>
          <w:sz w:val="16"/>
          <w:szCs w:val="16"/>
        </w:rPr>
        <w:footnoteRef/>
      </w:r>
      <w:r>
        <w:rPr>
          <w:sz w:val="16"/>
          <w:szCs w:val="16"/>
        </w:rPr>
        <w:t xml:space="preserve"> Source of data: DG Justice and Consumers.</w:t>
      </w:r>
    </w:p>
  </w:footnote>
  <w:footnote w:id="32">
    <w:p>
      <w:pPr>
        <w:pStyle w:val="Default"/>
        <w:jc w:val="both"/>
        <w:rPr>
          <w:rFonts w:ascii="Times New Roman" w:hAnsi="Times New Roman" w:cs="Times New Roman"/>
          <w:sz w:val="16"/>
          <w:szCs w:val="16"/>
        </w:rPr>
      </w:pPr>
      <w:r>
        <w:rPr>
          <w:rStyle w:val="FootnoteReference"/>
          <w:rFonts w:ascii="Times New Roman" w:hAnsi="Times New Roman" w:cs="Times New Roman"/>
          <w:color w:val="auto"/>
          <w:sz w:val="16"/>
          <w:szCs w:val="16"/>
        </w:rPr>
        <w:footnoteRef/>
      </w:r>
      <w:r>
        <w:rPr>
          <w:rFonts w:ascii="Times New Roman" w:hAnsi="Times New Roman" w:cs="Times New Roman"/>
          <w:color w:val="auto"/>
          <w:sz w:val="16"/>
          <w:szCs w:val="16"/>
        </w:rPr>
        <w:t xml:space="preserve"> Art. 15 of the Regulation (EU) 1382/2013 of 17 December 2013 </w:t>
      </w:r>
      <w:r>
        <w:rPr>
          <w:rFonts w:ascii="Times New Roman" w:hAnsi="Times New Roman" w:cs="Times New Roman"/>
          <w:bCs/>
          <w:color w:val="auto"/>
          <w:sz w:val="16"/>
          <w:szCs w:val="16"/>
        </w:rPr>
        <w:t>establishing a Justice Programme for the period 2014 to 2020.</w:t>
      </w:r>
    </w:p>
  </w:footnote>
  <w:footnote w:id="33">
    <w:p>
      <w:pPr>
        <w:pStyle w:val="FootnoteText"/>
        <w:spacing w:after="0"/>
        <w:ind w:left="0" w:firstLine="0"/>
        <w:rPr>
          <w:sz w:val="16"/>
          <w:szCs w:val="16"/>
        </w:rPr>
      </w:pPr>
      <w:r>
        <w:rPr>
          <w:rStyle w:val="FootnoteReference"/>
          <w:sz w:val="16"/>
          <w:szCs w:val="16"/>
        </w:rPr>
        <w:footnoteRef/>
      </w:r>
      <w:r>
        <w:rPr>
          <w:sz w:val="16"/>
          <w:szCs w:val="16"/>
        </w:rPr>
        <w:t xml:space="preserve"> Interim evaluation of the Justice Programme 2014-2020, </w:t>
      </w:r>
      <w:r>
        <w:rPr>
          <w:color w:val="000000"/>
          <w:sz w:val="16"/>
          <w:szCs w:val="16"/>
          <w:lang w:eastAsia="it-IT"/>
        </w:rPr>
        <w:t>Ernst &amp; Young Financial-Business Advisors</w:t>
      </w:r>
      <w:r>
        <w:rPr>
          <w:sz w:val="16"/>
          <w:szCs w:val="16"/>
        </w:rPr>
        <w:t>, Final Report, April 2018, published.</w:t>
      </w:r>
    </w:p>
  </w:footnote>
  <w:footnote w:id="34">
    <w:p>
      <w:pPr>
        <w:pStyle w:val="FootnoteText"/>
        <w:spacing w:after="0"/>
        <w:ind w:left="0" w:firstLine="0"/>
        <w:rPr>
          <w:sz w:val="16"/>
          <w:szCs w:val="16"/>
        </w:rPr>
      </w:pPr>
      <w:r>
        <w:rPr>
          <w:rStyle w:val="FootnoteReference"/>
          <w:sz w:val="16"/>
          <w:szCs w:val="16"/>
        </w:rPr>
        <w:footnoteRef/>
      </w:r>
      <w:r>
        <w:rPr>
          <w:sz w:val="16"/>
          <w:szCs w:val="16"/>
        </w:rPr>
        <w:t xml:space="preserve"> See the results of the Social Network analysis of the networks of beneficiaries within the Programme in the Interim report, ibid, p. 56.</w:t>
      </w:r>
    </w:p>
  </w:footnote>
  <w:footnote w:id="35">
    <w:p>
      <w:pPr>
        <w:pStyle w:val="FootnoteText"/>
        <w:spacing w:after="0"/>
        <w:ind w:left="0" w:firstLine="0"/>
        <w:rPr>
          <w:sz w:val="16"/>
          <w:szCs w:val="16"/>
        </w:rPr>
      </w:pPr>
      <w:r>
        <w:rPr>
          <w:rStyle w:val="FootnoteReference"/>
          <w:sz w:val="16"/>
          <w:szCs w:val="16"/>
        </w:rPr>
        <w:footnoteRef/>
      </w:r>
      <w:r>
        <w:rPr>
          <w:sz w:val="16"/>
          <w:szCs w:val="16"/>
        </w:rPr>
        <w:t xml:space="preserve"> </w:t>
      </w:r>
      <w:r>
        <w:rPr>
          <w:sz w:val="16"/>
          <w:szCs w:val="16"/>
          <w:lang w:eastAsia="it-IT"/>
        </w:rPr>
        <w:t xml:space="preserve">This is </w:t>
      </w:r>
      <w:r>
        <w:rPr>
          <w:sz w:val="16"/>
          <w:szCs w:val="16"/>
        </w:rPr>
        <w:t>due to the fact that operating grants resources are made available to organisations representing European networks, which tend to be headquartered in Belgium (thanks to proximity with other EU institutions</w:t>
      </w:r>
      <w:r>
        <w:rPr>
          <w:rStyle w:val="FootnoteReference"/>
          <w:sz w:val="16"/>
          <w:szCs w:val="16"/>
          <w:lang w:eastAsia="it-IT"/>
        </w:rPr>
        <w:t xml:space="preserve"> </w:t>
      </w:r>
      <w:r>
        <w:rPr>
          <w:sz w:val="16"/>
          <w:szCs w:val="16"/>
          <w:lang w:eastAsia="it-IT"/>
        </w:rPr>
        <w:t>)</w:t>
      </w:r>
      <w:r>
        <w:rPr>
          <w:sz w:val="16"/>
          <w:szCs w:val="16"/>
        </w:rPr>
        <w:t>.</w:t>
      </w:r>
    </w:p>
  </w:footnote>
  <w:footnote w:id="36">
    <w:p>
      <w:pPr>
        <w:pStyle w:val="FootnoteText"/>
        <w:spacing w:after="0"/>
        <w:ind w:left="0" w:firstLine="0"/>
        <w:rPr>
          <w:sz w:val="16"/>
          <w:szCs w:val="16"/>
        </w:rPr>
      </w:pPr>
      <w:r>
        <w:rPr>
          <w:rStyle w:val="FootnoteReference"/>
          <w:sz w:val="16"/>
          <w:szCs w:val="16"/>
        </w:rPr>
        <w:footnoteRef/>
      </w:r>
      <w:r>
        <w:rPr>
          <w:sz w:val="16"/>
          <w:szCs w:val="16"/>
        </w:rPr>
        <w:t xml:space="preserve"> This information is not available for 2016 yet.</w:t>
      </w:r>
    </w:p>
  </w:footnote>
  <w:footnote w:id="37">
    <w:p>
      <w:pPr>
        <w:pStyle w:val="FootnoteText"/>
        <w:spacing w:after="0"/>
        <w:ind w:left="0" w:firstLine="0"/>
        <w:rPr>
          <w:sz w:val="16"/>
          <w:szCs w:val="16"/>
        </w:rPr>
      </w:pPr>
      <w:r>
        <w:rPr>
          <w:rStyle w:val="FootnoteReference"/>
          <w:sz w:val="16"/>
          <w:szCs w:val="16"/>
        </w:rPr>
        <w:footnoteRef/>
      </w:r>
      <w:r>
        <w:rPr>
          <w:sz w:val="16"/>
          <w:szCs w:val="16"/>
        </w:rPr>
        <w:t xml:space="preserve"> See ‘The Justice Programme - implementation in 2016 &amp; 2017’, Directorate-General for Justice and Consumers, 2017. The </w:t>
      </w:r>
      <w:hyperlink r:id="rId11" w:history="1">
        <w:r>
          <w:rPr>
            <w:sz w:val="16"/>
            <w:szCs w:val="16"/>
          </w:rPr>
          <w:t>Participant Portal</w:t>
        </w:r>
      </w:hyperlink>
      <w:r>
        <w:rPr>
          <w:sz w:val="16"/>
          <w:szCs w:val="16"/>
        </w:rPr>
        <w:t xml:space="preserve"> is an electronic platform used to manage the applications received for calls published in the framework of the Justice Programme. According to the evaluation results, the new Participant Portal is not adapted to typical Justice Programme applicants (such as training organisations), as the Portal was initially designed with research institutions and voluminous grants in mind.</w:t>
      </w:r>
    </w:p>
  </w:footnote>
  <w:footnote w:id="38">
    <w:p>
      <w:pPr>
        <w:pStyle w:val="FootnoteText"/>
        <w:spacing w:after="0"/>
        <w:ind w:left="0" w:firstLine="0"/>
        <w:rPr>
          <w:sz w:val="16"/>
          <w:szCs w:val="16"/>
        </w:rPr>
      </w:pPr>
      <w:r>
        <w:rPr>
          <w:rStyle w:val="FootnoteReference"/>
          <w:sz w:val="16"/>
          <w:szCs w:val="16"/>
        </w:rPr>
        <w:footnoteRef/>
      </w:r>
      <w:r>
        <w:rPr>
          <w:sz w:val="16"/>
          <w:szCs w:val="16"/>
        </w:rPr>
        <w:t xml:space="preserve"> Interim evaluation of the Justice Programme 2014-2020, </w:t>
      </w:r>
      <w:r>
        <w:rPr>
          <w:color w:val="000000"/>
          <w:sz w:val="16"/>
          <w:szCs w:val="16"/>
          <w:lang w:eastAsia="it-IT"/>
        </w:rPr>
        <w:t>Ernst &amp; Young Financial-Business Advisors</w:t>
      </w:r>
      <w:r>
        <w:rPr>
          <w:sz w:val="16"/>
          <w:szCs w:val="16"/>
        </w:rPr>
        <w:t>, Final Report, April 2018, published.</w:t>
      </w:r>
    </w:p>
  </w:footnote>
  <w:footnote w:id="39">
    <w:p>
      <w:pPr>
        <w:pStyle w:val="FootnoteText"/>
        <w:spacing w:after="0"/>
        <w:ind w:left="0" w:firstLine="0"/>
        <w:rPr>
          <w:sz w:val="16"/>
          <w:szCs w:val="16"/>
          <w:lang w:val="en-US"/>
        </w:rPr>
      </w:pPr>
      <w:r>
        <w:rPr>
          <w:rStyle w:val="FootnoteReference"/>
          <w:sz w:val="16"/>
          <w:szCs w:val="16"/>
        </w:rPr>
        <w:footnoteRef/>
      </w:r>
      <w:r>
        <w:rPr>
          <w:sz w:val="16"/>
          <w:szCs w:val="16"/>
        </w:rPr>
        <w:t xml:space="preserve"> European Commission, Better Regulation Toolbox, p. 344, </w:t>
      </w:r>
      <w:hyperlink r:id="rId12" w:history="1">
        <w:r>
          <w:rPr>
            <w:rStyle w:val="Hyperlink"/>
            <w:sz w:val="16"/>
            <w:szCs w:val="16"/>
          </w:rPr>
          <w:t>https://ec.europa.eu/info/sites/info/files/better-regulation-toolbox_0.pdf</w:t>
        </w:r>
      </w:hyperlink>
      <w:r>
        <w:rPr>
          <w:sz w:val="16"/>
          <w:szCs w:val="16"/>
        </w:rPr>
        <w:t xml:space="preserve">. </w:t>
      </w:r>
    </w:p>
  </w:footnote>
  <w:footnote w:id="40">
    <w:p>
      <w:pPr>
        <w:spacing w:after="0" w:line="240" w:lineRule="auto"/>
        <w:jc w:val="both"/>
        <w:rPr>
          <w:rFonts w:ascii="Times New Roman" w:eastAsia="Times New Roman" w:hAnsi="Times New Roman" w:cs="Times New Roman"/>
          <w:sz w:val="16"/>
          <w:szCs w:val="16"/>
          <w:lang w:val="en-GB"/>
        </w:rPr>
      </w:pPr>
      <w:r>
        <w:rPr>
          <w:rStyle w:val="FootnoteReference"/>
          <w:rFonts w:ascii="Times New Roman" w:hAnsi="Times New Roman" w:cs="Times New Roman"/>
          <w:sz w:val="16"/>
          <w:szCs w:val="16"/>
        </w:rPr>
        <w:footnoteRef/>
      </w:r>
      <w:r>
        <w:rPr>
          <w:rFonts w:ascii="Times New Roman" w:hAnsi="Times New Roman" w:cs="Times New Roman"/>
          <w:sz w:val="16"/>
          <w:szCs w:val="16"/>
          <w:lang w:val="en-GB"/>
        </w:rPr>
        <w:t xml:space="preserve"> In interpreting the results, it should be considered that there may be two sources of bias to the answers: 1. </w:t>
      </w:r>
      <w:r>
        <w:rPr>
          <w:rFonts w:ascii="Times New Roman" w:eastAsia="Times New Roman" w:hAnsi="Times New Roman" w:cs="Times New Roman"/>
          <w:b/>
          <w:sz w:val="16"/>
          <w:szCs w:val="16"/>
          <w:lang w:val="en-GB"/>
        </w:rPr>
        <w:t>Strategic behaviour</w:t>
      </w:r>
      <w:r>
        <w:rPr>
          <w:rFonts w:ascii="Times New Roman" w:eastAsia="Times New Roman" w:hAnsi="Times New Roman" w:cs="Times New Roman"/>
          <w:sz w:val="16"/>
          <w:szCs w:val="16"/>
          <w:lang w:val="en-GB"/>
        </w:rPr>
        <w:t xml:space="preserve"> (beneficiaries may tend to overestimate the effect of the treatment to further legitimise their receipt of funding, while applicants may tend to say to be well off also in absence of funding – also to qualify for the next round); 2. </w:t>
      </w:r>
      <w:r>
        <w:rPr>
          <w:rFonts w:ascii="Times New Roman" w:eastAsia="Times New Roman" w:hAnsi="Times New Roman" w:cs="Times New Roman"/>
          <w:b/>
          <w:sz w:val="16"/>
          <w:szCs w:val="16"/>
          <w:lang w:val="en-GB"/>
        </w:rPr>
        <w:t>Estimation bias</w:t>
      </w:r>
      <w:r>
        <w:rPr>
          <w:rFonts w:ascii="Times New Roman" w:eastAsia="Times New Roman" w:hAnsi="Times New Roman" w:cs="Times New Roman"/>
          <w:sz w:val="16"/>
          <w:szCs w:val="16"/>
          <w:lang w:val="en-GB"/>
        </w:rPr>
        <w:t>: both beneficiaries and applicants don’t know exactly what the counterfactual situation would be like, so answers are based on their educated guess. This applies especially to applicants who can base their judgment only on the knowledge they acquired in the application phase with no actual exposure to the implementation of the measures.</w:t>
      </w:r>
    </w:p>
  </w:footnote>
  <w:footnote w:id="41">
    <w:p>
      <w:pPr>
        <w:pStyle w:val="FootnoteText"/>
        <w:spacing w:after="0"/>
        <w:ind w:left="0" w:firstLine="0"/>
        <w:rPr>
          <w:sz w:val="16"/>
          <w:szCs w:val="16"/>
        </w:rPr>
      </w:pPr>
      <w:r>
        <w:rPr>
          <w:rStyle w:val="FootnoteReference"/>
          <w:sz w:val="16"/>
          <w:szCs w:val="16"/>
        </w:rPr>
        <w:footnoteRef/>
      </w:r>
      <w:r>
        <w:rPr>
          <w:sz w:val="16"/>
          <w:szCs w:val="16"/>
        </w:rPr>
        <w:t xml:space="preserve"> For more information and evidence, see section 6 "Responses to evaluation questions" in the Interim report, p. 94 et seq.</w:t>
      </w:r>
    </w:p>
  </w:footnote>
  <w:footnote w:id="42">
    <w:p>
      <w:pPr>
        <w:pStyle w:val="FootnoteText"/>
        <w:spacing w:after="0"/>
        <w:ind w:left="0" w:firstLine="0"/>
      </w:pPr>
      <w:r>
        <w:rPr>
          <w:rStyle w:val="FootnoteReference"/>
          <w:sz w:val="16"/>
          <w:szCs w:val="16"/>
        </w:rPr>
        <w:footnoteRef/>
      </w:r>
      <w:r>
        <w:rPr>
          <w:sz w:val="16"/>
          <w:szCs w:val="16"/>
        </w:rPr>
        <w:t xml:space="preserve"> However, it should be noted that better targeting makes sense as long as there is enough demand. If the targeting is excessively specific the risk is that of receiving a small number of high quality proposals, with the risk of not allocating the entire available budget.</w:t>
      </w:r>
    </w:p>
  </w:footnote>
  <w:footnote w:id="43">
    <w:p>
      <w:pPr>
        <w:pStyle w:val="BulletBody"/>
        <w:tabs>
          <w:tab w:val="right" w:pos="5387"/>
        </w:tabs>
        <w:spacing w:before="0" w:after="0"/>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Sustainability of results and outputs, achieved through the implementation of activities that generate increased awareness, knowledge and skills and through the development of tools that can be used also after the project ends, by beneficiaries and target groups alike, (including transferred to other organisations).</w:t>
      </w:r>
    </w:p>
    <w:p>
      <w:pPr>
        <w:pStyle w:val="FootnoteText"/>
      </w:pPr>
    </w:p>
  </w:footnote>
  <w:footnote w:id="44">
    <w:p>
      <w:pPr>
        <w:pStyle w:val="FootnoteText"/>
        <w:spacing w:after="0"/>
        <w:ind w:left="0" w:firstLine="0"/>
        <w:rPr>
          <w:sz w:val="16"/>
          <w:szCs w:val="16"/>
        </w:rPr>
      </w:pPr>
      <w:r>
        <w:rPr>
          <w:rStyle w:val="FootnoteReference"/>
          <w:sz w:val="16"/>
          <w:szCs w:val="16"/>
        </w:rPr>
        <w:footnoteRef/>
      </w:r>
      <w:r>
        <w:rPr>
          <w:sz w:val="16"/>
          <w:szCs w:val="16"/>
        </w:rPr>
        <w:t xml:space="preserve"> The objectives and addressed areas of the European Agenda for Justice for 2020 are very much in line with the Justice Programme, especially in the area of judicial cooperation, even if the Agenda prioritises areas such as terrorism and cybercrime that are less present under the Justice Programme.</w:t>
      </w:r>
    </w:p>
  </w:footnote>
  <w:footnote w:id="45">
    <w:p>
      <w:pPr>
        <w:pStyle w:val="FootnoteText"/>
        <w:spacing w:after="0"/>
        <w:ind w:left="0" w:firstLine="0"/>
        <w:rPr>
          <w:sz w:val="16"/>
          <w:szCs w:val="16"/>
        </w:rPr>
      </w:pPr>
      <w:r>
        <w:rPr>
          <w:rStyle w:val="FootnoteReference"/>
          <w:sz w:val="16"/>
          <w:szCs w:val="16"/>
        </w:rPr>
        <w:footnoteRef/>
      </w:r>
      <w:r>
        <w:rPr>
          <w:sz w:val="16"/>
          <w:szCs w:val="16"/>
        </w:rPr>
        <w:t xml:space="preserve"> See Interim report, ibid.</w:t>
      </w:r>
    </w:p>
  </w:footnote>
  <w:footnote w:id="46">
    <w:p>
      <w:pPr>
        <w:pStyle w:val="FootnoteText"/>
        <w:spacing w:after="0"/>
        <w:ind w:left="0" w:firstLine="0"/>
        <w:rPr>
          <w:sz w:val="16"/>
          <w:szCs w:val="16"/>
        </w:rPr>
      </w:pPr>
      <w:r>
        <w:rPr>
          <w:rStyle w:val="FootnoteReference"/>
          <w:sz w:val="16"/>
          <w:szCs w:val="16"/>
        </w:rPr>
        <w:footnoteRef/>
      </w:r>
      <w:r>
        <w:rPr>
          <w:sz w:val="16"/>
          <w:szCs w:val="16"/>
        </w:rPr>
        <w:t xml:space="preserve"> The Civil Justice Programme, the Criminal Justice Programme and the Drug Prevention and Information Programme awarded 806 projects over seven years (2007-2013). The Justice Programme awarded 418 just in the three-year period 2014-2016.</w:t>
      </w:r>
    </w:p>
  </w:footnote>
  <w:footnote w:id="47">
    <w:p>
      <w:pPr>
        <w:pStyle w:val="FootnoteText"/>
        <w:spacing w:after="0"/>
        <w:ind w:left="0" w:firstLine="0"/>
        <w:rPr>
          <w:sz w:val="16"/>
          <w:szCs w:val="16"/>
        </w:rPr>
      </w:pPr>
      <w:r>
        <w:rPr>
          <w:rStyle w:val="FootnoteReference"/>
          <w:sz w:val="16"/>
          <w:szCs w:val="16"/>
        </w:rPr>
        <w:footnoteRef/>
      </w:r>
      <w:r>
        <w:rPr>
          <w:sz w:val="16"/>
          <w:szCs w:val="16"/>
        </w:rPr>
        <w:t xml:space="preserve"> Project “Enhancing Procedural Rights of Persons with Intellectual and/or Psychiatric Impairments in Criminal Proceedings: Exploring the Need for Actions”.</w:t>
      </w:r>
    </w:p>
  </w:footnote>
  <w:footnote w:id="48">
    <w:p>
      <w:pPr>
        <w:pStyle w:val="FootnoteText"/>
        <w:spacing w:after="0"/>
        <w:ind w:left="0" w:firstLine="0"/>
        <w:rPr>
          <w:sz w:val="16"/>
          <w:szCs w:val="16"/>
        </w:rPr>
      </w:pPr>
      <w:r>
        <w:rPr>
          <w:rStyle w:val="FootnoteReference"/>
          <w:sz w:val="16"/>
          <w:szCs w:val="16"/>
        </w:rPr>
        <w:footnoteRef/>
      </w:r>
      <w:r>
        <w:rPr>
          <w:sz w:val="16"/>
          <w:szCs w:val="16"/>
        </w:rPr>
        <w:t xml:space="preserve"> </w:t>
      </w:r>
      <w:r>
        <w:rPr>
          <w:rFonts w:eastAsia="Calibri"/>
          <w:sz w:val="16"/>
          <w:szCs w:val="16"/>
        </w:rPr>
        <w:t>It is to be noticed that the average amount of grants has been increased to the current level following the ex-post evaluation of the predecessor programmes that, as already said above, found that t</w:t>
      </w:r>
      <w:r>
        <w:rPr>
          <w:sz w:val="16"/>
          <w:szCs w:val="16"/>
        </w:rPr>
        <w:t xml:space="preserve">he </w:t>
      </w:r>
      <w:r>
        <w:rPr>
          <w:bCs/>
          <w:sz w:val="16"/>
          <w:szCs w:val="16"/>
        </w:rPr>
        <w:t>dilution of funds</w:t>
      </w:r>
      <w:r>
        <w:rPr>
          <w:sz w:val="16"/>
          <w:szCs w:val="16"/>
        </w:rPr>
        <w:t xml:space="preserve"> amongst many small-scale projects had had limited impact and EU dimension.</w:t>
      </w:r>
    </w:p>
  </w:footnote>
  <w:footnote w:id="49">
    <w:p>
      <w:pPr>
        <w:pStyle w:val="FootnoteText"/>
        <w:spacing w:after="0"/>
        <w:ind w:left="0" w:firstLine="0"/>
        <w:rPr>
          <w:sz w:val="16"/>
          <w:szCs w:val="16"/>
        </w:rPr>
      </w:pPr>
      <w:r>
        <w:rPr>
          <w:rStyle w:val="FootnoteReference"/>
          <w:sz w:val="16"/>
          <w:szCs w:val="16"/>
        </w:rPr>
        <w:footnoteRef/>
      </w:r>
      <w:r>
        <w:rPr>
          <w:sz w:val="16"/>
          <w:szCs w:val="16"/>
        </w:rPr>
        <w:t xml:space="preserve"> However, it should be noted that each Directorate-General is responsible for the enforcement of the legislation it is in charge of and the centralisation of training on all EU topics would require additional financial resources.</w:t>
      </w:r>
    </w:p>
    <w:p>
      <w:pPr>
        <w:pStyle w:val="FootnoteText"/>
        <w:spacing w:after="0"/>
        <w:ind w:left="0" w:firstLine="0"/>
        <w:rPr>
          <w:sz w:val="16"/>
          <w:szCs w:val="16"/>
        </w:rPr>
      </w:pPr>
      <w:r>
        <w:rPr>
          <w:sz w:val="16"/>
          <w:szCs w:val="16"/>
        </w:rPr>
        <w:t>For additional information on the conclusions, see section 7 "Conclusions" in the Interim report, p. 161 et seq.</w:t>
      </w:r>
    </w:p>
  </w:footnote>
  <w:footnote w:id="50">
    <w:p>
      <w:pPr>
        <w:pStyle w:val="FootnoteText"/>
        <w:rPr>
          <w:sz w:val="16"/>
          <w:szCs w:val="16"/>
        </w:rPr>
      </w:pPr>
      <w:r>
        <w:rPr>
          <w:rStyle w:val="FootnoteReference"/>
          <w:sz w:val="16"/>
          <w:szCs w:val="16"/>
        </w:rPr>
        <w:footnoteRef/>
      </w:r>
      <w:r>
        <w:rPr>
          <w:sz w:val="16"/>
          <w:szCs w:val="16"/>
        </w:rPr>
        <w:t xml:space="preserve"> For more information, see section 8 "Recommendations" in the Interim report, p. 167 et seq.</w:t>
      </w:r>
    </w:p>
  </w:footnote>
  <w:footnote w:id="51">
    <w:p>
      <w:pPr>
        <w:pStyle w:val="FootnoteText"/>
        <w:spacing w:after="0"/>
        <w:ind w:left="0" w:firstLine="0"/>
        <w:rPr>
          <w:sz w:val="16"/>
          <w:szCs w:val="16"/>
        </w:rPr>
      </w:pPr>
      <w:r>
        <w:rPr>
          <w:rStyle w:val="FootnoteReference"/>
          <w:sz w:val="16"/>
          <w:szCs w:val="16"/>
        </w:rPr>
        <w:footnoteRef/>
      </w:r>
      <w:r>
        <w:rPr>
          <w:sz w:val="16"/>
          <w:szCs w:val="16"/>
        </w:rPr>
        <w:t xml:space="preserve"> From 16 Member States.</w:t>
      </w:r>
    </w:p>
  </w:footnote>
  <w:footnote w:id="52">
    <w:p>
      <w:pPr>
        <w:pStyle w:val="FootnoteText"/>
        <w:spacing w:after="0"/>
        <w:ind w:left="0" w:firstLine="0"/>
        <w:rPr>
          <w:sz w:val="16"/>
          <w:szCs w:val="16"/>
        </w:rPr>
      </w:pPr>
      <w:r>
        <w:rPr>
          <w:rStyle w:val="FootnoteReference"/>
          <w:sz w:val="16"/>
          <w:szCs w:val="16"/>
        </w:rPr>
        <w:footnoteRef/>
      </w:r>
      <w:r>
        <w:rPr>
          <w:sz w:val="16"/>
          <w:szCs w:val="16"/>
        </w:rPr>
        <w:t xml:space="preserve"> From 16 Member States.</w:t>
      </w:r>
    </w:p>
  </w:footnote>
  <w:footnote w:id="53">
    <w:p>
      <w:pPr>
        <w:pStyle w:val="FootnoteText"/>
        <w:spacing w:after="0"/>
        <w:ind w:left="0" w:firstLine="0"/>
        <w:rPr>
          <w:sz w:val="16"/>
          <w:szCs w:val="16"/>
        </w:rPr>
      </w:pPr>
      <w:r>
        <w:rPr>
          <w:rStyle w:val="FootnoteReference"/>
          <w:sz w:val="16"/>
          <w:szCs w:val="16"/>
        </w:rPr>
        <w:footnoteRef/>
      </w:r>
      <w:r>
        <w:rPr>
          <w:sz w:val="16"/>
          <w:szCs w:val="16"/>
        </w:rPr>
        <w:t xml:space="preserve"> From 8 Member States.</w:t>
      </w:r>
    </w:p>
  </w:footnote>
  <w:footnote w:id="54">
    <w:p>
      <w:pPr>
        <w:pStyle w:val="FootnoteText"/>
        <w:spacing w:after="0"/>
        <w:ind w:left="0" w:firstLine="0"/>
      </w:pPr>
      <w:r>
        <w:rPr>
          <w:rStyle w:val="FootnoteReference"/>
          <w:sz w:val="16"/>
          <w:szCs w:val="16"/>
        </w:rPr>
        <w:footnoteRef/>
      </w:r>
      <w:r>
        <w:rPr>
          <w:sz w:val="16"/>
          <w:szCs w:val="16"/>
        </w:rPr>
        <w:t xml:space="preserve"> For more information on the outcomes of the web survey, see Annex 2 "Analysis of surveys and quantitative analysis" in the Interim report, ibid, p. 172 et seq.</w:t>
      </w:r>
    </w:p>
  </w:footnote>
  <w:footnote w:id="55">
    <w:p>
      <w:pPr>
        <w:pStyle w:val="FootnoteText"/>
        <w:spacing w:after="0"/>
        <w:ind w:left="0" w:firstLine="0"/>
        <w:rPr>
          <w:sz w:val="16"/>
          <w:szCs w:val="16"/>
        </w:rPr>
      </w:pPr>
      <w:r>
        <w:rPr>
          <w:rStyle w:val="FootnoteReference"/>
          <w:sz w:val="16"/>
          <w:szCs w:val="16"/>
        </w:rPr>
        <w:footnoteRef/>
      </w:r>
      <w:r>
        <w:rPr>
          <w:sz w:val="16"/>
          <w:szCs w:val="16"/>
        </w:rPr>
        <w:t xml:space="preserve"> For more information, see section 4.1.1 "Data collection tools and activities" in the Interim report, p. 49 et seq.</w:t>
      </w:r>
    </w:p>
  </w:footnote>
  <w:footnote w:id="56">
    <w:p>
      <w:pPr>
        <w:pStyle w:val="FootnoteText"/>
        <w:spacing w:after="0"/>
        <w:ind w:left="0" w:firstLine="0"/>
        <w:rPr>
          <w:sz w:val="16"/>
          <w:szCs w:val="16"/>
        </w:rPr>
      </w:pPr>
      <w:r>
        <w:rPr>
          <w:rStyle w:val="FootnoteReference"/>
          <w:sz w:val="16"/>
          <w:szCs w:val="16"/>
        </w:rPr>
        <w:footnoteRef/>
      </w:r>
      <w:r>
        <w:rPr>
          <w:sz w:val="16"/>
          <w:szCs w:val="16"/>
        </w:rPr>
        <w:t xml:space="preserve"> For more information, see the Annexe 4 of the Interim report, ibid.</w:t>
      </w:r>
    </w:p>
  </w:footnote>
  <w:footnote w:id="57">
    <w:p>
      <w:pPr>
        <w:pStyle w:val="FootnoteText"/>
        <w:spacing w:after="0"/>
        <w:ind w:left="0" w:firstLine="0"/>
        <w:rPr>
          <w:sz w:val="16"/>
          <w:szCs w:val="16"/>
        </w:rPr>
      </w:pPr>
      <w:r>
        <w:rPr>
          <w:rStyle w:val="FootnoteReference"/>
          <w:sz w:val="16"/>
          <w:szCs w:val="16"/>
        </w:rPr>
        <w:footnoteRef/>
      </w:r>
      <w:r>
        <w:rPr>
          <w:sz w:val="16"/>
          <w:szCs w:val="16"/>
        </w:rPr>
        <w:t xml:space="preserve"> For more information, see section 4.2.1 "Quantitative data analysis" in the Interim report, p. 51 et seq.</w:t>
      </w:r>
    </w:p>
  </w:footnote>
  <w:footnote w:id="58">
    <w:p>
      <w:pPr>
        <w:pStyle w:val="FootnoteText"/>
        <w:spacing w:after="0"/>
        <w:ind w:left="0" w:firstLine="0"/>
        <w:rPr>
          <w:sz w:val="16"/>
          <w:szCs w:val="16"/>
        </w:rPr>
      </w:pPr>
      <w:r>
        <w:rPr>
          <w:rStyle w:val="FootnoteReference"/>
          <w:sz w:val="16"/>
          <w:szCs w:val="16"/>
        </w:rPr>
        <w:footnoteRef/>
      </w:r>
      <w:r>
        <w:rPr>
          <w:sz w:val="16"/>
          <w:szCs w:val="16"/>
        </w:rPr>
        <w:t xml:space="preserve"> A counterfactual analysis is a tool that can be used to distil changes that are caused by a specific policy intervention from changes that would have occurred even in absence of the given intervention (see Interim report, ibid).</w:t>
      </w:r>
    </w:p>
  </w:footnote>
  <w:footnote w:id="59">
    <w:p>
      <w:pPr>
        <w:pStyle w:val="FootnoteText"/>
        <w:spacing w:after="0"/>
        <w:ind w:left="0" w:firstLine="0"/>
        <w:rPr>
          <w:sz w:val="16"/>
          <w:szCs w:val="16"/>
        </w:rPr>
      </w:pPr>
      <w:r>
        <w:rPr>
          <w:rStyle w:val="FootnoteReference"/>
          <w:sz w:val="16"/>
          <w:szCs w:val="16"/>
        </w:rPr>
        <w:footnoteRef/>
      </w:r>
      <w:r>
        <w:rPr>
          <w:sz w:val="16"/>
          <w:szCs w:val="16"/>
        </w:rPr>
        <w:t xml:space="preserve"> Different tools of econometric analysis have been employed in order to examine the results of the self-reported counterfactual questions, as well as to test the responses of different stakeholders to the main question of the survey linked to effectiveness/relevance (see Interim report, ibid).</w:t>
      </w:r>
    </w:p>
  </w:footnote>
  <w:footnote w:id="60">
    <w:p>
      <w:pPr>
        <w:pStyle w:val="FootnoteText"/>
        <w:spacing w:after="0"/>
        <w:ind w:left="0" w:firstLine="0"/>
        <w:rPr>
          <w:sz w:val="16"/>
          <w:szCs w:val="16"/>
        </w:rPr>
      </w:pPr>
      <w:r>
        <w:rPr>
          <w:rStyle w:val="FootnoteReference"/>
          <w:sz w:val="16"/>
          <w:szCs w:val="16"/>
        </w:rPr>
        <w:footnoteRef/>
      </w:r>
      <w:r>
        <w:rPr>
          <w:sz w:val="16"/>
          <w:szCs w:val="16"/>
        </w:rPr>
        <w:t xml:space="preserve"> The Cost-Benefit analysis is as an economic tool applied to public decision−making to quantify the advantages (in terms of benefits) and disadvantages (in terms of costs) associated with a particular project or policy (see Interim report, ibid).</w:t>
      </w:r>
    </w:p>
  </w:footnote>
  <w:footnote w:id="61">
    <w:p>
      <w:pPr>
        <w:pStyle w:val="FootnoteText"/>
        <w:spacing w:after="0"/>
        <w:ind w:left="0" w:firstLine="0"/>
        <w:rPr>
          <w:sz w:val="16"/>
          <w:szCs w:val="16"/>
        </w:rPr>
      </w:pPr>
      <w:r>
        <w:rPr>
          <w:rStyle w:val="FootnoteReference"/>
          <w:sz w:val="16"/>
          <w:szCs w:val="16"/>
        </w:rPr>
        <w:footnoteRef/>
      </w:r>
      <w:r>
        <w:rPr>
          <w:sz w:val="16"/>
          <w:szCs w:val="16"/>
        </w:rPr>
        <w:t xml:space="preserve"> The Social Network analysis enabled to better understand the explicit and implicit links and interrelations among the different beneficiaries and hence the value of the partnership approach that is a distinguishing feature of the (see Interim report, ibid).</w:t>
      </w:r>
    </w:p>
  </w:footnote>
  <w:footnote w:id="62">
    <w:p>
      <w:pPr>
        <w:pStyle w:val="FootnoteText"/>
        <w:spacing w:after="0"/>
        <w:ind w:left="0" w:firstLine="0"/>
        <w:rPr>
          <w:sz w:val="16"/>
          <w:szCs w:val="16"/>
        </w:rPr>
      </w:pPr>
      <w:r>
        <w:rPr>
          <w:rStyle w:val="FootnoteReference"/>
          <w:sz w:val="16"/>
          <w:szCs w:val="16"/>
        </w:rPr>
        <w:footnoteRef/>
      </w:r>
      <w:r>
        <w:rPr>
          <w:sz w:val="16"/>
          <w:szCs w:val="16"/>
        </w:rPr>
        <w:t xml:space="preserve"> For more information, see section 4.2.2 "Qualitative data analysis through text mining" in the Interim report, p. 58 et seq.</w:t>
      </w:r>
    </w:p>
  </w:footnote>
  <w:footnote w:id="63">
    <w:p>
      <w:pPr>
        <w:pStyle w:val="FootnoteText"/>
        <w:spacing w:after="0"/>
        <w:ind w:left="0" w:firstLine="0"/>
      </w:pPr>
      <w:r>
        <w:rPr>
          <w:rStyle w:val="FootnoteReference"/>
          <w:sz w:val="16"/>
          <w:szCs w:val="16"/>
        </w:rPr>
        <w:footnoteRef/>
      </w:r>
      <w:r>
        <w:rPr>
          <w:sz w:val="16"/>
          <w:szCs w:val="16"/>
        </w:rPr>
        <w:t xml:space="preserve"> Text mining is an analytical methodology that has the aim of structuring large amounts of unstructured texts into categories or clusters of information by broad themes (e.g. project objectives, weaknesses) (see Interim report,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4E248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D113FD"/>
    <w:multiLevelType w:val="hybridMultilevel"/>
    <w:tmpl w:val="1A1AB6EE"/>
    <w:lvl w:ilvl="0" w:tplc="0809000B">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9F342F"/>
    <w:multiLevelType w:val="hybridMultilevel"/>
    <w:tmpl w:val="79C03B3E"/>
    <w:lvl w:ilvl="0" w:tplc="48B8267E">
      <w:start w:val="1"/>
      <w:numFmt w:val="bullet"/>
      <w:lvlText w:val=""/>
      <w:lvlJc w:val="left"/>
      <w:pPr>
        <w:ind w:left="1080" w:hanging="360"/>
      </w:pPr>
      <w:rPr>
        <w:rFonts w:ascii="Symbol" w:hAnsi="Symbol" w:hint="default"/>
        <w:color w:val="00B0F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7EE4197"/>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90D4BD0"/>
    <w:multiLevelType w:val="hybridMultilevel"/>
    <w:tmpl w:val="49D251EC"/>
    <w:lvl w:ilvl="0" w:tplc="04100003">
      <w:start w:val="1"/>
      <w:numFmt w:val="bullet"/>
      <w:lvlText w:val="o"/>
      <w:lvlJc w:val="left"/>
      <w:pPr>
        <w:ind w:left="842" w:hanging="360"/>
      </w:pPr>
      <w:rPr>
        <w:rFonts w:ascii="Courier New" w:hAnsi="Courier New" w:cs="Times New Roman"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B3C78B8"/>
    <w:multiLevelType w:val="multilevel"/>
    <w:tmpl w:val="E170040C"/>
    <w:lvl w:ilvl="0">
      <w:start w:val="1"/>
      <w:numFmt w:val="decimal"/>
      <w:lvlRestart w:val="0"/>
      <w:pStyle w:val="Point0number"/>
      <w:lvlText w:val="(%1)"/>
      <w:lvlJc w:val="left"/>
      <w:pPr>
        <w:tabs>
          <w:tab w:val="num" w:pos="850"/>
        </w:tabs>
        <w:ind w:left="850" w:hanging="850"/>
      </w:pPr>
      <w:rPr>
        <w:color w:val="auto"/>
      </w:rPr>
    </w:lvl>
    <w:lvl w:ilvl="1">
      <w:start w:val="1"/>
      <w:numFmt w:val="lowerLetter"/>
      <w:pStyle w:val="Point0letter"/>
      <w:lvlText w:val="(%2)"/>
      <w:lvlJc w:val="left"/>
      <w:pPr>
        <w:tabs>
          <w:tab w:val="num" w:pos="850"/>
        </w:tabs>
        <w:ind w:left="850" w:hanging="850"/>
      </w:pPr>
      <w:rPr>
        <w:color w:val="auto"/>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F640439"/>
    <w:multiLevelType w:val="hybridMultilevel"/>
    <w:tmpl w:val="D22EA88A"/>
    <w:lvl w:ilvl="0" w:tplc="1E18F74A">
      <w:start w:val="1"/>
      <w:numFmt w:val="bullet"/>
      <w:lvlText w:val=""/>
      <w:lvlJc w:val="left"/>
      <w:pPr>
        <w:ind w:left="1287" w:hanging="360"/>
      </w:pPr>
      <w:rPr>
        <w:rFonts w:ascii="Symbol" w:hAnsi="Symbol" w:hint="default"/>
        <w:color w:val="244061" w:themeColor="accent1" w:themeShade="8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nsid w:val="1F734306"/>
    <w:multiLevelType w:val="multilevel"/>
    <w:tmpl w:val="DE9A4074"/>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2166F1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57B0947"/>
    <w:multiLevelType w:val="hybridMultilevel"/>
    <w:tmpl w:val="E632B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8754969"/>
    <w:multiLevelType w:val="multilevel"/>
    <w:tmpl w:val="E27A0D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ADF40D5"/>
    <w:multiLevelType w:val="hybridMultilevel"/>
    <w:tmpl w:val="D6089A5C"/>
    <w:lvl w:ilvl="0" w:tplc="0809000B">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nsid w:val="41CA19AC"/>
    <w:multiLevelType w:val="hybridMultilevel"/>
    <w:tmpl w:val="046AC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27C596E"/>
    <w:multiLevelType w:val="hybridMultilevel"/>
    <w:tmpl w:val="48BCC914"/>
    <w:lvl w:ilvl="0" w:tplc="0410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nsid w:val="44565C44"/>
    <w:multiLevelType w:val="hybridMultilevel"/>
    <w:tmpl w:val="D9729FDC"/>
    <w:lvl w:ilvl="0" w:tplc="0809000B">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C56A3D"/>
    <w:multiLevelType w:val="multilevel"/>
    <w:tmpl w:val="E27A0D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9">
    <w:nsid w:val="4B483D5E"/>
    <w:multiLevelType w:val="hybridMultilevel"/>
    <w:tmpl w:val="55C27790"/>
    <w:lvl w:ilvl="0" w:tplc="FFD8C7CC">
      <w:start w:val="1"/>
      <w:numFmt w:val="decimal"/>
      <w:pStyle w:val="IAToolChapterHeading"/>
      <w:lvlText w:val="Tool #%1."/>
      <w:lvlJc w:val="left"/>
      <w:pPr>
        <w:ind w:left="717" w:hanging="360"/>
      </w:pPr>
      <w:rPr>
        <w:rFonts w:hint="default"/>
        <w:b/>
        <w:i w:val="0"/>
        <w:cap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nsid w:val="5A1A5D80"/>
    <w:multiLevelType w:val="multilevel"/>
    <w:tmpl w:val="E27A0D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nsid w:val="5EAA7D5D"/>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6">
    <w:nsid w:val="6A162CEF"/>
    <w:multiLevelType w:val="multilevel"/>
    <w:tmpl w:val="C6A89548"/>
    <w:lvl w:ilvl="0">
      <w:start w:val="1"/>
      <w:numFmt w:val="bullet"/>
      <w:pStyle w:val="BulletPSP"/>
      <w:lvlText w:val=""/>
      <w:lvlJc w:val="left"/>
      <w:pPr>
        <w:ind w:left="567" w:hanging="283"/>
      </w:pPr>
      <w:rPr>
        <w:rFonts w:ascii="Symbol" w:hAnsi="Symbol" w:hint="default"/>
        <w:color w:val="86BC25"/>
      </w:rPr>
    </w:lvl>
    <w:lvl w:ilvl="1">
      <w:start w:val="1"/>
      <w:numFmt w:val="bullet"/>
      <w:lvlText w:val=""/>
      <w:lvlJc w:val="left"/>
      <w:pPr>
        <w:ind w:left="709" w:hanging="283"/>
      </w:pPr>
      <w:rPr>
        <w:rFonts w:ascii="Symbol" w:hAnsi="Symbol" w:hint="default"/>
        <w:color w:val="44546A"/>
      </w:rPr>
    </w:lvl>
    <w:lvl w:ilvl="2">
      <w:start w:val="1"/>
      <w:numFmt w:val="bullet"/>
      <w:lvlText w:val=""/>
      <w:lvlJc w:val="left"/>
      <w:pPr>
        <w:ind w:left="1135" w:hanging="283"/>
      </w:pPr>
      <w:rPr>
        <w:rFonts w:ascii="Symbol" w:hAnsi="Symbol" w:hint="default"/>
        <w:color w:val="E7E6E6"/>
      </w:rPr>
    </w:lvl>
    <w:lvl w:ilvl="3">
      <w:start w:val="1"/>
      <w:numFmt w:val="bullet"/>
      <w:lvlText w:val=""/>
      <w:lvlJc w:val="left"/>
      <w:pPr>
        <w:ind w:left="1419" w:hanging="283"/>
      </w:pPr>
      <w:rPr>
        <w:rFonts w:ascii="Symbol" w:hAnsi="Symbol" w:hint="default"/>
        <w:color w:val="2C5234"/>
      </w:rPr>
    </w:lvl>
    <w:lvl w:ilvl="4">
      <w:start w:val="1"/>
      <w:numFmt w:val="bullet"/>
      <w:lvlText w:val=""/>
      <w:lvlJc w:val="left"/>
      <w:pPr>
        <w:ind w:left="1703" w:hanging="283"/>
      </w:pPr>
      <w:rPr>
        <w:rFonts w:ascii="Symbol" w:hAnsi="Symbol" w:hint="default"/>
        <w:color w:val="000000"/>
      </w:rPr>
    </w:lvl>
    <w:lvl w:ilvl="5">
      <w:start w:val="1"/>
      <w:numFmt w:val="bullet"/>
      <w:lvlText w:val=""/>
      <w:lvlJc w:val="left"/>
      <w:pPr>
        <w:ind w:left="1987" w:hanging="283"/>
      </w:pPr>
      <w:rPr>
        <w:rFonts w:ascii="Symbol" w:hAnsi="Symbol" w:hint="default"/>
        <w:color w:val="012169"/>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hint="default"/>
      </w:rPr>
    </w:lvl>
    <w:lvl w:ilvl="8">
      <w:start w:val="1"/>
      <w:numFmt w:val="bullet"/>
      <w:lvlText w:val=""/>
      <w:lvlJc w:val="left"/>
      <w:pPr>
        <w:ind w:left="2839" w:hanging="283"/>
      </w:pPr>
      <w:rPr>
        <w:rFonts w:ascii="Wingdings" w:hAnsi="Wingdings" w:hint="default"/>
      </w:rPr>
    </w:lvl>
  </w:abstractNum>
  <w:abstractNum w:abstractNumId="37">
    <w:nsid w:val="6B8A6DBD"/>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3456954"/>
    <w:multiLevelType w:val="hybridMultilevel"/>
    <w:tmpl w:val="E4985852"/>
    <w:lvl w:ilvl="0" w:tplc="0809000B">
      <w:start w:val="1"/>
      <w:numFmt w:val="bullet"/>
      <w:lvlText w:val=""/>
      <w:lvlJc w:val="left"/>
      <w:pPr>
        <w:ind w:left="720" w:hanging="360"/>
      </w:pPr>
      <w:rPr>
        <w:rFonts w:ascii="Wingdings" w:hAnsi="Wingdings" w:hint="default"/>
        <w:color w:val="00B0F0"/>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41">
    <w:nsid w:val="742167D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E956784"/>
    <w:multiLevelType w:val="hybridMultilevel"/>
    <w:tmpl w:val="51DA7C68"/>
    <w:lvl w:ilvl="0" w:tplc="2DE04ED0">
      <w:start w:val="1"/>
      <w:numFmt w:val="decimal"/>
      <w:lvlText w:val="%1."/>
      <w:lvlJc w:val="left"/>
      <w:pPr>
        <w:ind w:left="720" w:hanging="360"/>
      </w:pPr>
      <w:rPr>
        <w:b w:val="0"/>
        <w:i w:val="0"/>
        <w:sz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34"/>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9"/>
  </w:num>
  <w:num w:numId="7">
    <w:abstractNumId w:val="40"/>
  </w:num>
  <w:num w:numId="8">
    <w:abstractNumId w:val="1"/>
  </w:num>
  <w:num w:numId="9">
    <w:abstractNumId w:val="0"/>
  </w:num>
  <w:num w:numId="10">
    <w:abstractNumId w:val="16"/>
  </w:num>
  <w:num w:numId="11">
    <w:abstractNumId w:val="22"/>
  </w:num>
  <w:num w:numId="12">
    <w:abstractNumId w:val="35"/>
  </w:num>
  <w:num w:numId="13">
    <w:abstractNumId w:val="38"/>
  </w:num>
  <w:num w:numId="14">
    <w:abstractNumId w:val="32"/>
  </w:num>
  <w:num w:numId="15">
    <w:abstractNumId w:val="28"/>
  </w:num>
  <w:num w:numId="16">
    <w:abstractNumId w:val="30"/>
  </w:num>
  <w:num w:numId="17">
    <w:abstractNumId w:val="13"/>
  </w:num>
  <w:num w:numId="18">
    <w:abstractNumId w:val="20"/>
  </w:num>
  <w:num w:numId="19">
    <w:abstractNumId w:val="8"/>
  </w:num>
  <w:num w:numId="20">
    <w:abstractNumId w:val="17"/>
  </w:num>
  <w:num w:numId="21">
    <w:abstractNumId w:val="39"/>
  </w:num>
  <w:num w:numId="22">
    <w:abstractNumId w:val="18"/>
  </w:num>
  <w:num w:numId="23">
    <w:abstractNumId w:val="29"/>
  </w:num>
  <w:num w:numId="24">
    <w:abstractNumId w:val="36"/>
  </w:num>
  <w:num w:numId="25">
    <w:abstractNumId w:val="24"/>
  </w:num>
  <w:num w:numId="26">
    <w:abstractNumId w:val="7"/>
  </w:num>
  <w:num w:numId="27">
    <w:abstractNumId w:val="2"/>
  </w:num>
  <w:num w:numId="28">
    <w:abstractNumId w:val="42"/>
  </w:num>
  <w:num w:numId="29">
    <w:abstractNumId w:val="6"/>
  </w:num>
  <w:num w:numId="30">
    <w:abstractNumId w:val="37"/>
  </w:num>
  <w:num w:numId="31">
    <w:abstractNumId w:val="33"/>
  </w:num>
  <w:num w:numId="32">
    <w:abstractNumId w:val="3"/>
  </w:num>
  <w:num w:numId="33">
    <w:abstractNumId w:val="12"/>
  </w:num>
  <w:num w:numId="34">
    <w:abstractNumId w:val="41"/>
  </w:num>
  <w:num w:numId="35">
    <w:abstractNumId w:val="27"/>
  </w:num>
  <w:num w:numId="36">
    <w:abstractNumId w:val="31"/>
  </w:num>
  <w:num w:numId="37">
    <w:abstractNumId w:val="15"/>
  </w:num>
  <w:num w:numId="38">
    <w:abstractNumId w:val="10"/>
  </w:num>
  <w:num w:numId="39">
    <w:abstractNumId w:val="14"/>
  </w:num>
  <w:num w:numId="40">
    <w:abstractNumId w:val="21"/>
  </w:num>
  <w:num w:numId="41">
    <w:abstractNumId w:val="26"/>
  </w:num>
  <w:num w:numId="42">
    <w:abstractNumId w:val="4"/>
  </w:num>
  <w:num w:numId="43">
    <w:abstractNumId w:val="5"/>
  </w:num>
  <w:num w:numId="44">
    <w:abstractNumId w:val="23"/>
  </w:num>
  <w:num w:numId="45">
    <w:abstractNumId w:val="23"/>
  </w:num>
  <w:num w:numId="46">
    <w:abstractNumId w:val="23"/>
  </w:num>
  <w:num w:numId="47">
    <w:abstractNumId w:val="23"/>
  </w:num>
  <w:num w:numId="48">
    <w:abstractNumId w:val="23"/>
  </w:num>
  <w:num w:numId="49">
    <w:abstractNumId w:val="23"/>
  </w:num>
  <w:num w:numId="50">
    <w:abstractNumId w:val="23"/>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B3F51CD-16A3-47DF-952C-17CECCD5E870"/>
    <w:docVar w:name="LW_COVERPAGE_TYPE" w:val="1"/>
    <w:docVar w:name="LW_CROSSREFERENCE" w:val="{COM(2018) 507 final}_x000b_{SWD(2018) 357 final}"/>
    <w:docVar w:name="LW_DATE.ADOPT.CP_ISODATE" w:val="&lt;EMPTY&gt;"/>
    <w:docVar w:name="LW_DocType" w:val="NORMAL"/>
    <w:docVar w:name="LW_EMISSION" w:val="29.6.2018"/>
    <w:docVar w:name="LW_EMISSION_ISODATE" w:val="2018-06-29"/>
    <w:docVar w:name="LW_EMISSION_LOCATION" w:val="BRX"/>
    <w:docVar w:name="LW_EMISSION_PREFIX" w:val="Brussels, "/>
    <w:docVar w:name="LW_EMISSION_SUFFIX" w:val=" "/>
    <w:docVar w:name="LW_ID_DOCTYPE_NONLW" w:val="CP-025"/>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on the interim evaluation of the implementation of the Justice Programme 2014-2020"/>
    <w:docVar w:name="LW_PART_NBR" w:val="1"/>
    <w:docVar w:name="LW_PART_NBR_TOTAL" w:val="1"/>
    <w:docVar w:name="LW_REF.II.NEW.CP" w:val="&lt;UNUSED&gt;"/>
    <w:docVar w:name="LW_REF.II.NEW.CP_NUMBER" w:val="&lt;UNUSED&gt;"/>
    <w:docVar w:name="LW_REF.II.NEW.CP_YEAR" w:val="2018"/>
    <w:docVar w:name="LW_REF.INST.NEW" w:val="SWD"/>
    <w:docVar w:name="LW_REF.INST.NEW_ADOPTED" w:val="final"/>
    <w:docVar w:name="LW_REF.INST.NEW_TEXT" w:val="(2018) 3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UNUSED&gt;"/>
    <w:docVar w:name="LW_TYPE.DOC.CP" w:val="COMMISSION STAFF WORKING DOCUMENT"/>
    <w:docVar w:name="LW_TYPEACTEPRINCIPAL.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35"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Text3"/>
    <w:link w:val="Heading3Char"/>
    <w:qFormat/>
    <w:pPr>
      <w:keepNext/>
      <w:spacing w:after="240" w:line="240" w:lineRule="auto"/>
      <w:jc w:val="both"/>
      <w:outlineLvl w:val="2"/>
    </w:pPr>
    <w:rPr>
      <w:rFonts w:ascii="Times New Roman" w:eastAsia="Times New Roman" w:hAnsi="Times New Roman" w:cs="Times New Roman"/>
      <w:i/>
      <w:sz w:val="24"/>
      <w:szCs w:val="20"/>
      <w:lang w:val="en-GB"/>
    </w:rPr>
  </w:style>
  <w:style w:type="paragraph" w:styleId="Heading4">
    <w:name w:val="heading 4"/>
    <w:basedOn w:val="Normal"/>
    <w:next w:val="Normal"/>
    <w:link w:val="Heading4Char"/>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lang w:val="en-GB"/>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lang w:val="en-GB"/>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lang w:val="en-GB"/>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qFormat/>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TabelEcorys,CV table,Deloitte,Table Grid IDEA,Table EY,none"/>
    <w:basedOn w:val="TableNormal"/>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fr"/>
    <w:link w:val="FootnotesymbolCharCharCharChar"/>
    <w:uiPriority w:val="99"/>
    <w:unhideWhenUsed/>
    <w:qFormat/>
    <w:rPr>
      <w:sz w:val="20"/>
      <w:vertAlign w:val="superscript"/>
    </w:rPr>
  </w:style>
  <w:style w:type="paragraph" w:styleId="ListParagraph">
    <w:name w:val="List Paragraph"/>
    <w:aliases w:val="List1,List11,List111,List1111,List11111,1st level - Bullet List Paragraph,List Paragraph1,Lettre d'introduction,Normal bullet 2,Medium Grid 1 - Accent 21,List Paragraph11,FooterText,Paragraphe de liste1,Bullet list,List2,List Paragraph2"/>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pPr>
      <w:spacing w:after="160" w:line="240" w:lineRule="exact"/>
    </w:pPr>
    <w:rPr>
      <w:sz w:val="20"/>
      <w:vertAlign w:val="superscript"/>
    </w:rPr>
  </w:style>
  <w:style w:type="table" w:customStyle="1" w:styleId="Deloitte1">
    <w:name w:val="Deloitte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Point0number">
    <w:name w:val="Point 0 (number)"/>
    <w:basedOn w:val="Normal"/>
    <w:pPr>
      <w:numPr>
        <w:numId w:val="5"/>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Normal"/>
    <w:pPr>
      <w:numPr>
        <w:ilvl w:val="2"/>
        <w:numId w:val="5"/>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Normal"/>
    <w:pPr>
      <w:numPr>
        <w:ilvl w:val="4"/>
        <w:numId w:val="5"/>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Normal"/>
    <w:pPr>
      <w:numPr>
        <w:ilvl w:val="6"/>
        <w:numId w:val="5"/>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Normal"/>
    <w:pPr>
      <w:numPr>
        <w:ilvl w:val="1"/>
        <w:numId w:val="5"/>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Normal"/>
    <w:pPr>
      <w:numPr>
        <w:ilvl w:val="3"/>
        <w:numId w:val="5"/>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Normal"/>
    <w:pPr>
      <w:numPr>
        <w:ilvl w:val="5"/>
        <w:numId w:val="5"/>
      </w:numPr>
      <w:spacing w:before="120" w:after="120" w:line="240" w:lineRule="auto"/>
      <w:jc w:val="both"/>
    </w:pPr>
    <w:rPr>
      <w:rFonts w:ascii="Times New Roman" w:hAnsi="Times New Roman" w:cs="Times New Roman"/>
      <w:sz w:val="24"/>
      <w:lang w:val="en-GB"/>
    </w:rPr>
  </w:style>
  <w:style w:type="paragraph" w:customStyle="1" w:styleId="Point3letter">
    <w:name w:val="Point 3 (letter)"/>
    <w:basedOn w:val="Normal"/>
    <w:pPr>
      <w:numPr>
        <w:ilvl w:val="7"/>
        <w:numId w:val="5"/>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Normal"/>
    <w:pPr>
      <w:numPr>
        <w:ilvl w:val="8"/>
        <w:numId w:val="5"/>
      </w:numPr>
      <w:spacing w:before="120" w:after="120" w:line="240" w:lineRule="auto"/>
      <w:jc w:val="both"/>
    </w:pPr>
    <w:rPr>
      <w:rFonts w:ascii="Times New Roman" w:hAnsi="Times New Roman" w:cs="Times New Roman"/>
      <w:sz w:val="24"/>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ody">
    <w:name w:val="Body"/>
    <w:basedOn w:val="Normal"/>
    <w:link w:val="BodyChar"/>
    <w:qFormat/>
    <w:pPr>
      <w:spacing w:before="120" w:after="120" w:line="240" w:lineRule="auto"/>
      <w:jc w:val="both"/>
    </w:pPr>
    <w:rPr>
      <w:rFonts w:ascii="Verdana" w:eastAsia="Times New Roman" w:hAnsi="Verdana" w:cs="Times New Roman"/>
      <w:sz w:val="20"/>
      <w:szCs w:val="20"/>
      <w:lang w:val="en-GB"/>
    </w:rPr>
  </w:style>
  <w:style w:type="character" w:customStyle="1" w:styleId="BodyChar">
    <w:name w:val="Body Char"/>
    <w:link w:val="Body"/>
    <w:locked/>
    <w:rPr>
      <w:rFonts w:ascii="Verdana" w:eastAsia="Times New Roman" w:hAnsi="Verdana" w:cs="Times New Roman"/>
      <w:sz w:val="20"/>
      <w:szCs w:val="20"/>
      <w:lang w:val="en-GB"/>
    </w:rPr>
  </w:style>
  <w:style w:type="paragraph" w:styleId="EndnoteText">
    <w:name w:val="endnote text"/>
    <w:basedOn w:val="Normal"/>
    <w:link w:val="EndnoteTextChar"/>
    <w:semiHidden/>
    <w:unhideWhenUsed/>
    <w:pPr>
      <w:spacing w:after="0" w:line="240" w:lineRule="auto"/>
    </w:pPr>
    <w:rPr>
      <w:sz w:val="20"/>
      <w:szCs w:val="20"/>
    </w:rPr>
  </w:style>
  <w:style w:type="character" w:customStyle="1" w:styleId="EndnoteTextChar">
    <w:name w:val="Endnote Text Char"/>
    <w:basedOn w:val="DefaultParagraphFont"/>
    <w:link w:val="EndnoteText"/>
    <w:semiHidden/>
    <w:rPr>
      <w:sz w:val="20"/>
      <w:szCs w:val="20"/>
    </w:rPr>
  </w:style>
  <w:style w:type="table" w:customStyle="1" w:styleId="ListTable31">
    <w:name w:val="List Table 31"/>
    <w:basedOn w:val="TableNormal"/>
    <w:uiPriority w:val="48"/>
    <w:pPr>
      <w:spacing w:after="0" w:line="240" w:lineRule="auto"/>
    </w:pPr>
    <w:rPr>
      <w:rFonts w:ascii="Verdana" w:eastAsia="Times New Roman" w:hAnsi="Verdana" w:cs="Times New Roman"/>
      <w:sz w:val="20"/>
      <w:szCs w:val="20"/>
      <w:lang w:val="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12">
    <w:name w:val="List Table 312"/>
    <w:basedOn w:val="TableNormal"/>
    <w:uiPriority w:val="48"/>
    <w:pPr>
      <w:spacing w:after="0" w:line="240" w:lineRule="auto"/>
    </w:pPr>
    <w:rPr>
      <w:rFonts w:ascii="Verdana" w:eastAsia="Times New Roman" w:hAnsi="Verdana" w:cs="Times New Roman"/>
      <w:sz w:val="20"/>
      <w:szCs w:val="20"/>
      <w:lang w:val="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jc w:val="both"/>
    </w:pPr>
    <w:rPr>
      <w:vertAlign w:val="superscript"/>
    </w:rPr>
  </w:style>
  <w:style w:type="character" w:customStyle="1" w:styleId="CaptionChar">
    <w:name w:val="Caption Char"/>
    <w:aliases w:val="Char Char Char Char,Caption1 Char Char Char Char Char Char Char Char Tegn Tegn Tegn Tegn Tegn Char,Caption1 Char Char Char Char Char Char Char Char Tegn Tegn Tegn Char,Caption1 Char Char Char Char Char Char Char Char Tegn Tegn Char,Ch Char"/>
    <w:basedOn w:val="DefaultParagraphFont"/>
    <w:link w:val="Caption"/>
    <w:uiPriority w:val="35"/>
    <w:locked/>
    <w:rPr>
      <w:rFonts w:ascii="Verdana" w:hAnsi="Verdana"/>
      <w:b/>
      <w:sz w:val="18"/>
      <w:lang w:val="fr-FR"/>
    </w:rPr>
  </w:style>
  <w:style w:type="paragraph" w:styleId="Caption">
    <w:name w:val="caption"/>
    <w:aliases w:val="Char Char Char,Caption1 Char Char Char Char Char Char Char Char Tegn Tegn Tegn Tegn Tegn,Caption1 Char Char Char Char Char Char Char Char Tegn Tegn Tegn,Caption1 Char Char Char Char Char Char Char Char Tegn Tegn,Ch,Inscription,C,Caption PSP"/>
    <w:basedOn w:val="Normal"/>
    <w:next w:val="Normal"/>
    <w:link w:val="CaptionChar"/>
    <w:uiPriority w:val="35"/>
    <w:unhideWhenUsed/>
    <w:qFormat/>
    <w:pPr>
      <w:keepNext/>
      <w:spacing w:before="120" w:after="120" w:line="240" w:lineRule="auto"/>
      <w:jc w:val="both"/>
    </w:pPr>
    <w:rPr>
      <w:rFonts w:ascii="Verdana" w:hAnsi="Verdana"/>
      <w:b/>
      <w:sz w:val="18"/>
      <w:lang w:val="fr-FR"/>
    </w:rPr>
  </w:style>
  <w:style w:type="character" w:customStyle="1" w:styleId="Bulletpoint1Char">
    <w:name w:val="Bullet point1 Char"/>
    <w:basedOn w:val="DefaultParagraphFont"/>
    <w:link w:val="Bulletpoint1"/>
    <w:locked/>
    <w:rPr>
      <w:rFonts w:ascii="Verdana" w:hAnsi="Verdana"/>
      <w:lang w:val="en-GB"/>
    </w:rPr>
  </w:style>
  <w:style w:type="paragraph" w:customStyle="1" w:styleId="Bulletpoint1">
    <w:name w:val="Bullet point1"/>
    <w:basedOn w:val="NormalIndent"/>
    <w:link w:val="Bulletpoint1Char"/>
    <w:qFormat/>
    <w:pPr>
      <w:spacing w:before="60" w:after="60" w:line="240" w:lineRule="auto"/>
      <w:ind w:left="1760" w:hanging="360"/>
      <w:jc w:val="both"/>
    </w:pPr>
    <w:rPr>
      <w:rFonts w:ascii="Verdana" w:hAnsi="Verdana"/>
      <w:lang w:val="en-GB"/>
    </w:rPr>
  </w:style>
  <w:style w:type="paragraph" w:styleId="NormalIndent">
    <w:name w:val="Normal Indent"/>
    <w:basedOn w:val="Normal"/>
    <w:unhideWhenUsed/>
    <w:pPr>
      <w:ind w:left="720"/>
    </w:pPr>
  </w:style>
  <w:style w:type="paragraph" w:customStyle="1" w:styleId="ListDash">
    <w:name w:val="List Dash"/>
    <w:basedOn w:val="Normal"/>
    <w:pPr>
      <w:numPr>
        <w:numId w:val="6"/>
      </w:numPr>
      <w:spacing w:after="240" w:line="240" w:lineRule="auto"/>
      <w:jc w:val="both"/>
    </w:pPr>
    <w:rPr>
      <w:rFonts w:ascii="Times New Roman" w:eastAsia="Times New Roman" w:hAnsi="Times New Roman" w:cs="Times New Roman"/>
      <w:sz w:val="24"/>
      <w:szCs w:val="20"/>
      <w:lang w:val="fr-FR"/>
    </w:rPr>
  </w:style>
  <w:style w:type="table" w:customStyle="1" w:styleId="Deloitte2">
    <w:name w:val="Deloitte2"/>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BulletBodyChar">
    <w:name w:val="Bullet Body Char"/>
    <w:basedOn w:val="BodyChar"/>
    <w:link w:val="BulletBody"/>
    <w:locked/>
    <w:rPr>
      <w:rFonts w:ascii="Verdana" w:eastAsia="Times New Roman" w:hAnsi="Verdana" w:cs="EUAlbertina"/>
      <w:color w:val="000000"/>
      <w:sz w:val="20"/>
      <w:szCs w:val="19"/>
      <w:lang w:val="en-GB" w:eastAsia="ro-RO"/>
    </w:rPr>
  </w:style>
  <w:style w:type="paragraph" w:customStyle="1" w:styleId="BulletBody">
    <w:name w:val="Bullet Body"/>
    <w:basedOn w:val="Body"/>
    <w:link w:val="BulletBodyChar"/>
    <w:qFormat/>
    <w:rPr>
      <w:rFonts w:eastAsiaTheme="minorHAnsi" w:cs="EUAlbertina"/>
      <w:color w:val="000000"/>
      <w:sz w:val="22"/>
      <w:szCs w:val="19"/>
      <w:lang w:eastAsia="ro-RO"/>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en-GB"/>
    </w:rPr>
  </w:style>
  <w:style w:type="character" w:customStyle="1" w:styleId="Heading5Char">
    <w:name w:val="Heading 5 Char"/>
    <w:basedOn w:val="DefaultParagraphFont"/>
    <w:link w:val="Heading5"/>
    <w:rPr>
      <w:rFonts w:ascii="Arial" w:eastAsia="Times New Roman" w:hAnsi="Arial" w:cs="Times New Roman"/>
      <w:szCs w:val="20"/>
      <w:lang w:val="en-GB"/>
    </w:rPr>
  </w:style>
  <w:style w:type="character" w:customStyle="1" w:styleId="Heading6Char">
    <w:name w:val="Heading 6 Char"/>
    <w:basedOn w:val="DefaultParagraphFont"/>
    <w:link w:val="Heading6"/>
    <w:rPr>
      <w:rFonts w:ascii="Arial" w:eastAsia="Times New Roman" w:hAnsi="Arial" w:cs="Times New Roman"/>
      <w:i/>
      <w:szCs w:val="20"/>
      <w:lang w:val="en-GB"/>
    </w:rPr>
  </w:style>
  <w:style w:type="character" w:customStyle="1" w:styleId="Heading7Char">
    <w:name w:val="Heading 7 Char"/>
    <w:basedOn w:val="DefaultParagraphFont"/>
    <w:link w:val="Heading7"/>
    <w:rPr>
      <w:rFonts w:ascii="Arial" w:eastAsia="Times New Roman" w:hAnsi="Arial" w:cs="Times New Roman"/>
      <w:sz w:val="20"/>
      <w:szCs w:val="20"/>
      <w:lang w:val="en-GB"/>
    </w:rPr>
  </w:style>
  <w:style w:type="character" w:customStyle="1" w:styleId="Heading8Char">
    <w:name w:val="Heading 8 Char"/>
    <w:basedOn w:val="DefaultParagraphFont"/>
    <w:link w:val="Heading8"/>
    <w:rPr>
      <w:rFonts w:ascii="Arial" w:eastAsia="Times New Roman" w:hAnsi="Arial" w:cs="Times New Roman"/>
      <w:i/>
      <w:sz w:val="20"/>
      <w:szCs w:val="20"/>
      <w:lang w:val="en-GB"/>
    </w:rPr>
  </w:style>
  <w:style w:type="character" w:customStyle="1" w:styleId="Heading9Char">
    <w:name w:val="Heading 9 Char"/>
    <w:basedOn w:val="DefaultParagraphFont"/>
    <w:link w:val="Heading9"/>
    <w:rPr>
      <w:rFonts w:ascii="Arial" w:eastAsia="Times New Roman" w:hAnsi="Arial" w:cs="Times New Roman"/>
      <w:i/>
      <w:sz w:val="18"/>
      <w:szCs w:val="20"/>
      <w:lang w:val="en-GB"/>
    </w:rPr>
  </w:style>
  <w:style w:type="numbering" w:customStyle="1" w:styleId="NoList1">
    <w:name w:val="No List1"/>
    <w:next w:val="NoList"/>
    <w:uiPriority w:val="99"/>
    <w:semiHidden/>
    <w:unhideWhenUsed/>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val="en-GB"/>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val="en-GB"/>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lang w:val="en-GB"/>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lang w:val="en-GB"/>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lang w:val="en-GB"/>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lang w:val="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customStyle="1" w:styleId="ChapterTitle">
    <w:name w:val="ChapterTitle"/>
    <w:basedOn w:val="Normal"/>
    <w:next w:val="SectionTitle"/>
    <w:link w:val="ChapterTitleChar"/>
    <w:pPr>
      <w:keepNext/>
      <w:spacing w:after="480" w:line="240" w:lineRule="auto"/>
      <w:jc w:val="center"/>
    </w:pPr>
    <w:rPr>
      <w:rFonts w:ascii="Times New Roman" w:eastAsia="Times New Roman" w:hAnsi="Times New Roman" w:cs="Times New Roman"/>
      <w:b/>
      <w:sz w:val="32"/>
      <w:szCs w:val="20"/>
      <w:lang w:val="en-GB"/>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lang w:val="en-GB"/>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lang w:val="en-GB"/>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lang w:val="en-GB"/>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lang w:val="en-GB"/>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lang w:val="en-GB"/>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val="en-GB"/>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lang w:val="en-GB"/>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lang w:val="en-GB"/>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lang w:val="en-GB"/>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lang w:val="en-GB"/>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lang w:val="en-GB"/>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lang w:val="en-GB"/>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lang w:val="en-GB"/>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lang w:val="en-GB"/>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lang w:val="en-GB"/>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lang w:val="en-GB"/>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lang w:val="en-GB"/>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lang w:val="en-GB"/>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lang w:val="en-GB"/>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lang w:val="en-GB"/>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lang w:val="en-GB"/>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lang w:val="en-GB"/>
    </w:rPr>
  </w:style>
  <w:style w:type="paragraph" w:styleId="ListBullet2">
    <w:name w:val="List Bullet 2"/>
    <w:basedOn w:val="Text2"/>
    <w:uiPriority w:val="99"/>
    <w:pPr>
      <w:numPr>
        <w:numId w:val="11"/>
      </w:numPr>
      <w:tabs>
        <w:tab w:val="clear" w:pos="2302"/>
      </w:tabs>
    </w:pPr>
  </w:style>
  <w:style w:type="paragraph" w:styleId="ListBullet3">
    <w:name w:val="List Bullet 3"/>
    <w:basedOn w:val="Text3"/>
    <w:uiPriority w:val="99"/>
    <w:pPr>
      <w:numPr>
        <w:numId w:val="12"/>
      </w:numPr>
      <w:tabs>
        <w:tab w:val="clear" w:pos="2302"/>
      </w:tabs>
    </w:pPr>
  </w:style>
  <w:style w:type="paragraph" w:styleId="ListBullet4">
    <w:name w:val="List Bullet 4"/>
    <w:basedOn w:val="Text4"/>
    <w:pPr>
      <w:numPr>
        <w:numId w:val="13"/>
      </w:numPr>
      <w:tabs>
        <w:tab w:val="clear" w:pos="2302"/>
      </w:tabs>
    </w:pPr>
  </w:style>
  <w:style w:type="paragraph" w:styleId="ListBullet5">
    <w:name w:val="List Bullet 5"/>
    <w:basedOn w:val="Normal"/>
    <w:autoRedefine/>
    <w:pPr>
      <w:numPr>
        <w:numId w:val="8"/>
      </w:numPr>
      <w:spacing w:after="240" w:line="240" w:lineRule="auto"/>
      <w:jc w:val="both"/>
    </w:pPr>
    <w:rPr>
      <w:rFonts w:ascii="Times New Roman" w:eastAsia="Times New Roman" w:hAnsi="Times New Roman" w:cs="Times New Roman"/>
      <w:sz w:val="24"/>
      <w:szCs w:val="20"/>
      <w:lang w:val="en-GB"/>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lang w:val="en-GB"/>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lang w:val="en-GB"/>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lang w:val="en-GB"/>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lang w:val="en-GB"/>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lang w:val="en-GB"/>
    </w:rPr>
  </w:style>
  <w:style w:type="paragraph" w:styleId="ListNumber">
    <w:name w:val="List Number"/>
    <w:basedOn w:val="Normal"/>
    <w:pPr>
      <w:numPr>
        <w:numId w:val="17"/>
      </w:numPr>
      <w:spacing w:after="240" w:line="240" w:lineRule="auto"/>
      <w:jc w:val="both"/>
    </w:pPr>
    <w:rPr>
      <w:rFonts w:ascii="Times New Roman" w:eastAsia="Times New Roman" w:hAnsi="Times New Roman" w:cs="Times New Roman"/>
      <w:sz w:val="24"/>
      <w:szCs w:val="20"/>
      <w:lang w:val="en-GB"/>
    </w:rPr>
  </w:style>
  <w:style w:type="paragraph" w:styleId="ListNumber2">
    <w:name w:val="List Number 2"/>
    <w:basedOn w:val="Text2"/>
    <w:pPr>
      <w:numPr>
        <w:numId w:val="19"/>
      </w:numPr>
      <w:tabs>
        <w:tab w:val="clear" w:pos="2302"/>
      </w:tabs>
    </w:pPr>
  </w:style>
  <w:style w:type="paragraph" w:styleId="ListNumber3">
    <w:name w:val="List Number 3"/>
    <w:basedOn w:val="Text3"/>
    <w:pPr>
      <w:numPr>
        <w:numId w:val="20"/>
      </w:numPr>
      <w:tabs>
        <w:tab w:val="clear" w:pos="2302"/>
      </w:tabs>
    </w:pPr>
  </w:style>
  <w:style w:type="paragraph" w:styleId="ListNumber4">
    <w:name w:val="List Number 4"/>
    <w:basedOn w:val="Text4"/>
    <w:pPr>
      <w:numPr>
        <w:numId w:val="21"/>
      </w:numPr>
      <w:tabs>
        <w:tab w:val="clear" w:pos="2302"/>
      </w:tabs>
    </w:pPr>
  </w:style>
  <w:style w:type="paragraph" w:styleId="ListNumber5">
    <w:name w:val="List Number 5"/>
    <w:basedOn w:val="Normal"/>
    <w:pPr>
      <w:numPr>
        <w:numId w:val="9"/>
      </w:numPr>
      <w:spacing w:after="240" w:line="240" w:lineRule="auto"/>
      <w:jc w:val="both"/>
    </w:pPr>
    <w:rPr>
      <w:rFonts w:ascii="Times New Roman" w:eastAsia="Times New Roman" w:hAnsi="Times New Roman" w:cs="Times New Roman"/>
      <w:sz w:val="24"/>
      <w:szCs w:val="20"/>
      <w:lang w:val="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val="en-GB"/>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val="en-GB"/>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lang w:val="en-GB"/>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lang w:val="en-GB"/>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lang w:val="en-GB"/>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keepLines w:val="0"/>
      <w:spacing w:before="0" w:after="240" w:line="240" w:lineRule="auto"/>
      <w:jc w:val="both"/>
      <w:outlineLvl w:val="9"/>
    </w:pPr>
    <w:rPr>
      <w:rFonts w:ascii="Times New Roman" w:eastAsia="Times New Roman" w:hAnsi="Times New Roman" w:cs="Times New Roman"/>
      <w:b w:val="0"/>
      <w:bCs w:val="0"/>
      <w:i w:val="0"/>
      <w:iCs w:val="0"/>
      <w:color w:val="auto"/>
      <w:sz w:val="24"/>
      <w:szCs w:val="20"/>
      <w:lang w:val="en-GB"/>
    </w:r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lang w:val="en-GB"/>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lang w:val="en-GB"/>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lang w:val="en-GB"/>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lang w:val="en-GB"/>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lang w:val="en-GB"/>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lang w:val="en-GB"/>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lang w:val="en-GB"/>
    </w:rPr>
  </w:style>
  <w:style w:type="paragraph" w:styleId="TOC2">
    <w:name w:val="toc 2"/>
    <w:basedOn w:val="Normal"/>
    <w:next w:val="Normal"/>
    <w:uiPriority w:val="39"/>
    <w:qFormat/>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uiPriority w:val="39"/>
    <w:semiHidden/>
    <w:qFormat/>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lang w:val="en-GB"/>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lang w:val="en-GB"/>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lang w:val="en-GB"/>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lang w:val="en-GB"/>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lang w:val="en-GB"/>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lang w:val="en-GB"/>
    </w:rPr>
  </w:style>
  <w:style w:type="paragraph" w:customStyle="1" w:styleId="ListBullet1">
    <w:name w:val="List Bullet 1"/>
    <w:basedOn w:val="Text1"/>
    <w:pPr>
      <w:numPr>
        <w:numId w:val="10"/>
      </w:numPr>
    </w:pPr>
  </w:style>
  <w:style w:type="paragraph" w:customStyle="1" w:styleId="ListDash2">
    <w:name w:val="List Dash 2"/>
    <w:basedOn w:val="Text2"/>
    <w:pPr>
      <w:numPr>
        <w:numId w:val="14"/>
      </w:numPr>
      <w:tabs>
        <w:tab w:val="clear" w:pos="2302"/>
      </w:tabs>
    </w:pPr>
  </w:style>
  <w:style w:type="paragraph" w:customStyle="1" w:styleId="ListDash3">
    <w:name w:val="List Dash 3"/>
    <w:basedOn w:val="Text3"/>
    <w:pPr>
      <w:numPr>
        <w:numId w:val="15"/>
      </w:numPr>
      <w:tabs>
        <w:tab w:val="clear" w:pos="2302"/>
      </w:tabs>
    </w:pPr>
  </w:style>
  <w:style w:type="paragraph" w:customStyle="1" w:styleId="ListDash4">
    <w:name w:val="List Dash 4"/>
    <w:basedOn w:val="Text4"/>
    <w:pPr>
      <w:numPr>
        <w:numId w:val="16"/>
      </w:numPr>
      <w:tabs>
        <w:tab w:val="clear" w:pos="2302"/>
      </w:tabs>
    </w:pPr>
  </w:style>
  <w:style w:type="paragraph" w:customStyle="1" w:styleId="ListNumberLevel2">
    <w:name w:val="List Number (Level 2)"/>
    <w:basedOn w:val="Normal"/>
    <w:pPr>
      <w:numPr>
        <w:ilvl w:val="1"/>
        <w:numId w:val="17"/>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pPr>
      <w:numPr>
        <w:ilvl w:val="2"/>
        <w:numId w:val="17"/>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pPr>
      <w:numPr>
        <w:ilvl w:val="3"/>
        <w:numId w:val="17"/>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Text1"/>
    <w:pPr>
      <w:numPr>
        <w:numId w:val="18"/>
      </w:numPr>
    </w:pPr>
  </w:style>
  <w:style w:type="paragraph" w:customStyle="1" w:styleId="ListNumber1Level2">
    <w:name w:val="List Number 1 (Level 2)"/>
    <w:basedOn w:val="Text1"/>
    <w:pPr>
      <w:numPr>
        <w:ilvl w:val="1"/>
        <w:numId w:val="18"/>
      </w:numPr>
    </w:pPr>
  </w:style>
  <w:style w:type="paragraph" w:customStyle="1" w:styleId="ListNumber1Level3">
    <w:name w:val="List Number 1 (Level 3)"/>
    <w:basedOn w:val="Text1"/>
    <w:pPr>
      <w:numPr>
        <w:ilvl w:val="2"/>
        <w:numId w:val="18"/>
      </w:numPr>
    </w:pPr>
  </w:style>
  <w:style w:type="paragraph" w:customStyle="1" w:styleId="ListNumber1Level4">
    <w:name w:val="List Number 1 (Level 4)"/>
    <w:basedOn w:val="Text1"/>
    <w:pPr>
      <w:numPr>
        <w:ilvl w:val="3"/>
        <w:numId w:val="18"/>
      </w:numPr>
    </w:pPr>
  </w:style>
  <w:style w:type="paragraph" w:customStyle="1" w:styleId="ListNumber2Level2">
    <w:name w:val="List Number 2 (Level 2)"/>
    <w:basedOn w:val="Text2"/>
    <w:pPr>
      <w:numPr>
        <w:ilvl w:val="1"/>
        <w:numId w:val="19"/>
      </w:numPr>
      <w:tabs>
        <w:tab w:val="clear" w:pos="2302"/>
      </w:tabs>
    </w:pPr>
  </w:style>
  <w:style w:type="paragraph" w:customStyle="1" w:styleId="ListNumber2Level3">
    <w:name w:val="List Number 2 (Level 3)"/>
    <w:basedOn w:val="Text2"/>
    <w:pPr>
      <w:numPr>
        <w:ilvl w:val="2"/>
        <w:numId w:val="19"/>
      </w:numPr>
      <w:tabs>
        <w:tab w:val="clear" w:pos="2302"/>
      </w:tabs>
    </w:pPr>
  </w:style>
  <w:style w:type="paragraph" w:customStyle="1" w:styleId="ListNumber2Level4">
    <w:name w:val="List Number 2 (Level 4)"/>
    <w:basedOn w:val="Text2"/>
    <w:pPr>
      <w:numPr>
        <w:ilvl w:val="3"/>
        <w:numId w:val="19"/>
      </w:numPr>
      <w:tabs>
        <w:tab w:val="clear" w:pos="2302"/>
      </w:tabs>
    </w:pPr>
  </w:style>
  <w:style w:type="paragraph" w:customStyle="1" w:styleId="ListNumber3Level2">
    <w:name w:val="List Number 3 (Level 2)"/>
    <w:basedOn w:val="Text3"/>
    <w:pPr>
      <w:numPr>
        <w:ilvl w:val="1"/>
        <w:numId w:val="20"/>
      </w:numPr>
      <w:tabs>
        <w:tab w:val="clear" w:pos="2302"/>
      </w:tabs>
    </w:pPr>
  </w:style>
  <w:style w:type="paragraph" w:customStyle="1" w:styleId="ListNumber3Level3">
    <w:name w:val="List Number 3 (Level 3)"/>
    <w:basedOn w:val="Text3"/>
    <w:pPr>
      <w:numPr>
        <w:ilvl w:val="2"/>
        <w:numId w:val="20"/>
      </w:numPr>
      <w:tabs>
        <w:tab w:val="clear" w:pos="2302"/>
      </w:tabs>
    </w:pPr>
  </w:style>
  <w:style w:type="paragraph" w:customStyle="1" w:styleId="ListNumber3Level4">
    <w:name w:val="List Number 3 (Level 4)"/>
    <w:basedOn w:val="Text3"/>
    <w:pPr>
      <w:numPr>
        <w:ilvl w:val="3"/>
        <w:numId w:val="20"/>
      </w:numPr>
      <w:tabs>
        <w:tab w:val="clear" w:pos="2302"/>
      </w:tabs>
    </w:pPr>
  </w:style>
  <w:style w:type="paragraph" w:customStyle="1" w:styleId="ListNumber4Level2">
    <w:name w:val="List Number 4 (Level 2)"/>
    <w:basedOn w:val="Text4"/>
    <w:pPr>
      <w:numPr>
        <w:ilvl w:val="1"/>
        <w:numId w:val="21"/>
      </w:numPr>
      <w:tabs>
        <w:tab w:val="clear" w:pos="2302"/>
      </w:tabs>
    </w:pPr>
  </w:style>
  <w:style w:type="paragraph" w:customStyle="1" w:styleId="ListNumber4Level3">
    <w:name w:val="List Number 4 (Level 3)"/>
    <w:basedOn w:val="Text4"/>
    <w:pPr>
      <w:numPr>
        <w:ilvl w:val="2"/>
        <w:numId w:val="21"/>
      </w:numPr>
      <w:tabs>
        <w:tab w:val="clear" w:pos="2302"/>
      </w:tabs>
    </w:pPr>
  </w:style>
  <w:style w:type="paragraph" w:customStyle="1" w:styleId="ListNumber4Level4">
    <w:name w:val="List Number 4 (Level 4)"/>
    <w:basedOn w:val="Text4"/>
    <w:pPr>
      <w:numPr>
        <w:ilvl w:val="3"/>
        <w:numId w:val="21"/>
      </w:numPr>
      <w:tabs>
        <w:tab w:val="clear" w:pos="2302"/>
      </w:tabs>
    </w:p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lang w:val="en-GB"/>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lang w:val="en-GB"/>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lang w:val="en-GB"/>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val="en-GB"/>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val="en-GB"/>
    </w:rPr>
  </w:style>
  <w:style w:type="paragraph" w:customStyle="1" w:styleId="LegalNumPar">
    <w:name w:val="LegalNumPar"/>
    <w:basedOn w:val="Normal"/>
    <w:pPr>
      <w:numPr>
        <w:numId w:val="22"/>
      </w:numPr>
      <w:spacing w:after="240" w:line="360" w:lineRule="auto"/>
    </w:pPr>
    <w:rPr>
      <w:rFonts w:ascii="Times New Roman" w:hAnsi="Times New Roman" w:cs="Times New Roman"/>
      <w:sz w:val="24"/>
      <w:lang w:val="en-GB"/>
    </w:rPr>
  </w:style>
  <w:style w:type="paragraph" w:customStyle="1" w:styleId="LegalNumPar2">
    <w:name w:val="LegalNumPar2"/>
    <w:basedOn w:val="Normal"/>
    <w:pPr>
      <w:numPr>
        <w:ilvl w:val="1"/>
        <w:numId w:val="22"/>
      </w:numPr>
      <w:spacing w:after="240" w:line="360" w:lineRule="auto"/>
      <w:ind w:left="952" w:hanging="476"/>
    </w:pPr>
    <w:rPr>
      <w:rFonts w:ascii="Times New Roman" w:hAnsi="Times New Roman" w:cs="Times New Roman"/>
      <w:sz w:val="24"/>
      <w:lang w:val="en-GB"/>
    </w:rPr>
  </w:style>
  <w:style w:type="paragraph" w:customStyle="1" w:styleId="LegalNumPar3">
    <w:name w:val="LegalNumPar3"/>
    <w:basedOn w:val="Normal"/>
    <w:pPr>
      <w:numPr>
        <w:ilvl w:val="2"/>
        <w:numId w:val="22"/>
      </w:numPr>
      <w:spacing w:after="240" w:line="360" w:lineRule="auto"/>
    </w:pPr>
    <w:rPr>
      <w:rFonts w:ascii="Times New Roman" w:hAnsi="Times New Roman" w:cs="Times New Roman"/>
      <w:sz w:val="24"/>
      <w:lang w:val="en-GB"/>
    </w:rPr>
  </w:style>
  <w:style w:type="paragraph" w:customStyle="1" w:styleId="IAToolChapterHeading">
    <w:name w:val="IA Tool Chapter Heading"/>
    <w:basedOn w:val="Normal"/>
    <w:next w:val="Normal"/>
    <w:qFormat/>
    <w:pPr>
      <w:numPr>
        <w:numId w:val="23"/>
      </w:numPr>
      <w:tabs>
        <w:tab w:val="left" w:pos="391"/>
      </w:tabs>
      <w:spacing w:after="240" w:line="240" w:lineRule="auto"/>
      <w:jc w:val="both"/>
    </w:pPr>
    <w:rPr>
      <w:rFonts w:ascii="Times New Roman Bold" w:eastAsia="Times New Roman" w:hAnsi="Times New Roman Bold" w:cs="Times New Roman"/>
      <w:b/>
      <w:smallCaps/>
      <w:color w:val="548DD4"/>
      <w:sz w:val="28"/>
      <w:szCs w:val="28"/>
      <w:lang w:val="en-GB"/>
    </w:rPr>
  </w:style>
  <w:style w:type="table" w:customStyle="1" w:styleId="Deloitte3">
    <w:name w:val="Deloitte3"/>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pterTitleChar">
    <w:name w:val="ChapterTitle Char"/>
    <w:basedOn w:val="DefaultParagraphFont"/>
    <w:link w:val="ChapterTitle"/>
    <w:rPr>
      <w:rFonts w:ascii="Times New Roman" w:eastAsia="Times New Roman" w:hAnsi="Times New Roman" w:cs="Times New Roman"/>
      <w:b/>
      <w:sz w:val="32"/>
      <w:szCs w:val="20"/>
      <w:lang w:val="en-GB"/>
    </w:rPr>
  </w:style>
  <w:style w:type="table" w:customStyle="1" w:styleId="CV111">
    <w:name w:val="CV1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rPr>
  </w:style>
  <w:style w:type="character" w:customStyle="1" w:styleId="ListParagraphChar">
    <w:name w:val="List Paragraph Char"/>
    <w:aliases w:val="List1 Char,List11 Char,List111 Char,List1111 Char,List11111 Char,1st level - Bullet List Paragraph Char,List Paragraph1 Char,Lettre d'introduction Char,Normal bullet 2 Char,Medium Grid 1 - Accent 21 Char,List Paragraph11 Char"/>
    <w:link w:val="ListParagraph"/>
    <w:uiPriority w:val="34"/>
    <w:qFormat/>
    <w:rPr>
      <w:rFonts w:ascii="Times New Roman" w:eastAsia="Times New Roman" w:hAnsi="Times New Roman" w:cs="Times New Roman"/>
      <w:sz w:val="24"/>
      <w:szCs w:val="20"/>
      <w:lang w:val="en-GB"/>
    </w:rPr>
  </w:style>
  <w:style w:type="table" w:customStyle="1" w:styleId="Deloitte11">
    <w:name w:val="Deloitte11"/>
    <w:basedOn w:val="TableNormal"/>
    <w:next w:val="TableGrid"/>
    <w:uiPriority w:val="39"/>
    <w:pPr>
      <w:spacing w:after="0" w:line="240" w:lineRule="auto"/>
    </w:pPr>
    <w:rPr>
      <w:rFonts w:ascii="Verdana" w:eastAsia="Times New Roman" w:hAnsi="Verdana"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PSP">
    <w:name w:val="Bullet PSP"/>
    <w:basedOn w:val="Normal"/>
    <w:link w:val="BulletPSPChar"/>
    <w:qFormat/>
    <w:pPr>
      <w:numPr>
        <w:numId w:val="24"/>
      </w:numPr>
      <w:spacing w:before="120" w:after="160" w:line="259" w:lineRule="auto"/>
      <w:contextualSpacing/>
      <w:jc w:val="both"/>
    </w:pPr>
    <w:rPr>
      <w:rFonts w:ascii="Calibri" w:eastAsia="Times New Roman" w:hAnsi="Calibri" w:cs="Times New Roman"/>
      <w:color w:val="000000"/>
      <w:sz w:val="24"/>
      <w:lang w:val="en-IE"/>
    </w:rPr>
  </w:style>
  <w:style w:type="character" w:customStyle="1" w:styleId="BulletPSPChar">
    <w:name w:val="Bullet PSP Char"/>
    <w:link w:val="BulletPSP"/>
    <w:rPr>
      <w:rFonts w:ascii="Calibri" w:eastAsia="Times New Roman" w:hAnsi="Calibri" w:cs="Times New Roman"/>
      <w:color w:val="000000"/>
      <w:sz w:val="24"/>
      <w:lang w:val="en-IE"/>
    </w:rPr>
  </w:style>
  <w:style w:type="table" w:customStyle="1" w:styleId="ListTable311">
    <w:name w:val="List Table 311"/>
    <w:basedOn w:val="TableNormal"/>
    <w:uiPriority w:val="48"/>
    <w:pPr>
      <w:spacing w:after="0" w:line="240" w:lineRule="auto"/>
    </w:pPr>
    <w:rPr>
      <w:rFonts w:ascii="Verdana" w:eastAsia="Times New Roman" w:hAnsi="Verdana" w:cs="Times New Roman"/>
      <w:sz w:val="20"/>
      <w:szCs w:val="20"/>
      <w:lang w:val="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4-Accent11">
    <w:name w:val="Grid Table 4 - Accent 11"/>
    <w:basedOn w:val="TableNormal"/>
    <w:uiPriority w:val="49"/>
    <w:pPr>
      <w:spacing w:after="0" w:line="240" w:lineRule="auto"/>
    </w:pPr>
    <w:rPr>
      <w:rFonts w:ascii="Verdana" w:eastAsia="Times New Roman" w:hAnsi="Verdana" w:cs="Times New Roman"/>
      <w:sz w:val="20"/>
      <w:szCs w:val="20"/>
      <w:lang w:val="en-US"/>
    </w:rPr>
    <w:tblPr>
      <w:tblStyleRowBandSize w:val="1"/>
      <w:tblStyleColBandSize w:val="1"/>
      <w:tblInd w:w="0" w:type="dxa"/>
      <w:tblBorders>
        <w:top w:val="single" w:sz="4" w:space="0" w:color="B9E370"/>
        <w:left w:val="single" w:sz="4" w:space="0" w:color="B9E370"/>
        <w:bottom w:val="single" w:sz="4" w:space="0" w:color="B9E370"/>
        <w:right w:val="single" w:sz="4" w:space="0" w:color="B9E370"/>
        <w:insideH w:val="single" w:sz="4" w:space="0" w:color="B9E370"/>
        <w:insideV w:val="single" w:sz="4" w:space="0" w:color="B9E370"/>
      </w:tblBorders>
      <w:tblCellMar>
        <w:top w:w="0" w:type="dxa"/>
        <w:left w:w="108" w:type="dxa"/>
        <w:bottom w:w="0" w:type="dxa"/>
        <w:right w:w="108" w:type="dxa"/>
      </w:tblCellMar>
    </w:tblPr>
    <w:tblStylePr w:type="firstRow">
      <w:rPr>
        <w:b/>
        <w:bCs/>
        <w:color w:val="FFFFFF"/>
      </w:rPr>
      <w:tblPr/>
      <w:tcPr>
        <w:tcBorders>
          <w:top w:val="single" w:sz="4" w:space="0" w:color="86BC25"/>
          <w:left w:val="single" w:sz="4" w:space="0" w:color="86BC25"/>
          <w:bottom w:val="single" w:sz="4" w:space="0" w:color="86BC25"/>
          <w:right w:val="single" w:sz="4" w:space="0" w:color="86BC25"/>
          <w:insideH w:val="nil"/>
          <w:insideV w:val="nil"/>
        </w:tcBorders>
        <w:shd w:val="clear" w:color="auto" w:fill="86BC25"/>
      </w:tcPr>
    </w:tblStylePr>
    <w:tblStylePr w:type="lastRow">
      <w:rPr>
        <w:b/>
        <w:bCs/>
      </w:rPr>
      <w:tblPr/>
      <w:tcPr>
        <w:tcBorders>
          <w:top w:val="double" w:sz="4" w:space="0" w:color="86BC25"/>
        </w:tcBorders>
      </w:tcPr>
    </w:tblStylePr>
    <w:tblStylePr w:type="firstCol">
      <w:rPr>
        <w:b/>
        <w:bCs/>
      </w:rPr>
    </w:tblStylePr>
    <w:tblStylePr w:type="lastCol">
      <w:rPr>
        <w:b/>
        <w:bCs/>
      </w:rPr>
    </w:tblStylePr>
    <w:tblStylePr w:type="band1Vert">
      <w:tblPr/>
      <w:tcPr>
        <w:shd w:val="clear" w:color="auto" w:fill="E7F5CF"/>
      </w:tcPr>
    </w:tblStylePr>
    <w:tblStylePr w:type="band1Horz">
      <w:tblPr/>
      <w:tcPr>
        <w:shd w:val="clear" w:color="auto" w:fill="E7F5CF"/>
      </w:tcPr>
    </w:tblStyle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val="fr-FR" w:eastAsia="fr-FR"/>
    </w:rPr>
  </w:style>
  <w:style w:type="table" w:customStyle="1" w:styleId="ListTable3121">
    <w:name w:val="List Table 3121"/>
    <w:basedOn w:val="TableNormal"/>
    <w:uiPriority w:val="48"/>
    <w:pPr>
      <w:spacing w:after="0" w:line="240" w:lineRule="auto"/>
    </w:pPr>
    <w:rPr>
      <w:rFonts w:ascii="Verdana" w:eastAsia="Times New Roman" w:hAnsi="Verdana" w:cs="Times New Roman"/>
      <w:sz w:val="20"/>
      <w:szCs w:val="20"/>
      <w:lang w:val="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13">
    <w:name w:val="List Table 313"/>
    <w:basedOn w:val="TableNormal"/>
    <w:uiPriority w:val="48"/>
    <w:pPr>
      <w:spacing w:after="0" w:line="240" w:lineRule="auto"/>
    </w:pPr>
    <w:rPr>
      <w:rFonts w:ascii="Verdana" w:eastAsia="Times New Roman" w:hAnsi="Verdana" w:cs="Times New Roman"/>
      <w:sz w:val="20"/>
      <w:szCs w:val="20"/>
      <w:lang w:val="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14">
    <w:name w:val="List Table 314"/>
    <w:basedOn w:val="TableNormal"/>
    <w:uiPriority w:val="48"/>
    <w:pPr>
      <w:spacing w:after="0" w:line="240" w:lineRule="auto"/>
    </w:pPr>
    <w:rPr>
      <w:rFonts w:ascii="Verdana" w:eastAsia="Times New Roman" w:hAnsi="Verdana" w:cs="Times New Roman"/>
      <w:sz w:val="20"/>
      <w:szCs w:val="20"/>
      <w:lang w:val="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15">
    <w:name w:val="List Table 315"/>
    <w:basedOn w:val="TableNormal"/>
    <w:uiPriority w:val="48"/>
    <w:pPr>
      <w:spacing w:after="0" w:line="240" w:lineRule="auto"/>
    </w:pPr>
    <w:rPr>
      <w:rFonts w:ascii="Verdana" w:eastAsia="Times New Roman" w:hAnsi="Verdana" w:cs="Times New Roman"/>
      <w:sz w:val="20"/>
      <w:szCs w:val="20"/>
      <w:lang w:val="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lang w:val="en-GB"/>
    </w:rPr>
  </w:style>
  <w:style w:type="table" w:customStyle="1" w:styleId="Deloitte21">
    <w:name w:val="Deloitte2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ne7">
    <w:name w:val="none7"/>
    <w:basedOn w:val="TableNormal"/>
    <w:next w:val="TableGrid"/>
    <w:uiPriority w:val="59"/>
    <w:pPr>
      <w:spacing w:after="0" w:line="240" w:lineRule="auto"/>
    </w:pPr>
    <w:rPr>
      <w:rFonts w:ascii="Verdana" w:eastAsia="Times New Roman" w:hAnsi="Verdana" w:cs="Times New Roman"/>
      <w:sz w:val="18"/>
      <w:szCs w:val="20"/>
      <w:lang w:val="nl-BE" w:eastAsia="nl-BE"/>
    </w:rPr>
    <w:tblPr>
      <w:tblStyleRow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ascii="Verdana" w:hAnsi="Verdana"/>
        <w:b/>
        <w:color w:val="FFFFFF"/>
        <w:sz w:val="18"/>
      </w:rPr>
      <w:tblPr/>
      <w:tcPr>
        <w:shd w:val="clear" w:color="auto" w:fill="00AEF0"/>
      </w:tcPr>
    </w:tblStylePr>
    <w:tblStylePr w:type="band1Horz">
      <w:rPr>
        <w:sz w:val="18"/>
      </w:rPr>
    </w:tblStylePr>
  </w:style>
  <w:style w:type="table" w:customStyle="1" w:styleId="none6">
    <w:name w:val="none6"/>
    <w:basedOn w:val="TableNormal"/>
    <w:next w:val="TableGrid"/>
    <w:uiPriority w:val="59"/>
    <w:pPr>
      <w:spacing w:after="0" w:line="240" w:lineRule="auto"/>
    </w:pPr>
    <w:rPr>
      <w:rFonts w:ascii="Verdana" w:eastAsia="Times New Roman" w:hAnsi="Verdana" w:cs="Times New Roman"/>
      <w:sz w:val="18"/>
      <w:szCs w:val="20"/>
      <w:lang w:val="nl-BE" w:eastAsia="nl-BE"/>
    </w:rPr>
    <w:tblPr>
      <w:tblStyleRow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ascii="Verdana" w:hAnsi="Verdana"/>
        <w:b/>
        <w:color w:val="FFFFFF"/>
        <w:sz w:val="18"/>
      </w:rPr>
      <w:tblPr/>
      <w:tcPr>
        <w:shd w:val="clear" w:color="auto" w:fill="00AEF0"/>
      </w:tcPr>
    </w:tblStylePr>
    <w:tblStylePr w:type="band1Horz">
      <w:rPr>
        <w:sz w:val="18"/>
      </w:rPr>
    </w:tblStylePr>
  </w:style>
  <w:style w:type="paragraph" w:customStyle="1" w:styleId="AnnexHeading2">
    <w:name w:val="Annex Heading 2"/>
    <w:basedOn w:val="Normal"/>
    <w:next w:val="Normal"/>
    <w:autoRedefine/>
    <w:qFormat/>
    <w:pPr>
      <w:keepNext/>
      <w:keepLines/>
      <w:spacing w:before="120" w:after="240" w:line="240" w:lineRule="auto"/>
      <w:ind w:left="-426"/>
      <w:jc w:val="both"/>
      <w:outlineLvl w:val="1"/>
    </w:pPr>
    <w:rPr>
      <w:rFonts w:ascii="Times New Roman" w:eastAsia="Times New Roman" w:hAnsi="Times New Roman" w:cs="Times New Roman"/>
      <w:b/>
      <w:bCs/>
      <w:szCs w:val="28"/>
      <w:lang w:val="en-GB" w:eastAsia="nl-BE"/>
    </w:rPr>
  </w:style>
  <w:style w:type="table" w:customStyle="1" w:styleId="none1">
    <w:name w:val="none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35"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Text3"/>
    <w:link w:val="Heading3Char"/>
    <w:qFormat/>
    <w:pPr>
      <w:keepNext/>
      <w:spacing w:after="240" w:line="240" w:lineRule="auto"/>
      <w:jc w:val="both"/>
      <w:outlineLvl w:val="2"/>
    </w:pPr>
    <w:rPr>
      <w:rFonts w:ascii="Times New Roman" w:eastAsia="Times New Roman" w:hAnsi="Times New Roman" w:cs="Times New Roman"/>
      <w:i/>
      <w:sz w:val="24"/>
      <w:szCs w:val="20"/>
      <w:lang w:val="en-GB"/>
    </w:rPr>
  </w:style>
  <w:style w:type="paragraph" w:styleId="Heading4">
    <w:name w:val="heading 4"/>
    <w:basedOn w:val="Normal"/>
    <w:next w:val="Normal"/>
    <w:link w:val="Heading4Char"/>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pPr>
      <w:tabs>
        <w:tab w:val="num" w:pos="0"/>
      </w:tabs>
      <w:spacing w:before="240" w:after="60" w:line="240" w:lineRule="auto"/>
      <w:jc w:val="both"/>
      <w:outlineLvl w:val="4"/>
    </w:pPr>
    <w:rPr>
      <w:rFonts w:ascii="Arial" w:eastAsia="Times New Roman" w:hAnsi="Arial" w:cs="Times New Roman"/>
      <w:szCs w:val="20"/>
      <w:lang w:val="en-GB"/>
    </w:rPr>
  </w:style>
  <w:style w:type="paragraph" w:styleId="Heading6">
    <w:name w:val="heading 6"/>
    <w:basedOn w:val="Normal"/>
    <w:next w:val="Normal"/>
    <w:link w:val="Heading6Char"/>
    <w:qFormat/>
    <w:pPr>
      <w:tabs>
        <w:tab w:val="num" w:pos="0"/>
      </w:tabs>
      <w:spacing w:before="240" w:after="60" w:line="240" w:lineRule="auto"/>
      <w:jc w:val="both"/>
      <w:outlineLvl w:val="5"/>
    </w:pPr>
    <w:rPr>
      <w:rFonts w:ascii="Arial" w:eastAsia="Times New Roman" w:hAnsi="Arial" w:cs="Times New Roman"/>
      <w:i/>
      <w:szCs w:val="20"/>
      <w:lang w:val="en-GB"/>
    </w:rPr>
  </w:style>
  <w:style w:type="paragraph" w:styleId="Heading7">
    <w:name w:val="heading 7"/>
    <w:basedOn w:val="Normal"/>
    <w:next w:val="Normal"/>
    <w:link w:val="Heading7Char"/>
    <w:qFormat/>
    <w:pPr>
      <w:tabs>
        <w:tab w:val="num" w:pos="0"/>
      </w:tabs>
      <w:spacing w:before="240" w:after="60" w:line="240" w:lineRule="auto"/>
      <w:jc w:val="both"/>
      <w:outlineLvl w:val="6"/>
    </w:pPr>
    <w:rPr>
      <w:rFonts w:ascii="Arial" w:eastAsia="Times New Roman" w:hAnsi="Arial" w:cs="Times New Roman"/>
      <w:sz w:val="20"/>
      <w:szCs w:val="20"/>
      <w:lang w:val="en-GB"/>
    </w:rPr>
  </w:style>
  <w:style w:type="paragraph" w:styleId="Heading8">
    <w:name w:val="heading 8"/>
    <w:basedOn w:val="Normal"/>
    <w:next w:val="Normal"/>
    <w:link w:val="Heading8Char"/>
    <w:qFormat/>
    <w:pPr>
      <w:tabs>
        <w:tab w:val="num" w:pos="0"/>
      </w:tabs>
      <w:spacing w:before="240" w:after="60" w:line="240" w:lineRule="auto"/>
      <w:jc w:val="both"/>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pPr>
      <w:tabs>
        <w:tab w:val="num" w:pos="0"/>
      </w:tabs>
      <w:spacing w:before="240" w:after="60" w:line="240" w:lineRule="auto"/>
      <w:jc w:val="both"/>
      <w:outlineLvl w:val="8"/>
    </w:pPr>
    <w:rPr>
      <w:rFonts w:ascii="Arial" w:eastAsia="Times New Roman" w:hAnsi="Arial" w:cs="Times New Roman"/>
      <w:i/>
      <w:sz w:val="18"/>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qFormat/>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TabelEcorys,CV table,Deloitte,Table Grid IDEA,Table EY,none"/>
    <w:basedOn w:val="TableNormal"/>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fr"/>
    <w:link w:val="FootnotesymbolCharCharCharChar"/>
    <w:uiPriority w:val="99"/>
    <w:unhideWhenUsed/>
    <w:qFormat/>
    <w:rPr>
      <w:sz w:val="20"/>
      <w:vertAlign w:val="superscript"/>
    </w:rPr>
  </w:style>
  <w:style w:type="paragraph" w:styleId="ListParagraph">
    <w:name w:val="List Paragraph"/>
    <w:aliases w:val="List1,List11,List111,List1111,List11111,1st level - Bullet List Paragraph,List Paragraph1,Lettre d'introduction,Normal bullet 2,Medium Grid 1 - Accent 21,List Paragraph11,FooterText,Paragraphe de liste1,Bullet list,List2,List Paragraph2"/>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pPr>
      <w:spacing w:after="160" w:line="240" w:lineRule="exact"/>
    </w:pPr>
    <w:rPr>
      <w:sz w:val="20"/>
      <w:vertAlign w:val="superscript"/>
    </w:rPr>
  </w:style>
  <w:style w:type="table" w:customStyle="1" w:styleId="Deloitte1">
    <w:name w:val="Deloitte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Point0number">
    <w:name w:val="Point 0 (number)"/>
    <w:basedOn w:val="Normal"/>
    <w:pPr>
      <w:numPr>
        <w:numId w:val="5"/>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Normal"/>
    <w:pPr>
      <w:numPr>
        <w:ilvl w:val="2"/>
        <w:numId w:val="5"/>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Normal"/>
    <w:pPr>
      <w:numPr>
        <w:ilvl w:val="4"/>
        <w:numId w:val="5"/>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Normal"/>
    <w:pPr>
      <w:numPr>
        <w:ilvl w:val="6"/>
        <w:numId w:val="5"/>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Normal"/>
    <w:pPr>
      <w:numPr>
        <w:ilvl w:val="1"/>
        <w:numId w:val="5"/>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Normal"/>
    <w:pPr>
      <w:numPr>
        <w:ilvl w:val="3"/>
        <w:numId w:val="5"/>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Normal"/>
    <w:pPr>
      <w:numPr>
        <w:ilvl w:val="5"/>
        <w:numId w:val="5"/>
      </w:numPr>
      <w:spacing w:before="120" w:after="120" w:line="240" w:lineRule="auto"/>
      <w:jc w:val="both"/>
    </w:pPr>
    <w:rPr>
      <w:rFonts w:ascii="Times New Roman" w:hAnsi="Times New Roman" w:cs="Times New Roman"/>
      <w:sz w:val="24"/>
      <w:lang w:val="en-GB"/>
    </w:rPr>
  </w:style>
  <w:style w:type="paragraph" w:customStyle="1" w:styleId="Point3letter">
    <w:name w:val="Point 3 (letter)"/>
    <w:basedOn w:val="Normal"/>
    <w:pPr>
      <w:numPr>
        <w:ilvl w:val="7"/>
        <w:numId w:val="5"/>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Normal"/>
    <w:pPr>
      <w:numPr>
        <w:ilvl w:val="8"/>
        <w:numId w:val="5"/>
      </w:numPr>
      <w:spacing w:before="120" w:after="120" w:line="240" w:lineRule="auto"/>
      <w:jc w:val="both"/>
    </w:pPr>
    <w:rPr>
      <w:rFonts w:ascii="Times New Roman" w:hAnsi="Times New Roman" w:cs="Times New Roman"/>
      <w:sz w:val="24"/>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ody">
    <w:name w:val="Body"/>
    <w:basedOn w:val="Normal"/>
    <w:link w:val="BodyChar"/>
    <w:qFormat/>
    <w:pPr>
      <w:spacing w:before="120" w:after="120" w:line="240" w:lineRule="auto"/>
      <w:jc w:val="both"/>
    </w:pPr>
    <w:rPr>
      <w:rFonts w:ascii="Verdana" w:eastAsia="Times New Roman" w:hAnsi="Verdana" w:cs="Times New Roman"/>
      <w:sz w:val="20"/>
      <w:szCs w:val="20"/>
      <w:lang w:val="en-GB"/>
    </w:rPr>
  </w:style>
  <w:style w:type="character" w:customStyle="1" w:styleId="BodyChar">
    <w:name w:val="Body Char"/>
    <w:link w:val="Body"/>
    <w:locked/>
    <w:rPr>
      <w:rFonts w:ascii="Verdana" w:eastAsia="Times New Roman" w:hAnsi="Verdana" w:cs="Times New Roman"/>
      <w:sz w:val="20"/>
      <w:szCs w:val="20"/>
      <w:lang w:val="en-GB"/>
    </w:rPr>
  </w:style>
  <w:style w:type="paragraph" w:styleId="EndnoteText">
    <w:name w:val="endnote text"/>
    <w:basedOn w:val="Normal"/>
    <w:link w:val="EndnoteTextChar"/>
    <w:semiHidden/>
    <w:unhideWhenUsed/>
    <w:pPr>
      <w:spacing w:after="0" w:line="240" w:lineRule="auto"/>
    </w:pPr>
    <w:rPr>
      <w:sz w:val="20"/>
      <w:szCs w:val="20"/>
    </w:rPr>
  </w:style>
  <w:style w:type="character" w:customStyle="1" w:styleId="EndnoteTextChar">
    <w:name w:val="Endnote Text Char"/>
    <w:basedOn w:val="DefaultParagraphFont"/>
    <w:link w:val="EndnoteText"/>
    <w:semiHidden/>
    <w:rPr>
      <w:sz w:val="20"/>
      <w:szCs w:val="20"/>
    </w:rPr>
  </w:style>
  <w:style w:type="table" w:customStyle="1" w:styleId="ListTable31">
    <w:name w:val="List Table 31"/>
    <w:basedOn w:val="TableNormal"/>
    <w:uiPriority w:val="48"/>
    <w:pPr>
      <w:spacing w:after="0" w:line="240" w:lineRule="auto"/>
    </w:pPr>
    <w:rPr>
      <w:rFonts w:ascii="Verdana" w:eastAsia="Times New Roman" w:hAnsi="Verdana" w:cs="Times New Roman"/>
      <w:sz w:val="20"/>
      <w:szCs w:val="20"/>
      <w:lang w:val="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12">
    <w:name w:val="List Table 312"/>
    <w:basedOn w:val="TableNormal"/>
    <w:uiPriority w:val="48"/>
    <w:pPr>
      <w:spacing w:after="0" w:line="240" w:lineRule="auto"/>
    </w:pPr>
    <w:rPr>
      <w:rFonts w:ascii="Verdana" w:eastAsia="Times New Roman" w:hAnsi="Verdana" w:cs="Times New Roman"/>
      <w:sz w:val="20"/>
      <w:szCs w:val="20"/>
      <w:lang w:val="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jc w:val="both"/>
    </w:pPr>
    <w:rPr>
      <w:vertAlign w:val="superscript"/>
    </w:rPr>
  </w:style>
  <w:style w:type="character" w:customStyle="1" w:styleId="CaptionChar">
    <w:name w:val="Caption Char"/>
    <w:aliases w:val="Char Char Char Char,Caption1 Char Char Char Char Char Char Char Char Tegn Tegn Tegn Tegn Tegn Char,Caption1 Char Char Char Char Char Char Char Char Tegn Tegn Tegn Char,Caption1 Char Char Char Char Char Char Char Char Tegn Tegn Char,Ch Char"/>
    <w:basedOn w:val="DefaultParagraphFont"/>
    <w:link w:val="Caption"/>
    <w:uiPriority w:val="35"/>
    <w:locked/>
    <w:rPr>
      <w:rFonts w:ascii="Verdana" w:hAnsi="Verdana"/>
      <w:b/>
      <w:sz w:val="18"/>
      <w:lang w:val="fr-FR"/>
    </w:rPr>
  </w:style>
  <w:style w:type="paragraph" w:styleId="Caption">
    <w:name w:val="caption"/>
    <w:aliases w:val="Char Char Char,Caption1 Char Char Char Char Char Char Char Char Tegn Tegn Tegn Tegn Tegn,Caption1 Char Char Char Char Char Char Char Char Tegn Tegn Tegn,Caption1 Char Char Char Char Char Char Char Char Tegn Tegn,Ch,Inscription,C,Caption PSP"/>
    <w:basedOn w:val="Normal"/>
    <w:next w:val="Normal"/>
    <w:link w:val="CaptionChar"/>
    <w:uiPriority w:val="35"/>
    <w:unhideWhenUsed/>
    <w:qFormat/>
    <w:pPr>
      <w:keepNext/>
      <w:spacing w:before="120" w:after="120" w:line="240" w:lineRule="auto"/>
      <w:jc w:val="both"/>
    </w:pPr>
    <w:rPr>
      <w:rFonts w:ascii="Verdana" w:hAnsi="Verdana"/>
      <w:b/>
      <w:sz w:val="18"/>
      <w:lang w:val="fr-FR"/>
    </w:rPr>
  </w:style>
  <w:style w:type="character" w:customStyle="1" w:styleId="Bulletpoint1Char">
    <w:name w:val="Bullet point1 Char"/>
    <w:basedOn w:val="DefaultParagraphFont"/>
    <w:link w:val="Bulletpoint1"/>
    <w:locked/>
    <w:rPr>
      <w:rFonts w:ascii="Verdana" w:hAnsi="Verdana"/>
      <w:lang w:val="en-GB"/>
    </w:rPr>
  </w:style>
  <w:style w:type="paragraph" w:customStyle="1" w:styleId="Bulletpoint1">
    <w:name w:val="Bullet point1"/>
    <w:basedOn w:val="NormalIndent"/>
    <w:link w:val="Bulletpoint1Char"/>
    <w:qFormat/>
    <w:pPr>
      <w:spacing w:before="60" w:after="60" w:line="240" w:lineRule="auto"/>
      <w:ind w:left="1760" w:hanging="360"/>
      <w:jc w:val="both"/>
    </w:pPr>
    <w:rPr>
      <w:rFonts w:ascii="Verdana" w:hAnsi="Verdana"/>
      <w:lang w:val="en-GB"/>
    </w:rPr>
  </w:style>
  <w:style w:type="paragraph" w:styleId="NormalIndent">
    <w:name w:val="Normal Indent"/>
    <w:basedOn w:val="Normal"/>
    <w:unhideWhenUsed/>
    <w:pPr>
      <w:ind w:left="720"/>
    </w:pPr>
  </w:style>
  <w:style w:type="paragraph" w:customStyle="1" w:styleId="ListDash">
    <w:name w:val="List Dash"/>
    <w:basedOn w:val="Normal"/>
    <w:pPr>
      <w:numPr>
        <w:numId w:val="6"/>
      </w:numPr>
      <w:spacing w:after="240" w:line="240" w:lineRule="auto"/>
      <w:jc w:val="both"/>
    </w:pPr>
    <w:rPr>
      <w:rFonts w:ascii="Times New Roman" w:eastAsia="Times New Roman" w:hAnsi="Times New Roman" w:cs="Times New Roman"/>
      <w:sz w:val="24"/>
      <w:szCs w:val="20"/>
      <w:lang w:val="fr-FR"/>
    </w:rPr>
  </w:style>
  <w:style w:type="table" w:customStyle="1" w:styleId="Deloitte2">
    <w:name w:val="Deloitte2"/>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BulletBodyChar">
    <w:name w:val="Bullet Body Char"/>
    <w:basedOn w:val="BodyChar"/>
    <w:link w:val="BulletBody"/>
    <w:locked/>
    <w:rPr>
      <w:rFonts w:ascii="Verdana" w:eastAsia="Times New Roman" w:hAnsi="Verdana" w:cs="EUAlbertina"/>
      <w:color w:val="000000"/>
      <w:sz w:val="20"/>
      <w:szCs w:val="19"/>
      <w:lang w:val="en-GB" w:eastAsia="ro-RO"/>
    </w:rPr>
  </w:style>
  <w:style w:type="paragraph" w:customStyle="1" w:styleId="BulletBody">
    <w:name w:val="Bullet Body"/>
    <w:basedOn w:val="Body"/>
    <w:link w:val="BulletBodyChar"/>
    <w:qFormat/>
    <w:rPr>
      <w:rFonts w:eastAsiaTheme="minorHAnsi" w:cs="EUAlbertina"/>
      <w:color w:val="000000"/>
      <w:sz w:val="22"/>
      <w:szCs w:val="19"/>
      <w:lang w:eastAsia="ro-RO"/>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en-GB"/>
    </w:rPr>
  </w:style>
  <w:style w:type="character" w:customStyle="1" w:styleId="Heading5Char">
    <w:name w:val="Heading 5 Char"/>
    <w:basedOn w:val="DefaultParagraphFont"/>
    <w:link w:val="Heading5"/>
    <w:rPr>
      <w:rFonts w:ascii="Arial" w:eastAsia="Times New Roman" w:hAnsi="Arial" w:cs="Times New Roman"/>
      <w:szCs w:val="20"/>
      <w:lang w:val="en-GB"/>
    </w:rPr>
  </w:style>
  <w:style w:type="character" w:customStyle="1" w:styleId="Heading6Char">
    <w:name w:val="Heading 6 Char"/>
    <w:basedOn w:val="DefaultParagraphFont"/>
    <w:link w:val="Heading6"/>
    <w:rPr>
      <w:rFonts w:ascii="Arial" w:eastAsia="Times New Roman" w:hAnsi="Arial" w:cs="Times New Roman"/>
      <w:i/>
      <w:szCs w:val="20"/>
      <w:lang w:val="en-GB"/>
    </w:rPr>
  </w:style>
  <w:style w:type="character" w:customStyle="1" w:styleId="Heading7Char">
    <w:name w:val="Heading 7 Char"/>
    <w:basedOn w:val="DefaultParagraphFont"/>
    <w:link w:val="Heading7"/>
    <w:rPr>
      <w:rFonts w:ascii="Arial" w:eastAsia="Times New Roman" w:hAnsi="Arial" w:cs="Times New Roman"/>
      <w:sz w:val="20"/>
      <w:szCs w:val="20"/>
      <w:lang w:val="en-GB"/>
    </w:rPr>
  </w:style>
  <w:style w:type="character" w:customStyle="1" w:styleId="Heading8Char">
    <w:name w:val="Heading 8 Char"/>
    <w:basedOn w:val="DefaultParagraphFont"/>
    <w:link w:val="Heading8"/>
    <w:rPr>
      <w:rFonts w:ascii="Arial" w:eastAsia="Times New Roman" w:hAnsi="Arial" w:cs="Times New Roman"/>
      <w:i/>
      <w:sz w:val="20"/>
      <w:szCs w:val="20"/>
      <w:lang w:val="en-GB"/>
    </w:rPr>
  </w:style>
  <w:style w:type="character" w:customStyle="1" w:styleId="Heading9Char">
    <w:name w:val="Heading 9 Char"/>
    <w:basedOn w:val="DefaultParagraphFont"/>
    <w:link w:val="Heading9"/>
    <w:rPr>
      <w:rFonts w:ascii="Arial" w:eastAsia="Times New Roman" w:hAnsi="Arial" w:cs="Times New Roman"/>
      <w:i/>
      <w:sz w:val="18"/>
      <w:szCs w:val="20"/>
      <w:lang w:val="en-GB"/>
    </w:rPr>
  </w:style>
  <w:style w:type="numbering" w:customStyle="1" w:styleId="NoList1">
    <w:name w:val="No List1"/>
    <w:next w:val="NoList"/>
    <w:uiPriority w:val="99"/>
    <w:semiHidden/>
    <w:unhideWhenUsed/>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val="en-GB"/>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lang w:val="en-GB"/>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lang w:val="en-GB"/>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lang w:val="en-GB"/>
    </w:rPr>
  </w:style>
  <w:style w:type="paragraph" w:styleId="BodyText">
    <w:name w:val="Body Text"/>
    <w:basedOn w:val="Normal"/>
    <w:link w:val="BodyTextChar"/>
    <w:pPr>
      <w:spacing w:after="120" w:line="24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lang w:val="en-GB"/>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lang w:val="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customStyle="1" w:styleId="ChapterTitle">
    <w:name w:val="ChapterTitle"/>
    <w:basedOn w:val="Normal"/>
    <w:next w:val="SectionTitle"/>
    <w:link w:val="ChapterTitleChar"/>
    <w:pPr>
      <w:keepNext/>
      <w:spacing w:after="480" w:line="240" w:lineRule="auto"/>
      <w:jc w:val="center"/>
    </w:pPr>
    <w:rPr>
      <w:rFonts w:ascii="Times New Roman" w:eastAsia="Times New Roman" w:hAnsi="Times New Roman" w:cs="Times New Roman"/>
      <w:b/>
      <w:sz w:val="32"/>
      <w:szCs w:val="20"/>
      <w:lang w:val="en-GB"/>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lang w:val="en-GB"/>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lang w:val="en-GB"/>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cs="Times New Roman"/>
      <w:sz w:val="24"/>
      <w:szCs w:val="20"/>
      <w:lang w:val="en-GB"/>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lang w:val="en-GB"/>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lang w:val="en-GB"/>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Enclosures"/>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lang w:val="en-GB"/>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cs="Times New Roman"/>
      <w:sz w:val="24"/>
      <w:szCs w:val="20"/>
      <w:lang w:val="en-GB"/>
    </w:rPr>
  </w:style>
  <w:style w:type="paragraph" w:styleId="EnvelopeReturn">
    <w:name w:val="envelope return"/>
    <w:basedOn w:val="Normal"/>
    <w:pPr>
      <w:spacing w:after="0" w:line="240" w:lineRule="auto"/>
      <w:jc w:val="both"/>
    </w:pPr>
    <w:rPr>
      <w:rFonts w:ascii="Times New Roman" w:eastAsia="Times New Roman" w:hAnsi="Times New Roman" w:cs="Times New Roman"/>
      <w:sz w:val="20"/>
      <w:szCs w:val="20"/>
      <w:lang w:val="en-GB"/>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cs="Times New Roman"/>
      <w:sz w:val="24"/>
      <w:szCs w:val="20"/>
      <w:lang w:val="en-GB"/>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cs="Times New Roman"/>
      <w:sz w:val="24"/>
      <w:szCs w:val="20"/>
      <w:lang w:val="en-GB"/>
    </w:rPr>
  </w:style>
  <w:style w:type="paragraph" w:styleId="Index3">
    <w:name w:val="index 3"/>
    <w:basedOn w:val="Normal"/>
    <w:next w:val="Normal"/>
    <w:autoRedefine/>
    <w:pPr>
      <w:spacing w:after="240" w:line="240" w:lineRule="auto"/>
      <w:ind w:left="720" w:hanging="240"/>
      <w:jc w:val="both"/>
    </w:pPr>
    <w:rPr>
      <w:rFonts w:ascii="Times New Roman" w:eastAsia="Times New Roman" w:hAnsi="Times New Roman" w:cs="Times New Roman"/>
      <w:sz w:val="24"/>
      <w:szCs w:val="20"/>
      <w:lang w:val="en-GB"/>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cs="Times New Roman"/>
      <w:sz w:val="24"/>
      <w:szCs w:val="20"/>
      <w:lang w:val="en-GB"/>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lang w:val="en-GB"/>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lang w:val="en-GB"/>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lang w:val="en-GB"/>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lang w:val="en-GB"/>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lang w:val="en-GB"/>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lang w:val="en-GB"/>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lang w:val="en-GB"/>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lang w:val="en-GB"/>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lang w:val="en-GB"/>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lang w:val="en-GB"/>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lang w:val="en-GB"/>
    </w:rPr>
  </w:style>
  <w:style w:type="paragraph" w:styleId="ListBullet2">
    <w:name w:val="List Bullet 2"/>
    <w:basedOn w:val="Text2"/>
    <w:uiPriority w:val="99"/>
    <w:pPr>
      <w:numPr>
        <w:numId w:val="11"/>
      </w:numPr>
      <w:tabs>
        <w:tab w:val="clear" w:pos="2302"/>
      </w:tabs>
    </w:pPr>
  </w:style>
  <w:style w:type="paragraph" w:styleId="ListBullet3">
    <w:name w:val="List Bullet 3"/>
    <w:basedOn w:val="Text3"/>
    <w:uiPriority w:val="99"/>
    <w:pPr>
      <w:numPr>
        <w:numId w:val="12"/>
      </w:numPr>
      <w:tabs>
        <w:tab w:val="clear" w:pos="2302"/>
      </w:tabs>
    </w:pPr>
  </w:style>
  <w:style w:type="paragraph" w:styleId="ListBullet4">
    <w:name w:val="List Bullet 4"/>
    <w:basedOn w:val="Text4"/>
    <w:pPr>
      <w:numPr>
        <w:numId w:val="13"/>
      </w:numPr>
      <w:tabs>
        <w:tab w:val="clear" w:pos="2302"/>
      </w:tabs>
    </w:pPr>
  </w:style>
  <w:style w:type="paragraph" w:styleId="ListBullet5">
    <w:name w:val="List Bullet 5"/>
    <w:basedOn w:val="Normal"/>
    <w:autoRedefine/>
    <w:pPr>
      <w:numPr>
        <w:numId w:val="8"/>
      </w:numPr>
      <w:spacing w:after="240" w:line="240" w:lineRule="auto"/>
      <w:jc w:val="both"/>
    </w:pPr>
    <w:rPr>
      <w:rFonts w:ascii="Times New Roman" w:eastAsia="Times New Roman" w:hAnsi="Times New Roman" w:cs="Times New Roman"/>
      <w:sz w:val="24"/>
      <w:szCs w:val="20"/>
      <w:lang w:val="en-GB"/>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lang w:val="en-GB"/>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lang w:val="en-GB"/>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lang w:val="en-GB"/>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lang w:val="en-GB"/>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lang w:val="en-GB"/>
    </w:rPr>
  </w:style>
  <w:style w:type="paragraph" w:styleId="ListNumber">
    <w:name w:val="List Number"/>
    <w:basedOn w:val="Normal"/>
    <w:pPr>
      <w:numPr>
        <w:numId w:val="17"/>
      </w:numPr>
      <w:spacing w:after="240" w:line="240" w:lineRule="auto"/>
      <w:jc w:val="both"/>
    </w:pPr>
    <w:rPr>
      <w:rFonts w:ascii="Times New Roman" w:eastAsia="Times New Roman" w:hAnsi="Times New Roman" w:cs="Times New Roman"/>
      <w:sz w:val="24"/>
      <w:szCs w:val="20"/>
      <w:lang w:val="en-GB"/>
    </w:rPr>
  </w:style>
  <w:style w:type="paragraph" w:styleId="ListNumber2">
    <w:name w:val="List Number 2"/>
    <w:basedOn w:val="Text2"/>
    <w:pPr>
      <w:numPr>
        <w:numId w:val="19"/>
      </w:numPr>
      <w:tabs>
        <w:tab w:val="clear" w:pos="2302"/>
      </w:tabs>
    </w:pPr>
  </w:style>
  <w:style w:type="paragraph" w:styleId="ListNumber3">
    <w:name w:val="List Number 3"/>
    <w:basedOn w:val="Text3"/>
    <w:pPr>
      <w:numPr>
        <w:numId w:val="20"/>
      </w:numPr>
      <w:tabs>
        <w:tab w:val="clear" w:pos="2302"/>
      </w:tabs>
    </w:pPr>
  </w:style>
  <w:style w:type="paragraph" w:styleId="ListNumber4">
    <w:name w:val="List Number 4"/>
    <w:basedOn w:val="Text4"/>
    <w:pPr>
      <w:numPr>
        <w:numId w:val="21"/>
      </w:numPr>
      <w:tabs>
        <w:tab w:val="clear" w:pos="2302"/>
      </w:tabs>
    </w:pPr>
  </w:style>
  <w:style w:type="paragraph" w:styleId="ListNumber5">
    <w:name w:val="List Number 5"/>
    <w:basedOn w:val="Normal"/>
    <w:pPr>
      <w:numPr>
        <w:numId w:val="9"/>
      </w:numPr>
      <w:spacing w:after="240" w:line="240" w:lineRule="auto"/>
      <w:jc w:val="both"/>
    </w:pPr>
    <w:rPr>
      <w:rFonts w:ascii="Times New Roman" w:eastAsia="Times New Roman" w:hAnsi="Times New Roman" w:cs="Times New Roman"/>
      <w:sz w:val="24"/>
      <w:szCs w:val="20"/>
      <w:lang w:val="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val="en-GB"/>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lang w:val="en-GB"/>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cs="Times New Roman"/>
      <w:b/>
      <w:smallCaps/>
      <w:sz w:val="24"/>
      <w:szCs w:val="20"/>
      <w:lang w:val="en-GB"/>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lang w:val="en-GB"/>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cs="Times New Roman"/>
      <w:b/>
      <w:smallCaps/>
      <w:sz w:val="24"/>
      <w:szCs w:val="20"/>
      <w:lang w:val="en-GB"/>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keepLines w:val="0"/>
      <w:spacing w:before="0" w:after="240" w:line="240" w:lineRule="auto"/>
      <w:jc w:val="both"/>
      <w:outlineLvl w:val="9"/>
    </w:pPr>
    <w:rPr>
      <w:rFonts w:ascii="Times New Roman" w:eastAsia="Times New Roman" w:hAnsi="Times New Roman" w:cs="Times New Roman"/>
      <w:b w:val="0"/>
      <w:bCs w:val="0"/>
      <w:i w:val="0"/>
      <w:iCs w:val="0"/>
      <w:color w:val="auto"/>
      <w:sz w:val="24"/>
      <w:szCs w:val="20"/>
      <w:lang w:val="en-GB"/>
    </w:r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lang w:val="en-GB"/>
    </w:rPr>
  </w:style>
  <w:style w:type="paragraph" w:styleId="PlainText">
    <w:name w:val="Plain Text"/>
    <w:basedOn w:val="Normal"/>
    <w:link w:val="PlainTextChar"/>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lang w:val="en-GB"/>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styleId="Subtitle">
    <w:name w:val="Subtitle"/>
    <w:basedOn w:val="Normal"/>
    <w:link w:val="SubtitleChar"/>
    <w:qFormat/>
    <w:pPr>
      <w:spacing w:after="60" w:line="240" w:lineRule="auto"/>
      <w:jc w:val="center"/>
      <w:outlineLvl w:val="1"/>
    </w:pPr>
    <w:rPr>
      <w:rFonts w:ascii="Arial" w:eastAsia="Times New Roman" w:hAnsi="Arial" w:cs="Times New Roman"/>
      <w:sz w:val="24"/>
      <w:szCs w:val="20"/>
      <w:lang w:val="en-GB"/>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lang w:val="en-GB"/>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lang w:val="en-GB"/>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lang w:val="en-GB"/>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lang w:val="en-GB"/>
    </w:rPr>
  </w:style>
  <w:style w:type="paragraph" w:styleId="TOC2">
    <w:name w:val="toc 2"/>
    <w:basedOn w:val="Normal"/>
    <w:next w:val="Normal"/>
    <w:uiPriority w:val="39"/>
    <w:qFormat/>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uiPriority w:val="39"/>
    <w:semiHidden/>
    <w:qFormat/>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lang w:val="en-GB"/>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lang w:val="en-GB"/>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lang w:val="en-GB"/>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lang w:val="en-GB"/>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lang w:val="en-GB"/>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lang w:val="en-GB"/>
    </w:rPr>
  </w:style>
  <w:style w:type="paragraph" w:customStyle="1" w:styleId="ListBullet1">
    <w:name w:val="List Bullet 1"/>
    <w:basedOn w:val="Text1"/>
    <w:pPr>
      <w:numPr>
        <w:numId w:val="10"/>
      </w:numPr>
    </w:pPr>
  </w:style>
  <w:style w:type="paragraph" w:customStyle="1" w:styleId="ListDash2">
    <w:name w:val="List Dash 2"/>
    <w:basedOn w:val="Text2"/>
    <w:pPr>
      <w:numPr>
        <w:numId w:val="14"/>
      </w:numPr>
      <w:tabs>
        <w:tab w:val="clear" w:pos="2302"/>
      </w:tabs>
    </w:pPr>
  </w:style>
  <w:style w:type="paragraph" w:customStyle="1" w:styleId="ListDash3">
    <w:name w:val="List Dash 3"/>
    <w:basedOn w:val="Text3"/>
    <w:pPr>
      <w:numPr>
        <w:numId w:val="15"/>
      </w:numPr>
      <w:tabs>
        <w:tab w:val="clear" w:pos="2302"/>
      </w:tabs>
    </w:pPr>
  </w:style>
  <w:style w:type="paragraph" w:customStyle="1" w:styleId="ListDash4">
    <w:name w:val="List Dash 4"/>
    <w:basedOn w:val="Text4"/>
    <w:pPr>
      <w:numPr>
        <w:numId w:val="16"/>
      </w:numPr>
      <w:tabs>
        <w:tab w:val="clear" w:pos="2302"/>
      </w:tabs>
    </w:pPr>
  </w:style>
  <w:style w:type="paragraph" w:customStyle="1" w:styleId="ListNumberLevel2">
    <w:name w:val="List Number (Level 2)"/>
    <w:basedOn w:val="Normal"/>
    <w:pPr>
      <w:numPr>
        <w:ilvl w:val="1"/>
        <w:numId w:val="17"/>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pPr>
      <w:numPr>
        <w:ilvl w:val="2"/>
        <w:numId w:val="17"/>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pPr>
      <w:numPr>
        <w:ilvl w:val="3"/>
        <w:numId w:val="17"/>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Text1"/>
    <w:pPr>
      <w:numPr>
        <w:numId w:val="18"/>
      </w:numPr>
    </w:pPr>
  </w:style>
  <w:style w:type="paragraph" w:customStyle="1" w:styleId="ListNumber1Level2">
    <w:name w:val="List Number 1 (Level 2)"/>
    <w:basedOn w:val="Text1"/>
    <w:pPr>
      <w:numPr>
        <w:ilvl w:val="1"/>
        <w:numId w:val="18"/>
      </w:numPr>
    </w:pPr>
  </w:style>
  <w:style w:type="paragraph" w:customStyle="1" w:styleId="ListNumber1Level3">
    <w:name w:val="List Number 1 (Level 3)"/>
    <w:basedOn w:val="Text1"/>
    <w:pPr>
      <w:numPr>
        <w:ilvl w:val="2"/>
        <w:numId w:val="18"/>
      </w:numPr>
    </w:pPr>
  </w:style>
  <w:style w:type="paragraph" w:customStyle="1" w:styleId="ListNumber1Level4">
    <w:name w:val="List Number 1 (Level 4)"/>
    <w:basedOn w:val="Text1"/>
    <w:pPr>
      <w:numPr>
        <w:ilvl w:val="3"/>
        <w:numId w:val="18"/>
      </w:numPr>
    </w:pPr>
  </w:style>
  <w:style w:type="paragraph" w:customStyle="1" w:styleId="ListNumber2Level2">
    <w:name w:val="List Number 2 (Level 2)"/>
    <w:basedOn w:val="Text2"/>
    <w:pPr>
      <w:numPr>
        <w:ilvl w:val="1"/>
        <w:numId w:val="19"/>
      </w:numPr>
      <w:tabs>
        <w:tab w:val="clear" w:pos="2302"/>
      </w:tabs>
    </w:pPr>
  </w:style>
  <w:style w:type="paragraph" w:customStyle="1" w:styleId="ListNumber2Level3">
    <w:name w:val="List Number 2 (Level 3)"/>
    <w:basedOn w:val="Text2"/>
    <w:pPr>
      <w:numPr>
        <w:ilvl w:val="2"/>
        <w:numId w:val="19"/>
      </w:numPr>
      <w:tabs>
        <w:tab w:val="clear" w:pos="2302"/>
      </w:tabs>
    </w:pPr>
  </w:style>
  <w:style w:type="paragraph" w:customStyle="1" w:styleId="ListNumber2Level4">
    <w:name w:val="List Number 2 (Level 4)"/>
    <w:basedOn w:val="Text2"/>
    <w:pPr>
      <w:numPr>
        <w:ilvl w:val="3"/>
        <w:numId w:val="19"/>
      </w:numPr>
      <w:tabs>
        <w:tab w:val="clear" w:pos="2302"/>
      </w:tabs>
    </w:pPr>
  </w:style>
  <w:style w:type="paragraph" w:customStyle="1" w:styleId="ListNumber3Level2">
    <w:name w:val="List Number 3 (Level 2)"/>
    <w:basedOn w:val="Text3"/>
    <w:pPr>
      <w:numPr>
        <w:ilvl w:val="1"/>
        <w:numId w:val="20"/>
      </w:numPr>
      <w:tabs>
        <w:tab w:val="clear" w:pos="2302"/>
      </w:tabs>
    </w:pPr>
  </w:style>
  <w:style w:type="paragraph" w:customStyle="1" w:styleId="ListNumber3Level3">
    <w:name w:val="List Number 3 (Level 3)"/>
    <w:basedOn w:val="Text3"/>
    <w:pPr>
      <w:numPr>
        <w:ilvl w:val="2"/>
        <w:numId w:val="20"/>
      </w:numPr>
      <w:tabs>
        <w:tab w:val="clear" w:pos="2302"/>
      </w:tabs>
    </w:pPr>
  </w:style>
  <w:style w:type="paragraph" w:customStyle="1" w:styleId="ListNumber3Level4">
    <w:name w:val="List Number 3 (Level 4)"/>
    <w:basedOn w:val="Text3"/>
    <w:pPr>
      <w:numPr>
        <w:ilvl w:val="3"/>
        <w:numId w:val="20"/>
      </w:numPr>
      <w:tabs>
        <w:tab w:val="clear" w:pos="2302"/>
      </w:tabs>
    </w:pPr>
  </w:style>
  <w:style w:type="paragraph" w:customStyle="1" w:styleId="ListNumber4Level2">
    <w:name w:val="List Number 4 (Level 2)"/>
    <w:basedOn w:val="Text4"/>
    <w:pPr>
      <w:numPr>
        <w:ilvl w:val="1"/>
        <w:numId w:val="21"/>
      </w:numPr>
      <w:tabs>
        <w:tab w:val="clear" w:pos="2302"/>
      </w:tabs>
    </w:pPr>
  </w:style>
  <w:style w:type="paragraph" w:customStyle="1" w:styleId="ListNumber4Level3">
    <w:name w:val="List Number 4 (Level 3)"/>
    <w:basedOn w:val="Text4"/>
    <w:pPr>
      <w:numPr>
        <w:ilvl w:val="2"/>
        <w:numId w:val="21"/>
      </w:numPr>
      <w:tabs>
        <w:tab w:val="clear" w:pos="2302"/>
      </w:tabs>
    </w:pPr>
  </w:style>
  <w:style w:type="paragraph" w:customStyle="1" w:styleId="ListNumber4Level4">
    <w:name w:val="List Number 4 (Level 4)"/>
    <w:basedOn w:val="Text4"/>
    <w:pPr>
      <w:numPr>
        <w:ilvl w:val="3"/>
        <w:numId w:val="21"/>
      </w:numPr>
      <w:tabs>
        <w:tab w:val="clear" w:pos="2302"/>
      </w:tabs>
    </w:p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lang w:val="en-GB"/>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lang w:val="en-GB"/>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lang w:val="en-GB"/>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val="en-GB"/>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lang w:val="en-GB"/>
    </w:rPr>
  </w:style>
  <w:style w:type="paragraph" w:customStyle="1" w:styleId="LegalNumPar">
    <w:name w:val="LegalNumPar"/>
    <w:basedOn w:val="Normal"/>
    <w:pPr>
      <w:numPr>
        <w:numId w:val="22"/>
      </w:numPr>
      <w:spacing w:after="240" w:line="360" w:lineRule="auto"/>
    </w:pPr>
    <w:rPr>
      <w:rFonts w:ascii="Times New Roman" w:hAnsi="Times New Roman" w:cs="Times New Roman"/>
      <w:sz w:val="24"/>
      <w:lang w:val="en-GB"/>
    </w:rPr>
  </w:style>
  <w:style w:type="paragraph" w:customStyle="1" w:styleId="LegalNumPar2">
    <w:name w:val="LegalNumPar2"/>
    <w:basedOn w:val="Normal"/>
    <w:pPr>
      <w:numPr>
        <w:ilvl w:val="1"/>
        <w:numId w:val="22"/>
      </w:numPr>
      <w:spacing w:after="240" w:line="360" w:lineRule="auto"/>
      <w:ind w:left="952" w:hanging="476"/>
    </w:pPr>
    <w:rPr>
      <w:rFonts w:ascii="Times New Roman" w:hAnsi="Times New Roman" w:cs="Times New Roman"/>
      <w:sz w:val="24"/>
      <w:lang w:val="en-GB"/>
    </w:rPr>
  </w:style>
  <w:style w:type="paragraph" w:customStyle="1" w:styleId="LegalNumPar3">
    <w:name w:val="LegalNumPar3"/>
    <w:basedOn w:val="Normal"/>
    <w:pPr>
      <w:numPr>
        <w:ilvl w:val="2"/>
        <w:numId w:val="22"/>
      </w:numPr>
      <w:spacing w:after="240" w:line="360" w:lineRule="auto"/>
    </w:pPr>
    <w:rPr>
      <w:rFonts w:ascii="Times New Roman" w:hAnsi="Times New Roman" w:cs="Times New Roman"/>
      <w:sz w:val="24"/>
      <w:lang w:val="en-GB"/>
    </w:rPr>
  </w:style>
  <w:style w:type="paragraph" w:customStyle="1" w:styleId="IAToolChapterHeading">
    <w:name w:val="IA Tool Chapter Heading"/>
    <w:basedOn w:val="Normal"/>
    <w:next w:val="Normal"/>
    <w:qFormat/>
    <w:pPr>
      <w:numPr>
        <w:numId w:val="23"/>
      </w:numPr>
      <w:tabs>
        <w:tab w:val="left" w:pos="391"/>
      </w:tabs>
      <w:spacing w:after="240" w:line="240" w:lineRule="auto"/>
      <w:jc w:val="both"/>
    </w:pPr>
    <w:rPr>
      <w:rFonts w:ascii="Times New Roman Bold" w:eastAsia="Times New Roman" w:hAnsi="Times New Roman Bold" w:cs="Times New Roman"/>
      <w:b/>
      <w:smallCaps/>
      <w:color w:val="548DD4"/>
      <w:sz w:val="28"/>
      <w:szCs w:val="28"/>
      <w:lang w:val="en-GB"/>
    </w:rPr>
  </w:style>
  <w:style w:type="table" w:customStyle="1" w:styleId="Deloitte3">
    <w:name w:val="Deloitte3"/>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pterTitleChar">
    <w:name w:val="ChapterTitle Char"/>
    <w:basedOn w:val="DefaultParagraphFont"/>
    <w:link w:val="ChapterTitle"/>
    <w:rPr>
      <w:rFonts w:ascii="Times New Roman" w:eastAsia="Times New Roman" w:hAnsi="Times New Roman" w:cs="Times New Roman"/>
      <w:b/>
      <w:sz w:val="32"/>
      <w:szCs w:val="20"/>
      <w:lang w:val="en-GB"/>
    </w:rPr>
  </w:style>
  <w:style w:type="table" w:customStyle="1" w:styleId="CV111">
    <w:name w:val="CV1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val="en-GB"/>
    </w:rPr>
  </w:style>
  <w:style w:type="character" w:customStyle="1" w:styleId="ListParagraphChar">
    <w:name w:val="List Paragraph Char"/>
    <w:aliases w:val="List1 Char,List11 Char,List111 Char,List1111 Char,List11111 Char,1st level - Bullet List Paragraph Char,List Paragraph1 Char,Lettre d'introduction Char,Normal bullet 2 Char,Medium Grid 1 - Accent 21 Char,List Paragraph11 Char"/>
    <w:link w:val="ListParagraph"/>
    <w:uiPriority w:val="34"/>
    <w:qFormat/>
    <w:rPr>
      <w:rFonts w:ascii="Times New Roman" w:eastAsia="Times New Roman" w:hAnsi="Times New Roman" w:cs="Times New Roman"/>
      <w:sz w:val="24"/>
      <w:szCs w:val="20"/>
      <w:lang w:val="en-GB"/>
    </w:rPr>
  </w:style>
  <w:style w:type="table" w:customStyle="1" w:styleId="Deloitte11">
    <w:name w:val="Deloitte11"/>
    <w:basedOn w:val="TableNormal"/>
    <w:next w:val="TableGrid"/>
    <w:uiPriority w:val="39"/>
    <w:pPr>
      <w:spacing w:after="0" w:line="240" w:lineRule="auto"/>
    </w:pPr>
    <w:rPr>
      <w:rFonts w:ascii="Verdana" w:eastAsia="Times New Roman" w:hAnsi="Verdana"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PSP">
    <w:name w:val="Bullet PSP"/>
    <w:basedOn w:val="Normal"/>
    <w:link w:val="BulletPSPChar"/>
    <w:qFormat/>
    <w:pPr>
      <w:numPr>
        <w:numId w:val="24"/>
      </w:numPr>
      <w:spacing w:before="120" w:after="160" w:line="259" w:lineRule="auto"/>
      <w:contextualSpacing/>
      <w:jc w:val="both"/>
    </w:pPr>
    <w:rPr>
      <w:rFonts w:ascii="Calibri" w:eastAsia="Times New Roman" w:hAnsi="Calibri" w:cs="Times New Roman"/>
      <w:color w:val="000000"/>
      <w:sz w:val="24"/>
      <w:lang w:val="en-IE"/>
    </w:rPr>
  </w:style>
  <w:style w:type="character" w:customStyle="1" w:styleId="BulletPSPChar">
    <w:name w:val="Bullet PSP Char"/>
    <w:link w:val="BulletPSP"/>
    <w:rPr>
      <w:rFonts w:ascii="Calibri" w:eastAsia="Times New Roman" w:hAnsi="Calibri" w:cs="Times New Roman"/>
      <w:color w:val="000000"/>
      <w:sz w:val="24"/>
      <w:lang w:val="en-IE"/>
    </w:rPr>
  </w:style>
  <w:style w:type="table" w:customStyle="1" w:styleId="ListTable311">
    <w:name w:val="List Table 311"/>
    <w:basedOn w:val="TableNormal"/>
    <w:uiPriority w:val="48"/>
    <w:pPr>
      <w:spacing w:after="0" w:line="240" w:lineRule="auto"/>
    </w:pPr>
    <w:rPr>
      <w:rFonts w:ascii="Verdana" w:eastAsia="Times New Roman" w:hAnsi="Verdana" w:cs="Times New Roman"/>
      <w:sz w:val="20"/>
      <w:szCs w:val="20"/>
      <w:lang w:val="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4-Accent11">
    <w:name w:val="Grid Table 4 - Accent 11"/>
    <w:basedOn w:val="TableNormal"/>
    <w:uiPriority w:val="49"/>
    <w:pPr>
      <w:spacing w:after="0" w:line="240" w:lineRule="auto"/>
    </w:pPr>
    <w:rPr>
      <w:rFonts w:ascii="Verdana" w:eastAsia="Times New Roman" w:hAnsi="Verdana" w:cs="Times New Roman"/>
      <w:sz w:val="20"/>
      <w:szCs w:val="20"/>
      <w:lang w:val="en-US"/>
    </w:rPr>
    <w:tblPr>
      <w:tblStyleRowBandSize w:val="1"/>
      <w:tblStyleColBandSize w:val="1"/>
      <w:tblInd w:w="0" w:type="dxa"/>
      <w:tblBorders>
        <w:top w:val="single" w:sz="4" w:space="0" w:color="B9E370"/>
        <w:left w:val="single" w:sz="4" w:space="0" w:color="B9E370"/>
        <w:bottom w:val="single" w:sz="4" w:space="0" w:color="B9E370"/>
        <w:right w:val="single" w:sz="4" w:space="0" w:color="B9E370"/>
        <w:insideH w:val="single" w:sz="4" w:space="0" w:color="B9E370"/>
        <w:insideV w:val="single" w:sz="4" w:space="0" w:color="B9E370"/>
      </w:tblBorders>
      <w:tblCellMar>
        <w:top w:w="0" w:type="dxa"/>
        <w:left w:w="108" w:type="dxa"/>
        <w:bottom w:w="0" w:type="dxa"/>
        <w:right w:w="108" w:type="dxa"/>
      </w:tblCellMar>
    </w:tblPr>
    <w:tblStylePr w:type="firstRow">
      <w:rPr>
        <w:b/>
        <w:bCs/>
        <w:color w:val="FFFFFF"/>
      </w:rPr>
      <w:tblPr/>
      <w:tcPr>
        <w:tcBorders>
          <w:top w:val="single" w:sz="4" w:space="0" w:color="86BC25"/>
          <w:left w:val="single" w:sz="4" w:space="0" w:color="86BC25"/>
          <w:bottom w:val="single" w:sz="4" w:space="0" w:color="86BC25"/>
          <w:right w:val="single" w:sz="4" w:space="0" w:color="86BC25"/>
          <w:insideH w:val="nil"/>
          <w:insideV w:val="nil"/>
        </w:tcBorders>
        <w:shd w:val="clear" w:color="auto" w:fill="86BC25"/>
      </w:tcPr>
    </w:tblStylePr>
    <w:tblStylePr w:type="lastRow">
      <w:rPr>
        <w:b/>
        <w:bCs/>
      </w:rPr>
      <w:tblPr/>
      <w:tcPr>
        <w:tcBorders>
          <w:top w:val="double" w:sz="4" w:space="0" w:color="86BC25"/>
        </w:tcBorders>
      </w:tcPr>
    </w:tblStylePr>
    <w:tblStylePr w:type="firstCol">
      <w:rPr>
        <w:b/>
        <w:bCs/>
      </w:rPr>
    </w:tblStylePr>
    <w:tblStylePr w:type="lastCol">
      <w:rPr>
        <w:b/>
        <w:bCs/>
      </w:rPr>
    </w:tblStylePr>
    <w:tblStylePr w:type="band1Vert">
      <w:tblPr/>
      <w:tcPr>
        <w:shd w:val="clear" w:color="auto" w:fill="E7F5CF"/>
      </w:tcPr>
    </w:tblStylePr>
    <w:tblStylePr w:type="band1Horz">
      <w:tblPr/>
      <w:tcPr>
        <w:shd w:val="clear" w:color="auto" w:fill="E7F5CF"/>
      </w:tcPr>
    </w:tblStyle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val="fr-FR" w:eastAsia="fr-FR"/>
    </w:rPr>
  </w:style>
  <w:style w:type="table" w:customStyle="1" w:styleId="ListTable3121">
    <w:name w:val="List Table 3121"/>
    <w:basedOn w:val="TableNormal"/>
    <w:uiPriority w:val="48"/>
    <w:pPr>
      <w:spacing w:after="0" w:line="240" w:lineRule="auto"/>
    </w:pPr>
    <w:rPr>
      <w:rFonts w:ascii="Verdana" w:eastAsia="Times New Roman" w:hAnsi="Verdana" w:cs="Times New Roman"/>
      <w:sz w:val="20"/>
      <w:szCs w:val="20"/>
      <w:lang w:val="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13">
    <w:name w:val="List Table 313"/>
    <w:basedOn w:val="TableNormal"/>
    <w:uiPriority w:val="48"/>
    <w:pPr>
      <w:spacing w:after="0" w:line="240" w:lineRule="auto"/>
    </w:pPr>
    <w:rPr>
      <w:rFonts w:ascii="Verdana" w:eastAsia="Times New Roman" w:hAnsi="Verdana" w:cs="Times New Roman"/>
      <w:sz w:val="20"/>
      <w:szCs w:val="20"/>
      <w:lang w:val="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14">
    <w:name w:val="List Table 314"/>
    <w:basedOn w:val="TableNormal"/>
    <w:uiPriority w:val="48"/>
    <w:pPr>
      <w:spacing w:after="0" w:line="240" w:lineRule="auto"/>
    </w:pPr>
    <w:rPr>
      <w:rFonts w:ascii="Verdana" w:eastAsia="Times New Roman" w:hAnsi="Verdana" w:cs="Times New Roman"/>
      <w:sz w:val="20"/>
      <w:szCs w:val="20"/>
      <w:lang w:val="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15">
    <w:name w:val="List Table 315"/>
    <w:basedOn w:val="TableNormal"/>
    <w:uiPriority w:val="48"/>
    <w:pPr>
      <w:spacing w:after="0" w:line="240" w:lineRule="auto"/>
    </w:pPr>
    <w:rPr>
      <w:rFonts w:ascii="Verdana" w:eastAsia="Times New Roman" w:hAnsi="Verdana" w:cs="Times New Roman"/>
      <w:sz w:val="20"/>
      <w:szCs w:val="20"/>
      <w:lang w:val="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1">
    <w:name w:val="st1"/>
    <w:basedOn w:val="DefaultParagraphFont"/>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lang w:val="en-GB"/>
    </w:rPr>
  </w:style>
  <w:style w:type="table" w:customStyle="1" w:styleId="Deloitte21">
    <w:name w:val="Deloitte2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ne7">
    <w:name w:val="none7"/>
    <w:basedOn w:val="TableNormal"/>
    <w:next w:val="TableGrid"/>
    <w:uiPriority w:val="59"/>
    <w:pPr>
      <w:spacing w:after="0" w:line="240" w:lineRule="auto"/>
    </w:pPr>
    <w:rPr>
      <w:rFonts w:ascii="Verdana" w:eastAsia="Times New Roman" w:hAnsi="Verdana" w:cs="Times New Roman"/>
      <w:sz w:val="18"/>
      <w:szCs w:val="20"/>
      <w:lang w:val="nl-BE" w:eastAsia="nl-BE"/>
    </w:rPr>
    <w:tblPr>
      <w:tblStyleRow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ascii="Verdana" w:hAnsi="Verdana"/>
        <w:b/>
        <w:color w:val="FFFFFF"/>
        <w:sz w:val="18"/>
      </w:rPr>
      <w:tblPr/>
      <w:tcPr>
        <w:shd w:val="clear" w:color="auto" w:fill="00AEF0"/>
      </w:tcPr>
    </w:tblStylePr>
    <w:tblStylePr w:type="band1Horz">
      <w:rPr>
        <w:sz w:val="18"/>
      </w:rPr>
    </w:tblStylePr>
  </w:style>
  <w:style w:type="table" w:customStyle="1" w:styleId="none6">
    <w:name w:val="none6"/>
    <w:basedOn w:val="TableNormal"/>
    <w:next w:val="TableGrid"/>
    <w:uiPriority w:val="59"/>
    <w:pPr>
      <w:spacing w:after="0" w:line="240" w:lineRule="auto"/>
    </w:pPr>
    <w:rPr>
      <w:rFonts w:ascii="Verdana" w:eastAsia="Times New Roman" w:hAnsi="Verdana" w:cs="Times New Roman"/>
      <w:sz w:val="18"/>
      <w:szCs w:val="20"/>
      <w:lang w:val="nl-BE" w:eastAsia="nl-BE"/>
    </w:rPr>
    <w:tblPr>
      <w:tblStyleRow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ascii="Verdana" w:hAnsi="Verdana"/>
        <w:b/>
        <w:color w:val="FFFFFF"/>
        <w:sz w:val="18"/>
      </w:rPr>
      <w:tblPr/>
      <w:tcPr>
        <w:shd w:val="clear" w:color="auto" w:fill="00AEF0"/>
      </w:tcPr>
    </w:tblStylePr>
    <w:tblStylePr w:type="band1Horz">
      <w:rPr>
        <w:sz w:val="18"/>
      </w:rPr>
    </w:tblStylePr>
  </w:style>
  <w:style w:type="paragraph" w:customStyle="1" w:styleId="AnnexHeading2">
    <w:name w:val="Annex Heading 2"/>
    <w:basedOn w:val="Normal"/>
    <w:next w:val="Normal"/>
    <w:autoRedefine/>
    <w:qFormat/>
    <w:pPr>
      <w:keepNext/>
      <w:keepLines/>
      <w:spacing w:before="120" w:after="240" w:line="240" w:lineRule="auto"/>
      <w:ind w:left="-426"/>
      <w:jc w:val="both"/>
      <w:outlineLvl w:val="1"/>
    </w:pPr>
    <w:rPr>
      <w:rFonts w:ascii="Times New Roman" w:eastAsia="Times New Roman" w:hAnsi="Times New Roman" w:cs="Times New Roman"/>
      <w:b/>
      <w:bCs/>
      <w:szCs w:val="28"/>
      <w:lang w:val="en-GB" w:eastAsia="nl-BE"/>
    </w:rPr>
  </w:style>
  <w:style w:type="table" w:customStyle="1" w:styleId="none1">
    <w:name w:val="none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6941">
      <w:bodyDiv w:val="1"/>
      <w:marLeft w:val="0"/>
      <w:marRight w:val="0"/>
      <w:marTop w:val="0"/>
      <w:marBottom w:val="0"/>
      <w:divBdr>
        <w:top w:val="none" w:sz="0" w:space="0" w:color="auto"/>
        <w:left w:val="none" w:sz="0" w:space="0" w:color="auto"/>
        <w:bottom w:val="none" w:sz="0" w:space="0" w:color="auto"/>
        <w:right w:val="none" w:sz="0" w:space="0" w:color="auto"/>
      </w:divBdr>
    </w:div>
    <w:div w:id="75132591">
      <w:bodyDiv w:val="1"/>
      <w:marLeft w:val="0"/>
      <w:marRight w:val="0"/>
      <w:marTop w:val="0"/>
      <w:marBottom w:val="0"/>
      <w:divBdr>
        <w:top w:val="none" w:sz="0" w:space="0" w:color="auto"/>
        <w:left w:val="none" w:sz="0" w:space="0" w:color="auto"/>
        <w:bottom w:val="none" w:sz="0" w:space="0" w:color="auto"/>
        <w:right w:val="none" w:sz="0" w:space="0" w:color="auto"/>
      </w:divBdr>
    </w:div>
    <w:div w:id="77942184">
      <w:bodyDiv w:val="1"/>
      <w:marLeft w:val="0"/>
      <w:marRight w:val="0"/>
      <w:marTop w:val="0"/>
      <w:marBottom w:val="0"/>
      <w:divBdr>
        <w:top w:val="none" w:sz="0" w:space="0" w:color="auto"/>
        <w:left w:val="none" w:sz="0" w:space="0" w:color="auto"/>
        <w:bottom w:val="none" w:sz="0" w:space="0" w:color="auto"/>
        <w:right w:val="none" w:sz="0" w:space="0" w:color="auto"/>
      </w:divBdr>
    </w:div>
    <w:div w:id="193353760">
      <w:bodyDiv w:val="1"/>
      <w:marLeft w:val="0"/>
      <w:marRight w:val="0"/>
      <w:marTop w:val="0"/>
      <w:marBottom w:val="0"/>
      <w:divBdr>
        <w:top w:val="none" w:sz="0" w:space="0" w:color="auto"/>
        <w:left w:val="none" w:sz="0" w:space="0" w:color="auto"/>
        <w:bottom w:val="none" w:sz="0" w:space="0" w:color="auto"/>
        <w:right w:val="none" w:sz="0" w:space="0" w:color="auto"/>
      </w:divBdr>
    </w:div>
    <w:div w:id="211038401">
      <w:bodyDiv w:val="1"/>
      <w:marLeft w:val="0"/>
      <w:marRight w:val="0"/>
      <w:marTop w:val="0"/>
      <w:marBottom w:val="0"/>
      <w:divBdr>
        <w:top w:val="none" w:sz="0" w:space="0" w:color="auto"/>
        <w:left w:val="none" w:sz="0" w:space="0" w:color="auto"/>
        <w:bottom w:val="none" w:sz="0" w:space="0" w:color="auto"/>
        <w:right w:val="none" w:sz="0" w:space="0" w:color="auto"/>
      </w:divBdr>
    </w:div>
    <w:div w:id="242839833">
      <w:bodyDiv w:val="1"/>
      <w:marLeft w:val="0"/>
      <w:marRight w:val="0"/>
      <w:marTop w:val="0"/>
      <w:marBottom w:val="0"/>
      <w:divBdr>
        <w:top w:val="none" w:sz="0" w:space="0" w:color="auto"/>
        <w:left w:val="none" w:sz="0" w:space="0" w:color="auto"/>
        <w:bottom w:val="none" w:sz="0" w:space="0" w:color="auto"/>
        <w:right w:val="none" w:sz="0" w:space="0" w:color="auto"/>
      </w:divBdr>
    </w:div>
    <w:div w:id="265695164">
      <w:bodyDiv w:val="1"/>
      <w:marLeft w:val="0"/>
      <w:marRight w:val="0"/>
      <w:marTop w:val="0"/>
      <w:marBottom w:val="0"/>
      <w:divBdr>
        <w:top w:val="none" w:sz="0" w:space="0" w:color="auto"/>
        <w:left w:val="none" w:sz="0" w:space="0" w:color="auto"/>
        <w:bottom w:val="none" w:sz="0" w:space="0" w:color="auto"/>
        <w:right w:val="none" w:sz="0" w:space="0" w:color="auto"/>
      </w:divBdr>
    </w:div>
    <w:div w:id="291516893">
      <w:bodyDiv w:val="1"/>
      <w:marLeft w:val="0"/>
      <w:marRight w:val="0"/>
      <w:marTop w:val="0"/>
      <w:marBottom w:val="0"/>
      <w:divBdr>
        <w:top w:val="none" w:sz="0" w:space="0" w:color="auto"/>
        <w:left w:val="none" w:sz="0" w:space="0" w:color="auto"/>
        <w:bottom w:val="none" w:sz="0" w:space="0" w:color="auto"/>
        <w:right w:val="none" w:sz="0" w:space="0" w:color="auto"/>
      </w:divBdr>
    </w:div>
    <w:div w:id="383602193">
      <w:bodyDiv w:val="1"/>
      <w:marLeft w:val="0"/>
      <w:marRight w:val="0"/>
      <w:marTop w:val="0"/>
      <w:marBottom w:val="0"/>
      <w:divBdr>
        <w:top w:val="none" w:sz="0" w:space="0" w:color="auto"/>
        <w:left w:val="none" w:sz="0" w:space="0" w:color="auto"/>
        <w:bottom w:val="none" w:sz="0" w:space="0" w:color="auto"/>
        <w:right w:val="none" w:sz="0" w:space="0" w:color="auto"/>
      </w:divBdr>
    </w:div>
    <w:div w:id="431122396">
      <w:bodyDiv w:val="1"/>
      <w:marLeft w:val="0"/>
      <w:marRight w:val="0"/>
      <w:marTop w:val="0"/>
      <w:marBottom w:val="0"/>
      <w:divBdr>
        <w:top w:val="none" w:sz="0" w:space="0" w:color="auto"/>
        <w:left w:val="none" w:sz="0" w:space="0" w:color="auto"/>
        <w:bottom w:val="none" w:sz="0" w:space="0" w:color="auto"/>
        <w:right w:val="none" w:sz="0" w:space="0" w:color="auto"/>
      </w:divBdr>
    </w:div>
    <w:div w:id="447819565">
      <w:bodyDiv w:val="1"/>
      <w:marLeft w:val="0"/>
      <w:marRight w:val="0"/>
      <w:marTop w:val="0"/>
      <w:marBottom w:val="0"/>
      <w:divBdr>
        <w:top w:val="none" w:sz="0" w:space="0" w:color="auto"/>
        <w:left w:val="none" w:sz="0" w:space="0" w:color="auto"/>
        <w:bottom w:val="none" w:sz="0" w:space="0" w:color="auto"/>
        <w:right w:val="none" w:sz="0" w:space="0" w:color="auto"/>
      </w:divBdr>
    </w:div>
    <w:div w:id="457187572">
      <w:bodyDiv w:val="1"/>
      <w:marLeft w:val="0"/>
      <w:marRight w:val="0"/>
      <w:marTop w:val="0"/>
      <w:marBottom w:val="0"/>
      <w:divBdr>
        <w:top w:val="none" w:sz="0" w:space="0" w:color="auto"/>
        <w:left w:val="none" w:sz="0" w:space="0" w:color="auto"/>
        <w:bottom w:val="none" w:sz="0" w:space="0" w:color="auto"/>
        <w:right w:val="none" w:sz="0" w:space="0" w:color="auto"/>
      </w:divBdr>
    </w:div>
    <w:div w:id="494028833">
      <w:bodyDiv w:val="1"/>
      <w:marLeft w:val="0"/>
      <w:marRight w:val="0"/>
      <w:marTop w:val="0"/>
      <w:marBottom w:val="0"/>
      <w:divBdr>
        <w:top w:val="none" w:sz="0" w:space="0" w:color="auto"/>
        <w:left w:val="none" w:sz="0" w:space="0" w:color="auto"/>
        <w:bottom w:val="none" w:sz="0" w:space="0" w:color="auto"/>
        <w:right w:val="none" w:sz="0" w:space="0" w:color="auto"/>
      </w:divBdr>
    </w:div>
    <w:div w:id="548883517">
      <w:bodyDiv w:val="1"/>
      <w:marLeft w:val="0"/>
      <w:marRight w:val="0"/>
      <w:marTop w:val="0"/>
      <w:marBottom w:val="0"/>
      <w:divBdr>
        <w:top w:val="none" w:sz="0" w:space="0" w:color="auto"/>
        <w:left w:val="none" w:sz="0" w:space="0" w:color="auto"/>
        <w:bottom w:val="none" w:sz="0" w:space="0" w:color="auto"/>
        <w:right w:val="none" w:sz="0" w:space="0" w:color="auto"/>
      </w:divBdr>
    </w:div>
    <w:div w:id="555239999">
      <w:bodyDiv w:val="1"/>
      <w:marLeft w:val="0"/>
      <w:marRight w:val="0"/>
      <w:marTop w:val="0"/>
      <w:marBottom w:val="0"/>
      <w:divBdr>
        <w:top w:val="none" w:sz="0" w:space="0" w:color="auto"/>
        <w:left w:val="none" w:sz="0" w:space="0" w:color="auto"/>
        <w:bottom w:val="none" w:sz="0" w:space="0" w:color="auto"/>
        <w:right w:val="none" w:sz="0" w:space="0" w:color="auto"/>
      </w:divBdr>
    </w:div>
    <w:div w:id="587156065">
      <w:bodyDiv w:val="1"/>
      <w:marLeft w:val="0"/>
      <w:marRight w:val="0"/>
      <w:marTop w:val="0"/>
      <w:marBottom w:val="0"/>
      <w:divBdr>
        <w:top w:val="none" w:sz="0" w:space="0" w:color="auto"/>
        <w:left w:val="none" w:sz="0" w:space="0" w:color="auto"/>
        <w:bottom w:val="none" w:sz="0" w:space="0" w:color="auto"/>
        <w:right w:val="none" w:sz="0" w:space="0" w:color="auto"/>
      </w:divBdr>
    </w:div>
    <w:div w:id="611594819">
      <w:bodyDiv w:val="1"/>
      <w:marLeft w:val="0"/>
      <w:marRight w:val="0"/>
      <w:marTop w:val="0"/>
      <w:marBottom w:val="0"/>
      <w:divBdr>
        <w:top w:val="none" w:sz="0" w:space="0" w:color="auto"/>
        <w:left w:val="none" w:sz="0" w:space="0" w:color="auto"/>
        <w:bottom w:val="none" w:sz="0" w:space="0" w:color="auto"/>
        <w:right w:val="none" w:sz="0" w:space="0" w:color="auto"/>
      </w:divBdr>
    </w:div>
    <w:div w:id="631638504">
      <w:bodyDiv w:val="1"/>
      <w:marLeft w:val="0"/>
      <w:marRight w:val="0"/>
      <w:marTop w:val="0"/>
      <w:marBottom w:val="0"/>
      <w:divBdr>
        <w:top w:val="none" w:sz="0" w:space="0" w:color="auto"/>
        <w:left w:val="none" w:sz="0" w:space="0" w:color="auto"/>
        <w:bottom w:val="none" w:sz="0" w:space="0" w:color="auto"/>
        <w:right w:val="none" w:sz="0" w:space="0" w:color="auto"/>
      </w:divBdr>
    </w:div>
    <w:div w:id="638807373">
      <w:bodyDiv w:val="1"/>
      <w:marLeft w:val="0"/>
      <w:marRight w:val="0"/>
      <w:marTop w:val="0"/>
      <w:marBottom w:val="0"/>
      <w:divBdr>
        <w:top w:val="none" w:sz="0" w:space="0" w:color="auto"/>
        <w:left w:val="none" w:sz="0" w:space="0" w:color="auto"/>
        <w:bottom w:val="none" w:sz="0" w:space="0" w:color="auto"/>
        <w:right w:val="none" w:sz="0" w:space="0" w:color="auto"/>
      </w:divBdr>
    </w:div>
    <w:div w:id="653337968">
      <w:bodyDiv w:val="1"/>
      <w:marLeft w:val="0"/>
      <w:marRight w:val="0"/>
      <w:marTop w:val="0"/>
      <w:marBottom w:val="0"/>
      <w:divBdr>
        <w:top w:val="none" w:sz="0" w:space="0" w:color="auto"/>
        <w:left w:val="none" w:sz="0" w:space="0" w:color="auto"/>
        <w:bottom w:val="none" w:sz="0" w:space="0" w:color="auto"/>
        <w:right w:val="none" w:sz="0" w:space="0" w:color="auto"/>
      </w:divBdr>
    </w:div>
    <w:div w:id="717585672">
      <w:bodyDiv w:val="1"/>
      <w:marLeft w:val="0"/>
      <w:marRight w:val="0"/>
      <w:marTop w:val="0"/>
      <w:marBottom w:val="0"/>
      <w:divBdr>
        <w:top w:val="none" w:sz="0" w:space="0" w:color="auto"/>
        <w:left w:val="none" w:sz="0" w:space="0" w:color="auto"/>
        <w:bottom w:val="none" w:sz="0" w:space="0" w:color="auto"/>
        <w:right w:val="none" w:sz="0" w:space="0" w:color="auto"/>
      </w:divBdr>
    </w:div>
    <w:div w:id="760416302">
      <w:bodyDiv w:val="1"/>
      <w:marLeft w:val="0"/>
      <w:marRight w:val="0"/>
      <w:marTop w:val="0"/>
      <w:marBottom w:val="0"/>
      <w:divBdr>
        <w:top w:val="none" w:sz="0" w:space="0" w:color="auto"/>
        <w:left w:val="none" w:sz="0" w:space="0" w:color="auto"/>
        <w:bottom w:val="none" w:sz="0" w:space="0" w:color="auto"/>
        <w:right w:val="none" w:sz="0" w:space="0" w:color="auto"/>
      </w:divBdr>
    </w:div>
    <w:div w:id="798645678">
      <w:bodyDiv w:val="1"/>
      <w:marLeft w:val="0"/>
      <w:marRight w:val="0"/>
      <w:marTop w:val="0"/>
      <w:marBottom w:val="0"/>
      <w:divBdr>
        <w:top w:val="none" w:sz="0" w:space="0" w:color="auto"/>
        <w:left w:val="none" w:sz="0" w:space="0" w:color="auto"/>
        <w:bottom w:val="none" w:sz="0" w:space="0" w:color="auto"/>
        <w:right w:val="none" w:sz="0" w:space="0" w:color="auto"/>
      </w:divBdr>
    </w:div>
    <w:div w:id="886527835">
      <w:bodyDiv w:val="1"/>
      <w:marLeft w:val="0"/>
      <w:marRight w:val="0"/>
      <w:marTop w:val="0"/>
      <w:marBottom w:val="0"/>
      <w:divBdr>
        <w:top w:val="none" w:sz="0" w:space="0" w:color="auto"/>
        <w:left w:val="none" w:sz="0" w:space="0" w:color="auto"/>
        <w:bottom w:val="none" w:sz="0" w:space="0" w:color="auto"/>
        <w:right w:val="none" w:sz="0" w:space="0" w:color="auto"/>
      </w:divBdr>
    </w:div>
    <w:div w:id="899292448">
      <w:bodyDiv w:val="1"/>
      <w:marLeft w:val="0"/>
      <w:marRight w:val="0"/>
      <w:marTop w:val="0"/>
      <w:marBottom w:val="0"/>
      <w:divBdr>
        <w:top w:val="none" w:sz="0" w:space="0" w:color="auto"/>
        <w:left w:val="none" w:sz="0" w:space="0" w:color="auto"/>
        <w:bottom w:val="none" w:sz="0" w:space="0" w:color="auto"/>
        <w:right w:val="none" w:sz="0" w:space="0" w:color="auto"/>
      </w:divBdr>
    </w:div>
    <w:div w:id="929586967">
      <w:bodyDiv w:val="1"/>
      <w:marLeft w:val="0"/>
      <w:marRight w:val="0"/>
      <w:marTop w:val="0"/>
      <w:marBottom w:val="0"/>
      <w:divBdr>
        <w:top w:val="none" w:sz="0" w:space="0" w:color="auto"/>
        <w:left w:val="none" w:sz="0" w:space="0" w:color="auto"/>
        <w:bottom w:val="none" w:sz="0" w:space="0" w:color="auto"/>
        <w:right w:val="none" w:sz="0" w:space="0" w:color="auto"/>
      </w:divBdr>
    </w:div>
    <w:div w:id="989744972">
      <w:bodyDiv w:val="1"/>
      <w:marLeft w:val="0"/>
      <w:marRight w:val="0"/>
      <w:marTop w:val="0"/>
      <w:marBottom w:val="0"/>
      <w:divBdr>
        <w:top w:val="none" w:sz="0" w:space="0" w:color="auto"/>
        <w:left w:val="none" w:sz="0" w:space="0" w:color="auto"/>
        <w:bottom w:val="none" w:sz="0" w:space="0" w:color="auto"/>
        <w:right w:val="none" w:sz="0" w:space="0" w:color="auto"/>
      </w:divBdr>
    </w:div>
    <w:div w:id="1008405123">
      <w:bodyDiv w:val="1"/>
      <w:marLeft w:val="0"/>
      <w:marRight w:val="0"/>
      <w:marTop w:val="0"/>
      <w:marBottom w:val="0"/>
      <w:divBdr>
        <w:top w:val="none" w:sz="0" w:space="0" w:color="auto"/>
        <w:left w:val="none" w:sz="0" w:space="0" w:color="auto"/>
        <w:bottom w:val="none" w:sz="0" w:space="0" w:color="auto"/>
        <w:right w:val="none" w:sz="0" w:space="0" w:color="auto"/>
      </w:divBdr>
    </w:div>
    <w:div w:id="1015378951">
      <w:bodyDiv w:val="1"/>
      <w:marLeft w:val="0"/>
      <w:marRight w:val="0"/>
      <w:marTop w:val="0"/>
      <w:marBottom w:val="0"/>
      <w:divBdr>
        <w:top w:val="none" w:sz="0" w:space="0" w:color="auto"/>
        <w:left w:val="none" w:sz="0" w:space="0" w:color="auto"/>
        <w:bottom w:val="none" w:sz="0" w:space="0" w:color="auto"/>
        <w:right w:val="none" w:sz="0" w:space="0" w:color="auto"/>
      </w:divBdr>
    </w:div>
    <w:div w:id="1120880317">
      <w:bodyDiv w:val="1"/>
      <w:marLeft w:val="0"/>
      <w:marRight w:val="0"/>
      <w:marTop w:val="0"/>
      <w:marBottom w:val="0"/>
      <w:divBdr>
        <w:top w:val="none" w:sz="0" w:space="0" w:color="auto"/>
        <w:left w:val="none" w:sz="0" w:space="0" w:color="auto"/>
        <w:bottom w:val="none" w:sz="0" w:space="0" w:color="auto"/>
        <w:right w:val="none" w:sz="0" w:space="0" w:color="auto"/>
      </w:divBdr>
    </w:div>
    <w:div w:id="1123646790">
      <w:bodyDiv w:val="1"/>
      <w:marLeft w:val="0"/>
      <w:marRight w:val="0"/>
      <w:marTop w:val="0"/>
      <w:marBottom w:val="0"/>
      <w:divBdr>
        <w:top w:val="none" w:sz="0" w:space="0" w:color="auto"/>
        <w:left w:val="none" w:sz="0" w:space="0" w:color="auto"/>
        <w:bottom w:val="none" w:sz="0" w:space="0" w:color="auto"/>
        <w:right w:val="none" w:sz="0" w:space="0" w:color="auto"/>
      </w:divBdr>
    </w:div>
    <w:div w:id="1208369923">
      <w:bodyDiv w:val="1"/>
      <w:marLeft w:val="0"/>
      <w:marRight w:val="0"/>
      <w:marTop w:val="0"/>
      <w:marBottom w:val="0"/>
      <w:divBdr>
        <w:top w:val="none" w:sz="0" w:space="0" w:color="auto"/>
        <w:left w:val="none" w:sz="0" w:space="0" w:color="auto"/>
        <w:bottom w:val="none" w:sz="0" w:space="0" w:color="auto"/>
        <w:right w:val="none" w:sz="0" w:space="0" w:color="auto"/>
      </w:divBdr>
    </w:div>
    <w:div w:id="1211962925">
      <w:bodyDiv w:val="1"/>
      <w:marLeft w:val="0"/>
      <w:marRight w:val="0"/>
      <w:marTop w:val="0"/>
      <w:marBottom w:val="0"/>
      <w:divBdr>
        <w:top w:val="none" w:sz="0" w:space="0" w:color="auto"/>
        <w:left w:val="none" w:sz="0" w:space="0" w:color="auto"/>
        <w:bottom w:val="none" w:sz="0" w:space="0" w:color="auto"/>
        <w:right w:val="none" w:sz="0" w:space="0" w:color="auto"/>
      </w:divBdr>
    </w:div>
    <w:div w:id="1229533716">
      <w:bodyDiv w:val="1"/>
      <w:marLeft w:val="0"/>
      <w:marRight w:val="0"/>
      <w:marTop w:val="0"/>
      <w:marBottom w:val="0"/>
      <w:divBdr>
        <w:top w:val="none" w:sz="0" w:space="0" w:color="auto"/>
        <w:left w:val="none" w:sz="0" w:space="0" w:color="auto"/>
        <w:bottom w:val="none" w:sz="0" w:space="0" w:color="auto"/>
        <w:right w:val="none" w:sz="0" w:space="0" w:color="auto"/>
      </w:divBdr>
    </w:div>
    <w:div w:id="1287354286">
      <w:bodyDiv w:val="1"/>
      <w:marLeft w:val="0"/>
      <w:marRight w:val="0"/>
      <w:marTop w:val="0"/>
      <w:marBottom w:val="0"/>
      <w:divBdr>
        <w:top w:val="none" w:sz="0" w:space="0" w:color="auto"/>
        <w:left w:val="none" w:sz="0" w:space="0" w:color="auto"/>
        <w:bottom w:val="none" w:sz="0" w:space="0" w:color="auto"/>
        <w:right w:val="none" w:sz="0" w:space="0" w:color="auto"/>
      </w:divBdr>
    </w:div>
    <w:div w:id="1350984654">
      <w:bodyDiv w:val="1"/>
      <w:marLeft w:val="0"/>
      <w:marRight w:val="0"/>
      <w:marTop w:val="0"/>
      <w:marBottom w:val="0"/>
      <w:divBdr>
        <w:top w:val="none" w:sz="0" w:space="0" w:color="auto"/>
        <w:left w:val="none" w:sz="0" w:space="0" w:color="auto"/>
        <w:bottom w:val="none" w:sz="0" w:space="0" w:color="auto"/>
        <w:right w:val="none" w:sz="0" w:space="0" w:color="auto"/>
      </w:divBdr>
    </w:div>
    <w:div w:id="1526596203">
      <w:bodyDiv w:val="1"/>
      <w:marLeft w:val="0"/>
      <w:marRight w:val="0"/>
      <w:marTop w:val="0"/>
      <w:marBottom w:val="0"/>
      <w:divBdr>
        <w:top w:val="none" w:sz="0" w:space="0" w:color="auto"/>
        <w:left w:val="none" w:sz="0" w:space="0" w:color="auto"/>
        <w:bottom w:val="none" w:sz="0" w:space="0" w:color="auto"/>
        <w:right w:val="none" w:sz="0" w:space="0" w:color="auto"/>
      </w:divBdr>
    </w:div>
    <w:div w:id="1530217424">
      <w:bodyDiv w:val="1"/>
      <w:marLeft w:val="0"/>
      <w:marRight w:val="0"/>
      <w:marTop w:val="0"/>
      <w:marBottom w:val="0"/>
      <w:divBdr>
        <w:top w:val="none" w:sz="0" w:space="0" w:color="auto"/>
        <w:left w:val="none" w:sz="0" w:space="0" w:color="auto"/>
        <w:bottom w:val="none" w:sz="0" w:space="0" w:color="auto"/>
        <w:right w:val="none" w:sz="0" w:space="0" w:color="auto"/>
      </w:divBdr>
    </w:div>
    <w:div w:id="1569805439">
      <w:bodyDiv w:val="1"/>
      <w:marLeft w:val="0"/>
      <w:marRight w:val="0"/>
      <w:marTop w:val="0"/>
      <w:marBottom w:val="0"/>
      <w:divBdr>
        <w:top w:val="none" w:sz="0" w:space="0" w:color="auto"/>
        <w:left w:val="none" w:sz="0" w:space="0" w:color="auto"/>
        <w:bottom w:val="none" w:sz="0" w:space="0" w:color="auto"/>
        <w:right w:val="none" w:sz="0" w:space="0" w:color="auto"/>
      </w:divBdr>
    </w:div>
    <w:div w:id="1608732918">
      <w:bodyDiv w:val="1"/>
      <w:marLeft w:val="0"/>
      <w:marRight w:val="0"/>
      <w:marTop w:val="0"/>
      <w:marBottom w:val="0"/>
      <w:divBdr>
        <w:top w:val="none" w:sz="0" w:space="0" w:color="auto"/>
        <w:left w:val="none" w:sz="0" w:space="0" w:color="auto"/>
        <w:bottom w:val="none" w:sz="0" w:space="0" w:color="auto"/>
        <w:right w:val="none" w:sz="0" w:space="0" w:color="auto"/>
      </w:divBdr>
    </w:div>
    <w:div w:id="1624967741">
      <w:bodyDiv w:val="1"/>
      <w:marLeft w:val="0"/>
      <w:marRight w:val="0"/>
      <w:marTop w:val="0"/>
      <w:marBottom w:val="0"/>
      <w:divBdr>
        <w:top w:val="none" w:sz="0" w:space="0" w:color="auto"/>
        <w:left w:val="none" w:sz="0" w:space="0" w:color="auto"/>
        <w:bottom w:val="none" w:sz="0" w:space="0" w:color="auto"/>
        <w:right w:val="none" w:sz="0" w:space="0" w:color="auto"/>
      </w:divBdr>
    </w:div>
    <w:div w:id="1730349409">
      <w:bodyDiv w:val="1"/>
      <w:marLeft w:val="0"/>
      <w:marRight w:val="0"/>
      <w:marTop w:val="0"/>
      <w:marBottom w:val="0"/>
      <w:divBdr>
        <w:top w:val="none" w:sz="0" w:space="0" w:color="auto"/>
        <w:left w:val="none" w:sz="0" w:space="0" w:color="auto"/>
        <w:bottom w:val="none" w:sz="0" w:space="0" w:color="auto"/>
        <w:right w:val="none" w:sz="0" w:space="0" w:color="auto"/>
      </w:divBdr>
    </w:div>
    <w:div w:id="1787381980">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67787986">
      <w:bodyDiv w:val="1"/>
      <w:marLeft w:val="0"/>
      <w:marRight w:val="0"/>
      <w:marTop w:val="0"/>
      <w:marBottom w:val="0"/>
      <w:divBdr>
        <w:top w:val="none" w:sz="0" w:space="0" w:color="auto"/>
        <w:left w:val="none" w:sz="0" w:space="0" w:color="auto"/>
        <w:bottom w:val="none" w:sz="0" w:space="0" w:color="auto"/>
        <w:right w:val="none" w:sz="0" w:space="0" w:color="auto"/>
      </w:divBdr>
    </w:div>
    <w:div w:id="1912227521">
      <w:bodyDiv w:val="1"/>
      <w:marLeft w:val="0"/>
      <w:marRight w:val="0"/>
      <w:marTop w:val="0"/>
      <w:marBottom w:val="0"/>
      <w:divBdr>
        <w:top w:val="none" w:sz="0" w:space="0" w:color="auto"/>
        <w:left w:val="none" w:sz="0" w:space="0" w:color="auto"/>
        <w:bottom w:val="none" w:sz="0" w:space="0" w:color="auto"/>
        <w:right w:val="none" w:sz="0" w:space="0" w:color="auto"/>
      </w:divBdr>
    </w:div>
    <w:div w:id="1997880977">
      <w:bodyDiv w:val="1"/>
      <w:marLeft w:val="0"/>
      <w:marRight w:val="0"/>
      <w:marTop w:val="0"/>
      <w:marBottom w:val="0"/>
      <w:divBdr>
        <w:top w:val="none" w:sz="0" w:space="0" w:color="auto"/>
        <w:left w:val="none" w:sz="0" w:space="0" w:color="auto"/>
        <w:bottom w:val="none" w:sz="0" w:space="0" w:color="auto"/>
        <w:right w:val="none" w:sz="0" w:space="0" w:color="auto"/>
      </w:divBdr>
      <w:divsChild>
        <w:div w:id="1813519225">
          <w:marLeft w:val="0"/>
          <w:marRight w:val="0"/>
          <w:marTop w:val="0"/>
          <w:marBottom w:val="0"/>
          <w:divBdr>
            <w:top w:val="none" w:sz="0" w:space="0" w:color="auto"/>
            <w:left w:val="none" w:sz="0" w:space="0" w:color="auto"/>
            <w:bottom w:val="none" w:sz="0" w:space="0" w:color="auto"/>
            <w:right w:val="none" w:sz="0" w:space="0" w:color="auto"/>
          </w:divBdr>
          <w:divsChild>
            <w:div w:id="1746686377">
              <w:marLeft w:val="0"/>
              <w:marRight w:val="0"/>
              <w:marTop w:val="0"/>
              <w:marBottom w:val="0"/>
              <w:divBdr>
                <w:top w:val="none" w:sz="0" w:space="0" w:color="auto"/>
                <w:left w:val="none" w:sz="0" w:space="0" w:color="auto"/>
                <w:bottom w:val="none" w:sz="0" w:space="0" w:color="auto"/>
                <w:right w:val="none" w:sz="0" w:space="0" w:color="auto"/>
              </w:divBdr>
              <w:divsChild>
                <w:div w:id="160900855">
                  <w:marLeft w:val="0"/>
                  <w:marRight w:val="0"/>
                  <w:marTop w:val="0"/>
                  <w:marBottom w:val="0"/>
                  <w:divBdr>
                    <w:top w:val="none" w:sz="0" w:space="0" w:color="auto"/>
                    <w:left w:val="none" w:sz="0" w:space="0" w:color="auto"/>
                    <w:bottom w:val="none" w:sz="0" w:space="0" w:color="auto"/>
                    <w:right w:val="none" w:sz="0" w:space="0" w:color="auto"/>
                  </w:divBdr>
                  <w:divsChild>
                    <w:div w:id="901527766">
                      <w:marLeft w:val="0"/>
                      <w:marRight w:val="0"/>
                      <w:marTop w:val="150"/>
                      <w:marBottom w:val="0"/>
                      <w:divBdr>
                        <w:top w:val="none" w:sz="0" w:space="0" w:color="auto"/>
                        <w:left w:val="none" w:sz="0" w:space="0" w:color="auto"/>
                        <w:bottom w:val="none" w:sz="0" w:space="0" w:color="auto"/>
                        <w:right w:val="none" w:sz="0" w:space="0" w:color="auto"/>
                      </w:divBdr>
                      <w:divsChild>
                        <w:div w:id="256136009">
                          <w:marLeft w:val="0"/>
                          <w:marRight w:val="0"/>
                          <w:marTop w:val="0"/>
                          <w:marBottom w:val="0"/>
                          <w:divBdr>
                            <w:top w:val="none" w:sz="0" w:space="0" w:color="auto"/>
                            <w:left w:val="none" w:sz="0" w:space="0" w:color="auto"/>
                            <w:bottom w:val="none" w:sz="0" w:space="0" w:color="auto"/>
                            <w:right w:val="none" w:sz="0" w:space="0" w:color="auto"/>
                          </w:divBdr>
                          <w:divsChild>
                            <w:div w:id="2670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123784">
      <w:bodyDiv w:val="1"/>
      <w:marLeft w:val="0"/>
      <w:marRight w:val="0"/>
      <w:marTop w:val="0"/>
      <w:marBottom w:val="0"/>
      <w:divBdr>
        <w:top w:val="none" w:sz="0" w:space="0" w:color="auto"/>
        <w:left w:val="none" w:sz="0" w:space="0" w:color="auto"/>
        <w:bottom w:val="none" w:sz="0" w:space="0" w:color="auto"/>
        <w:right w:val="none" w:sz="0" w:space="0" w:color="auto"/>
      </w:divBdr>
    </w:div>
    <w:div w:id="2018381763">
      <w:bodyDiv w:val="1"/>
      <w:marLeft w:val="0"/>
      <w:marRight w:val="0"/>
      <w:marTop w:val="0"/>
      <w:marBottom w:val="0"/>
      <w:divBdr>
        <w:top w:val="none" w:sz="0" w:space="0" w:color="auto"/>
        <w:left w:val="none" w:sz="0" w:space="0" w:color="auto"/>
        <w:bottom w:val="none" w:sz="0" w:space="0" w:color="auto"/>
        <w:right w:val="none" w:sz="0" w:space="0" w:color="auto"/>
      </w:divBdr>
    </w:div>
    <w:div w:id="2062946390">
      <w:bodyDiv w:val="1"/>
      <w:marLeft w:val="0"/>
      <w:marRight w:val="0"/>
      <w:marTop w:val="0"/>
      <w:marBottom w:val="0"/>
      <w:divBdr>
        <w:top w:val="none" w:sz="0" w:space="0" w:color="auto"/>
        <w:left w:val="none" w:sz="0" w:space="0" w:color="auto"/>
        <w:bottom w:val="none" w:sz="0" w:space="0" w:color="auto"/>
        <w:right w:val="none" w:sz="0" w:space="0" w:color="auto"/>
      </w:divBdr>
    </w:div>
    <w:div w:id="2065446722">
      <w:bodyDiv w:val="1"/>
      <w:marLeft w:val="0"/>
      <w:marRight w:val="0"/>
      <w:marTop w:val="0"/>
      <w:marBottom w:val="0"/>
      <w:divBdr>
        <w:top w:val="none" w:sz="0" w:space="0" w:color="auto"/>
        <w:left w:val="none" w:sz="0" w:space="0" w:color="auto"/>
        <w:bottom w:val="none" w:sz="0" w:space="0" w:color="auto"/>
        <w:right w:val="none" w:sz="0" w:space="0" w:color="auto"/>
      </w:divBdr>
    </w:div>
    <w:div w:id="2115131289">
      <w:bodyDiv w:val="1"/>
      <w:marLeft w:val="0"/>
      <w:marRight w:val="0"/>
      <w:marTop w:val="0"/>
      <w:marBottom w:val="0"/>
      <w:divBdr>
        <w:top w:val="none" w:sz="0" w:space="0" w:color="auto"/>
        <w:left w:val="none" w:sz="0" w:space="0" w:color="auto"/>
        <w:bottom w:val="none" w:sz="0" w:space="0" w:color="auto"/>
        <w:right w:val="none" w:sz="0" w:space="0" w:color="auto"/>
      </w:divBdr>
    </w:div>
    <w:div w:id="212726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ec.europa.eu/justice/funding/jpen/interim_evaluation_report_2011_en.pdf" TargetMode="External"/><Relationship Id="rId42" Type="http://schemas.openxmlformats.org/officeDocument/2006/relationships/footer" Target="footer11.xml"/><Relationship Id="rId47" Type="http://schemas.openxmlformats.org/officeDocument/2006/relationships/footer" Target="footer13.xml"/><Relationship Id="rId50"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hyperlink" Target="http://eur-lex.europa.eu/LexUriServ/LexUriServ.do?uri=COM:2011:0351:FIN:EN:PDF" TargetMode="External"/><Relationship Id="rId38" Type="http://schemas.openxmlformats.org/officeDocument/2006/relationships/hyperlink" Target="https://ec.europa.eu/info/strategy/justice-and-fundamental-rights/effective-justice/eu-justice-scoreboard_en" TargetMode="External"/><Relationship Id="rId46"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hyperlink" Target="http://eur-lex.europa.eu/legal-content/EN/TXT/PDF/?uri=CELEX:52017DC0115" TargetMode="External"/><Relationship Id="rId37" Type="http://schemas.openxmlformats.org/officeDocument/2006/relationships/hyperlink" Target="https://e-justice.europa.eu/fileDownload.do?id=ae7d84cc-2bd0-4eb3-9c31-94b753a20bdb" TargetMode="External"/><Relationship Id="rId40" Type="http://schemas.openxmlformats.org/officeDocument/2006/relationships/header" Target="header11.xml"/><Relationship Id="rId45"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1.xml"/><Relationship Id="rId28" Type="http://schemas.openxmlformats.org/officeDocument/2006/relationships/footer" Target="footer8.xml"/><Relationship Id="rId36" Type="http://schemas.openxmlformats.org/officeDocument/2006/relationships/hyperlink" Target="https://e-justice.europa.eu/fileDownload.do?id=5799faaa-b4ce-498c-aeb1-bba4b81d900e" TargetMode="External"/><Relationship Id="rId49"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eur-lex.europa.eu/legal-content/en/TXT/?uri=CELEX:52017DC0059" TargetMode="External"/><Relationship Id="rId44" Type="http://schemas.openxmlformats.org/officeDocument/2006/relationships/footer" Target="footer12.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eur-lex.europa.eu/legal%20content/EN/TXT/PDF/?uri=CELEX:52011DC0246&amp;qid=1467122450426&amp;from=EN" TargetMode="External"/><Relationship Id="rId43" Type="http://schemas.openxmlformats.org/officeDocument/2006/relationships/header" Target="header12.xml"/><Relationship Id="rId48"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ealth/funding/programme/2014-2020_en" TargetMode="External"/><Relationship Id="rId3" Type="http://schemas.openxmlformats.org/officeDocument/2006/relationships/hyperlink" Target="http://ec.europa.eu/justice/grants1/files/expost_evaluations_reports_2007_2013/criminal_justice_programme.pdf" TargetMode="External"/><Relationship Id="rId7" Type="http://schemas.openxmlformats.org/officeDocument/2006/relationships/hyperlink" Target="https://ec.europa.eu/home-affairs/financing/fundings/security-and-safeguarding-liberties/internal-security-fund-police_en" TargetMode="External"/><Relationship Id="rId12" Type="http://schemas.openxmlformats.org/officeDocument/2006/relationships/hyperlink" Target="https://ec.europa.eu/info/sites/info/files/better-regulation-toolbox_0.pdf" TargetMode="External"/><Relationship Id="rId2" Type="http://schemas.openxmlformats.org/officeDocument/2006/relationships/hyperlink" Target="http://ec.europa.eu/justice/grants1/files/expost_evaluations_reports_2007_2013/civil_justice_programme.pdf" TargetMode="External"/><Relationship Id="rId1" Type="http://schemas.openxmlformats.org/officeDocument/2006/relationships/hyperlink" Target="http://eur-lex.europa.eu/legal-content/EN/TXT/PDF/?uri=CELEX:32013R1381&amp;from=EN" TargetMode="External"/><Relationship Id="rId6" Type="http://schemas.openxmlformats.org/officeDocument/2006/relationships/hyperlink" Target="https://publications.europa.eu/en/publication-detail/-/publication/2a2f84b9-f3a4-11e3-831f-01aa75ed71a1/language-en" TargetMode="External"/><Relationship Id="rId11" Type="http://schemas.openxmlformats.org/officeDocument/2006/relationships/hyperlink" Target="http://ec.europa.eu/education/participants/portal/desktop/en/home.html" TargetMode="External"/><Relationship Id="rId5" Type="http://schemas.openxmlformats.org/officeDocument/2006/relationships/hyperlink" Target="http://ec.europa.eu/justice/criminal/files/final_report_2015_en.pdf" TargetMode="External"/><Relationship Id="rId10" Type="http://schemas.openxmlformats.org/officeDocument/2006/relationships/hyperlink" Target="https://e-justice.europa.eu/home" TargetMode="External"/><Relationship Id="rId4" Type="http://schemas.openxmlformats.org/officeDocument/2006/relationships/hyperlink" Target="http://ec.europa.eu/justice/grants1/files/expost_evaluations_reports_2007_2013/dpip_programme.pdf" TargetMode="External"/><Relationship Id="rId9" Type="http://schemas.openxmlformats.org/officeDocument/2006/relationships/hyperlink" Target="http://ec.europa.eu/social/main.jsp?catId=325&amp;langId=en"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464039546985397E-2"/>
          <c:y val="6.1823802163833097E-2"/>
          <c:w val="0.88722099648523201"/>
          <c:h val="0.82381108852892604"/>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D9D9D9"/>
              </a:solidFill>
              <a:ln>
                <a:noFill/>
              </a:ln>
              <a:effectLst/>
            </c:spPr>
            <c:extLst xmlns:c16r2="http://schemas.microsoft.com/office/drawing/2015/06/chart">
              <c:ext xmlns:c16="http://schemas.microsoft.com/office/drawing/2014/chart" uri="{C3380CC4-5D6E-409C-BE32-E72D297353CC}">
                <c16:uniqueId val="{00000001-F1D9-49F5-BA58-062AA4C146B8}"/>
              </c:ext>
            </c:extLst>
          </c:dPt>
          <c:dPt>
            <c:idx val="1"/>
            <c:invertIfNegative val="0"/>
            <c:bubble3D val="0"/>
            <c:spPr>
              <a:solidFill>
                <a:srgbClr val="00AEF0"/>
              </a:solidFill>
              <a:ln>
                <a:noFill/>
              </a:ln>
              <a:effectLst/>
            </c:spPr>
            <c:extLst xmlns:c16r2="http://schemas.microsoft.com/office/drawing/2015/06/chart">
              <c:ext xmlns:c16="http://schemas.microsoft.com/office/drawing/2014/chart" uri="{C3380CC4-5D6E-409C-BE32-E72D297353CC}">
                <c16:uniqueId val="{00000003-F1D9-49F5-BA58-062AA4C146B8}"/>
              </c:ext>
            </c:extLst>
          </c:dPt>
          <c:dPt>
            <c:idx val="2"/>
            <c:invertIfNegative val="0"/>
            <c:bubble3D val="0"/>
            <c:spPr>
              <a:solidFill>
                <a:srgbClr val="00AEF0"/>
              </a:solidFill>
              <a:ln>
                <a:noFill/>
              </a:ln>
              <a:effectLst/>
            </c:spPr>
            <c:extLst xmlns:c16r2="http://schemas.microsoft.com/office/drawing/2015/06/chart">
              <c:ext xmlns:c16="http://schemas.microsoft.com/office/drawing/2014/chart" uri="{C3380CC4-5D6E-409C-BE32-E72D297353CC}">
                <c16:uniqueId val="{00000005-F1D9-49F5-BA58-062AA4C146B8}"/>
              </c:ext>
            </c:extLst>
          </c:dPt>
          <c:dPt>
            <c:idx val="3"/>
            <c:invertIfNegative val="0"/>
            <c:bubble3D val="0"/>
            <c:spPr>
              <a:solidFill>
                <a:srgbClr val="00AEF0"/>
              </a:solidFill>
              <a:ln>
                <a:noFill/>
              </a:ln>
              <a:effectLst/>
            </c:spPr>
            <c:extLst xmlns:c16r2="http://schemas.microsoft.com/office/drawing/2015/06/chart">
              <c:ext xmlns:c16="http://schemas.microsoft.com/office/drawing/2014/chart" uri="{C3380CC4-5D6E-409C-BE32-E72D297353CC}">
                <c16:uniqueId val="{00000007-F1D9-49F5-BA58-062AA4C146B8}"/>
              </c:ext>
            </c:extLst>
          </c:dPt>
          <c:dPt>
            <c:idx val="4"/>
            <c:invertIfNegative val="0"/>
            <c:bubble3D val="0"/>
            <c:spPr>
              <a:solidFill>
                <a:srgbClr val="D9D9D9"/>
              </a:solidFill>
              <a:ln>
                <a:noFill/>
              </a:ln>
              <a:effectLst/>
            </c:spPr>
            <c:extLst xmlns:c16r2="http://schemas.microsoft.com/office/drawing/2015/06/chart">
              <c:ext xmlns:c16="http://schemas.microsoft.com/office/drawing/2014/chart" uri="{C3380CC4-5D6E-409C-BE32-E72D297353CC}">
                <c16:uniqueId val="{00000009-F1D9-49F5-BA58-062AA4C146B8}"/>
              </c:ext>
            </c:extLst>
          </c:dPt>
          <c:cat>
            <c:strRef>
              <c:f>Sheet1!$A$3:$A$7</c:f>
              <c:strCache>
                <c:ptCount val="5"/>
                <c:pt idx="0">
                  <c:v>2013 (baseline)</c:v>
                </c:pt>
                <c:pt idx="1">
                  <c:v>2014</c:v>
                </c:pt>
                <c:pt idx="2">
                  <c:v>2015</c:v>
                </c:pt>
                <c:pt idx="3">
                  <c:v>2016</c:v>
                </c:pt>
                <c:pt idx="4">
                  <c:v>2020 (target)</c:v>
                </c:pt>
              </c:strCache>
            </c:strRef>
          </c:cat>
          <c:val>
            <c:numRef>
              <c:f>Sheet1!$B$3:$B$7</c:f>
              <c:numCache>
                <c:formatCode>General</c:formatCode>
                <c:ptCount val="5"/>
                <c:pt idx="0">
                  <c:v>239000</c:v>
                </c:pt>
                <c:pt idx="1">
                  <c:v>371000</c:v>
                </c:pt>
                <c:pt idx="2">
                  <c:v>495000</c:v>
                </c:pt>
                <c:pt idx="3">
                  <c:v>640000</c:v>
                </c:pt>
                <c:pt idx="4">
                  <c:v>700000</c:v>
                </c:pt>
              </c:numCache>
            </c:numRef>
          </c:val>
          <c:extLst xmlns:c16r2="http://schemas.microsoft.com/office/drawing/2015/06/chart">
            <c:ext xmlns:c16="http://schemas.microsoft.com/office/drawing/2014/chart" uri="{C3380CC4-5D6E-409C-BE32-E72D297353CC}">
              <c16:uniqueId val="{0000000A-F1D9-49F5-BA58-062AA4C146B8}"/>
            </c:ext>
          </c:extLst>
        </c:ser>
        <c:dLbls>
          <c:showLegendKey val="0"/>
          <c:showVal val="0"/>
          <c:showCatName val="0"/>
          <c:showSerName val="0"/>
          <c:showPercent val="0"/>
          <c:showBubbleSize val="0"/>
        </c:dLbls>
        <c:gapWidth val="219"/>
        <c:overlap val="-27"/>
        <c:axId val="75244672"/>
        <c:axId val="75246208"/>
      </c:barChart>
      <c:catAx>
        <c:axId val="7524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246208"/>
        <c:crosses val="autoZero"/>
        <c:auto val="1"/>
        <c:lblAlgn val="ctr"/>
        <c:lblOffset val="100"/>
        <c:noMultiLvlLbl val="0"/>
      </c:catAx>
      <c:valAx>
        <c:axId val="75246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244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06ED2-5482-4DCC-A17F-D3E60BF9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13031</Words>
  <Characters>74803</Characters>
  <Application>Microsoft Office Word</Application>
  <DocSecurity>0</DocSecurity>
  <Lines>1411</Lines>
  <Paragraphs>504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87330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dcterms:created xsi:type="dcterms:W3CDTF">2018-05-22T15:09:00Z</dcterms:created>
  <dcterms:modified xsi:type="dcterms:W3CDTF">2018-06-27T05:50:00Z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Level of sensitivity">
    <vt:lpwstr>Standard treatment</vt:lpwstr>
  </property>
</Properties>
</file>