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D5843296-5D11-4E51-B7FB-A10E97030853" style="width:450.5pt;height:34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spacing w:after="120" w:line="240" w:lineRule="auto"/>
        <w:jc w:val="center"/>
        <w:rPr>
          <w:rFonts w:ascii="Times New Roman" w:eastAsia="Times New Roman" w:hAnsi="Times New Roman" w:cs="Times New Roman"/>
          <w:b/>
          <w:noProof/>
          <w:sz w:val="24"/>
          <w:szCs w:val="24"/>
        </w:rPr>
      </w:pPr>
      <w:bookmarkStart w:id="1" w:name="_GoBack"/>
      <w:bookmarkEnd w:id="1"/>
      <w:r>
        <w:rPr>
          <w:rFonts w:ascii="Times New Roman" w:hAnsi="Times New Roman"/>
          <w:b/>
          <w:noProof/>
          <w:sz w:val="24"/>
        </w:rPr>
        <w:lastRenderedPageBreak/>
        <w:t>RAPPORT DE LA COMMISSION AU PARLEMENT EUROPÉEN ET AU CONSEIL, AU COMITÉ ÉCONOMIQUE ET SOCIAL EUROPÉEN ET AU COMITÉ DES RÉGIONS</w:t>
      </w:r>
    </w:p>
    <w:p>
      <w:pPr>
        <w:spacing w:after="120" w:line="240" w:lineRule="auto"/>
        <w:jc w:val="center"/>
        <w:rPr>
          <w:rFonts w:ascii="Times New Roman" w:eastAsia="Times New Roman" w:hAnsi="Times New Roman" w:cs="Times New Roman"/>
          <w:b/>
          <w:noProof/>
          <w:sz w:val="24"/>
          <w:szCs w:val="24"/>
        </w:rPr>
      </w:pPr>
      <w:r>
        <w:rPr>
          <w:rFonts w:ascii="Times New Roman" w:hAnsi="Times New Roman"/>
          <w:b/>
          <w:noProof/>
          <w:sz w:val="24"/>
        </w:rPr>
        <w:t>sur l’évaluation intermédiaire de la mise en œuvre du programme «Droits, égalité et citoyenneté» 2014-2020</w:t>
      </w:r>
    </w:p>
    <w:p>
      <w:pPr>
        <w:autoSpaceDE w:val="0"/>
        <w:autoSpaceDN w:val="0"/>
        <w:adjustRightInd w:val="0"/>
        <w:spacing w:after="120" w:line="240" w:lineRule="auto"/>
        <w:jc w:val="both"/>
        <w:rPr>
          <w:rFonts w:ascii="Times New Roman" w:hAnsi="Times New Roman" w:cs="Times New Roman"/>
          <w:noProof/>
          <w:sz w:val="24"/>
          <w:szCs w:val="24"/>
        </w:rPr>
      </w:pPr>
    </w:p>
    <w:p>
      <w:pPr>
        <w:autoSpaceDE w:val="0"/>
        <w:autoSpaceDN w:val="0"/>
        <w:adjustRightInd w:val="0"/>
        <w:spacing w:after="120" w:line="240" w:lineRule="auto"/>
        <w:jc w:val="both"/>
        <w:rPr>
          <w:rFonts w:ascii="Times New Roman" w:hAnsi="Times New Roman" w:cs="Times New Roman"/>
          <w:noProof/>
          <w:sz w:val="24"/>
          <w:szCs w:val="24"/>
        </w:rPr>
      </w:pP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Le programme «Droits, égalité et citoyenneté»</w:t>
      </w:r>
      <w:r>
        <w:rPr>
          <w:rStyle w:val="FootnoteReference"/>
          <w:rFonts w:ascii="Times New Roman" w:hAnsi="Times New Roman"/>
          <w:noProof/>
          <w:sz w:val="24"/>
        </w:rPr>
        <w:footnoteReference w:id="1"/>
      </w:r>
      <w:r>
        <w:rPr>
          <w:rFonts w:ascii="Times New Roman" w:hAnsi="Times New Roman"/>
          <w:noProof/>
          <w:sz w:val="24"/>
        </w:rPr>
        <w:t xml:space="preserve"> a été lancé au cours d’une période particulièrement difficile pour l’UE, à une époque où les conséquences de la crise économique avaient donné lieu à une réduction générale des ressources et des financements nationaux alloués aux enjeux sociaux et à la question des droits de l’homme. Depuis 2014, le programme vise à poursuivre la mise en place d’une Europe des droits et de l’égalité conformément à la stratégie Europe 2020</w:t>
      </w:r>
      <w:r>
        <w:rPr>
          <w:rStyle w:val="FootnoteReference"/>
          <w:rFonts w:ascii="Times New Roman" w:hAnsi="Times New Roman"/>
          <w:noProof/>
          <w:color w:val="000000" w:themeColor="text1"/>
          <w:sz w:val="24"/>
        </w:rPr>
        <w:footnoteReference w:id="2"/>
      </w:r>
      <w:r>
        <w:rPr>
          <w:rFonts w:ascii="Times New Roman" w:hAnsi="Times New Roman"/>
          <w:noProof/>
          <w:sz w:val="24"/>
        </w:rPr>
        <w:t>.</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Le présent rapport présente les résultats à mi-parcours du programme et les aspects qualitatifs et quantitatifs de sa mise en œuvre, conformément à l’article 13, paragraphe 2, point b), du règlement du Parlement européen et du Conseil établissant un programme «Droits, égalité et citoyenneté» pour la période 2014-2020</w:t>
      </w:r>
      <w:r>
        <w:rPr>
          <w:rFonts w:ascii="Times New Roman" w:hAnsi="Times New Roman"/>
          <w:noProof/>
          <w:sz w:val="24"/>
          <w:vertAlign w:val="superscript"/>
        </w:rPr>
        <w:footnoteReference w:id="3"/>
      </w:r>
      <w:r>
        <w:rPr>
          <w:rFonts w:ascii="Times New Roman" w:hAnsi="Times New Roman"/>
          <w:noProof/>
          <w:sz w:val="24"/>
        </w:rPr>
        <w:t>.</w:t>
      </w:r>
    </w:p>
    <w:p>
      <w:pPr>
        <w:pStyle w:val="Body"/>
        <w:spacing w:before="0"/>
        <w:rPr>
          <w:rFonts w:ascii="Times New Roman" w:hAnsi="Times New Roman"/>
          <w:noProof/>
          <w:sz w:val="24"/>
          <w:szCs w:val="24"/>
        </w:rPr>
      </w:pPr>
      <w:r>
        <w:rPr>
          <w:rFonts w:ascii="Times New Roman" w:hAnsi="Times New Roman"/>
          <w:noProof/>
          <w:sz w:val="24"/>
        </w:rPr>
        <w:t>La période de référence de l’évaluation intermédiaire correspond à la première moitié de la mise en œuvre du programme, entre 2014 et mi-2017. L’évaluation a concerné les programmes de travail annuels 2014, 2015 et 2016. Par ailleurs, l’analyse du programme de travail 2017 a porté principalement sur sa conception et sa structure, mais pas sur son exécution.</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Le présent rapport se fonde sur les conclusions de l’évaluation</w:t>
      </w:r>
      <w:r>
        <w:rPr>
          <w:rStyle w:val="FootnoteReference"/>
          <w:rFonts w:ascii="Times New Roman" w:hAnsi="Times New Roman"/>
          <w:noProof/>
          <w:sz w:val="24"/>
        </w:rPr>
        <w:footnoteReference w:id="4"/>
      </w:r>
      <w:r>
        <w:rPr>
          <w:rFonts w:ascii="Times New Roman" w:hAnsi="Times New Roman"/>
          <w:noProof/>
          <w:sz w:val="24"/>
        </w:rPr>
        <w:t xml:space="preserve"> réalisée par la Commission européenne, étayée par une évaluation externe</w:t>
      </w:r>
      <w:r>
        <w:rPr>
          <w:rStyle w:val="FootnoteReference"/>
          <w:rFonts w:ascii="Times New Roman" w:hAnsi="Times New Roman"/>
          <w:noProof/>
          <w:sz w:val="24"/>
        </w:rPr>
        <w:footnoteReference w:id="5"/>
      </w:r>
      <w:r>
        <w:rPr>
          <w:rFonts w:ascii="Times New Roman" w:hAnsi="Times New Roman"/>
          <w:noProof/>
          <w:sz w:val="24"/>
        </w:rPr>
        <w:t>.</w:t>
      </w:r>
    </w:p>
    <w:p>
      <w:pPr>
        <w:pStyle w:val="ListParagraph"/>
        <w:keepNext/>
        <w:numPr>
          <w:ilvl w:val="0"/>
          <w:numId w:val="11"/>
        </w:numPr>
        <w:tabs>
          <w:tab w:val="left" w:pos="850"/>
        </w:tabs>
        <w:spacing w:after="120" w:line="240" w:lineRule="auto"/>
        <w:contextualSpacing w:val="0"/>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Introduction et contexte</w:t>
      </w:r>
    </w:p>
    <w:p>
      <w:pPr>
        <w:spacing w:after="120" w:line="240" w:lineRule="auto"/>
        <w:jc w:val="both"/>
        <w:rPr>
          <w:rFonts w:ascii="Times New Roman" w:hAnsi="Times New Roman" w:cs="Times New Roman"/>
          <w:noProof/>
          <w:sz w:val="24"/>
          <w:szCs w:val="24"/>
        </w:rPr>
      </w:pPr>
      <w:r>
        <w:rPr>
          <w:rFonts w:ascii="Times New Roman" w:hAnsi="Times New Roman"/>
          <w:noProof/>
          <w:sz w:val="24"/>
        </w:rPr>
        <w:t>Le programme «Droits, égalité et citoyenneté» 2014-2020 a remplacé les programmes en vigueur au cours de la période de programmation 2007-2013, à savoir le programme Daphné III, le programme «Droits fondamentaux et citoyenneté» et le programme Progress</w:t>
      </w:r>
      <w:r>
        <w:rPr>
          <w:rStyle w:val="FootnoteReference"/>
          <w:rFonts w:ascii="Times New Roman" w:hAnsi="Times New Roman"/>
          <w:noProof/>
          <w:sz w:val="24"/>
        </w:rPr>
        <w:footnoteReference w:id="6"/>
      </w:r>
      <w:r>
        <w:rPr>
          <w:rFonts w:ascii="Times New Roman" w:hAnsi="Times New Roman"/>
          <w:noProof/>
          <w:sz w:val="24"/>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rPr>
        <w:t>Le programme actuel a été institué par le règlement (UE) nº 1381/2013 du Parlement européen et du Conseil.</w:t>
      </w:r>
    </w:p>
    <w:p>
      <w:pPr>
        <w:spacing w:after="120" w:line="240" w:lineRule="auto"/>
        <w:jc w:val="both"/>
        <w:rPr>
          <w:rFonts w:ascii="Times New Roman" w:hAnsi="Times New Roman" w:cs="Times New Roman"/>
          <w:noProof/>
          <w:sz w:val="24"/>
          <w:szCs w:val="24"/>
        </w:rPr>
      </w:pPr>
      <w:r>
        <w:rPr>
          <w:rFonts w:ascii="Times New Roman" w:hAnsi="Times New Roman"/>
          <w:noProof/>
          <w:sz w:val="24"/>
        </w:rPr>
        <w:t>Conformément au règlement, l’</w:t>
      </w:r>
      <w:r>
        <w:rPr>
          <w:rFonts w:ascii="Times New Roman" w:hAnsi="Times New Roman"/>
          <w:b/>
          <w:noProof/>
          <w:sz w:val="24"/>
        </w:rPr>
        <w:t>objectif général</w:t>
      </w:r>
      <w:r>
        <w:rPr>
          <w:rFonts w:ascii="Times New Roman" w:hAnsi="Times New Roman"/>
          <w:noProof/>
          <w:sz w:val="24"/>
        </w:rPr>
        <w:t xml:space="preserve"> du programme est de:</w:t>
      </w:r>
    </w:p>
    <w:p>
      <w:pPr>
        <w:pStyle w:val="ListParagraph"/>
        <w:numPr>
          <w:ilvl w:val="0"/>
          <w:numId w:val="3"/>
        </w:numPr>
        <w:spacing w:after="120" w:line="240" w:lineRule="auto"/>
        <w:ind w:left="567" w:hanging="567"/>
        <w:contextualSpacing w:val="0"/>
        <w:jc w:val="both"/>
        <w:rPr>
          <w:rFonts w:ascii="Times New Roman" w:hAnsi="Times New Roman" w:cs="Times New Roman"/>
          <w:noProof/>
          <w:sz w:val="24"/>
          <w:szCs w:val="24"/>
        </w:rPr>
      </w:pPr>
      <w:r>
        <w:rPr>
          <w:rFonts w:ascii="Times New Roman" w:hAnsi="Times New Roman"/>
          <w:noProof/>
          <w:color w:val="000000"/>
          <w:sz w:val="24"/>
        </w:rPr>
        <w:t>contribuer à la poursuite de la mise en place d’un espace destiné à promouvoir, à protéger et à mettre effectivement en œuvre l’égalité et les droits de la personne, tels qu’ils sont consacrés dans le traité sur l’Union européenne, dans le traité sur le fonctionnement de l’Union européenne et dans la charte, ainsi que dans les conventions internationales relatives aux droits de l’homme auxquelles l’Union a adhéré.</w:t>
      </w:r>
    </w:p>
    <w:p>
      <w:pPr>
        <w:pStyle w:val="ListParagraph"/>
        <w:spacing w:after="120" w:line="240" w:lineRule="auto"/>
        <w:ind w:left="567"/>
        <w:contextualSpacing w:val="0"/>
        <w:jc w:val="both"/>
        <w:rPr>
          <w:rFonts w:ascii="Times New Roman" w:hAnsi="Times New Roman" w:cs="Times New Roman"/>
          <w:noProof/>
          <w:sz w:val="24"/>
          <w:szCs w:val="24"/>
        </w:rPr>
      </w:pP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Le programme poursuit les </w:t>
      </w:r>
      <w:r>
        <w:rPr>
          <w:rFonts w:ascii="Times New Roman" w:hAnsi="Times New Roman"/>
          <w:b/>
          <w:noProof/>
          <w:sz w:val="24"/>
        </w:rPr>
        <w:t>objectifs spécifiques</w:t>
      </w:r>
      <w:r>
        <w:rPr>
          <w:rFonts w:ascii="Times New Roman" w:hAnsi="Times New Roman"/>
          <w:noProof/>
          <w:sz w:val="24"/>
        </w:rPr>
        <w:t xml:space="preserve"> suivants:</w:t>
      </w:r>
    </w:p>
    <w:p>
      <w:pPr>
        <w:pStyle w:val="Body"/>
        <w:numPr>
          <w:ilvl w:val="1"/>
          <w:numId w:val="8"/>
        </w:numPr>
        <w:spacing w:before="0"/>
        <w:ind w:left="567" w:hanging="567"/>
        <w:rPr>
          <w:rFonts w:ascii="Times New Roman" w:hAnsi="Times New Roman"/>
          <w:noProof/>
          <w:sz w:val="24"/>
          <w:szCs w:val="24"/>
        </w:rPr>
      </w:pPr>
      <w:bookmarkStart w:id="2" w:name="_Hlk497985973"/>
      <w:r>
        <w:rPr>
          <w:rFonts w:ascii="Times New Roman" w:hAnsi="Times New Roman"/>
          <w:noProof/>
          <w:sz w:val="24"/>
        </w:rPr>
        <w:t>promouvoir la mise en œuvre effective du principe de non-discrimination en raison du sexe, de l’origine raciale ou ethnique, de la religion ou des convictions, d’un handicap, de l’âge ou de l’orientation sexuelle et le respect du principe de non-discrimination pour les motifs prévus à l’article 21 de la charte;</w:t>
      </w:r>
    </w:p>
    <w:p>
      <w:pPr>
        <w:pStyle w:val="Body"/>
        <w:numPr>
          <w:ilvl w:val="1"/>
          <w:numId w:val="8"/>
        </w:numPr>
        <w:spacing w:before="0"/>
        <w:ind w:left="567" w:hanging="567"/>
        <w:rPr>
          <w:rFonts w:ascii="Times New Roman" w:hAnsi="Times New Roman"/>
          <w:noProof/>
          <w:sz w:val="24"/>
          <w:szCs w:val="24"/>
        </w:rPr>
      </w:pPr>
      <w:r>
        <w:rPr>
          <w:rFonts w:ascii="Times New Roman" w:hAnsi="Times New Roman"/>
          <w:noProof/>
          <w:sz w:val="24"/>
        </w:rPr>
        <w:t>prévenir le racisme, la xénophobie, l’homophobie et d’autres formes d’intolérance et combattre ces phénomènes;</w:t>
      </w:r>
    </w:p>
    <w:p>
      <w:pPr>
        <w:pStyle w:val="Body"/>
        <w:numPr>
          <w:ilvl w:val="1"/>
          <w:numId w:val="8"/>
        </w:numPr>
        <w:spacing w:before="0"/>
        <w:ind w:left="567" w:hanging="567"/>
        <w:rPr>
          <w:rFonts w:ascii="Times New Roman" w:hAnsi="Times New Roman"/>
          <w:noProof/>
          <w:sz w:val="24"/>
          <w:szCs w:val="24"/>
        </w:rPr>
      </w:pPr>
      <w:r>
        <w:rPr>
          <w:rFonts w:ascii="Times New Roman" w:hAnsi="Times New Roman"/>
          <w:noProof/>
          <w:sz w:val="24"/>
        </w:rPr>
        <w:t>promouvoir et protéger les droits des personnes handicapées;</w:t>
      </w:r>
    </w:p>
    <w:p>
      <w:pPr>
        <w:pStyle w:val="Body"/>
        <w:numPr>
          <w:ilvl w:val="1"/>
          <w:numId w:val="8"/>
        </w:numPr>
        <w:spacing w:before="0"/>
        <w:ind w:left="567" w:hanging="567"/>
        <w:rPr>
          <w:rFonts w:ascii="Times New Roman" w:hAnsi="Times New Roman"/>
          <w:noProof/>
          <w:sz w:val="24"/>
          <w:szCs w:val="24"/>
        </w:rPr>
      </w:pPr>
      <w:r>
        <w:rPr>
          <w:rFonts w:ascii="Times New Roman" w:hAnsi="Times New Roman"/>
          <w:noProof/>
          <w:sz w:val="24"/>
        </w:rPr>
        <w:t>promouvoir l’égalité entre les femmes et les hommes et faire progresser l’intégration dans les politiques des questions d’égalité entre les femmes et les hommes;</w:t>
      </w:r>
    </w:p>
    <w:p>
      <w:pPr>
        <w:pStyle w:val="Body"/>
        <w:numPr>
          <w:ilvl w:val="1"/>
          <w:numId w:val="8"/>
        </w:numPr>
        <w:spacing w:before="0"/>
        <w:ind w:left="567" w:hanging="567"/>
        <w:rPr>
          <w:rFonts w:ascii="Times New Roman" w:hAnsi="Times New Roman"/>
          <w:noProof/>
          <w:sz w:val="24"/>
          <w:szCs w:val="24"/>
        </w:rPr>
      </w:pPr>
      <w:r>
        <w:rPr>
          <w:rFonts w:ascii="Times New Roman" w:hAnsi="Times New Roman"/>
          <w:noProof/>
          <w:sz w:val="24"/>
        </w:rPr>
        <w:t>prévenir et combattre la violence envers les enfants, les jeunes, les femmes et d’autres groupes à risque;</w:t>
      </w:r>
    </w:p>
    <w:p>
      <w:pPr>
        <w:pStyle w:val="Body"/>
        <w:numPr>
          <w:ilvl w:val="1"/>
          <w:numId w:val="8"/>
        </w:numPr>
        <w:spacing w:before="0"/>
        <w:ind w:left="567" w:hanging="567"/>
        <w:rPr>
          <w:rFonts w:ascii="Times New Roman" w:hAnsi="Times New Roman"/>
          <w:noProof/>
          <w:sz w:val="24"/>
          <w:szCs w:val="24"/>
        </w:rPr>
      </w:pPr>
      <w:r>
        <w:rPr>
          <w:rFonts w:ascii="Times New Roman" w:hAnsi="Times New Roman"/>
          <w:noProof/>
          <w:sz w:val="24"/>
        </w:rPr>
        <w:t>promouvoir et protéger les droits de l’enfant;</w:t>
      </w:r>
    </w:p>
    <w:p>
      <w:pPr>
        <w:pStyle w:val="Body"/>
        <w:numPr>
          <w:ilvl w:val="1"/>
          <w:numId w:val="8"/>
        </w:numPr>
        <w:spacing w:before="0"/>
        <w:ind w:left="567" w:hanging="567"/>
        <w:rPr>
          <w:rFonts w:ascii="Times New Roman" w:hAnsi="Times New Roman"/>
          <w:noProof/>
          <w:sz w:val="24"/>
          <w:szCs w:val="24"/>
        </w:rPr>
      </w:pPr>
      <w:r>
        <w:rPr>
          <w:rFonts w:ascii="Times New Roman" w:hAnsi="Times New Roman"/>
          <w:noProof/>
          <w:sz w:val="24"/>
        </w:rPr>
        <w:t>contribuer à assurer le niveau le plus élevé de protection de la vie privée et des données à caractère personnel;</w:t>
      </w:r>
    </w:p>
    <w:p>
      <w:pPr>
        <w:pStyle w:val="Body"/>
        <w:numPr>
          <w:ilvl w:val="1"/>
          <w:numId w:val="8"/>
        </w:numPr>
        <w:spacing w:before="0"/>
        <w:ind w:left="567" w:hanging="567"/>
        <w:rPr>
          <w:rFonts w:ascii="Times New Roman" w:hAnsi="Times New Roman"/>
          <w:noProof/>
          <w:sz w:val="24"/>
          <w:szCs w:val="24"/>
        </w:rPr>
      </w:pPr>
      <w:r>
        <w:rPr>
          <w:rFonts w:ascii="Times New Roman" w:hAnsi="Times New Roman"/>
          <w:noProof/>
          <w:sz w:val="24"/>
        </w:rPr>
        <w:t>promouvoir et renforcer l’exercice des droits découlant de la citoyenneté de l’UE;</w:t>
      </w:r>
    </w:p>
    <w:p>
      <w:pPr>
        <w:pStyle w:val="Body"/>
        <w:numPr>
          <w:ilvl w:val="1"/>
          <w:numId w:val="8"/>
        </w:numPr>
        <w:spacing w:before="0"/>
        <w:ind w:left="567" w:hanging="567"/>
        <w:rPr>
          <w:rFonts w:ascii="Times New Roman" w:hAnsi="Times New Roman"/>
          <w:noProof/>
          <w:sz w:val="24"/>
          <w:szCs w:val="24"/>
        </w:rPr>
      </w:pPr>
      <w:r>
        <w:rPr>
          <w:rFonts w:ascii="Times New Roman" w:hAnsi="Times New Roman"/>
          <w:noProof/>
          <w:color w:val="000000"/>
          <w:sz w:val="24"/>
        </w:rPr>
        <w:t>donner aux personnes, en leur qualité de consommateurs ou d’entrepreneurs au sein du marché intérieur, les moyens de faire respecter leurs droits découlant du droit de l’Union, compte tenu des projets financés dans le cadre du programme «consommateurs».</w:t>
      </w:r>
    </w:p>
    <w:bookmarkEnd w:id="2"/>
    <w:p>
      <w:pPr>
        <w:spacing w:after="120" w:line="240" w:lineRule="auto"/>
        <w:jc w:val="both"/>
        <w:rPr>
          <w:rFonts w:ascii="Times New Roman" w:hAnsi="Times New Roman" w:cs="Times New Roman"/>
          <w:noProof/>
          <w:sz w:val="24"/>
          <w:szCs w:val="24"/>
        </w:rPr>
      </w:pPr>
      <w:r>
        <w:rPr>
          <w:rFonts w:ascii="Times New Roman" w:hAnsi="Times New Roman"/>
          <w:noProof/>
          <w:sz w:val="24"/>
        </w:rPr>
        <w:t>Le programme est mis en œuvre par la Commission européenne dans le cadre de la gestion centralisée directe.</w:t>
      </w:r>
    </w:p>
    <w:p>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b/>
          <w:noProof/>
          <w:sz w:val="24"/>
        </w:rPr>
        <w:t>D’un point de vue géographique</w:t>
      </w:r>
      <w:r>
        <w:rPr>
          <w:rFonts w:ascii="Times New Roman" w:hAnsi="Times New Roman"/>
          <w:noProof/>
          <w:sz w:val="24"/>
        </w:rPr>
        <w:t>, tous les États membres de l’UE peuvent participer au programme. Les pays de l’Association européenne de libre-échange, les pays candidats et les pays candidats potentiels peuvent également y participer sous certaines conditions. L’Islande s’y est jointe pour tous les objectifs spécifiques du programme, tandis que le Liechtenstein ne participe qu’à ceux liés à la non-discrimination, au racisme, à la xénophobie, aux droits des personnes handicapées et à l’égalité entre les femmes et les hommes.</w:t>
      </w:r>
    </w:p>
    <w:p>
      <w:pPr>
        <w:spacing w:after="120" w:line="240" w:lineRule="auto"/>
        <w:jc w:val="both"/>
        <w:rPr>
          <w:rFonts w:ascii="Times New Roman" w:hAnsi="Times New Roman" w:cs="Times New Roman"/>
          <w:noProof/>
          <w:sz w:val="24"/>
          <w:szCs w:val="24"/>
        </w:rPr>
      </w:pPr>
    </w:p>
    <w:p>
      <w:pPr>
        <w:pStyle w:val="ListParagraph"/>
        <w:keepNext/>
        <w:numPr>
          <w:ilvl w:val="0"/>
          <w:numId w:val="11"/>
        </w:numPr>
        <w:tabs>
          <w:tab w:val="left" w:pos="850"/>
        </w:tabs>
        <w:spacing w:after="120" w:line="240" w:lineRule="auto"/>
        <w:contextualSpacing w:val="0"/>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Éléments clés et mise en œuvre du programme</w:t>
      </w:r>
    </w:p>
    <w:p>
      <w:pPr>
        <w:spacing w:after="120" w:line="240" w:lineRule="auto"/>
        <w:jc w:val="both"/>
        <w:rPr>
          <w:rFonts w:ascii="Times New Roman" w:hAnsi="Times New Roman" w:cs="Times New Roman"/>
          <w:noProof/>
          <w:sz w:val="24"/>
          <w:szCs w:val="24"/>
        </w:rPr>
      </w:pP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Conformément à l’article 5 du règlement, </w:t>
      </w:r>
      <w:r>
        <w:rPr>
          <w:rFonts w:ascii="Times New Roman" w:hAnsi="Times New Roman"/>
          <w:b/>
          <w:noProof/>
          <w:sz w:val="24"/>
        </w:rPr>
        <w:t>le</w:t>
      </w:r>
      <w:r>
        <w:rPr>
          <w:rFonts w:ascii="Times New Roman" w:hAnsi="Times New Roman"/>
          <w:noProof/>
          <w:sz w:val="24"/>
        </w:rPr>
        <w:t xml:space="preserve"> </w:t>
      </w:r>
      <w:r>
        <w:rPr>
          <w:rFonts w:ascii="Times New Roman" w:hAnsi="Times New Roman"/>
          <w:b/>
          <w:noProof/>
          <w:sz w:val="24"/>
        </w:rPr>
        <w:t>programme soutient un large éventail d’activités</w:t>
      </w:r>
      <w:r>
        <w:rPr>
          <w:rFonts w:ascii="Times New Roman" w:hAnsi="Times New Roman"/>
          <w:noProof/>
          <w:sz w:val="24"/>
        </w:rPr>
        <w:t xml:space="preserve">, telles que des activités d’analyse, des activités d’apprentissage réciproque, de coopération, de sensibilisation et de diffusion, des activités de formation et des actions visant à soutenir les principaux acteurs dont les activités contribuent à la réalisation de ses objectifs spécifiques. Le programme soutient également les </w:t>
      </w:r>
      <w:r>
        <w:rPr>
          <w:rFonts w:ascii="Times New Roman" w:hAnsi="Times New Roman"/>
          <w:b/>
          <w:noProof/>
          <w:sz w:val="24"/>
        </w:rPr>
        <w:t>organisations</w:t>
      </w:r>
      <w:r>
        <w:rPr>
          <w:rFonts w:ascii="Times New Roman" w:hAnsi="Times New Roman"/>
          <w:noProof/>
          <w:sz w:val="24"/>
        </w:rPr>
        <w:t xml:space="preserve"> actives dans le domaine des droits sociaux et des droits de l’homme dans toute l’Europe, notamment: des réseaux européens; des organismes publics ou privés généralement à but non lucratif; des autorités nationales, régionales et locales des États membres de l’UE; des organisations non gouvernementales; des universités et des instituts de recherche ainsi que des organisations internationales.</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Parmi les </w:t>
      </w:r>
      <w:r>
        <w:rPr>
          <w:rFonts w:ascii="Times New Roman" w:hAnsi="Times New Roman"/>
          <w:b/>
          <w:noProof/>
          <w:sz w:val="24"/>
        </w:rPr>
        <w:t>groupes cibles</w:t>
      </w:r>
      <w:r>
        <w:rPr>
          <w:rFonts w:ascii="Times New Roman" w:hAnsi="Times New Roman"/>
          <w:noProof/>
          <w:sz w:val="24"/>
        </w:rPr>
        <w:t>, c’est-à-dire les groupes susceptibles de bénéficier, de manière directe, des activités du programme en y participant ou, de façon indirecte, de sa mise en œuvre, figurent des autorités publiques, des organisations non gouvernementales et d’autres entités de recherche concernées par la poursuite des objectifs du programme. Tous les citoyens comptent aussi parmi les groupes cibles puisque les objectifs et les initiatives du programme visent à promouvoir, protéger et mettre en œuvre de manière effective l’égalité et les droits des personnes, en particulier celles qui sont victimes de discrimination, d’intolérance ou de violence, y compris les migrants et les minorités.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Comme le prévoit le règlement, le programme utilise des subventions à l’action, des subventions de fonctionnement et la passation de marchés comme principaux mécanismes de financement afin de soutenir des projets liés à ses objectifs. Alors qu’en général les subventions à l’action ont une durée de deux ans, par l’intermédiaire de subventions de fonctionnement annuelles, le programme finance des réseaux européens actifs dans les domaines de la non-discrimination, du racisme, de la xénophobie, de l’homophobie ou d’autres formes d’intolérance, du handicap, de l’égalité entre les femmes et les hommes, de la prévention de toutes les formes de violence et de la lutte contre celles-ci ainsi que de la promotion des droits de l’enfant.</w:t>
      </w:r>
    </w:p>
    <w:p>
      <w:pPr>
        <w:pStyle w:val="ListParagraph"/>
        <w:keepNext/>
        <w:tabs>
          <w:tab w:val="left" w:pos="850"/>
        </w:tabs>
        <w:spacing w:after="120" w:line="240" w:lineRule="auto"/>
        <w:ind w:left="792"/>
        <w:contextualSpacing w:val="0"/>
        <w:jc w:val="both"/>
        <w:outlineLvl w:val="0"/>
        <w:rPr>
          <w:rFonts w:ascii="Times New Roman Bold" w:eastAsia="Times New Roman" w:hAnsi="Times New Roman Bold" w:cs="Times New Roman"/>
          <w:b/>
          <w:noProof/>
          <w:sz w:val="24"/>
          <w:szCs w:val="24"/>
        </w:rPr>
      </w:pPr>
    </w:p>
    <w:p>
      <w:pPr>
        <w:pStyle w:val="ListParagraph"/>
        <w:keepNext/>
        <w:numPr>
          <w:ilvl w:val="1"/>
          <w:numId w:val="11"/>
        </w:numPr>
        <w:tabs>
          <w:tab w:val="left" w:pos="850"/>
        </w:tabs>
        <w:spacing w:after="120" w:line="240" w:lineRule="auto"/>
        <w:contextualSpacing w:val="0"/>
        <w:jc w:val="both"/>
        <w:outlineLvl w:val="0"/>
        <w:rPr>
          <w:rFonts w:ascii="Times New Roman Bold" w:eastAsia="Times New Roman" w:hAnsi="Times New Roman Bold" w:cs="Times New Roman"/>
          <w:b/>
          <w:noProof/>
          <w:sz w:val="24"/>
          <w:szCs w:val="24"/>
        </w:rPr>
      </w:pPr>
      <w:r>
        <w:rPr>
          <w:rFonts w:ascii="Times New Roman Bold" w:hAnsi="Times New Roman Bold"/>
          <w:b/>
          <w:noProof/>
          <w:sz w:val="24"/>
        </w:rPr>
        <w:t>Objectifs spécifiques du programme</w:t>
      </w:r>
    </w:p>
    <w:p>
      <w:pPr>
        <w:keepNext/>
        <w:tabs>
          <w:tab w:val="left" w:pos="850"/>
        </w:tabs>
        <w:spacing w:after="120" w:line="240" w:lineRule="auto"/>
        <w:ind w:left="360"/>
        <w:jc w:val="both"/>
        <w:outlineLvl w:val="0"/>
        <w:rPr>
          <w:rFonts w:ascii="Times New Roman Bold" w:eastAsia="Times New Roman" w:hAnsi="Times New Roman Bold" w:cs="Times New Roman"/>
          <w:b/>
          <w:noProof/>
          <w:sz w:val="24"/>
          <w:szCs w:val="24"/>
        </w:rPr>
      </w:pPr>
    </w:p>
    <w:p>
      <w:pPr>
        <w:pStyle w:val="ListBullet"/>
        <w:rPr>
          <w:b/>
          <w:i/>
          <w:noProof/>
          <w:szCs w:val="24"/>
        </w:rPr>
      </w:pPr>
      <w:r>
        <w:rPr>
          <w:b/>
          <w:i/>
          <w:noProof/>
        </w:rPr>
        <w:t>Objectif spécifique</w:t>
      </w:r>
      <w:r>
        <w:rPr>
          <w:i/>
          <w:noProof/>
        </w:rPr>
        <w:t xml:space="preserve"> </w:t>
      </w:r>
      <w:r>
        <w:rPr>
          <w:b/>
          <w:i/>
          <w:noProof/>
        </w:rPr>
        <w:t>nº 1: promouvoir la non-discrimination</w:t>
      </w:r>
    </w:p>
    <w:p>
      <w:pPr>
        <w:pStyle w:val="ListBullet"/>
        <w:numPr>
          <w:ilvl w:val="0"/>
          <w:numId w:val="0"/>
        </w:numPr>
        <w:rPr>
          <w:noProof/>
        </w:rPr>
      </w:pPr>
      <w:r>
        <w:rPr>
          <w:noProof/>
        </w:rPr>
        <w:t>Le programme soutient des projets visant à prévenir et à combattre la discrimination fondée sur le sexe, l’origine raciale ou ethnique, la religion ou les convictions, un handicap, l’âge ou l’orientation sexuelle. En particulier, la promotion de l’intégration des Roms constitue un aspect essentiel de cet objectif spécifique. À cet égard, le programme «Droits, égalité et citoyenneté» soutient les plateformes nationales pour les Roms et travaille en étroite coopération avec les États membres et leurs points de contact nationaux pour les Roms ainsi qu’avec des organisations de la société civile actives dans les domaines de la non-discrimination et de l’intégration des Roms. Le programme finance également les activités du réseau européen des organismes de promotion de l’égalité. Ce réseau a pour tâche principale de renforcer la coopération et l’échange d’informations entre les organismes nationaux de promotion de l’égalité désignés par les États membres sur des sujets en rapport avec la non-discrimination.</w:t>
      </w:r>
    </w:p>
    <w:p>
      <w:pPr>
        <w:numPr>
          <w:ilvl w:val="0"/>
          <w:numId w:val="5"/>
        </w:numPr>
        <w:spacing w:after="120" w:line="240" w:lineRule="auto"/>
        <w:ind w:left="720"/>
        <w:jc w:val="both"/>
        <w:rPr>
          <w:rFonts w:ascii="Times New Roman" w:eastAsia="Times New Roman" w:hAnsi="Times New Roman" w:cs="Times New Roman"/>
          <w:noProof/>
          <w:sz w:val="24"/>
          <w:szCs w:val="24"/>
        </w:rPr>
      </w:pPr>
      <w:r>
        <w:rPr>
          <w:rFonts w:ascii="Times New Roman" w:hAnsi="Times New Roman"/>
          <w:b/>
          <w:i/>
          <w:noProof/>
          <w:sz w:val="24"/>
        </w:rPr>
        <w:t>Objectif spécifique</w:t>
      </w:r>
      <w:r>
        <w:rPr>
          <w:rFonts w:ascii="Times New Roman" w:hAnsi="Times New Roman"/>
          <w:i/>
          <w:noProof/>
          <w:sz w:val="24"/>
        </w:rPr>
        <w:t xml:space="preserve"> </w:t>
      </w:r>
      <w:r>
        <w:rPr>
          <w:rFonts w:ascii="Times New Roman" w:hAnsi="Times New Roman"/>
          <w:b/>
          <w:i/>
          <w:noProof/>
          <w:sz w:val="24"/>
        </w:rPr>
        <w:t>nº 2: prévenir le racisme, la xénophobie, l’homophobie et d’autres formes d’intolérance et combattre ces phénomènes</w:t>
      </w:r>
    </w:p>
    <w:p>
      <w:pPr>
        <w:pStyle w:val="ListBullet"/>
        <w:numPr>
          <w:ilvl w:val="0"/>
          <w:numId w:val="0"/>
        </w:numPr>
        <w:spacing w:after="120"/>
        <w:rPr>
          <w:rFonts w:eastAsia="Calibri"/>
          <w:noProof/>
          <w:color w:val="000000" w:themeColor="text1"/>
          <w:szCs w:val="24"/>
        </w:rPr>
      </w:pPr>
      <w:r>
        <w:rPr>
          <w:noProof/>
          <w:color w:val="000000" w:themeColor="text1"/>
        </w:rPr>
        <w:t>Les projets financés dans ce domaine contribuent à améliorer la mise en œuvre de la législation européenne existante dans les États membres et à fournir une aide aux victimes de crimes et de discours haineux. Les activités financées soutiennent en particulier la protection des réfugiés et des migrants contre la montée du populisme, de l’extrémisme et de l’intolérance.</w:t>
      </w:r>
    </w:p>
    <w:p>
      <w:pPr>
        <w:numPr>
          <w:ilvl w:val="0"/>
          <w:numId w:val="5"/>
        </w:numPr>
        <w:spacing w:after="120" w:line="240" w:lineRule="auto"/>
        <w:ind w:left="720"/>
        <w:jc w:val="both"/>
        <w:rPr>
          <w:rFonts w:ascii="Times New Roman" w:eastAsia="Times New Roman" w:hAnsi="Times New Roman" w:cs="Times New Roman"/>
          <w:b/>
          <w:i/>
          <w:noProof/>
          <w:sz w:val="24"/>
          <w:szCs w:val="24"/>
        </w:rPr>
      </w:pPr>
      <w:r>
        <w:rPr>
          <w:rFonts w:ascii="Times New Roman" w:hAnsi="Times New Roman"/>
          <w:b/>
          <w:i/>
          <w:noProof/>
          <w:sz w:val="24"/>
        </w:rPr>
        <w:t>Objectif spécifique nº 3: promouvoir les droits des personnes handicapées</w:t>
      </w:r>
    </w:p>
    <w:p>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Sur le plan opérationnel, cet objectif spécifique vise à mieux faire prendre conscience des droits des personnes handicapées et à améliorer la mise en œuvre de ces droits, en vue de réduire les obstacles, de faire participer pleinement ces personnes à la société et de leur permettre d’exercer leurs droits. Cela passe principalement par des subventions de fonctionnement permettant de soutenir les activités de réseaux européens qui défendent les droits des personnes handicapées et par la passation de marchés axés sur la collecte de données, la formation et la sensibilisation. Dans le cadre du programme de travail annuel 2014, la carte européenne d’invalidité</w:t>
      </w:r>
      <w:r>
        <w:rPr>
          <w:rStyle w:val="FootnoteReference"/>
          <w:rFonts w:ascii="Times New Roman" w:hAnsi="Times New Roman"/>
          <w:noProof/>
          <w:color w:val="000000" w:themeColor="text1"/>
        </w:rPr>
        <w:footnoteReference w:id="7"/>
      </w:r>
      <w:r>
        <w:rPr>
          <w:rFonts w:ascii="Times New Roman" w:hAnsi="Times New Roman"/>
          <w:noProof/>
          <w:color w:val="000000" w:themeColor="text1"/>
          <w:sz w:val="24"/>
        </w:rPr>
        <w:t xml:space="preserve"> a été lancée avec le soutien du programme afin de faciliter les déplacements transfrontières des personnes handicapées.</w:t>
      </w:r>
    </w:p>
    <w:p>
      <w:pPr>
        <w:numPr>
          <w:ilvl w:val="0"/>
          <w:numId w:val="5"/>
        </w:numPr>
        <w:spacing w:after="120" w:line="240" w:lineRule="auto"/>
        <w:ind w:left="720"/>
        <w:jc w:val="both"/>
        <w:rPr>
          <w:rFonts w:ascii="Times New Roman" w:eastAsia="Times New Roman" w:hAnsi="Times New Roman" w:cs="Times New Roman"/>
          <w:b/>
          <w:i/>
          <w:noProof/>
          <w:sz w:val="24"/>
          <w:szCs w:val="24"/>
        </w:rPr>
      </w:pPr>
      <w:r>
        <w:rPr>
          <w:rFonts w:ascii="Times New Roman" w:hAnsi="Times New Roman"/>
          <w:b/>
          <w:i/>
          <w:noProof/>
          <w:sz w:val="24"/>
        </w:rPr>
        <w:t>Objectif spécifique nº 4: promouvoir l’égalité entre les femmes et les hommes</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Le programme encourage des projets visant à aider les États membres et les parties prenantes concernées à renforcer l’équilibre entre les femmes et les hommes dans tous les domaines de la vie, en particulier en ce qui concerne les prises de décisions économiques, et à promouvoir l’égalité entre les femmes et les hommes en termes d’indépendance économique. Le financement au titre de cet objectif vise également à contribuer à réduire les écarts entre les femmes et les hommes en matière de rémunération, de revenus et de pension.</w:t>
      </w:r>
    </w:p>
    <w:p>
      <w:pPr>
        <w:spacing w:after="120" w:line="240" w:lineRule="auto"/>
        <w:jc w:val="both"/>
        <w:rPr>
          <w:rFonts w:ascii="Times New Roman" w:hAnsi="Times New Roman" w:cs="Times New Roman"/>
          <w:noProof/>
          <w:color w:val="000000" w:themeColor="text1"/>
          <w:sz w:val="24"/>
          <w:szCs w:val="24"/>
        </w:rPr>
      </w:pPr>
    </w:p>
    <w:p>
      <w:pPr>
        <w:numPr>
          <w:ilvl w:val="0"/>
          <w:numId w:val="5"/>
        </w:numPr>
        <w:spacing w:after="120" w:line="240" w:lineRule="auto"/>
        <w:ind w:left="720"/>
        <w:jc w:val="both"/>
        <w:rPr>
          <w:rFonts w:ascii="Times New Roman" w:eastAsia="Times New Roman" w:hAnsi="Times New Roman" w:cs="Times New Roman"/>
          <w:b/>
          <w:i/>
          <w:noProof/>
          <w:sz w:val="24"/>
          <w:szCs w:val="24"/>
        </w:rPr>
      </w:pPr>
      <w:r>
        <w:rPr>
          <w:rFonts w:ascii="Times New Roman" w:hAnsi="Times New Roman"/>
          <w:b/>
          <w:i/>
          <w:noProof/>
          <w:sz w:val="24"/>
        </w:rPr>
        <w:t>Objectif spécifique nº 5: prévenir et combattre la violence envers les enfants, les jeunes, les femmes et d’autres groupes à risque</w:t>
      </w:r>
    </w:p>
    <w:p>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Le programme finance principalement des projets qui contribuent à protéger et à soutenir les victimes les plus vulnérables de la violence, notamment les femmes et les enfants, ainsi que des activités visant à sensibiliser l’opinion à la question de la violence et à prévenir ce fléau, en coopération avec des organisations non gouvernementales travaillant sur le terrain. Il soutient également le traitement des auteurs de violence. Le renforcement des systèmes de protection de l’enfance est l’une des priorités de la Commission. Le programme soutient les droits des enfants migrants en finançant des organisations internationales travaillant directement pour et avec ces enfants.</w:t>
      </w:r>
    </w:p>
    <w:p>
      <w:pPr>
        <w:numPr>
          <w:ilvl w:val="0"/>
          <w:numId w:val="5"/>
        </w:numPr>
        <w:spacing w:after="120" w:line="240" w:lineRule="auto"/>
        <w:ind w:left="720"/>
        <w:jc w:val="both"/>
        <w:rPr>
          <w:rFonts w:ascii="Times New Roman" w:eastAsia="Times New Roman" w:hAnsi="Times New Roman" w:cs="Times New Roman"/>
          <w:b/>
          <w:i/>
          <w:noProof/>
          <w:sz w:val="24"/>
          <w:szCs w:val="24"/>
        </w:rPr>
      </w:pPr>
      <w:r>
        <w:rPr>
          <w:rFonts w:ascii="Times New Roman" w:hAnsi="Times New Roman"/>
          <w:b/>
          <w:i/>
          <w:noProof/>
          <w:sz w:val="24"/>
        </w:rPr>
        <w:t>Objectif spécifique nº 6: promouvoir les droits de l’enfant</w:t>
      </w:r>
    </w:p>
    <w:p>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Les droits de l’enfant sont promus dans le cadre de projets axés sur une justice adaptée aux enfants et sur la protection des enfants vulnérables (comme les enfants qui quittent leur famille d’accueil et les enfants en conflit avec la loi). Cela passe notamment par le soutien à des activités de formation des fonctionnaires, des organisations non gouvernementales et des avocats qui travaillent avec ces enfants.</w:t>
      </w:r>
    </w:p>
    <w:p>
      <w:pPr>
        <w:numPr>
          <w:ilvl w:val="0"/>
          <w:numId w:val="5"/>
        </w:numPr>
        <w:spacing w:after="120" w:line="240" w:lineRule="auto"/>
        <w:ind w:left="720"/>
        <w:jc w:val="both"/>
        <w:rPr>
          <w:rFonts w:ascii="Times New Roman" w:eastAsia="Times New Roman" w:hAnsi="Times New Roman" w:cs="Times New Roman"/>
          <w:b/>
          <w:i/>
          <w:noProof/>
          <w:sz w:val="24"/>
          <w:szCs w:val="24"/>
        </w:rPr>
      </w:pPr>
      <w:r>
        <w:rPr>
          <w:rFonts w:ascii="Times New Roman" w:hAnsi="Times New Roman"/>
          <w:b/>
          <w:i/>
          <w:noProof/>
          <w:sz w:val="24"/>
        </w:rPr>
        <w:t>Objectif spécifique nº 7: protéger la vie privée et les données à caractère personnel</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Le programme constitue la principale source de financement de l’UE dans le domaine de la protection des données. Les activités menées au titre de cet objectif spécifique sont étroitement liées à la réforme de la protection des données</w:t>
      </w:r>
      <w:r>
        <w:rPr>
          <w:rStyle w:val="FootnoteReference"/>
          <w:rFonts w:ascii="Times New Roman" w:hAnsi="Times New Roman"/>
          <w:noProof/>
          <w:color w:val="000000" w:themeColor="text1"/>
        </w:rPr>
        <w:footnoteReference w:id="8"/>
      </w:r>
      <w:r>
        <w:rPr>
          <w:rFonts w:ascii="Times New Roman" w:hAnsi="Times New Roman"/>
          <w:noProof/>
          <w:color w:val="000000" w:themeColor="text1"/>
          <w:sz w:val="24"/>
        </w:rPr>
        <w:t xml:space="preserve"> qui a été adoptée en 2016. Dans le cadre de cet objectif, le programme a pour but de financer des projets visant notamment à soutenir la transposition et la mise en œuvre de la nouvelle législation relative à la protection des données par les États membres ainsi que la formation des autorités de protection des données et des délégués à la protection des données.</w:t>
      </w:r>
    </w:p>
    <w:p>
      <w:pPr>
        <w:pStyle w:val="ListBullet"/>
        <w:rPr>
          <w:b/>
          <w:i/>
          <w:noProof/>
          <w:szCs w:val="24"/>
        </w:rPr>
      </w:pPr>
      <w:r>
        <w:rPr>
          <w:b/>
          <w:i/>
          <w:noProof/>
        </w:rPr>
        <w:t>Objectif spécifique</w:t>
      </w:r>
      <w:r>
        <w:rPr>
          <w:i/>
          <w:noProof/>
        </w:rPr>
        <w:t xml:space="preserve"> </w:t>
      </w:r>
      <w:r>
        <w:rPr>
          <w:b/>
          <w:i/>
          <w:noProof/>
        </w:rPr>
        <w:t>nº 8: citoyenneté de l’UE</w:t>
      </w:r>
    </w:p>
    <w:p>
      <w:pPr>
        <w:pStyle w:val="ListBullet"/>
        <w:numPr>
          <w:ilvl w:val="0"/>
          <w:numId w:val="0"/>
        </w:numPr>
        <w:rPr>
          <w:noProof/>
        </w:rPr>
      </w:pPr>
      <w:r>
        <w:rPr>
          <w:noProof/>
        </w:rPr>
        <w:t>Le programme finance des projets, principalement des activités de sensibilisation, visant à favoriser l’intégration des citoyens européens dans la vie civique et politique de l’UE. Ainsi, il soutient des projets qui peuvent aider les citoyens à mieux connaître leurs droits découlant de la citoyenneté de l’Union. Des campagnes d’information sur les droits liés à la citoyenneté de l’UE sont financées au titre de cet objectif spécifique et un accent particulier est mis sur les droits électoraux en vue des élections européennes de 2019.</w:t>
      </w:r>
    </w:p>
    <w:p>
      <w:pPr>
        <w:numPr>
          <w:ilvl w:val="0"/>
          <w:numId w:val="5"/>
        </w:numPr>
        <w:spacing w:after="120" w:line="240" w:lineRule="auto"/>
        <w:ind w:left="720"/>
        <w:jc w:val="both"/>
        <w:rPr>
          <w:rFonts w:ascii="Times New Roman" w:eastAsia="Times New Roman" w:hAnsi="Times New Roman" w:cs="Times New Roman"/>
          <w:noProof/>
          <w:sz w:val="24"/>
          <w:szCs w:val="24"/>
        </w:rPr>
      </w:pPr>
      <w:r>
        <w:rPr>
          <w:rFonts w:ascii="Times New Roman" w:hAnsi="Times New Roman"/>
          <w:b/>
          <w:i/>
          <w:noProof/>
          <w:sz w:val="24"/>
        </w:rPr>
        <w:t>Objectif spécifique</w:t>
      </w:r>
      <w:r>
        <w:rPr>
          <w:rFonts w:ascii="Times New Roman" w:hAnsi="Times New Roman"/>
          <w:i/>
          <w:noProof/>
          <w:sz w:val="24"/>
        </w:rPr>
        <w:t xml:space="preserve"> </w:t>
      </w:r>
      <w:r>
        <w:rPr>
          <w:rFonts w:ascii="Times New Roman" w:hAnsi="Times New Roman"/>
          <w:b/>
          <w:i/>
          <w:noProof/>
          <w:sz w:val="24"/>
        </w:rPr>
        <w:t>nº 9: droits des consommateurs ou des entrepreneurs</w:t>
      </w:r>
    </w:p>
    <w:p>
      <w:pPr>
        <w:autoSpaceDE w:val="0"/>
        <w:autoSpaceDN w:val="0"/>
        <w:adjustRightInd w:val="0"/>
        <w:spacing w:after="0" w:line="240" w:lineRule="auto"/>
        <w:jc w:val="both"/>
        <w:rPr>
          <w:rFonts w:ascii="Times New Roman" w:hAnsi="Times New Roman" w:cs="Times New Roman"/>
          <w:noProof/>
          <w:color w:val="000000" w:themeColor="text1"/>
          <w:sz w:val="24"/>
          <w:szCs w:val="24"/>
        </w:rPr>
      </w:pPr>
      <w:bookmarkStart w:id="3" w:name="_Ref498507434"/>
      <w:r>
        <w:rPr>
          <w:rFonts w:ascii="Times New Roman" w:hAnsi="Times New Roman"/>
          <w:noProof/>
          <w:color w:val="000000" w:themeColor="text1"/>
          <w:sz w:val="24"/>
        </w:rPr>
        <w:t>Le programme finance également des projets qui aident les personnes, en leur qualité de consommateurs ou d’entrepreneurs au sein du marché intérieur, à faire respecter leurs droits découlant du droit de l’Union. Les fonds de l’UE mobilisés dans ce domaine visent à sensibiliser et à informer davantage au sujet des droits des consommateurs, en particulier sur le marché numérique.</w:t>
      </w:r>
    </w:p>
    <w:p>
      <w:pPr>
        <w:spacing w:after="120" w:line="240" w:lineRule="auto"/>
        <w:jc w:val="both"/>
        <w:rPr>
          <w:rFonts w:ascii="Times New Roman" w:hAnsi="Times New Roman" w:cs="Times New Roman"/>
          <w:noProof/>
          <w:sz w:val="24"/>
          <w:szCs w:val="24"/>
        </w:rPr>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1"/>
          <w:cols w:space="720"/>
          <w:docGrid w:linePitch="360"/>
        </w:sectPr>
      </w:pPr>
    </w:p>
    <w:bookmarkEnd w:id="3"/>
    <w:p>
      <w:pPr>
        <w:pStyle w:val="ListParagraph"/>
        <w:keepNext/>
        <w:numPr>
          <w:ilvl w:val="1"/>
          <w:numId w:val="11"/>
        </w:numPr>
        <w:tabs>
          <w:tab w:val="left" w:pos="850"/>
        </w:tabs>
        <w:spacing w:after="120" w:line="240" w:lineRule="auto"/>
        <w:contextualSpacing w:val="0"/>
        <w:jc w:val="both"/>
        <w:outlineLvl w:val="0"/>
        <w:rPr>
          <w:rFonts w:ascii="Times New Roman Bold" w:eastAsia="Times New Roman" w:hAnsi="Times New Roman Bold" w:cs="Times New Roman"/>
          <w:b/>
          <w:noProof/>
          <w:sz w:val="24"/>
          <w:szCs w:val="24"/>
        </w:rPr>
      </w:pPr>
      <w:r>
        <w:rPr>
          <w:rFonts w:ascii="Times New Roman Bold" w:hAnsi="Times New Roman Bold"/>
          <w:b/>
          <w:noProof/>
          <w:sz w:val="24"/>
        </w:rPr>
        <w:t>Budget</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 budget total du programme pour la période 2014-2020 est de </w:t>
      </w:r>
      <w:r>
        <w:rPr>
          <w:rFonts w:ascii="Times New Roman" w:hAnsi="Times New Roman"/>
          <w:b/>
          <w:noProof/>
          <w:sz w:val="24"/>
        </w:rPr>
        <w:t>439 473 000 EUR.</w:t>
      </w:r>
      <w:r>
        <w:rPr>
          <w:rFonts w:ascii="Times New Roman" w:hAnsi="Times New Roman"/>
          <w:noProof/>
          <w:sz w:val="24"/>
        </w:rPr>
        <w:t xml:space="preserve"> Le taux d’engagement le plus élevé (</w:t>
      </w:r>
      <w:r>
        <w:rPr>
          <w:rFonts w:ascii="Times New Roman" w:hAnsi="Times New Roman"/>
          <w:noProof/>
          <w:color w:val="000000" w:themeColor="text1"/>
          <w:sz w:val="24"/>
        </w:rPr>
        <w:t>94,91 %</w:t>
      </w:r>
      <w:r>
        <w:rPr>
          <w:rFonts w:ascii="Times New Roman" w:hAnsi="Times New Roman"/>
          <w:noProof/>
          <w:sz w:val="24"/>
        </w:rPr>
        <w:t>) a été atteint en 2016 (voir tableau 1). Selon les sources disponibles, environ 23 % des ressources disponibles au titre du programme «Droits, égalité et citoyenneté» sont affectées à la passation de marchés, bien que la répartition entre les objectifs spécifiques du programme ne soit pas homogène</w:t>
      </w:r>
      <w:r>
        <w:rPr>
          <w:rStyle w:val="FootnoteReference"/>
          <w:rFonts w:ascii="Times New Roman" w:hAnsi="Times New Roman"/>
          <w:noProof/>
          <w:sz w:val="24"/>
        </w:rPr>
        <w:footnoteReference w:id="9"/>
      </w:r>
      <w:r>
        <w:rPr>
          <w:rFonts w:ascii="Times New Roman" w:hAnsi="Times New Roman"/>
          <w:noProof/>
          <w:sz w:val="24"/>
        </w:rPr>
        <w:t>.</w:t>
      </w:r>
    </w:p>
    <w:p>
      <w:pPr>
        <w:spacing w:after="120" w:line="240" w:lineRule="auto"/>
        <w:jc w:val="center"/>
        <w:rPr>
          <w:rFonts w:ascii="Times New Roman" w:eastAsia="Times New Roman" w:hAnsi="Times New Roman" w:cs="Times New Roman"/>
          <w:b/>
          <w:noProof/>
          <w:sz w:val="20"/>
          <w:szCs w:val="20"/>
        </w:rPr>
      </w:pPr>
      <w:bookmarkStart w:id="4" w:name="Table_1"/>
      <w:r>
        <w:rPr>
          <w:rFonts w:ascii="Times New Roman" w:hAnsi="Times New Roman"/>
          <w:b/>
          <w:noProof/>
          <w:sz w:val="20"/>
        </w:rPr>
        <w:t>Tableau 1: engagement annuel du programme «Droits, égalité et citoyenneté», 2014-2016</w:t>
      </w:r>
    </w:p>
    <w:tbl>
      <w:tblPr>
        <w:tblStyle w:val="TableGrid"/>
        <w:tblW w:w="5000" w:type="pct"/>
        <w:tblLook w:val="04A0" w:firstRow="1" w:lastRow="0" w:firstColumn="1" w:lastColumn="0" w:noHBand="0" w:noVBand="1"/>
      </w:tblPr>
      <w:tblGrid>
        <w:gridCol w:w="4585"/>
        <w:gridCol w:w="4704"/>
      </w:tblGrid>
      <w:tr>
        <w:tc>
          <w:tcPr>
            <w:tcW w:w="2468" w:type="pct"/>
            <w:shd w:val="clear" w:color="auto" w:fill="DBE5F1" w:themeFill="accent1" w:themeFillTint="33"/>
          </w:tcPr>
          <w:bookmarkEnd w:id="4"/>
          <w:p>
            <w:pPr>
              <w:spacing w:after="120"/>
              <w:jc w:val="both"/>
              <w:rPr>
                <w:b/>
                <w:noProof/>
                <w:sz w:val="24"/>
                <w:szCs w:val="24"/>
              </w:rPr>
            </w:pPr>
            <w:r>
              <w:rPr>
                <w:b/>
                <w:noProof/>
                <w:sz w:val="24"/>
              </w:rPr>
              <w:t>Année</w:t>
            </w:r>
          </w:p>
        </w:tc>
        <w:tc>
          <w:tcPr>
            <w:tcW w:w="2532" w:type="pct"/>
            <w:shd w:val="clear" w:color="auto" w:fill="DBE5F1" w:themeFill="accent1" w:themeFillTint="33"/>
          </w:tcPr>
          <w:p>
            <w:pPr>
              <w:spacing w:after="120"/>
              <w:jc w:val="both"/>
              <w:rPr>
                <w:b/>
                <w:noProof/>
                <w:sz w:val="24"/>
                <w:szCs w:val="24"/>
                <w:highlight w:val="yellow"/>
              </w:rPr>
            </w:pPr>
            <w:r>
              <w:rPr>
                <w:b/>
                <w:noProof/>
                <w:sz w:val="24"/>
              </w:rPr>
              <w:t>Montant engagé (en euros)</w:t>
            </w:r>
          </w:p>
        </w:tc>
      </w:tr>
      <w:tr>
        <w:tc>
          <w:tcPr>
            <w:tcW w:w="2468" w:type="pct"/>
          </w:tcPr>
          <w:p>
            <w:pPr>
              <w:spacing w:after="120"/>
              <w:jc w:val="both"/>
              <w:rPr>
                <w:noProof/>
                <w:sz w:val="24"/>
                <w:szCs w:val="24"/>
              </w:rPr>
            </w:pPr>
            <w:r>
              <w:rPr>
                <w:noProof/>
                <w:sz w:val="24"/>
              </w:rPr>
              <w:t>2014</w:t>
            </w:r>
          </w:p>
        </w:tc>
        <w:tc>
          <w:tcPr>
            <w:tcW w:w="2532" w:type="pct"/>
          </w:tcPr>
          <w:p>
            <w:pPr>
              <w:spacing w:after="120"/>
              <w:jc w:val="right"/>
              <w:rPr>
                <w:noProof/>
                <w:sz w:val="24"/>
                <w:szCs w:val="24"/>
              </w:rPr>
            </w:pPr>
            <w:r>
              <w:rPr>
                <w:noProof/>
                <w:sz w:val="22"/>
              </w:rPr>
              <w:t>49 719 588,56</w:t>
            </w:r>
          </w:p>
        </w:tc>
      </w:tr>
      <w:tr>
        <w:tc>
          <w:tcPr>
            <w:tcW w:w="2468" w:type="pct"/>
          </w:tcPr>
          <w:p>
            <w:pPr>
              <w:spacing w:after="120"/>
              <w:jc w:val="both"/>
              <w:rPr>
                <w:noProof/>
                <w:sz w:val="24"/>
                <w:szCs w:val="24"/>
              </w:rPr>
            </w:pPr>
            <w:r>
              <w:rPr>
                <w:noProof/>
                <w:sz w:val="24"/>
              </w:rPr>
              <w:t>2015</w:t>
            </w:r>
          </w:p>
        </w:tc>
        <w:tc>
          <w:tcPr>
            <w:tcW w:w="2532" w:type="pct"/>
          </w:tcPr>
          <w:p>
            <w:pPr>
              <w:spacing w:after="120"/>
              <w:jc w:val="right"/>
              <w:rPr>
                <w:noProof/>
                <w:sz w:val="24"/>
                <w:szCs w:val="24"/>
              </w:rPr>
            </w:pPr>
            <w:r>
              <w:rPr>
                <w:noProof/>
                <w:color w:val="000000" w:themeColor="text1"/>
                <w:sz w:val="22"/>
              </w:rPr>
              <w:t>48 621 670,69</w:t>
            </w:r>
          </w:p>
        </w:tc>
      </w:tr>
      <w:tr>
        <w:tc>
          <w:tcPr>
            <w:tcW w:w="2468" w:type="pct"/>
            <w:tcBorders>
              <w:bottom w:val="single" w:sz="4" w:space="0" w:color="auto"/>
            </w:tcBorders>
          </w:tcPr>
          <w:p>
            <w:pPr>
              <w:spacing w:after="120"/>
              <w:jc w:val="both"/>
              <w:rPr>
                <w:noProof/>
                <w:sz w:val="24"/>
                <w:szCs w:val="24"/>
              </w:rPr>
            </w:pPr>
            <w:r>
              <w:rPr>
                <w:noProof/>
                <w:sz w:val="24"/>
              </w:rPr>
              <w:t>2016</w:t>
            </w:r>
          </w:p>
        </w:tc>
        <w:tc>
          <w:tcPr>
            <w:tcW w:w="2532" w:type="pct"/>
            <w:tcBorders>
              <w:bottom w:val="single" w:sz="4" w:space="0" w:color="auto"/>
            </w:tcBorders>
          </w:tcPr>
          <w:p>
            <w:pPr>
              <w:spacing w:after="120"/>
              <w:jc w:val="right"/>
              <w:rPr>
                <w:noProof/>
                <w:sz w:val="24"/>
                <w:szCs w:val="24"/>
              </w:rPr>
            </w:pPr>
            <w:r>
              <w:rPr>
                <w:noProof/>
                <w:color w:val="000000" w:themeColor="text1"/>
                <w:sz w:val="22"/>
              </w:rPr>
              <w:t>55 854 156,79</w:t>
            </w:r>
          </w:p>
        </w:tc>
      </w:tr>
      <w:tr>
        <w:tc>
          <w:tcPr>
            <w:tcW w:w="2468" w:type="pct"/>
            <w:shd w:val="clear" w:color="auto" w:fill="B8CCE4" w:themeFill="accent1" w:themeFillTint="66"/>
          </w:tcPr>
          <w:p>
            <w:pPr>
              <w:spacing w:after="120"/>
              <w:jc w:val="both"/>
              <w:rPr>
                <w:b/>
                <w:noProof/>
                <w:sz w:val="24"/>
                <w:szCs w:val="24"/>
              </w:rPr>
            </w:pPr>
            <w:r>
              <w:rPr>
                <w:b/>
                <w:noProof/>
                <w:sz w:val="24"/>
              </w:rPr>
              <w:t>Total 2014-2016</w:t>
            </w:r>
          </w:p>
        </w:tc>
        <w:tc>
          <w:tcPr>
            <w:tcW w:w="2532" w:type="pct"/>
            <w:shd w:val="clear" w:color="auto" w:fill="B8CCE4" w:themeFill="accent1" w:themeFillTint="66"/>
          </w:tcPr>
          <w:p>
            <w:pPr>
              <w:spacing w:after="120"/>
              <w:jc w:val="right"/>
              <w:rPr>
                <w:noProof/>
                <w:sz w:val="24"/>
                <w:szCs w:val="24"/>
              </w:rPr>
            </w:pPr>
            <w:r>
              <w:rPr>
                <w:b/>
                <w:noProof/>
                <w:color w:val="000000" w:themeColor="text1"/>
                <w:sz w:val="22"/>
              </w:rPr>
              <w:t>154 195 416,04</w:t>
            </w:r>
          </w:p>
        </w:tc>
      </w:tr>
    </w:tbl>
    <w:p>
      <w:pPr>
        <w:spacing w:after="120" w:line="240" w:lineRule="auto"/>
        <w:rPr>
          <w:rFonts w:ascii="Times New Roman" w:hAnsi="Times New Roman" w:cs="Times New Roman"/>
          <w:i/>
          <w:noProof/>
          <w:color w:val="000000"/>
          <w:sz w:val="16"/>
          <w:szCs w:val="16"/>
        </w:rPr>
      </w:pPr>
      <w:r>
        <w:rPr>
          <w:rFonts w:ascii="Times New Roman" w:hAnsi="Times New Roman"/>
          <w:i/>
          <w:noProof/>
          <w:color w:val="000000"/>
          <w:sz w:val="16"/>
        </w:rPr>
        <w:t>Source: rapports annuels de suivi (rapports sur la mise en œuvre des PTA et base de données des projets pour 2016)</w:t>
      </w:r>
    </w:p>
    <w:p>
      <w:pPr>
        <w:spacing w:after="0" w:line="240" w:lineRule="auto"/>
        <w:jc w:val="both"/>
        <w:rPr>
          <w:rFonts w:ascii="Times New Roman" w:hAnsi="Times New Roman" w:cs="Times New Roman"/>
          <w:bCs/>
          <w:noProof/>
          <w:color w:val="000000"/>
          <w:sz w:val="24"/>
          <w:szCs w:val="24"/>
        </w:rPr>
      </w:pPr>
      <w:r>
        <w:rPr>
          <w:rFonts w:ascii="Times New Roman" w:hAnsi="Times New Roman"/>
          <w:noProof/>
          <w:color w:val="000000"/>
          <w:sz w:val="24"/>
        </w:rPr>
        <w:t>En général, la plupart des ressources allouées aux subventions ont été engagées (avec un taux d’engagement d’environ 90 %).</w:t>
      </w:r>
    </w:p>
    <w:p>
      <w:pPr>
        <w:spacing w:after="0" w:line="240" w:lineRule="auto"/>
        <w:jc w:val="both"/>
        <w:rPr>
          <w:rFonts w:ascii="Times New Roman" w:eastAsia="Times New Roman" w:hAnsi="Times New Roman" w:cs="Times New Roman"/>
          <w:noProof/>
          <w:sz w:val="24"/>
          <w:szCs w:val="24"/>
        </w:rPr>
      </w:pPr>
      <w:bookmarkStart w:id="5" w:name="_Ref510466334"/>
      <w:r>
        <w:rPr>
          <w:rFonts w:ascii="Times New Roman" w:hAnsi="Times New Roman"/>
          <w:noProof/>
          <w:sz w:val="24"/>
        </w:rPr>
        <w:t>En termes de montant prévu, le principal objectif spécifique est celui qui concerne la prévention de la violence envers les enfants, suivi de l’objectif spécifique relatif à la non-discrimination. Ensemble, ces deux objectifs absorbent plus de 20 % du budget engagé (26 %). À l’inverse, toujours en termes de montant prévu, les objectifs spécifiques les moins importants sont ceux qui concernent les droits de l’enfant, la citoyenneté de l’UE, la protection des consommateurs et la protection des données.</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Plus particulièrement, le budget alloué aux subventions a été réparti entre les différents objectifs spécifiques du programme comme l’indique la </w:t>
      </w:r>
      <w:r>
        <w:rPr>
          <w:rFonts w:ascii="Times New Roman" w:hAnsi="Times New Roman"/>
          <w:noProof/>
          <w:color w:val="0000FF" w:themeColor="hyperlink"/>
          <w:sz w:val="24"/>
          <w:u w:val="single"/>
        </w:rPr>
        <w:t>figure 1</w:t>
      </w:r>
      <w:r>
        <w:rPr>
          <w:rFonts w:ascii="Times New Roman" w:hAnsi="Times New Roman"/>
          <w:noProof/>
          <w:sz w:val="24"/>
        </w:rPr>
        <w:t xml:space="preserve"> ci-dessous.</w:t>
      </w:r>
    </w:p>
    <w:p>
      <w:pPr>
        <w:pStyle w:val="Caption"/>
        <w:spacing w:before="0" w:after="120"/>
        <w:jc w:val="left"/>
        <w:rPr>
          <w:rFonts w:ascii="Times New Roman" w:hAnsi="Times New Roman"/>
          <w:b/>
          <w:noProof/>
          <w:color w:val="auto"/>
          <w:sz w:val="18"/>
        </w:rPr>
      </w:pPr>
    </w:p>
    <w:p>
      <w:pPr>
        <w:pStyle w:val="Figure"/>
        <w:rPr>
          <w:noProof/>
        </w:rPr>
      </w:pPr>
      <w:bookmarkStart w:id="6" w:name="Figure_2"/>
      <w:bookmarkEnd w:id="5"/>
      <w:r>
        <w:rPr>
          <w:noProof/>
        </w:rPr>
        <w:t>Figure 1: budget engagé par type d’intervention et par objectif spécifique</w:t>
      </w:r>
    </w:p>
    <w:bookmarkEnd w:id="6"/>
    <w:p>
      <w:pPr>
        <w:spacing w:after="120" w:line="240" w:lineRule="auto"/>
        <w:jc w:val="center"/>
        <w:rPr>
          <w:noProof/>
        </w:rPr>
      </w:pPr>
      <w:r>
        <w:rPr>
          <w:noProof/>
          <w:lang w:val="en-US" w:eastAsia="en-US" w:bidi="ar-SA"/>
        </w:rPr>
        <w:drawing>
          <wp:inline distT="0" distB="0" distL="0" distR="0">
            <wp:extent cx="4709160" cy="2651760"/>
            <wp:effectExtent l="0" t="0" r="15240" b="15240"/>
            <wp:docPr id="2" name="Chart 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9D957C2B-7398-47ED-8C3B-A24CDC3F0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Text4"/>
        <w:spacing w:after="120"/>
        <w:ind w:left="0"/>
        <w:rPr>
          <w:i/>
          <w:noProof/>
          <w:sz w:val="16"/>
          <w:szCs w:val="16"/>
        </w:rPr>
      </w:pPr>
      <w:r>
        <w:rPr>
          <w:i/>
          <w:noProof/>
          <w:sz w:val="16"/>
        </w:rPr>
        <w:t>Source: rapports annuels sur la mise en œuvre des programmes de travail annuels 2014 et 2015, extractions de la base de données des projets pour 2016. SA (subventions à l’action), SF (subventions de fonctionnement), M (marchés), ENF (Promouvoir les droits de l’enfant), CIT (Promouvoir les droits découlant de la citoyenneté de l’Union), CONS (Faire respecter les droits des consommateurs), VIO (Prévenir la violence envers les enfants, les jeunes, les femmes et d’autres groupes à risque), DON (Assurer le niveau le plus élevé de protection des données), DIS (Promouvoir la non-discrimination), HAND (Promouvoir les droits des personnes handicapées), EGA (Promouvoir l’égalité entre les femmes et les hommes ainsi que l’intégration dans les politiques des questions d’égalité entre les femmes et les hommes), RAC (Combattre le racisme, la xénophobie, l’homophobie et d’autres formes d’intolérance).</w:t>
      </w:r>
    </w:p>
    <w:p>
      <w:pPr>
        <w:spacing w:after="120" w:line="240" w:lineRule="auto"/>
        <w:jc w:val="both"/>
        <w:rPr>
          <w:rFonts w:ascii="Times New Roman" w:eastAsia="Times New Roman" w:hAnsi="Times New Roman" w:cs="Times New Roman"/>
          <w:i/>
          <w:noProof/>
          <w:sz w:val="16"/>
          <w:szCs w:val="16"/>
        </w:rPr>
      </w:pPr>
    </w:p>
    <w:p>
      <w:pPr>
        <w:spacing w:after="120" w:line="240" w:lineRule="auto"/>
        <w:jc w:val="both"/>
        <w:rPr>
          <w:rFonts w:ascii="Times New Roman" w:hAnsi="Times New Roman" w:cs="Times New Roman"/>
          <w:noProof/>
          <w:sz w:val="24"/>
          <w:szCs w:val="24"/>
        </w:rPr>
      </w:pPr>
      <w:r>
        <w:rPr>
          <w:rFonts w:ascii="Times New Roman" w:hAnsi="Times New Roman"/>
          <w:noProof/>
          <w:sz w:val="24"/>
        </w:rPr>
        <w:t>Alors que l’objectif spécifique relatif à la non-discrimination est mis en œuvre grâce à une combinaison équilibrée de subventions à l’action, de subventions de fonctionnement et de marchés, l’objectif spécifique relatif à la lutte contre la violence est principalement mis en œuvre au moyen de subventions à l’action.</w:t>
      </w:r>
    </w:p>
    <w:p>
      <w:pPr>
        <w:spacing w:after="120" w:line="240" w:lineRule="auto"/>
        <w:jc w:val="both"/>
        <w:rPr>
          <w:rFonts w:ascii="Times New Roman" w:eastAsia="Times New Roman" w:hAnsi="Times New Roman" w:cs="Times New Roman"/>
          <w:b/>
          <w:noProof/>
          <w:sz w:val="24"/>
          <w:szCs w:val="24"/>
        </w:rPr>
      </w:pPr>
    </w:p>
    <w:p>
      <w:pPr>
        <w:pStyle w:val="ListParagraph"/>
        <w:keepNext/>
        <w:numPr>
          <w:ilvl w:val="1"/>
          <w:numId w:val="11"/>
        </w:numPr>
        <w:tabs>
          <w:tab w:val="left" w:pos="850"/>
        </w:tabs>
        <w:spacing w:after="120" w:line="240" w:lineRule="auto"/>
        <w:contextualSpacing w:val="0"/>
        <w:jc w:val="both"/>
        <w:outlineLvl w:val="0"/>
        <w:rPr>
          <w:rFonts w:ascii="Times New Roman Bold" w:eastAsia="Times New Roman" w:hAnsi="Times New Roman Bold" w:cs="Times New Roman"/>
          <w:b/>
          <w:noProof/>
          <w:sz w:val="24"/>
          <w:szCs w:val="24"/>
        </w:rPr>
      </w:pPr>
      <w:r>
        <w:rPr>
          <w:rFonts w:ascii="Times New Roman Bold" w:hAnsi="Times New Roman Bold"/>
          <w:b/>
          <w:noProof/>
          <w:sz w:val="24"/>
        </w:rPr>
        <w:t>Demandes reçues et projets sélectionnés</w:t>
      </w:r>
    </w:p>
    <w:p>
      <w:pPr>
        <w:pStyle w:val="ListParagraph"/>
        <w:keepNext/>
        <w:tabs>
          <w:tab w:val="left" w:pos="850"/>
        </w:tabs>
        <w:spacing w:after="120" w:line="240" w:lineRule="auto"/>
        <w:ind w:left="792"/>
        <w:contextualSpacing w:val="0"/>
        <w:jc w:val="both"/>
        <w:outlineLvl w:val="0"/>
        <w:rPr>
          <w:rFonts w:ascii="Times New Roman Bold" w:eastAsia="Times New Roman" w:hAnsi="Times New Roman Bold" w:cs="Times New Roman"/>
          <w:b/>
          <w:noProof/>
          <w:sz w:val="24"/>
          <w:szCs w:val="24"/>
        </w:rPr>
      </w:pPr>
    </w:p>
    <w:p>
      <w:pPr>
        <w:spacing w:after="120" w:line="240" w:lineRule="auto"/>
        <w:jc w:val="both"/>
        <w:rPr>
          <w:rFonts w:ascii="Times New Roman" w:hAnsi="Times New Roman" w:cs="Times New Roman"/>
          <w:noProof/>
          <w:sz w:val="24"/>
          <w:szCs w:val="24"/>
        </w:rPr>
      </w:pPr>
      <w:r>
        <w:rPr>
          <w:rFonts w:ascii="Times New Roman" w:hAnsi="Times New Roman"/>
          <w:noProof/>
          <w:sz w:val="24"/>
        </w:rPr>
        <w:t>Les données pour 2014 et 2015 relatives aux subventions à l’action et aux subventions de fonctionnement montrent que les objectifs spécifiques ayant suscité le plus grand nombre de demandes sont ceux qui sont liés à la promotion de la non-discrimination et à la prévention de la violence (voir figure 2 ci-dessous).</w:t>
      </w:r>
    </w:p>
    <w:p>
      <w:pPr>
        <w:spacing w:after="120" w:line="240" w:lineRule="auto"/>
        <w:jc w:val="both"/>
        <w:rPr>
          <w:rFonts w:ascii="Times New Roman" w:hAnsi="Times New Roman" w:cs="Times New Roman"/>
          <w:noProof/>
          <w:sz w:val="24"/>
          <w:szCs w:val="24"/>
        </w:rPr>
      </w:pPr>
    </w:p>
    <w:p>
      <w:pPr>
        <w:pStyle w:val="Figure"/>
        <w:rPr>
          <w:noProof/>
        </w:rPr>
      </w:pPr>
      <w:bookmarkStart w:id="7" w:name="Figure_3"/>
      <w:r>
        <w:rPr>
          <w:noProof/>
        </w:rPr>
        <w:t>Figure 2: nombre de subventions à l’action et de subventions de fonctionnement attribuées et nombre de demandes par objectif spécifique et par année (2014-2015)</w:t>
      </w:r>
    </w:p>
    <w:bookmarkEnd w:id="7"/>
    <w:p>
      <w:pPr>
        <w:spacing w:after="120" w:line="240" w:lineRule="auto"/>
        <w:jc w:val="center"/>
        <w:rPr>
          <w:noProof/>
          <w:highlight w:val="yellow"/>
        </w:rPr>
      </w:pPr>
      <w:r>
        <w:rPr>
          <w:noProof/>
          <w:lang w:val="en-US" w:eastAsia="en-US" w:bidi="ar-SA"/>
        </w:rPr>
        <w:drawing>
          <wp:inline distT="0" distB="0" distL="0" distR="0">
            <wp:extent cx="5761355" cy="3726566"/>
            <wp:effectExtent l="0" t="0" r="10795" b="26670"/>
            <wp:docPr id="4" name="Chart 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pStyle w:val="Text4"/>
        <w:spacing w:after="120"/>
        <w:ind w:left="0"/>
        <w:rPr>
          <w:i/>
          <w:noProof/>
          <w:sz w:val="16"/>
          <w:szCs w:val="16"/>
        </w:rPr>
      </w:pPr>
      <w:r>
        <w:rPr>
          <w:i/>
          <w:noProof/>
          <w:sz w:val="16"/>
        </w:rPr>
        <w:t>Source: rapports annuels sur la mise en œuvre des programmes de travail annuels 2014 et 2015. ENF (Promouvoir les droits de l’enfant), CIT (Promouvoir les droits découlant de la citoyenneté de l’Union), VIO (Prévenir la violence envers les enfants, les jeunes, les femmes et d’autres groupes à risque), DIS (Promouvoir la non-discrimination), HAND (Promouvoir les droits des personnes handicapées), EGA (Promouvoir l’égalité entre les femmes et les hommes ainsi que l’intégration dans les politiques des questions d’égalité entre les femmes et les hommes), RAC (Combattre le racisme, la xénophobie, l’homophobie et d’autres formes d’intolérance).</w:t>
      </w:r>
    </w:p>
    <w:p>
      <w:pPr>
        <w:pStyle w:val="Text4"/>
        <w:spacing w:after="120"/>
        <w:ind w:left="0"/>
        <w:rPr>
          <w:i/>
          <w:noProof/>
          <w:sz w:val="16"/>
          <w:szCs w:val="16"/>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Au cours de la période couverte par les programmes de travail annuels 2014 à 2016, 352 projets ont été financés.</w:t>
      </w:r>
      <w:r>
        <w:rPr>
          <w:rFonts w:ascii="Times New Roman" w:hAnsi="Times New Roman"/>
          <w:noProof/>
          <w:color w:val="000000"/>
          <w:sz w:val="24"/>
        </w:rPr>
        <w:t xml:space="preserve"> </w:t>
      </w:r>
      <w:r>
        <w:rPr>
          <w:rFonts w:ascii="Times New Roman" w:hAnsi="Times New Roman"/>
          <w:noProof/>
          <w:sz w:val="24"/>
        </w:rPr>
        <w:t>Pour les appels à propositions publiés en 2014 et en 2015</w:t>
      </w:r>
      <w:r>
        <w:rPr>
          <w:rStyle w:val="FootnoteReference"/>
          <w:rFonts w:ascii="Times New Roman" w:hAnsi="Times New Roman"/>
          <w:noProof/>
          <w:sz w:val="24"/>
        </w:rPr>
        <w:footnoteReference w:id="10"/>
      </w:r>
      <w:r>
        <w:rPr>
          <w:rFonts w:ascii="Times New Roman" w:hAnsi="Times New Roman"/>
          <w:noProof/>
          <w:sz w:val="24"/>
        </w:rPr>
        <w:t>, le pourcentage de subventions octroyées se situe en moyenne entre 7 % et 27 % pour pratiquement tous les objectifs spécifiques, ce qui est assez faible. Il n’y a que pour l’objectif relatif à la promotion des droits des personnes handicapées qu’une subvention a été octroyée à presque toutes les demandes présentées. L’objectif spécifique relatif à l’égalité entre les femmes et les hommes arrive en deuxième position (avec un pourcentage de subventions octroyées de près de 58 %) en 2014.</w:t>
      </w:r>
    </w:p>
    <w:p>
      <w:pPr>
        <w:spacing w:after="0" w:line="240" w:lineRule="auto"/>
        <w:jc w:val="both"/>
        <w:rPr>
          <w:rFonts w:ascii="Times New Roman" w:hAnsi="Times New Roman" w:cs="Times New Roman"/>
          <w:noProof/>
          <w:sz w:val="24"/>
          <w:szCs w:val="24"/>
        </w:rPr>
      </w:pPr>
      <w:r>
        <w:rPr>
          <w:rFonts w:ascii="Times New Roman" w:hAnsi="Times New Roman"/>
          <w:noProof/>
          <w:sz w:val="24"/>
        </w:rPr>
        <w:t>Une baisse des demandes reçues a été enregistrée en 2016, ce qui coïncide avec le lancement du portail des participants</w:t>
      </w:r>
      <w:r>
        <w:rPr>
          <w:rStyle w:val="FootnoteReference"/>
          <w:rFonts w:ascii="Times New Roman" w:hAnsi="Times New Roman"/>
          <w:noProof/>
          <w:color w:val="000000" w:themeColor="text1"/>
          <w:sz w:val="24"/>
        </w:rPr>
        <w:footnoteReference w:id="11"/>
      </w:r>
      <w:r>
        <w:rPr>
          <w:rFonts w:ascii="Times New Roman" w:hAnsi="Times New Roman"/>
          <w:noProof/>
          <w:sz w:val="24"/>
        </w:rPr>
        <w:t>. Cependant, cette tendance n’a pas donné lieu à une réduction significative du nombre de projets approuvés.</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eastAsia="Times New Roman" w:hAnsi="Times New Roman" w:cs="Times New Roman"/>
          <w:b/>
          <w:noProof/>
          <w:sz w:val="24"/>
          <w:szCs w:val="24"/>
        </w:rPr>
      </w:pPr>
    </w:p>
    <w:p>
      <w:pPr>
        <w:pStyle w:val="ListParagraph"/>
        <w:keepNext/>
        <w:numPr>
          <w:ilvl w:val="1"/>
          <w:numId w:val="11"/>
        </w:numPr>
        <w:tabs>
          <w:tab w:val="left" w:pos="850"/>
        </w:tabs>
        <w:spacing w:after="120" w:line="240" w:lineRule="auto"/>
        <w:contextualSpacing w:val="0"/>
        <w:jc w:val="both"/>
        <w:outlineLvl w:val="0"/>
        <w:rPr>
          <w:rStyle w:val="Heading1Char"/>
          <w:rFonts w:ascii="Times New Roman" w:hAnsi="Times New Roman" w:cs="Times New Roman"/>
          <w:noProof/>
          <w:color w:val="auto"/>
          <w:sz w:val="24"/>
          <w:szCs w:val="24"/>
        </w:rPr>
      </w:pPr>
      <w:r>
        <w:rPr>
          <w:rStyle w:val="Heading1Char"/>
          <w:rFonts w:ascii="Times New Roman" w:hAnsi="Times New Roman"/>
          <w:noProof/>
          <w:color w:val="auto"/>
          <w:sz w:val="24"/>
        </w:rPr>
        <w:t>Principaux résultats du programme</w:t>
      </w:r>
    </w:p>
    <w:p>
      <w:pPr>
        <w:keepNext/>
        <w:spacing w:after="0" w:line="240" w:lineRule="auto"/>
        <w:jc w:val="both"/>
        <w:rPr>
          <w:rFonts w:ascii="Times New Roman" w:hAnsi="Times New Roman" w:cs="Times New Roman"/>
          <w:noProof/>
          <w:sz w:val="24"/>
          <w:szCs w:val="24"/>
        </w:rPr>
      </w:pPr>
    </w:p>
    <w:p>
      <w:pPr>
        <w:keepNext/>
        <w:spacing w:after="0" w:line="240" w:lineRule="auto"/>
        <w:jc w:val="both"/>
        <w:rPr>
          <w:rFonts w:ascii="Times New Roman" w:hAnsi="Times New Roman" w:cs="Times New Roman"/>
          <w:noProof/>
          <w:sz w:val="24"/>
          <w:szCs w:val="24"/>
        </w:rPr>
      </w:pPr>
      <w:r>
        <w:rPr>
          <w:rFonts w:ascii="Times New Roman" w:hAnsi="Times New Roman"/>
          <w:noProof/>
          <w:sz w:val="24"/>
        </w:rPr>
        <w:t>La mise en place d’un système d’indicateurs pour le programme «Droits, égalité et citoyenneté» actuel s’est révélée adéquate pour en évaluer les résultats.</w:t>
      </w:r>
    </w:p>
    <w:p>
      <w:pPr>
        <w:spacing w:after="0" w:line="240" w:lineRule="auto"/>
        <w:jc w:val="both"/>
        <w:rPr>
          <w:rFonts w:ascii="Times New Roman" w:hAnsi="Times New Roman" w:cs="Times New Roman"/>
          <w:noProof/>
          <w:sz w:val="24"/>
          <w:szCs w:val="24"/>
        </w:rPr>
      </w:pPr>
      <w:bookmarkStart w:id="8" w:name="_Hlk511921127"/>
      <w:r>
        <w:rPr>
          <w:rFonts w:ascii="Times New Roman" w:hAnsi="Times New Roman"/>
          <w:noProof/>
          <w:sz w:val="24"/>
        </w:rPr>
        <w:t>En ce qui concerne l’</w:t>
      </w:r>
      <w:r>
        <w:rPr>
          <w:rFonts w:ascii="Times New Roman" w:hAnsi="Times New Roman"/>
          <w:b/>
          <w:noProof/>
          <w:sz w:val="24"/>
        </w:rPr>
        <w:t>objectif général</w:t>
      </w:r>
      <w:r>
        <w:rPr>
          <w:rFonts w:ascii="Times New Roman" w:hAnsi="Times New Roman"/>
          <w:noProof/>
          <w:sz w:val="24"/>
        </w:rPr>
        <w:t xml:space="preserve"> du programme (à savoir «la poursuite de la mise en place d’un espace destiné à promouvoir, à protéger et à mettre effectivement en œuvre l’égalité et les droits de la personne, tels qu’ils sont consacrés dans le traité sur l’Union européenne, dans le traité sur le fonctionnement de l’Union européenne et dans la charte, ainsi que dans les conventions internationales relatives aux droits de l’homme auxquelles l’Union a adhéré»), des valeurs cibles reposant sur cinq indicateurs ont été fixées</w:t>
      </w:r>
      <w:r>
        <w:rPr>
          <w:rStyle w:val="FootnoteReference"/>
          <w:rFonts w:ascii="Times New Roman" w:hAnsi="Times New Roman"/>
          <w:noProof/>
          <w:sz w:val="24"/>
        </w:rPr>
        <w:footnoteReference w:id="12"/>
      </w:r>
      <w:r>
        <w:rPr>
          <w:rFonts w:ascii="Times New Roman" w:hAnsi="Times New Roman"/>
          <w:noProof/>
          <w:sz w:val="24"/>
        </w:rPr>
        <w:t>.</w:t>
      </w:r>
    </w:p>
    <w:p>
      <w:pPr>
        <w:spacing w:after="0" w:line="240" w:lineRule="auto"/>
        <w:jc w:val="both"/>
        <w:rPr>
          <w:rFonts w:ascii="Times New Roman" w:hAnsi="Times New Roman" w:cs="Times New Roman"/>
          <w:noProof/>
          <w:sz w:val="24"/>
          <w:szCs w:val="24"/>
        </w:rPr>
      </w:pPr>
      <w:r>
        <w:rPr>
          <w:rFonts w:ascii="Times New Roman" w:hAnsi="Times New Roman"/>
          <w:noProof/>
          <w:sz w:val="24"/>
        </w:rPr>
        <w:t>Comme jusqu’à présent les progrès accomplis pour atteindre les résultats et les réalisations du programme ont été satisfaisants, il est raisonnable de penser que le programme est sur la bonne voie pour atteindre aussi son objectif général. Cependant, sur le plan de l’analyse, la principale difficulté consiste à associer et à attribuer l’évolution des indicateurs globaux aux interventions spécifiques du programme.</w:t>
      </w:r>
    </w:p>
    <w:p>
      <w:pPr>
        <w:spacing w:after="0" w:line="240" w:lineRule="auto"/>
        <w:jc w:val="both"/>
        <w:rPr>
          <w:rFonts w:ascii="Times New Roman" w:hAnsi="Times New Roman" w:cs="Times New Roman"/>
          <w:noProof/>
          <w:sz w:val="24"/>
          <w:szCs w:val="24"/>
        </w:rPr>
      </w:pPr>
      <w:bookmarkStart w:id="9" w:name="_Hlk511921384"/>
      <w:bookmarkEnd w:id="8"/>
      <w:r>
        <w:rPr>
          <w:rFonts w:ascii="Times New Roman" w:hAnsi="Times New Roman"/>
          <w:noProof/>
          <w:sz w:val="24"/>
        </w:rPr>
        <w:t>En particulier, on peut s’attendre à ce que deux des cinq valeurs cibles fixées concernant l’objectif général du programme soient atteintes: la valeur cible relative à l’écart salarial entre les hommes et les femmes et celle relative à la sensibilisation aux droits découlant de la citoyenneté de l’UE. En particulier, la contribution du programme à l’obtention des résultats relatifs à la sensibilisation aux droits découlant de la citoyenneté de l’UE devrait être substantielle; en effet, le programme a une incidence directe puisqu’il est axé sur des mesures de sensibilisation destinées à favoriser le changement.</w:t>
      </w: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En revanche, le programme risque d’apporter une contribution plus indirecte à la réalisation des valeurs cibles relatives au taux d’emploi des femmes, à la représentation des femmes aux niveaux supérieurs de responsabilité et au taux d’emploi des personnes handicapées, car une évolution dans ces domaines exige une mutation plus structurelle des marchés du travail et des structures économiques qui échappent à la sphère d’influence directe du programme. </w:t>
      </w:r>
      <w:bookmarkEnd w:id="9"/>
      <w:r>
        <w:rPr>
          <w:rFonts w:ascii="Times New Roman" w:hAnsi="Times New Roman"/>
          <w:noProof/>
          <w:sz w:val="24"/>
        </w:rPr>
        <w:t>Toutefois, d’après l’évaluation réalisée, le programme «Droits, égalité et citoyenneté» joue un rôle important en ce sens qu’il soutient aussi ces mutations structurelles.</w:t>
      </w: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En ce qui concerne les progrès accomplis pour atteindre les </w:t>
      </w:r>
      <w:r>
        <w:rPr>
          <w:rFonts w:ascii="Times New Roman" w:hAnsi="Times New Roman"/>
          <w:b/>
          <w:noProof/>
          <w:sz w:val="24"/>
        </w:rPr>
        <w:t>neuf objectifs spécifiques</w:t>
      </w:r>
      <w:r>
        <w:rPr>
          <w:rFonts w:ascii="Times New Roman" w:hAnsi="Times New Roman"/>
          <w:noProof/>
          <w:sz w:val="24"/>
        </w:rPr>
        <w:t>, la contribution du programme est directe et les valeurs cibles en matière de lutte contre la discrimination, de sensibilisation aux droits découlant de la citoyenneté de l’UE et de droits des consommateurs devraient être atteintes.</w:t>
      </w: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Pour d’autres objectifs spécifiques, la contribution du programme est plutôt indirecte. C’est le cas de l’objectif spécifique relatif à la promotion de l’égalité entre les femmes et les hommes, pour lequel la plupart des valeurs cibles risquent de ne pas être atteintes car une mutation plus structurelle des marchés du travail et des structures économiques est nécessaire, un aspect qui échappe à la sphère d’influence directe du programme.</w:t>
      </w:r>
    </w:p>
    <w:p>
      <w:pPr>
        <w:spacing w:after="0" w:line="240" w:lineRule="auto"/>
        <w:jc w:val="both"/>
        <w:rPr>
          <w:rFonts w:ascii="Times New Roman" w:eastAsia="Calibri" w:hAnsi="Times New Roman" w:cs="Times New Roman"/>
          <w:noProof/>
          <w:sz w:val="24"/>
          <w:szCs w:val="24"/>
        </w:rPr>
      </w:pPr>
      <w:bookmarkStart w:id="10" w:name="_Hlk511921430"/>
      <w:r>
        <w:rPr>
          <w:rFonts w:ascii="Times New Roman" w:hAnsi="Times New Roman"/>
          <w:noProof/>
          <w:sz w:val="24"/>
        </w:rPr>
        <w:t>En général, selon les résultats de l’évaluation, les activités du programme contribuent à la réalisation de ses objectifs spécifiques, mais leur incidence est assez modérée en raison des ressources limitées du programme (notamment dans le domaine de l’égalité entre les femmes et les hommes et dans celui des droits découlant de la citoyenneté de l’UE), mais aussi du fait que le changement dépend de nombreux autres facteurs et politiques.</w:t>
      </w:r>
      <w:bookmarkEnd w:id="10"/>
    </w:p>
    <w:p>
      <w:pPr>
        <w:keepNext/>
        <w:tabs>
          <w:tab w:val="left" w:pos="850"/>
        </w:tabs>
        <w:spacing w:after="120" w:line="240" w:lineRule="auto"/>
        <w:jc w:val="both"/>
        <w:outlineLvl w:val="0"/>
        <w:rPr>
          <w:rStyle w:val="Heading1Char"/>
          <w:rFonts w:ascii="Times New Roman" w:hAnsi="Times New Roman" w:cs="Times New Roman"/>
          <w:noProof/>
          <w:color w:val="auto"/>
          <w:sz w:val="24"/>
          <w:szCs w:val="24"/>
        </w:rPr>
      </w:pPr>
    </w:p>
    <w:p>
      <w:pPr>
        <w:pStyle w:val="ListParagraph"/>
        <w:keepNext/>
        <w:numPr>
          <w:ilvl w:val="1"/>
          <w:numId w:val="11"/>
        </w:numPr>
        <w:tabs>
          <w:tab w:val="left" w:pos="850"/>
        </w:tabs>
        <w:spacing w:after="120" w:line="240" w:lineRule="auto"/>
        <w:contextualSpacing w:val="0"/>
        <w:jc w:val="both"/>
        <w:outlineLvl w:val="0"/>
        <w:rPr>
          <w:rFonts w:ascii="Times New Roman Bold" w:eastAsia="Times New Roman" w:hAnsi="Times New Roman Bold" w:cs="Times New Roman"/>
          <w:b/>
          <w:noProof/>
          <w:sz w:val="24"/>
          <w:szCs w:val="24"/>
        </w:rPr>
      </w:pPr>
      <w:r>
        <w:rPr>
          <w:rFonts w:ascii="Times New Roman Bold" w:hAnsi="Times New Roman Bold"/>
          <w:b/>
          <w:noProof/>
          <w:sz w:val="24"/>
        </w:rPr>
        <w:t>Participants et partenariats</w:t>
      </w:r>
    </w:p>
    <w:p>
      <w:pPr>
        <w:spacing w:after="0" w:line="240" w:lineRule="auto"/>
        <w:jc w:val="both"/>
        <w:rPr>
          <w:rFonts w:ascii="Times New Roman" w:eastAsia="Calibri" w:hAnsi="Times New Roman" w:cs="Times New Roman"/>
          <w:noProof/>
          <w:color w:val="000000" w:themeColor="text1"/>
          <w:sz w:val="24"/>
          <w:szCs w:val="24"/>
        </w:rPr>
      </w:pP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Les partenariats transnationaux, grâce à leurs réseaux et à leur interconnexion, contribuent de manière essentielle à l’efficacité du programme. En effet, d’après la majorité des personnes interrogées, les partenariats conclus dans le cadre du programme leur ont permis d’améliorer leurs structures organisationnelles en termes de mise en œuvre des projets, de durabilité des résultats et de capacités globales. Un plus petit nombre de bénéficiaires ont également indiqué que les partenariats avaient eu une incidence positive sur leurs capacités de collecte de fonds.</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L’évaluation des partenariats conclus a également mis en évidence une représentation appropriée des bénéficiaires par type d’organisation (39 % des bénéficiaires sont des organisations à but non lucratif, tandis que seulement 5 % sont des entités privées à but lucratif), mais une composition géographique inégale des organisations participantes (comme c’était le cas pour les programmes précédents).</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sz w:val="24"/>
        </w:rPr>
        <w:t>L’Italie (pour l’essentiel) et l’Espagne (dans une moindre mesure) sont les pays comptant le plus grand nombre d’organisations demandant une subvention (en qualité de coordonnateurs ou de partenaires), suivis par la Grèce, le Royaume-Uni, la Roumanie et la Bulgarie. Les organisations de ces six pays représentent environ 50 % des subventions à l’action financées.</w:t>
      </w:r>
    </w:p>
    <w:p>
      <w:pPr>
        <w:spacing w:after="120" w:line="240" w:lineRule="auto"/>
        <w:jc w:val="both"/>
        <w:rPr>
          <w:rFonts w:ascii="Times New Roman" w:hAnsi="Times New Roman" w:cs="Times New Roman"/>
          <w:noProof/>
          <w:sz w:val="24"/>
          <w:szCs w:val="24"/>
        </w:rPr>
      </w:pPr>
    </w:p>
    <w:p>
      <w:pPr>
        <w:pStyle w:val="ListParagraph"/>
        <w:keepNext/>
        <w:numPr>
          <w:ilvl w:val="0"/>
          <w:numId w:val="11"/>
        </w:numPr>
        <w:tabs>
          <w:tab w:val="left" w:pos="850"/>
        </w:tabs>
        <w:spacing w:after="120" w:line="240" w:lineRule="auto"/>
        <w:contextualSpacing w:val="0"/>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Quels sont les résultats du programme «Droits, égalité et citoyenneté»?</w:t>
      </w:r>
    </w:p>
    <w:p>
      <w:pPr>
        <w:keepNext/>
        <w:tabs>
          <w:tab w:val="left" w:pos="850"/>
        </w:tabs>
        <w:spacing w:after="120" w:line="240" w:lineRule="auto"/>
        <w:jc w:val="both"/>
        <w:outlineLvl w:val="0"/>
        <w:rPr>
          <w:rFonts w:ascii="Times New Roman" w:eastAsia="Calibri" w:hAnsi="Times New Roman" w:cs="Times New Roman"/>
          <w:noProof/>
          <w:sz w:val="24"/>
          <w:szCs w:val="24"/>
        </w:rPr>
      </w:pPr>
      <w:r>
        <w:rPr>
          <w:rFonts w:ascii="Times New Roman" w:hAnsi="Times New Roman"/>
          <w:noProof/>
          <w:sz w:val="24"/>
        </w:rPr>
        <w:t>Comme le montre l’évaluation, les performances du programme «Droits, égalité et citoyenneté» sont globalement bonnes à mi-parcours pour ce qui est de ses objectifs spécifiques en termes d’efficacité, d’efficience, de pertinence, de cohérence, de complémentarité et de synergies et de valeur ajoutée européenne. Des améliorations sont nécessaires, notamment sur le plan de l’équité.</w:t>
      </w:r>
    </w:p>
    <w:p>
      <w:pPr>
        <w:keepNext/>
        <w:tabs>
          <w:tab w:val="left" w:pos="850"/>
        </w:tabs>
        <w:spacing w:after="120" w:line="240" w:lineRule="auto"/>
        <w:jc w:val="both"/>
        <w:outlineLvl w:val="0"/>
        <w:rPr>
          <w:rFonts w:ascii="Times New Roman" w:eastAsia="Calibri" w:hAnsi="Times New Roman" w:cs="Times New Roman"/>
          <w:noProof/>
          <w:sz w:val="24"/>
          <w:szCs w:val="24"/>
        </w:rPr>
      </w:pPr>
    </w:p>
    <w:p>
      <w:pPr>
        <w:keepNext/>
        <w:numPr>
          <w:ilvl w:val="1"/>
          <w:numId w:val="11"/>
        </w:numPr>
        <w:tabs>
          <w:tab w:val="left" w:pos="850"/>
        </w:tabs>
        <w:spacing w:after="120" w:line="240" w:lineRule="auto"/>
        <w:jc w:val="both"/>
        <w:outlineLvl w:val="0"/>
        <w:rPr>
          <w:rFonts w:ascii="Times New Roman" w:eastAsia="Calibri" w:hAnsi="Times New Roman" w:cs="Times New Roman"/>
          <w:b/>
          <w:noProof/>
          <w:sz w:val="24"/>
          <w:szCs w:val="24"/>
        </w:rPr>
      </w:pPr>
      <w:r>
        <w:rPr>
          <w:rFonts w:ascii="Times New Roman" w:hAnsi="Times New Roman"/>
          <w:b/>
          <w:noProof/>
          <w:sz w:val="24"/>
        </w:rPr>
        <w:t>Efficacité</w:t>
      </w:r>
      <w:r>
        <w:rPr>
          <w:rStyle w:val="FootnoteReference"/>
          <w:rFonts w:ascii="Times New Roman" w:hAnsi="Times New Roman"/>
          <w:b/>
          <w:noProof/>
          <w:sz w:val="24"/>
        </w:rPr>
        <w:footnoteReference w:id="13"/>
      </w:r>
    </w:p>
    <w:p>
      <w:pPr>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b/>
          <w:noProof/>
          <w:color w:val="000000" w:themeColor="text1"/>
          <w:sz w:val="24"/>
        </w:rPr>
        <w:t>Le programme est sur la bonne voie pour réaliser son objectif général et ses objectifs spécifiques.</w:t>
      </w:r>
      <w:r>
        <w:rPr>
          <w:rFonts w:ascii="Times New Roman" w:hAnsi="Times New Roman"/>
          <w:noProof/>
          <w:color w:val="000000" w:themeColor="text1"/>
          <w:sz w:val="24"/>
        </w:rPr>
        <w:t xml:space="preserve"> Cependant, </w:t>
      </w:r>
      <w:r>
        <w:rPr>
          <w:rFonts w:ascii="Times New Roman" w:hAnsi="Times New Roman"/>
          <w:b/>
          <w:noProof/>
          <w:color w:val="000000" w:themeColor="text1"/>
          <w:sz w:val="24"/>
        </w:rPr>
        <w:t>il est parfois difficile d’associer et d’attribuer l’évolution des indicateurs globaux aux interventions du programme</w:t>
      </w:r>
      <w:r>
        <w:rPr>
          <w:rFonts w:ascii="Times New Roman" w:hAnsi="Times New Roman"/>
          <w:noProof/>
          <w:color w:val="000000" w:themeColor="text1"/>
          <w:sz w:val="24"/>
        </w:rPr>
        <w:t xml:space="preserve"> car certaines évolutions dépendent de nombreux autres facteurs. </w:t>
      </w:r>
      <w:bookmarkStart w:id="11" w:name="_Hlk511922598"/>
      <w:r>
        <w:rPr>
          <w:rFonts w:ascii="Times New Roman" w:hAnsi="Times New Roman"/>
          <w:b/>
          <w:noProof/>
          <w:color w:val="000000" w:themeColor="text1"/>
          <w:sz w:val="24"/>
        </w:rPr>
        <w:t>Les indicateurs de suivi choisis pour évaluer les réalisations du programme sont globalement adéquats</w:t>
      </w:r>
      <w:r>
        <w:rPr>
          <w:rFonts w:ascii="Times New Roman" w:hAnsi="Times New Roman"/>
          <w:noProof/>
          <w:color w:val="000000" w:themeColor="text1"/>
          <w:sz w:val="24"/>
        </w:rPr>
        <w:t>, même s’il serait possible d’envisager quelques améliorations.</w:t>
      </w:r>
    </w:p>
    <w:p>
      <w:pPr>
        <w:spacing w:after="0" w:line="240" w:lineRule="auto"/>
        <w:jc w:val="both"/>
        <w:rPr>
          <w:rFonts w:ascii="Times New Roman" w:eastAsia="Times New Roman" w:hAnsi="Times New Roman" w:cs="Times New Roman"/>
          <w:b/>
          <w:noProof/>
          <w:sz w:val="24"/>
          <w:szCs w:val="24"/>
        </w:rPr>
      </w:pPr>
      <w:r>
        <w:rPr>
          <w:rFonts w:ascii="Times New Roman" w:hAnsi="Times New Roman"/>
          <w:b/>
          <w:noProof/>
          <w:color w:val="000000" w:themeColor="text1"/>
          <w:sz w:val="24"/>
        </w:rPr>
        <w:t>L’amélioration des aptitudes et des compétences des professionnels constitue le principal résultat obtenu au regard des différents objectifs spécifiques</w:t>
      </w:r>
      <w:r>
        <w:rPr>
          <w:rFonts w:ascii="Times New Roman" w:hAnsi="Times New Roman"/>
          <w:noProof/>
          <w:color w:val="000000" w:themeColor="text1"/>
          <w:sz w:val="24"/>
        </w:rPr>
        <w:t xml:space="preserve">. </w:t>
      </w:r>
      <w:bookmarkEnd w:id="11"/>
      <w:r>
        <w:rPr>
          <w:rFonts w:ascii="Times New Roman" w:hAnsi="Times New Roman"/>
          <w:b/>
          <w:noProof/>
          <w:color w:val="000000" w:themeColor="text1"/>
          <w:sz w:val="24"/>
        </w:rPr>
        <w:t>La contribution des résultats des projets à un changement systémique, notamment par l’élaboration d’outils, de procédures, de services et de politiques améliorés en ce qui concerne les différents objectifs spécifiques</w:t>
      </w:r>
      <w:r>
        <w:rPr>
          <w:rFonts w:ascii="Times New Roman" w:hAnsi="Times New Roman"/>
          <w:noProof/>
          <w:color w:val="000000" w:themeColor="text1"/>
          <w:sz w:val="24"/>
        </w:rPr>
        <w:t>, constitue une autre réalisation importante du programme.</w:t>
      </w:r>
    </w:p>
    <w:p>
      <w:pPr>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Selon la majorité des bénéficiaires, </w:t>
      </w:r>
      <w:r>
        <w:rPr>
          <w:rFonts w:ascii="Times New Roman" w:hAnsi="Times New Roman"/>
          <w:b/>
          <w:noProof/>
          <w:color w:val="000000" w:themeColor="text1"/>
          <w:sz w:val="24"/>
        </w:rPr>
        <w:t xml:space="preserve">les activités de communication que la Commission a menées en vue de promouvoir le programme ont été en grande partie couronnées de succès </w:t>
      </w:r>
      <w:r>
        <w:rPr>
          <w:rFonts w:ascii="Times New Roman" w:hAnsi="Times New Roman"/>
          <w:noProof/>
          <w:color w:val="000000" w:themeColor="text1"/>
          <w:sz w:val="24"/>
        </w:rPr>
        <w:t>et, par conséquent, le programme a gagné en popularité par rapport aux programmes précédents. Cependant, il est nécessaire de poursuivre les efforts afin de veiller à atteindre tous les demandeurs potentiels dans tous les États membres.</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rPr>
        <w:t>L’effet bénéfique du programme est plus important que celui des programmes précédents,</w:t>
      </w:r>
      <w:r>
        <w:rPr>
          <w:rFonts w:ascii="Times New Roman" w:hAnsi="Times New Roman"/>
          <w:noProof/>
          <w:color w:val="000000" w:themeColor="text1"/>
          <w:sz w:val="24"/>
        </w:rPr>
        <w:t xml:space="preserve"> également </w:t>
      </w:r>
      <w:r>
        <w:rPr>
          <w:rFonts w:ascii="Times New Roman" w:hAnsi="Times New Roman"/>
          <w:b/>
          <w:noProof/>
          <w:color w:val="000000" w:themeColor="text1"/>
          <w:sz w:val="24"/>
        </w:rPr>
        <w:t>pour ce qui est des demandes reçues et des subventions octroyées</w:t>
      </w:r>
      <w:r>
        <w:rPr>
          <w:rFonts w:ascii="Times New Roman" w:hAnsi="Times New Roman"/>
          <w:noProof/>
          <w:color w:val="000000" w:themeColor="text1"/>
          <w:sz w:val="24"/>
        </w:rPr>
        <w:t>.</w:t>
      </w:r>
    </w:p>
    <w:p>
      <w:pPr>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b/>
          <w:noProof/>
          <w:color w:val="000000" w:themeColor="text1"/>
          <w:sz w:val="24"/>
        </w:rPr>
        <w:t>Le niveau élevé d’exécution financière du programme</w:t>
      </w:r>
      <w:r>
        <w:rPr>
          <w:rFonts w:ascii="Times New Roman" w:hAnsi="Times New Roman"/>
          <w:noProof/>
          <w:color w:val="000000" w:themeColor="text1"/>
          <w:sz w:val="24"/>
        </w:rPr>
        <w:t xml:space="preserve"> constitue une autre évolution positive. En effet, le niveau du financement que les demandeurs ont sollicité et qui leur a été accordé pour chaque objectif spécifique au cours des années 2014-2015 est légèrement supérieur à celui des programmes précédents.</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En outre, selon plusieurs indicateurs et d’après les parties prenantes interrogées, des avancées ont été réalisées en ce qui concerne l’</w:t>
      </w:r>
      <w:r>
        <w:rPr>
          <w:rFonts w:ascii="Times New Roman" w:hAnsi="Times New Roman"/>
          <w:b/>
          <w:noProof/>
          <w:color w:val="000000" w:themeColor="text1"/>
          <w:sz w:val="24"/>
        </w:rPr>
        <w:t>amélioration du niveau de connaissance du droit de l’UE ainsi que des politiques, droits et valeurs de l’UE</w:t>
      </w:r>
      <w:r>
        <w:rPr>
          <w:rFonts w:ascii="Times New Roman" w:hAnsi="Times New Roman"/>
          <w:noProof/>
          <w:color w:val="000000" w:themeColor="text1"/>
          <w:sz w:val="24"/>
        </w:rPr>
        <w:t>. De plus, les partenariats conclus dans le cadre des activités du programme ont eu des effets positifs sur les compétences et les capacités des bénéficiaires et des participants.</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En ce qui concerne la </w:t>
      </w:r>
      <w:r>
        <w:rPr>
          <w:rFonts w:ascii="Times New Roman" w:hAnsi="Times New Roman"/>
          <w:b/>
          <w:noProof/>
          <w:color w:val="000000" w:themeColor="text1"/>
          <w:sz w:val="24"/>
        </w:rPr>
        <w:t>pérennité</w:t>
      </w:r>
      <w:r>
        <w:rPr>
          <w:rFonts w:ascii="Times New Roman" w:hAnsi="Times New Roman"/>
          <w:noProof/>
          <w:color w:val="000000" w:themeColor="text1"/>
          <w:sz w:val="24"/>
        </w:rPr>
        <w:t xml:space="preserve"> des activités du programme à l’issue du financement, la majorité des parties prenantes interrogées considéraient qu’il était très probable que l’acquisition de compétences et de connaissances nouvelles, le renforcement de la sensibilisation et la création d’outils et de procédures se poursuivent une fois les projets terminés. Les espoirs étaient légèrement plus minces quant à la poursuite des activités de formation à l’issue des projets. Cependant, un tiers seulement des personnes interrogées s’attendaient à ce que les partenariats financés dans le cadre des projets se poursuivent au-delà de la période de financement. De même, peu nombreuses sont les parties prenantes qui considèrent que les partenariats conclus au cours des projets financés par le programme leur ont permis d’augmenter leurs capacités de collecte de fonds. En général, les éléments permettant d’attester de la pérennité des résultats des projets à l’issue du financement sont rares.</w:t>
      </w:r>
    </w:p>
    <w:p>
      <w:pPr>
        <w:spacing w:after="0" w:line="240" w:lineRule="auto"/>
        <w:jc w:val="both"/>
        <w:rPr>
          <w:rFonts w:ascii="Times New Roman" w:eastAsia="Calibri" w:hAnsi="Times New Roman" w:cs="Times New Roman"/>
          <w:noProof/>
          <w:sz w:val="24"/>
          <w:szCs w:val="24"/>
        </w:rPr>
      </w:pPr>
      <w:r>
        <w:rPr>
          <w:rFonts w:ascii="Times New Roman" w:hAnsi="Times New Roman"/>
          <w:noProof/>
          <w:color w:val="000000" w:themeColor="text1"/>
          <w:sz w:val="24"/>
        </w:rPr>
        <w:t xml:space="preserve">Enfin, plus de 80 % des personnes interrogées déclarent que </w:t>
      </w:r>
      <w:r>
        <w:rPr>
          <w:rFonts w:ascii="Times New Roman" w:hAnsi="Times New Roman"/>
          <w:b/>
          <w:noProof/>
          <w:color w:val="000000" w:themeColor="text1"/>
          <w:sz w:val="24"/>
        </w:rPr>
        <w:t>le programme est très (ou extrêmement) efficace pour répondre aux besoins des groupes cibles concernés</w:t>
      </w:r>
      <w:r>
        <w:rPr>
          <w:rFonts w:ascii="Times New Roman" w:hAnsi="Times New Roman"/>
          <w:noProof/>
          <w:color w:val="000000" w:themeColor="text1"/>
          <w:sz w:val="24"/>
        </w:rPr>
        <w:t>. Plus de 70 % des bénéficiaires du programme interrogés dans le cadre de l’évaluation ont également estimé que le programme avait été extrêmement efficace ou très efficace pour cibler les domaines d’action appropriés et les groupes cibles les plus pertinents.</w:t>
      </w:r>
    </w:p>
    <w:p>
      <w:pPr>
        <w:spacing w:after="0" w:line="240" w:lineRule="auto"/>
        <w:jc w:val="both"/>
        <w:rPr>
          <w:rFonts w:ascii="Times New Roman" w:hAnsi="Times New Roman" w:cs="Times New Roman"/>
          <w:bCs/>
          <w:noProof/>
          <w:color w:val="FFFFFF"/>
          <w:sz w:val="24"/>
          <w:szCs w:val="24"/>
        </w:rPr>
      </w:pPr>
      <w:r>
        <w:rPr>
          <w:rFonts w:ascii="Times New Roman" w:hAnsi="Times New Roman"/>
          <w:noProof/>
          <w:color w:val="FFFFFF"/>
          <w:sz w:val="24"/>
        </w:rPr>
        <w:t>I</w:t>
      </w:r>
    </w:p>
    <w:p>
      <w:pPr>
        <w:spacing w:after="0" w:line="240" w:lineRule="auto"/>
        <w:jc w:val="both"/>
        <w:rPr>
          <w:rFonts w:ascii="Times New Roman" w:hAnsi="Times New Roman" w:cs="Times New Roman"/>
          <w:bCs/>
          <w:noProof/>
          <w:color w:val="FFFFFF"/>
          <w:sz w:val="24"/>
          <w:szCs w:val="24"/>
        </w:rPr>
      </w:pPr>
    </w:p>
    <w:p>
      <w:pPr>
        <w:keepNext/>
        <w:numPr>
          <w:ilvl w:val="1"/>
          <w:numId w:val="11"/>
        </w:numPr>
        <w:tabs>
          <w:tab w:val="left" w:pos="850"/>
        </w:tabs>
        <w:spacing w:after="120" w:line="240" w:lineRule="auto"/>
        <w:ind w:left="0" w:firstLine="0"/>
        <w:jc w:val="both"/>
        <w:outlineLvl w:val="0"/>
        <w:rPr>
          <w:rFonts w:ascii="Times New Roman" w:hAnsi="Times New Roman" w:cs="Times New Roman"/>
          <w:b/>
          <w:noProof/>
          <w:sz w:val="24"/>
          <w:szCs w:val="24"/>
        </w:rPr>
      </w:pPr>
      <w:r>
        <w:rPr>
          <w:rFonts w:ascii="Times New Roman" w:hAnsi="Times New Roman"/>
          <w:b/>
          <w:noProof/>
          <w:sz w:val="24"/>
        </w:rPr>
        <w:t>Efficience</w:t>
      </w:r>
      <w:r>
        <w:rPr>
          <w:rStyle w:val="FootnoteReference"/>
          <w:rFonts w:ascii="Times New Roman" w:hAnsi="Times New Roman"/>
          <w:b/>
          <w:noProof/>
          <w:sz w:val="24"/>
        </w:rPr>
        <w:footnoteReference w:id="14"/>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rPr>
        <w:t>L’analyse de l’efficience repose sur une évaluation qualitative de la perception qu’ont les bénéficiaires du rapport coût-efficacité des actions</w:t>
      </w:r>
      <w:r>
        <w:rPr>
          <w:rFonts w:ascii="Times New Roman" w:hAnsi="Times New Roman"/>
          <w:noProof/>
          <w:color w:val="000000" w:themeColor="text1"/>
          <w:sz w:val="24"/>
        </w:rPr>
        <w:t xml:space="preserve"> puisque les données limitées qui sont disponibles concernant les coûts et les bénéfices de l’intervention du programme ne permettent pas d’appliquer des méthodes quantitatives types pour une évaluation coûts-bénéfices. Selon la majorité des bénéficiaires et des représentants des États membres, </w:t>
      </w:r>
      <w:r>
        <w:rPr>
          <w:rFonts w:ascii="Times New Roman" w:hAnsi="Times New Roman"/>
          <w:b/>
          <w:noProof/>
          <w:color w:val="000000" w:themeColor="text1"/>
          <w:sz w:val="24"/>
        </w:rPr>
        <w:t>les coûts du programme sont soit proportionnés aux bénéfices, soit plus importants que ceux-ci</w:t>
      </w:r>
      <w:r>
        <w:rPr>
          <w:rFonts w:ascii="Times New Roman" w:hAnsi="Times New Roman"/>
          <w:noProof/>
          <w:color w:val="000000" w:themeColor="text1"/>
          <w:sz w:val="24"/>
        </w:rPr>
        <w:t>. En particulier, les résultats des projets pour ce qui est des activités de formation dépassent les attentes pour plusieurs objectifs spécifiques. Tel est le cas pour l’objectif spécifique relatif à la prévention de la violence envers les enfants, les jeunes et les femmes, et cela est d’autant plus remarquable que les dépenses encourues ont été réduites (environ 60 % des estimations).</w:t>
      </w:r>
    </w:p>
    <w:p>
      <w:pPr>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Par rapport aux programmes précédents, l’une des principales réalisations du programme est l’</w:t>
      </w:r>
      <w:r>
        <w:rPr>
          <w:rFonts w:ascii="Times New Roman" w:hAnsi="Times New Roman"/>
          <w:b/>
          <w:noProof/>
          <w:color w:val="000000" w:themeColor="text1"/>
          <w:sz w:val="24"/>
        </w:rPr>
        <w:t>allègement des exigences envers les bénéficiaires en termes de temps et de ressources financières</w:t>
      </w:r>
      <w:r>
        <w:rPr>
          <w:rFonts w:ascii="Times New Roman" w:hAnsi="Times New Roman"/>
          <w:noProof/>
          <w:color w:val="000000" w:themeColor="text1"/>
          <w:sz w:val="24"/>
        </w:rPr>
        <w:t>.</w:t>
      </w:r>
    </w:p>
    <w:p>
      <w:pPr>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En outre, selon les parties prenantes, </w:t>
      </w:r>
      <w:r>
        <w:rPr>
          <w:rFonts w:ascii="Times New Roman" w:hAnsi="Times New Roman"/>
          <w:b/>
          <w:noProof/>
          <w:color w:val="000000" w:themeColor="text1"/>
          <w:sz w:val="24"/>
        </w:rPr>
        <w:t>l’évolution de la conception du programme</w:t>
      </w:r>
      <w:r>
        <w:rPr>
          <w:rFonts w:ascii="Times New Roman" w:hAnsi="Times New Roman"/>
          <w:noProof/>
          <w:color w:val="000000" w:themeColor="text1"/>
          <w:sz w:val="24"/>
        </w:rPr>
        <w:t xml:space="preserve">, par rapport à la période 2007-2013, </w:t>
      </w:r>
      <w:r>
        <w:rPr>
          <w:rFonts w:ascii="Times New Roman" w:hAnsi="Times New Roman"/>
          <w:b/>
          <w:noProof/>
          <w:color w:val="000000" w:themeColor="text1"/>
          <w:sz w:val="24"/>
        </w:rPr>
        <w:t>constitue le facteur le plus important aux fins de l’efficience des projets pour l’obtention des résultats escomptés</w:t>
      </w:r>
      <w:r>
        <w:rPr>
          <w:rFonts w:ascii="Times New Roman" w:hAnsi="Times New Roman"/>
          <w:noProof/>
          <w:color w:val="000000" w:themeColor="text1"/>
          <w:sz w:val="24"/>
        </w:rPr>
        <w:t>.</w:t>
      </w:r>
    </w:p>
    <w:p>
      <w:pPr>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b/>
          <w:noProof/>
          <w:color w:val="000000" w:themeColor="text1"/>
          <w:sz w:val="24"/>
        </w:rPr>
        <w:t>Les bénéficiaires considèrent que les instruments de financement actuels sont adaptés au programme.</w:t>
      </w:r>
      <w:r>
        <w:rPr>
          <w:rFonts w:ascii="Times New Roman" w:hAnsi="Times New Roman"/>
          <w:noProof/>
          <w:color w:val="000000" w:themeColor="text1"/>
          <w:sz w:val="24"/>
        </w:rPr>
        <w:t xml:space="preserve"> Cependant, ils estiment qu’il serait possible d’avoir recours à d’autres mesures, telles que le microcrédit et les petits prêts.</w:t>
      </w:r>
    </w:p>
    <w:p>
      <w:pPr>
        <w:spacing w:after="0" w:line="240" w:lineRule="auto"/>
        <w:jc w:val="both"/>
        <w:rPr>
          <w:rFonts w:ascii="Times New Roman" w:eastAsia="Calibri" w:hAnsi="Times New Roman" w:cs="Times New Roman"/>
          <w:b/>
          <w:noProof/>
          <w:color w:val="000000" w:themeColor="text1"/>
          <w:sz w:val="24"/>
          <w:szCs w:val="24"/>
        </w:rPr>
      </w:pPr>
      <w:r>
        <w:rPr>
          <w:rFonts w:ascii="Times New Roman" w:hAnsi="Times New Roman"/>
          <w:noProof/>
          <w:color w:val="000000" w:themeColor="text1"/>
          <w:sz w:val="24"/>
        </w:rPr>
        <w:t xml:space="preserve">Enfin, plusieurs bénéficiaires ont souligné que le </w:t>
      </w:r>
      <w:r>
        <w:rPr>
          <w:rFonts w:ascii="Times New Roman" w:hAnsi="Times New Roman"/>
          <w:b/>
          <w:noProof/>
          <w:color w:val="000000" w:themeColor="text1"/>
          <w:sz w:val="24"/>
        </w:rPr>
        <w:t>long délai entre la demande et le début des activités du projet leur posait des problèmes en termes d’efficience</w:t>
      </w:r>
      <w:r>
        <w:rPr>
          <w:rFonts w:ascii="Times New Roman" w:hAnsi="Times New Roman"/>
          <w:noProof/>
          <w:color w:val="000000" w:themeColor="text1"/>
          <w:sz w:val="24"/>
        </w:rPr>
        <w:t xml:space="preserve"> car, pendant ce délai, les facteurs contextuels peuvent évoluer, ce qui exige un effort supplémentaire pour adapter le projet au nouveau contexte.</w:t>
      </w:r>
    </w:p>
    <w:p>
      <w:pPr>
        <w:pStyle w:val="Body"/>
        <w:spacing w:before="0"/>
        <w:rPr>
          <w:rFonts w:ascii="Times New Roman" w:eastAsia="Calibri" w:hAnsi="Times New Roman"/>
          <w:b/>
          <w:noProof/>
          <w:sz w:val="24"/>
          <w:szCs w:val="24"/>
        </w:rPr>
      </w:pPr>
    </w:p>
    <w:p>
      <w:pPr>
        <w:keepNext/>
        <w:tabs>
          <w:tab w:val="left" w:pos="850"/>
        </w:tabs>
        <w:spacing w:after="120" w:line="240" w:lineRule="auto"/>
        <w:ind w:left="360"/>
        <w:jc w:val="both"/>
        <w:outlineLvl w:val="0"/>
        <w:rPr>
          <w:rFonts w:ascii="Times New Roman" w:eastAsia="Times New Roman" w:hAnsi="Times New Roman" w:cs="Times New Roman"/>
          <w:b/>
          <w:noProof/>
          <w:sz w:val="24"/>
          <w:szCs w:val="24"/>
        </w:rPr>
      </w:pPr>
      <w:r>
        <w:rPr>
          <w:rFonts w:ascii="Times New Roman" w:hAnsi="Times New Roman"/>
          <w:b/>
          <w:noProof/>
          <w:sz w:val="24"/>
        </w:rPr>
        <w:t>3.3 Pertinence</w:t>
      </w:r>
      <w:r>
        <w:rPr>
          <w:rStyle w:val="FootnoteReference"/>
          <w:rFonts w:ascii="Times New Roman" w:hAnsi="Times New Roman"/>
          <w:b/>
          <w:noProof/>
          <w:sz w:val="24"/>
        </w:rPr>
        <w:footnoteReference w:id="15"/>
      </w:r>
    </w:p>
    <w:p>
      <w:pPr>
        <w:keepNext/>
        <w:tabs>
          <w:tab w:val="left" w:pos="850"/>
        </w:tabs>
        <w:spacing w:after="120" w:line="240" w:lineRule="auto"/>
        <w:ind w:left="360"/>
        <w:jc w:val="both"/>
        <w:outlineLvl w:val="0"/>
        <w:rPr>
          <w:rFonts w:ascii="Times New Roman" w:eastAsia="Times New Roman" w:hAnsi="Times New Roman" w:cs="Times New Roman"/>
          <w:b/>
          <w:noProof/>
          <w:sz w:val="24"/>
          <w:szCs w:val="24"/>
        </w:rPr>
      </w:pP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rPr>
        <w:t>Le programme est très pertinent par rapport aux besoins de ses parties prenantes et de ses bénéficiaires</w:t>
      </w:r>
      <w:r>
        <w:rPr>
          <w:rFonts w:ascii="Times New Roman" w:hAnsi="Times New Roman"/>
          <w:noProof/>
          <w:color w:val="000000" w:themeColor="text1"/>
          <w:sz w:val="24"/>
        </w:rPr>
        <w:t>, par exemple sur le plan du développement des connaissances, de la formation, de la sensibilisation et du soutien structurel. En effet, les parties prenantes interrogées dans le cadre de l’évaluation ont eu un avis très positif concernant la pertinence des actions du programme au regard de leurs besoins. Cependant, l’évaluation a également révélé des lacunes en ce qui concerne les besoins de certaines parties prenantes et de certains citoyens auxquels le programme pourrait accorder une attention accrue, notamment les femmes victimes de discriminations multiples (femmes migrantes, handicapées et âgées).</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rPr>
        <w:t>Les besoins définis au moment de l’adoption du programme sont toujours pertinents</w:t>
      </w:r>
      <w:r>
        <w:rPr>
          <w:rFonts w:ascii="Times New Roman" w:hAnsi="Times New Roman"/>
          <w:noProof/>
          <w:color w:val="000000" w:themeColor="text1"/>
          <w:sz w:val="24"/>
        </w:rPr>
        <w:t xml:space="preserve"> puisque, comme le montre l’évaluation effectuée, plusieurs valeurs cibles ne seront probablement pas atteintes, notamment en ce qui concerne l’égalité entre les femmes et les hommes ou les droits des personnes handicapées, car les progrès ont été lents.</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rPr>
        <w:t>Le programme offre également suffisamment de souplesse pour intégrer les besoins émergents.</w:t>
      </w:r>
    </w:p>
    <w:p>
      <w:pPr>
        <w:spacing w:after="0" w:line="240" w:lineRule="auto"/>
        <w:jc w:val="both"/>
        <w:rPr>
          <w:rFonts w:ascii="Times New Roman" w:hAnsi="Times New Roman" w:cs="Times New Roman"/>
          <w:noProof/>
          <w:sz w:val="24"/>
          <w:szCs w:val="24"/>
        </w:rPr>
      </w:pPr>
      <w:r>
        <w:rPr>
          <w:rFonts w:ascii="Times New Roman" w:hAnsi="Times New Roman"/>
          <w:noProof/>
          <w:color w:val="000000" w:themeColor="text1"/>
          <w:sz w:val="24"/>
        </w:rPr>
        <w:t>L’</w:t>
      </w:r>
      <w:r>
        <w:rPr>
          <w:rFonts w:ascii="Times New Roman" w:hAnsi="Times New Roman"/>
          <w:b/>
          <w:noProof/>
          <w:color w:val="000000" w:themeColor="text1"/>
          <w:sz w:val="24"/>
        </w:rPr>
        <w:t>augmentation des demandes de subventions financées par rapport aux programmes précédents</w:t>
      </w:r>
      <w:r>
        <w:rPr>
          <w:rFonts w:ascii="Times New Roman" w:hAnsi="Times New Roman"/>
          <w:noProof/>
          <w:color w:val="000000" w:themeColor="text1"/>
          <w:sz w:val="24"/>
        </w:rPr>
        <w:t>, notamment en ce qui concerne les objectifs spécifiques relatifs à la violence envers les enfants, à la non-discrimination et à la lutte contre le racisme, est une autre indication du maintien de la pertinence du programme au regard des besoins actuels.</w:t>
      </w:r>
    </w:p>
    <w:p>
      <w:pPr>
        <w:spacing w:after="120" w:line="240" w:lineRule="auto"/>
        <w:jc w:val="both"/>
        <w:rPr>
          <w:rFonts w:ascii="Times New Roman" w:hAnsi="Times New Roman" w:cs="Times New Roman"/>
          <w:noProof/>
          <w:sz w:val="24"/>
          <w:szCs w:val="24"/>
        </w:rPr>
      </w:pPr>
    </w:p>
    <w:p>
      <w:pPr>
        <w:keepNext/>
        <w:tabs>
          <w:tab w:val="left" w:pos="850"/>
        </w:tabs>
        <w:spacing w:after="120" w:line="240" w:lineRule="auto"/>
        <w:ind w:left="360"/>
        <w:jc w:val="both"/>
        <w:outlineLvl w:val="0"/>
        <w:rPr>
          <w:rFonts w:ascii="Times New Roman" w:hAnsi="Times New Roman" w:cs="Times New Roman"/>
          <w:b/>
          <w:noProof/>
          <w:sz w:val="24"/>
          <w:szCs w:val="24"/>
        </w:rPr>
      </w:pPr>
      <w:r>
        <w:rPr>
          <w:rFonts w:ascii="Times New Roman" w:hAnsi="Times New Roman"/>
          <w:b/>
          <w:noProof/>
          <w:sz w:val="24"/>
        </w:rPr>
        <w:t>3.4 Cohérence, complémentarité, synergies</w:t>
      </w:r>
      <w:r>
        <w:rPr>
          <w:rStyle w:val="FootnoteReference"/>
          <w:rFonts w:ascii="Times New Roman" w:hAnsi="Times New Roman"/>
          <w:b/>
          <w:noProof/>
          <w:sz w:val="24"/>
        </w:rPr>
        <w:footnoteReference w:id="16"/>
      </w:r>
    </w:p>
    <w:p>
      <w:pPr>
        <w:spacing w:after="120" w:line="240" w:lineRule="auto"/>
        <w:jc w:val="both"/>
        <w:rPr>
          <w:rFonts w:ascii="Times New Roman" w:hAnsi="Times New Roman" w:cs="Times New Roman"/>
          <w:b/>
          <w:noProof/>
          <w:sz w:val="24"/>
          <w:szCs w:val="24"/>
        </w:rPr>
      </w:pP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Selon les bénéficiaires, </w:t>
      </w:r>
      <w:r>
        <w:rPr>
          <w:rFonts w:ascii="Times New Roman" w:hAnsi="Times New Roman"/>
          <w:b/>
          <w:noProof/>
          <w:color w:val="000000" w:themeColor="text1"/>
          <w:sz w:val="24"/>
        </w:rPr>
        <w:t>le programme présente un niveau élevé de cohérence interne</w:t>
      </w:r>
      <w:r>
        <w:rPr>
          <w:rFonts w:ascii="Times New Roman" w:hAnsi="Times New Roman"/>
          <w:noProof/>
          <w:color w:val="000000" w:themeColor="text1"/>
          <w:sz w:val="24"/>
        </w:rPr>
        <w:t xml:space="preserve"> (entre les objectifs spécifiques et les interventions) </w:t>
      </w:r>
      <w:r>
        <w:rPr>
          <w:rFonts w:ascii="Times New Roman" w:hAnsi="Times New Roman"/>
          <w:b/>
          <w:noProof/>
          <w:color w:val="000000" w:themeColor="text1"/>
          <w:sz w:val="24"/>
        </w:rPr>
        <w:t>et un niveau élevé de cohérence externe et de complémentarité avec d’autres instruments, programmes et actions de l’UE</w:t>
      </w:r>
      <w:r>
        <w:rPr>
          <w:rFonts w:ascii="Times New Roman" w:hAnsi="Times New Roman"/>
          <w:noProof/>
          <w:color w:val="000000" w:themeColor="text1"/>
          <w:sz w:val="24"/>
        </w:rPr>
        <w:t>.</w:t>
      </w:r>
    </w:p>
    <w:p>
      <w:pPr>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b/>
          <w:noProof/>
          <w:color w:val="000000" w:themeColor="text1"/>
          <w:sz w:val="24"/>
        </w:rPr>
        <w:t>L’évaluation n’a révélé aucun chevauchement significatif avec d’autres programmes financés par l’UE.</w:t>
      </w:r>
      <w:r>
        <w:rPr>
          <w:rFonts w:ascii="Times New Roman" w:hAnsi="Times New Roman"/>
          <w:noProof/>
          <w:color w:val="000000" w:themeColor="text1"/>
          <w:sz w:val="24"/>
        </w:rPr>
        <w:t xml:space="preserve"> Cela semblerait confirmer que les objectifs spécifiques sont plus simples et plus clairement définis que ceux des programmes précédents.</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rPr>
        <w:t xml:space="preserve">En outre, le programme est très cohérent avec les principes reconnus au niveau international, </w:t>
      </w:r>
      <w:r>
        <w:rPr>
          <w:rFonts w:ascii="Times New Roman" w:hAnsi="Times New Roman"/>
          <w:noProof/>
          <w:color w:val="000000" w:themeColor="text1"/>
          <w:sz w:val="24"/>
        </w:rPr>
        <w:t>tels que le programme de développement durable à l’horizon 2030.</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En outre, selon près de 90 % des bénéficiaires, </w:t>
      </w:r>
      <w:r>
        <w:rPr>
          <w:rFonts w:ascii="Times New Roman" w:hAnsi="Times New Roman"/>
          <w:b/>
          <w:noProof/>
          <w:color w:val="000000" w:themeColor="text1"/>
          <w:sz w:val="24"/>
        </w:rPr>
        <w:t>globalement, le programme «Droits, égalité et citoyenneté» est cohérent, sur le plan des objectifs, des valeurs cibles et des types d’actions, avec les politiques nationales dans le même domaine</w:t>
      </w:r>
      <w:r>
        <w:rPr>
          <w:rFonts w:ascii="Times New Roman" w:hAnsi="Times New Roman"/>
          <w:noProof/>
          <w:color w:val="000000" w:themeColor="text1"/>
          <w:sz w:val="24"/>
        </w:rPr>
        <w:t>.</w:t>
      </w:r>
    </w:p>
    <w:p>
      <w:pPr>
        <w:spacing w:after="120" w:line="240" w:lineRule="auto"/>
        <w:jc w:val="both"/>
        <w:rPr>
          <w:rFonts w:ascii="Times New Roman" w:eastAsia="Calibri" w:hAnsi="Times New Roman" w:cs="Times New Roman"/>
          <w:noProof/>
          <w:sz w:val="24"/>
          <w:szCs w:val="24"/>
        </w:rPr>
      </w:pPr>
    </w:p>
    <w:p>
      <w:pPr>
        <w:keepNext/>
        <w:tabs>
          <w:tab w:val="left" w:pos="850"/>
        </w:tabs>
        <w:spacing w:after="120" w:line="240" w:lineRule="auto"/>
        <w:ind w:left="360"/>
        <w:jc w:val="both"/>
        <w:outlineLvl w:val="0"/>
        <w:rPr>
          <w:rFonts w:ascii="Times New Roman" w:hAnsi="Times New Roman" w:cs="Times New Roman"/>
          <w:b/>
          <w:noProof/>
          <w:sz w:val="24"/>
          <w:szCs w:val="24"/>
        </w:rPr>
      </w:pPr>
      <w:r>
        <w:rPr>
          <w:rFonts w:ascii="Times New Roman" w:hAnsi="Times New Roman"/>
          <w:b/>
          <w:noProof/>
          <w:sz w:val="24"/>
        </w:rPr>
        <w:t>3.5 Valeur ajoutée européenne</w:t>
      </w:r>
      <w:r>
        <w:rPr>
          <w:rStyle w:val="FootnoteReference"/>
          <w:rFonts w:ascii="Times New Roman" w:hAnsi="Times New Roman"/>
          <w:b/>
          <w:noProof/>
          <w:sz w:val="24"/>
        </w:rPr>
        <w:footnoteReference w:id="17"/>
      </w:r>
    </w:p>
    <w:p>
      <w:pPr>
        <w:keepNext/>
        <w:tabs>
          <w:tab w:val="left" w:pos="850"/>
        </w:tabs>
        <w:spacing w:after="120" w:line="240" w:lineRule="auto"/>
        <w:ind w:left="360"/>
        <w:jc w:val="both"/>
        <w:outlineLvl w:val="0"/>
        <w:rPr>
          <w:rFonts w:ascii="Times New Roman" w:hAnsi="Times New Roman" w:cs="Times New Roman"/>
          <w:b/>
          <w:noProof/>
          <w:sz w:val="24"/>
          <w:szCs w:val="24"/>
        </w:rPr>
      </w:pPr>
    </w:p>
    <w:p>
      <w:pPr>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b/>
          <w:noProof/>
          <w:color w:val="000000" w:themeColor="text1"/>
          <w:sz w:val="24"/>
        </w:rPr>
        <w:t>La dimension «européenne» et transnationale inhérente au programme est au cœur de sa valeur ajoutée européenne.</w:t>
      </w:r>
      <w:r>
        <w:rPr>
          <w:rFonts w:ascii="Times New Roman" w:hAnsi="Times New Roman"/>
          <w:noProof/>
          <w:color w:val="000000" w:themeColor="text1"/>
          <w:sz w:val="24"/>
        </w:rPr>
        <w:t xml:space="preserve"> D’après la majorité des bénéficiaires, si les activités du programme n’avaient pas été menées, des projets similaires n’auraient pas eu lieu ou n’auraient pas pu offrir la même couverture en termes de bénéficiaires et de groupes cibles, faute de ressources disponibles au niveau des États membres. Cela est particulièrement vrai pour les actions de formation dans le domaine de la prévention de toutes les formes de violence et dans le domaine de la protection des données. De même, les financements de l’UE destinés aux organisations européennes sont particulièrement essentiels car il serait encore plus difficile d’obtenir un financement national pour un réseau transnational. En outre, selon les parties prenantes interrogées, </w:t>
      </w:r>
      <w:r>
        <w:rPr>
          <w:rFonts w:ascii="Times New Roman" w:hAnsi="Times New Roman"/>
          <w:b/>
          <w:noProof/>
          <w:color w:val="000000" w:themeColor="text1"/>
          <w:sz w:val="24"/>
        </w:rPr>
        <w:t>les projets financés au titre du programme</w:t>
      </w:r>
      <w:r>
        <w:rPr>
          <w:rFonts w:ascii="Times New Roman" w:hAnsi="Times New Roman"/>
          <w:noProof/>
          <w:color w:val="000000" w:themeColor="text1"/>
          <w:sz w:val="24"/>
        </w:rPr>
        <w:t xml:space="preserve"> semblent être </w:t>
      </w:r>
      <w:r>
        <w:rPr>
          <w:rFonts w:ascii="Times New Roman" w:hAnsi="Times New Roman"/>
          <w:b/>
          <w:noProof/>
          <w:color w:val="000000" w:themeColor="text1"/>
          <w:sz w:val="24"/>
        </w:rPr>
        <w:t>de meilleure qualité</w:t>
      </w:r>
      <w:r>
        <w:rPr>
          <w:rFonts w:ascii="Times New Roman" w:hAnsi="Times New Roman"/>
          <w:noProof/>
          <w:color w:val="000000" w:themeColor="text1"/>
          <w:sz w:val="24"/>
        </w:rPr>
        <w:t xml:space="preserve"> et </w:t>
      </w:r>
      <w:r>
        <w:rPr>
          <w:rFonts w:ascii="Times New Roman" w:hAnsi="Times New Roman"/>
          <w:b/>
          <w:noProof/>
          <w:color w:val="000000" w:themeColor="text1"/>
          <w:sz w:val="24"/>
        </w:rPr>
        <w:t>plus novateurs que ceux financés au niveau national</w:t>
      </w:r>
      <w:r>
        <w:rPr>
          <w:rFonts w:ascii="Times New Roman" w:hAnsi="Times New Roman"/>
          <w:noProof/>
          <w:color w:val="000000" w:themeColor="text1"/>
          <w:sz w:val="24"/>
        </w:rPr>
        <w:t xml:space="preserve">. Plus particulièrement, en permettant d’expérimenter des approches novatrices, ces projets peuvent servir à montrer aux pouvoirs publics des pays concernés les avantages des activités entreprises. Par exemple, </w:t>
      </w:r>
      <w:bookmarkStart w:id="12" w:name="_Hlk510285406"/>
      <w:r>
        <w:rPr>
          <w:rFonts w:ascii="Times New Roman" w:hAnsi="Times New Roman"/>
          <w:noProof/>
          <w:color w:val="000000" w:themeColor="text1"/>
          <w:sz w:val="24"/>
        </w:rPr>
        <w:t>les formations dispensées dans les établissements scolaires dans le domaine du harcèlement n’appliqueraient pas de méthodes novatrices, telles que celles qui réunissent les auteurs et les victimes</w:t>
      </w:r>
      <w:bookmarkEnd w:id="12"/>
      <w:r>
        <w:rPr>
          <w:rFonts w:ascii="Times New Roman" w:hAnsi="Times New Roman"/>
          <w:noProof/>
          <w:color w:val="000000" w:themeColor="text1"/>
          <w:sz w:val="24"/>
        </w:rPr>
        <w:t>. Les projets visant à tester la carte européenne d’invalidité en sont un autre exemple. Ils ont bénéficié d’un soutien au titre de l’objectif spécifique relatif aux droits des personnes handicapées et visaient à créer les différentes organisations nationales (entités gouvernementales ou non gouvernementales) responsables de la carte européenne d’invalidité et à définir les différents ensembles d’avantages nationaux que les États membres étaient prêts à mutualiser.</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Enfin, </w:t>
      </w:r>
      <w:r>
        <w:rPr>
          <w:rFonts w:ascii="Times New Roman" w:hAnsi="Times New Roman"/>
          <w:b/>
          <w:noProof/>
          <w:color w:val="000000" w:themeColor="text1"/>
          <w:sz w:val="24"/>
        </w:rPr>
        <w:t>les demandes de financement au titre du programme ont continué à être nombreuses tout au long de la mise en œuvre du programme</w:t>
      </w:r>
      <w:r>
        <w:rPr>
          <w:rFonts w:ascii="Times New Roman" w:hAnsi="Times New Roman"/>
          <w:noProof/>
          <w:color w:val="000000" w:themeColor="text1"/>
          <w:sz w:val="24"/>
        </w:rPr>
        <w:t>. Tous ces éléments indiquent que des actions au niveau de l’UE sont réclamées de manière constante dans les domaines couverts par le programme.</w:t>
      </w:r>
    </w:p>
    <w:p>
      <w:pPr>
        <w:spacing w:after="0" w:line="240" w:lineRule="auto"/>
        <w:jc w:val="both"/>
        <w:rPr>
          <w:rFonts w:ascii="Times New Roman" w:hAnsi="Times New Roman" w:cs="Times New Roman"/>
          <w:noProof/>
          <w:sz w:val="24"/>
          <w:szCs w:val="24"/>
        </w:rPr>
      </w:pPr>
    </w:p>
    <w:p>
      <w:pPr>
        <w:keepNext/>
        <w:tabs>
          <w:tab w:val="left" w:pos="850"/>
        </w:tabs>
        <w:spacing w:after="120" w:line="240" w:lineRule="auto"/>
        <w:ind w:left="360"/>
        <w:jc w:val="both"/>
        <w:outlineLvl w:val="0"/>
        <w:rPr>
          <w:rFonts w:ascii="Times New Roman" w:hAnsi="Times New Roman" w:cs="Times New Roman"/>
          <w:b/>
          <w:noProof/>
          <w:sz w:val="24"/>
          <w:szCs w:val="24"/>
        </w:rPr>
      </w:pPr>
      <w:r>
        <w:rPr>
          <w:rFonts w:ascii="Times New Roman" w:hAnsi="Times New Roman"/>
          <w:b/>
          <w:noProof/>
          <w:sz w:val="24"/>
        </w:rPr>
        <w:t>3.6 Équité</w:t>
      </w:r>
      <w:r>
        <w:rPr>
          <w:rStyle w:val="FootnoteReference"/>
          <w:rFonts w:ascii="Times New Roman" w:hAnsi="Times New Roman"/>
          <w:b/>
          <w:noProof/>
          <w:sz w:val="24"/>
        </w:rPr>
        <w:footnoteReference w:id="18"/>
      </w:r>
    </w:p>
    <w:p>
      <w:pPr>
        <w:spacing w:after="0" w:line="240" w:lineRule="auto"/>
        <w:jc w:val="both"/>
        <w:rPr>
          <w:rFonts w:ascii="Times New Roman" w:eastAsia="Times New Roman" w:hAnsi="Times New Roman" w:cs="Times New Roman"/>
          <w:b/>
          <w:noProof/>
          <w:sz w:val="24"/>
          <w:szCs w:val="24"/>
        </w:rPr>
      </w:pPr>
    </w:p>
    <w:p>
      <w:pPr>
        <w:spacing w:after="0" w:line="240" w:lineRule="auto"/>
        <w:jc w:val="both"/>
        <w:rPr>
          <w:rFonts w:ascii="Times New Roman" w:eastAsia="Times New Roman" w:hAnsi="Times New Roman" w:cs="Times New Roman"/>
          <w:b/>
          <w:noProof/>
          <w:color w:val="000000" w:themeColor="text1"/>
          <w:sz w:val="24"/>
          <w:szCs w:val="24"/>
        </w:rPr>
      </w:pPr>
      <w:r>
        <w:rPr>
          <w:rFonts w:ascii="Times New Roman" w:hAnsi="Times New Roman"/>
          <w:b/>
          <w:noProof/>
          <w:color w:val="000000" w:themeColor="text1"/>
          <w:sz w:val="24"/>
        </w:rPr>
        <w:t>Le programme a apporté un soutien spécifique à la promotion des priorités transversales relatives à l’égalité entre les femmes et les hommes, aux droits de l’enfant et aux droits des personnes handicapées.</w:t>
      </w:r>
    </w:p>
    <w:p>
      <w:pPr>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b/>
          <w:noProof/>
          <w:color w:val="000000" w:themeColor="text1"/>
          <w:sz w:val="24"/>
        </w:rPr>
        <w:t>L’intégration des questions d’égalité entre les femmes et les hommes dans toutes les politiques</w:t>
      </w:r>
      <w:r>
        <w:rPr>
          <w:rFonts w:ascii="Times New Roman" w:hAnsi="Times New Roman"/>
          <w:noProof/>
          <w:color w:val="000000" w:themeColor="text1"/>
          <w:sz w:val="24"/>
        </w:rPr>
        <w:t xml:space="preserve"> est promue dans le cadre d’un objectif spécifique y afférent. En outre, des actions particulières en faveur de l’égalité entre les femmes et les hommes ont également été financées au titre d’autres objectifs spécifiques. Cela signifie que des ressources financières importantes ont été directement consacrées à la promotion de l’égalité entre les femmes et les hommes et à l’intégration des questions qui y sont liées dans toutes les politiques. Toutes les phases du programme (programmation, mise en œuvre et suivi) tiennent compte des principes et des mécanismes d’intégration des questions d’égalité entre les femmes et les hommes, mais il serait encore possible de renforcer la protection des femmes qui sont confrontées à des désavantages multiples et d’associer davantage les organismes de promotion de l’égalité à la définition des priorités du programme.</w:t>
      </w:r>
    </w:p>
    <w:p>
      <w:pPr>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b/>
          <w:noProof/>
          <w:color w:val="000000" w:themeColor="text1"/>
          <w:sz w:val="24"/>
        </w:rPr>
        <w:t>En ce qui concerne la protection des droits de l’enfant</w:t>
      </w:r>
      <w:r>
        <w:rPr>
          <w:rFonts w:ascii="Times New Roman" w:hAnsi="Times New Roman"/>
          <w:noProof/>
          <w:color w:val="000000" w:themeColor="text1"/>
          <w:sz w:val="24"/>
        </w:rPr>
        <w:t>, le programme a deux objectifs spécifiques qui ciblent directement la promotion des droits de l’enfant. En outre, des actions potentiellement pertinentes pour les enfants ont aussi pu être financées au titre d’autres objectifs spécifiques. De plus, les organisations qui présentent une demande de financement et qui travailleront directement avec des enfants dans le cadre de la mise en œuvre de leur projet sont tenues de fournir à la Commission une description de leur politique de protection de l’enfance, ce qui permet d’améliorer le respect des droits de l’enfant. Toutefois, l’intégration des droits de l’enfant dans toutes les phases du programme pourrait encore être améliorée, notamment en impliquant des organismes représentant les intérêts des enfants dans la définition des priorités du programme.</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Le programme prévoit un objectif spécifique relatif à la </w:t>
      </w:r>
      <w:r>
        <w:rPr>
          <w:rFonts w:ascii="Times New Roman" w:hAnsi="Times New Roman"/>
          <w:b/>
          <w:noProof/>
          <w:color w:val="000000" w:themeColor="text1"/>
          <w:sz w:val="24"/>
        </w:rPr>
        <w:t>promotion des droits des personnes handicapées</w:t>
      </w:r>
      <w:r>
        <w:rPr>
          <w:rFonts w:ascii="Times New Roman" w:hAnsi="Times New Roman"/>
          <w:noProof/>
          <w:color w:val="000000" w:themeColor="text1"/>
          <w:sz w:val="24"/>
        </w:rPr>
        <w:t xml:space="preserve"> et un objectif relatif à la promotion de la mise en œuvre effective du principe de non-discrimination, notamment en raison du handicap. Toutes les demandes présentées dans le cadre de cet objectif spécifique ont fait l’objet d’une décision positive. Il y a lieu de renforcer l’intégration des droits des personnes handicapées dans toutes les phases du programme, en particulier en établissant un lien direct avec la stratégie européenne 2010-2020 en faveur des personnes handicapées et en associant davantage les organismes représentant les intérêts des personnes handicapées à la définition des priorités du programme.</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Sur le plan de l’équité toujours, </w:t>
      </w:r>
      <w:r>
        <w:rPr>
          <w:rFonts w:ascii="Times New Roman" w:hAnsi="Times New Roman"/>
          <w:b/>
          <w:noProof/>
          <w:color w:val="000000" w:themeColor="text1"/>
          <w:sz w:val="24"/>
        </w:rPr>
        <w:t>le programme ne semble pas saisir les besoins des personnes confrontées à des désavantages multiples</w:t>
      </w:r>
      <w:r>
        <w:rPr>
          <w:rFonts w:ascii="Times New Roman" w:hAnsi="Times New Roman"/>
          <w:noProof/>
          <w:color w:val="000000" w:themeColor="text1"/>
          <w:sz w:val="24"/>
        </w:rPr>
        <w:t>, car les objectifs spécifiques ne soutiennent pas les synergies et les actions en faveur des groupes relevant de plusieurs d’entre eux.</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En outre, </w:t>
      </w:r>
      <w:r>
        <w:rPr>
          <w:rFonts w:ascii="Times New Roman" w:hAnsi="Times New Roman"/>
          <w:b/>
          <w:noProof/>
          <w:color w:val="000000" w:themeColor="text1"/>
          <w:sz w:val="24"/>
        </w:rPr>
        <w:t>le cofinancement semble constituer un obstacle pour les petites organisations non gouvernementales désireuses de participer au programme</w:t>
      </w:r>
      <w:r>
        <w:rPr>
          <w:rFonts w:ascii="Times New Roman" w:hAnsi="Times New Roman"/>
          <w:noProof/>
          <w:color w:val="000000" w:themeColor="text1"/>
          <w:sz w:val="24"/>
        </w:rPr>
        <w:t>.</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Enfin, le programme devrait s’efforcer à l’avenir de répartir ses ressources de façon plus équilibrée entre les différents groupes cibles de bénéficiaires et entre les différents États membres.</w:t>
      </w:r>
    </w:p>
    <w:p>
      <w:pPr>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Afin de mieux comprendre comment le programme promeut l’équité au moyen des activités financées, des données sur les participants, ventilées par sexe, degré de handicap ou âge, doivent être collectées, conformément au règlement. Cela n’a toutefois pas encore été fait.</w:t>
      </w:r>
    </w:p>
    <w:p>
      <w:pPr>
        <w:spacing w:after="0" w:line="240" w:lineRule="auto"/>
        <w:jc w:val="both"/>
        <w:rPr>
          <w:rFonts w:ascii="Times New Roman" w:eastAsia="Calibri" w:hAnsi="Times New Roman" w:cs="Times New Roman"/>
          <w:noProof/>
          <w:color w:val="000000" w:themeColor="text1"/>
          <w:sz w:val="24"/>
          <w:szCs w:val="24"/>
        </w:rPr>
      </w:pPr>
    </w:p>
    <w:p>
      <w:pPr>
        <w:spacing w:after="0" w:line="240" w:lineRule="auto"/>
        <w:jc w:val="both"/>
        <w:rPr>
          <w:rFonts w:ascii="Times New Roman" w:eastAsia="Calibri" w:hAnsi="Times New Roman" w:cs="Times New Roman"/>
          <w:noProof/>
          <w:color w:val="000000" w:themeColor="text1"/>
          <w:sz w:val="24"/>
          <w:szCs w:val="24"/>
        </w:rPr>
      </w:pPr>
    </w:p>
    <w:p>
      <w:pPr>
        <w:keepNext/>
        <w:tabs>
          <w:tab w:val="left" w:pos="850"/>
        </w:tabs>
        <w:spacing w:after="120" w:line="240" w:lineRule="auto"/>
        <w:ind w:left="360"/>
        <w:jc w:val="both"/>
        <w:outlineLvl w:val="0"/>
        <w:rPr>
          <w:rFonts w:ascii="Times New Roman" w:hAnsi="Times New Roman" w:cs="Times New Roman"/>
          <w:b/>
          <w:noProof/>
          <w:color w:val="000000"/>
          <w:sz w:val="24"/>
          <w:szCs w:val="24"/>
        </w:rPr>
      </w:pPr>
      <w:r>
        <w:rPr>
          <w:rFonts w:ascii="Times New Roman" w:hAnsi="Times New Roman"/>
          <w:b/>
          <w:noProof/>
          <w:color w:val="000000"/>
          <w:sz w:val="24"/>
        </w:rPr>
        <w:t>3.7 Possibilités de simplification</w:t>
      </w:r>
      <w:r>
        <w:rPr>
          <w:rStyle w:val="FootnoteReference"/>
          <w:rFonts w:ascii="Times New Roman" w:hAnsi="Times New Roman"/>
          <w:b/>
          <w:noProof/>
          <w:color w:val="000000"/>
          <w:sz w:val="24"/>
        </w:rPr>
        <w:footnoteReference w:id="19"/>
      </w:r>
    </w:p>
    <w:p>
      <w:pPr>
        <w:pStyle w:val="BulletBody"/>
        <w:numPr>
          <w:ilvl w:val="0"/>
          <w:numId w:val="0"/>
        </w:numPr>
        <w:spacing w:before="0"/>
        <w:rPr>
          <w:rFonts w:ascii="Times New Roman" w:eastAsiaTheme="minorHAnsi" w:hAnsi="Times New Roman" w:cs="Times New Roman"/>
          <w:b/>
          <w:noProof/>
          <w:sz w:val="24"/>
          <w:szCs w:val="24"/>
        </w:rPr>
      </w:pPr>
    </w:p>
    <w:p>
      <w:pPr>
        <w:pStyle w:val="BulletBody"/>
        <w:numPr>
          <w:ilvl w:val="0"/>
          <w:numId w:val="0"/>
        </w:numPr>
        <w:spacing w:before="0" w:after="0"/>
        <w:rPr>
          <w:rFonts w:ascii="Times New Roman" w:hAnsi="Times New Roman" w:cs="Times New Roman"/>
          <w:noProof/>
          <w:color w:val="000000" w:themeColor="text1"/>
          <w:sz w:val="24"/>
          <w:szCs w:val="24"/>
        </w:rPr>
      </w:pPr>
      <w:r>
        <w:rPr>
          <w:rFonts w:ascii="Times New Roman" w:eastAsiaTheme="minorHAnsi" w:hAnsi="Times New Roman"/>
          <w:noProof/>
          <w:color w:val="000000" w:themeColor="text1"/>
          <w:sz w:val="24"/>
        </w:rPr>
        <w:t xml:space="preserve">Selon l’évaluation, </w:t>
      </w:r>
      <w:r>
        <w:rPr>
          <w:rFonts w:ascii="Times New Roman" w:eastAsiaTheme="minorHAnsi" w:hAnsi="Times New Roman"/>
          <w:b/>
          <w:noProof/>
          <w:color w:val="000000" w:themeColor="text1"/>
          <w:sz w:val="24"/>
        </w:rPr>
        <w:t>la méthode de gestion directe utilisée actuellement est adéquate compte tenu de la taille et des objectifs du programme</w:t>
      </w:r>
      <w:r>
        <w:rPr>
          <w:rFonts w:ascii="Times New Roman" w:eastAsiaTheme="minorHAnsi" w:hAnsi="Times New Roman"/>
          <w:noProof/>
          <w:color w:val="000000" w:themeColor="text1"/>
          <w:sz w:val="24"/>
        </w:rPr>
        <w:t xml:space="preserve">. Cependant, d’après la majorité des bénéficiaires, </w:t>
      </w:r>
      <w:r>
        <w:rPr>
          <w:rFonts w:ascii="Times New Roman" w:eastAsiaTheme="minorHAnsi" w:hAnsi="Times New Roman"/>
          <w:b/>
          <w:noProof/>
          <w:color w:val="000000" w:themeColor="text1"/>
          <w:sz w:val="24"/>
        </w:rPr>
        <w:t>il serait possible de simplifier davantage la mise en œuvre, la gestion et la conception du programme</w:t>
      </w:r>
      <w:r>
        <w:rPr>
          <w:rFonts w:ascii="Times New Roman" w:eastAsiaTheme="minorHAnsi" w:hAnsi="Times New Roman"/>
          <w:noProof/>
          <w:color w:val="000000" w:themeColor="text1"/>
          <w:sz w:val="24"/>
        </w:rPr>
        <w:t>. Parmi les raisons citées, les bénéficiaires ont en particulier indiqué que les rapports financiers étaient trop détaillés, notamment par rapport à ceux d’autres programmes européens (Horizon 2020 et Erasmus+, par exemple). Ils ont aussi souligné qu’il serait possible de réduire les démarches administratives actuelles en ce qui concerne la rédaction des propositions et les exigences en matière de suivi et d’établissement de rapports.</w:t>
      </w:r>
    </w:p>
    <w:p>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Une autre proposition clé des bénéficiaires concerne les </w:t>
      </w:r>
      <w:r>
        <w:rPr>
          <w:rFonts w:ascii="Times New Roman" w:hAnsi="Times New Roman"/>
          <w:b/>
          <w:noProof/>
          <w:color w:val="000000" w:themeColor="text1"/>
          <w:sz w:val="24"/>
        </w:rPr>
        <w:t>subventions de fonctionnement</w:t>
      </w:r>
      <w:r>
        <w:rPr>
          <w:rFonts w:ascii="Times New Roman" w:hAnsi="Times New Roman"/>
          <w:noProof/>
          <w:color w:val="000000" w:themeColor="text1"/>
          <w:sz w:val="24"/>
        </w:rPr>
        <w:t>, dont la durée pourrait, selon eux, être étendue à au moins deux ans (au lieu d’un) afin de réduire la charge administrative associée aux procédures de demande et de gestion.</w:t>
      </w:r>
      <w:r>
        <w:rPr>
          <w:rFonts w:ascii="Times New Roman" w:hAnsi="Times New Roman"/>
          <w:noProof/>
          <w:sz w:val="24"/>
        </w:rPr>
        <w:t xml:space="preserve"> </w:t>
      </w:r>
      <w:r>
        <w:rPr>
          <w:rFonts w:ascii="Times New Roman" w:hAnsi="Times New Roman"/>
          <w:noProof/>
          <w:color w:val="000000" w:themeColor="text1"/>
          <w:sz w:val="24"/>
        </w:rPr>
        <w:t>Toutefois, les subventions de fonctionnement annuelles permettent à la Commission de contrôler les activités des organisations financées et offrent une souplesse accrue afin d’adapter les activités des bénéficiaires aux besoins émergents dans leurs domaines d’expertise respectifs.</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De plus, l’absence de </w:t>
      </w:r>
      <w:r>
        <w:rPr>
          <w:rFonts w:ascii="Times New Roman" w:hAnsi="Times New Roman"/>
          <w:b/>
          <w:noProof/>
          <w:color w:val="000000" w:themeColor="text1"/>
          <w:sz w:val="24"/>
        </w:rPr>
        <w:t>coûts standard</w:t>
      </w:r>
      <w:r>
        <w:rPr>
          <w:rFonts w:ascii="Times New Roman" w:hAnsi="Times New Roman"/>
          <w:noProof/>
          <w:color w:val="000000" w:themeColor="text1"/>
          <w:sz w:val="24"/>
        </w:rPr>
        <w:t xml:space="preserve"> implique parfois de longues négociations entre les partenaires des projets concernant le coût des différentes activités.</w:t>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Du côté positif, les bénéficiaires et les services de la Commission ont convenu que </w:t>
      </w:r>
      <w:r>
        <w:rPr>
          <w:rFonts w:ascii="Times New Roman" w:hAnsi="Times New Roman"/>
          <w:b/>
          <w:noProof/>
          <w:color w:val="000000" w:themeColor="text1"/>
          <w:sz w:val="24"/>
        </w:rPr>
        <w:t>le système de demande récemment mis en place (le portail des participants) allait dans le sens d’une simplification du processus de demande et d’une amélioration de la collecte et de l’agrégation des données de suivi</w:t>
      </w:r>
      <w:r>
        <w:rPr>
          <w:rFonts w:ascii="Times New Roman" w:hAnsi="Times New Roman"/>
          <w:noProof/>
          <w:color w:val="000000" w:themeColor="text1"/>
          <w:sz w:val="24"/>
        </w:rPr>
        <w:t>. Cependant, il serait encore possible de simplifier davantage le processus, notamment en ce qui concerne les documents administratifs à fournir.</w:t>
      </w:r>
    </w:p>
    <w:p>
      <w:pPr>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De plus, selon les bénéficiaires, un autre problème important est le fait que les petites organisations non gouvernementales de la société civile ont relativement peu accès à la plupart des financements disponibles dans le cadre du programme, en raison du montant du cofinancement requis par rapport au montant défini des subventions.</w:t>
      </w:r>
    </w:p>
    <w:p>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Enfin, les bénéficiaires estiment en grande majorité que le délai excessif entre la demande et le début des activités du projet constitue une charge administrative.</w:t>
      </w:r>
    </w:p>
    <w:p>
      <w:pPr>
        <w:spacing w:after="0" w:line="240" w:lineRule="auto"/>
        <w:jc w:val="both"/>
        <w:rPr>
          <w:rFonts w:ascii="Times New Roman" w:eastAsia="Times New Roman" w:hAnsi="Times New Roman" w:cs="Times New Roman"/>
          <w:noProof/>
          <w:color w:val="000000" w:themeColor="text1"/>
          <w:sz w:val="24"/>
          <w:szCs w:val="24"/>
        </w:rPr>
      </w:pPr>
    </w:p>
    <w:p>
      <w:pPr>
        <w:pStyle w:val="BulletBody"/>
        <w:numPr>
          <w:ilvl w:val="0"/>
          <w:numId w:val="0"/>
        </w:numPr>
        <w:spacing w:before="0" w:after="0"/>
        <w:rPr>
          <w:rFonts w:ascii="Times New Roman" w:hAnsi="Times New Roman" w:cs="Times New Roman"/>
          <w:noProof/>
          <w:sz w:val="24"/>
          <w:szCs w:val="24"/>
        </w:rPr>
      </w:pPr>
    </w:p>
    <w:p>
      <w:pPr>
        <w:keepNext/>
        <w:tabs>
          <w:tab w:val="left" w:pos="850"/>
        </w:tabs>
        <w:spacing w:after="120" w:line="240" w:lineRule="auto"/>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4. Conclusions et perspectives</w:t>
      </w:r>
    </w:p>
    <w:p>
      <w:pPr>
        <w:pStyle w:val="ListParagraph"/>
        <w:keepNext/>
        <w:tabs>
          <w:tab w:val="left" w:pos="850"/>
        </w:tabs>
        <w:spacing w:after="120" w:line="240" w:lineRule="auto"/>
        <w:ind w:left="360"/>
        <w:contextualSpacing w:val="0"/>
        <w:jc w:val="both"/>
        <w:outlineLvl w:val="0"/>
        <w:rPr>
          <w:rFonts w:ascii="Times New Roman" w:eastAsia="Times New Roman" w:hAnsi="Times New Roman" w:cs="Times New Roman"/>
          <w:b/>
          <w:smallCaps/>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Le </w:t>
      </w:r>
      <w:r>
        <w:rPr>
          <w:rFonts w:ascii="Times New Roman" w:hAnsi="Times New Roman"/>
          <w:b/>
          <w:noProof/>
          <w:sz w:val="24"/>
        </w:rPr>
        <w:t>rôle essentiel qu’a joué le programme «Droits, égalité et citoyenneté»</w:t>
      </w:r>
      <w:r>
        <w:rPr>
          <w:rFonts w:ascii="Times New Roman" w:hAnsi="Times New Roman"/>
          <w:noProof/>
          <w:sz w:val="24"/>
        </w:rPr>
        <w:t xml:space="preserve"> dans la création d’un espace européen de l’égalité et des droits a été particulièrement important au début du programme, à un moment où les effets de la crise économique et les conséquences des évolutions politiques et sociétales qui y étaient liées en Europe se faisaient encore sentir dans de nombreux États membres.</w:t>
      </w:r>
    </w:p>
    <w:p>
      <w:pPr>
        <w:spacing w:after="0" w:line="240" w:lineRule="auto"/>
        <w:jc w:val="both"/>
        <w:rPr>
          <w:rFonts w:ascii="Times New Roman" w:hAnsi="Times New Roman" w:cs="Times New Roman"/>
          <w:noProof/>
          <w:color w:val="000000"/>
          <w:sz w:val="24"/>
          <w:szCs w:val="24"/>
        </w:rPr>
      </w:pPr>
      <w:r>
        <w:rPr>
          <w:rFonts w:ascii="Times New Roman" w:hAnsi="Times New Roman"/>
          <w:noProof/>
          <w:sz w:val="24"/>
        </w:rPr>
        <w:t>Le présent rapport sur l’évaluation intermédiaire du programme «Droits, égalité et citoyenneté» 2014-2020 en confirme la pertinence pour contribuer à la promotion des valeurs de l’UE concernées, notamment le respect de la dignité humaine, les droits fondamentaux, la non-discrimination, la tolérance, la solidarité et l’égalité entre les femmes et les hommes, et pour renforcer et soutenir l’avènement d’une citoyenneté européenne plus forte. La structure actuelle du programme semble adéquate et suffisamment souple pour en atteindre l’objectif général et les objectifs spécifiques.</w:t>
      </w:r>
      <w:r>
        <w:rPr>
          <w:rFonts w:ascii="Times New Roman" w:hAnsi="Times New Roman"/>
          <w:noProof/>
          <w:color w:val="000000"/>
          <w:sz w:val="24"/>
        </w:rPr>
        <w:t xml:space="preserve"> </w:t>
      </w:r>
      <w:r>
        <w:rPr>
          <w:rFonts w:ascii="Times New Roman" w:hAnsi="Times New Roman"/>
          <w:noProof/>
          <w:sz w:val="24"/>
        </w:rPr>
        <w:t>En particulier, les objectifs spécifiques du programme traduisent un effort visant à résoudre de manière transversale les problèmes relevés dans les programmes précédents. Cet effort a abouti à un programme plus simple, situé au carrefour entre l’égalité et les droits des personnes, et dont les activités contribuent plus directement à la réalisation des objectifs spécifiques.</w:t>
      </w:r>
    </w:p>
    <w:p>
      <w:pP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Au cours de ces dernières années, le programme «Droits, égalité et citoyenneté» a démontré sa forte valeur ajoutée européenne tant par l’effet positif qu’il a eu sur les participants et les groupes cibles que par le fait qu’il complète d’autres instruments de financement et initiatives stratégiques de l’UE.</w:t>
      </w:r>
    </w:p>
    <w:p>
      <w:pPr>
        <w:spacing w:after="0" w:line="240" w:lineRule="auto"/>
        <w:jc w:val="both"/>
        <w:rPr>
          <w:rFonts w:ascii="Times New Roman" w:hAnsi="Times New Roman" w:cs="Times New Roman"/>
          <w:noProof/>
          <w:sz w:val="24"/>
          <w:szCs w:val="24"/>
        </w:rPr>
      </w:pPr>
      <w:bookmarkStart w:id="13" w:name="3"/>
      <w:bookmarkEnd w:id="13"/>
      <w:r>
        <w:rPr>
          <w:rFonts w:ascii="Times New Roman" w:hAnsi="Times New Roman"/>
          <w:noProof/>
          <w:sz w:val="24"/>
        </w:rPr>
        <w:t>Dans le cadre de la préparation du futur budget et des futurs programmes de financement de l’UE, la Commission se fondera sur les conclusions de l’évaluation intermédiaire pour se pencher sur tous les domaines dans lesquels des améliorations s’imposent, en particulier la nécessité de mettre davantage l’accent sur les besoins émergents, la révision des indicateurs de suivi et la recherche d’un meilleur équilibre géographique entre les bénéficiaires.</w:t>
      </w:r>
    </w:p>
    <w:p>
      <w:pPr>
        <w:spacing w:after="120" w:line="240" w:lineRule="auto"/>
        <w:jc w:val="both"/>
        <w:rPr>
          <w:rFonts w:ascii="Times New Roman" w:hAnsi="Times New Roman" w:cs="Times New Roman"/>
          <w:noProof/>
          <w:sz w:val="24"/>
          <w:szCs w:val="24"/>
        </w:rPr>
      </w:pPr>
    </w:p>
    <w:sectPr>
      <w:headerReference w:type="even" r:id="rId24"/>
      <w:headerReference w:type="default" r:id="rId25"/>
      <w:footerReference w:type="even" r:id="rId26"/>
      <w:footerReference w:type="default" r:id="rId27"/>
      <w:headerReference w:type="first" r:id="rId28"/>
      <w:footerReference w:type="first" r:id="rId2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98482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61331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Règlement (UE) nº 1381/2013 du 17 décembre 2013 établissant un programme «Droits, égalité et citoyenneté» pour la période 2014-2020 (JO L 354 du 28.12.2013).</w:t>
      </w:r>
    </w:p>
  </w:footnote>
  <w:footnote w:id="2">
    <w:p>
      <w:pPr>
        <w:pStyle w:val="FootnoteText"/>
        <w:jc w:val="both"/>
        <w:rPr>
          <w:sz w:val="16"/>
          <w:szCs w:val="16"/>
        </w:rPr>
      </w:pPr>
      <w:r>
        <w:rPr>
          <w:rStyle w:val="FootnoteReference"/>
          <w:sz w:val="16"/>
        </w:rPr>
        <w:footnoteRef/>
      </w:r>
      <w:r>
        <w:rPr>
          <w:sz w:val="16"/>
        </w:rPr>
        <w:t xml:space="preserve"> Pour de plus amples renseignements sur la stratégie</w:t>
      </w:r>
      <w:r>
        <w:rPr>
          <w:color w:val="000000"/>
          <w:sz w:val="16"/>
        </w:rPr>
        <w:t xml:space="preserve"> Europe 2020, voir</w:t>
      </w:r>
      <w:r>
        <w:rPr>
          <w:sz w:val="16"/>
        </w:rPr>
        <w:t xml:space="preserve"> </w:t>
      </w:r>
      <w:hyperlink r:id="rId1">
        <w:r>
          <w:rPr>
            <w:rStyle w:val="Hyperlink"/>
            <w:sz w:val="16"/>
          </w:rPr>
          <w:t>https://ec.europa.eu/info/business-economy-euro/economic-and-fiscal-policy-coordination/eu-economic-governance-monitoring-prevention-correction/european-semester/framework/europe-2020-strategy_fr</w:t>
        </w:r>
      </w:hyperlink>
      <w:r>
        <w:rPr>
          <w:sz w:val="16"/>
        </w:rPr>
        <w:t>.</w:t>
      </w:r>
    </w:p>
  </w:footnote>
  <w:footnote w:id="3">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Règlement (UE) nº 1381/2013 du 17 décembre 2013 établissant un programme «Droits, égalité et citoyenneté» pour la période 2014-2020 (JO L 354 du 28.12.2013).</w:t>
      </w:r>
    </w:p>
  </w:footnote>
  <w:footnote w:id="4">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Document de travail des services de la Commission accompagnant le rapport sur l’évaluation intermédiaire de la mise en œuvre du programme «Droits, égalité et citoyenneté» 2014-2020.</w:t>
      </w:r>
    </w:p>
  </w:footnote>
  <w:footnote w:id="5">
    <w:p>
      <w:pPr>
        <w:pStyle w:val="FootnoteText"/>
        <w:jc w:val="both"/>
        <w:rPr>
          <w:rFonts w:ascii="Times New Roman" w:eastAsia="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Évaluation intermédiaire du programme «Droits, égalité et citoyenneté» 2014-2020, </w:t>
      </w:r>
      <w:r>
        <w:rPr>
          <w:rFonts w:ascii="Times New Roman" w:hAnsi="Times New Roman"/>
          <w:color w:val="000000"/>
          <w:sz w:val="16"/>
        </w:rPr>
        <w:t>Ernst &amp; Young Financial-Business Advisors</w:t>
      </w:r>
      <w:r>
        <w:rPr>
          <w:rFonts w:ascii="Times New Roman" w:hAnsi="Times New Roman"/>
          <w:sz w:val="16"/>
        </w:rPr>
        <w:t>, rapport final, avril 2018, publié.</w:t>
      </w:r>
    </w:p>
  </w:footnote>
  <w:footnote w:id="6">
    <w:p>
      <w:pPr>
        <w:pStyle w:val="FootnoteText"/>
        <w:jc w:val="both"/>
      </w:pPr>
      <w:r>
        <w:rPr>
          <w:rStyle w:val="FootnoteReference"/>
          <w:rFonts w:ascii="Times New Roman" w:hAnsi="Times New Roman"/>
          <w:sz w:val="16"/>
        </w:rPr>
        <w:footnoteRef/>
      </w:r>
      <w:r>
        <w:rPr>
          <w:rFonts w:ascii="Times New Roman" w:hAnsi="Times New Roman"/>
          <w:sz w:val="16"/>
        </w:rPr>
        <w:t xml:space="preserve"> Commission européenne (2015), Évaluation ex post de cinq programmes mis en œuvre au cours de la perspective financière 2007-2013 – Rapport final. Évaluation spécifique de programme: programme Daphné, </w:t>
      </w:r>
      <w:hyperlink r:id="rId2">
        <w:r>
          <w:rPr>
            <w:rStyle w:val="Hyperlink"/>
            <w:rFonts w:ascii="Times New Roman" w:hAnsi="Times New Roman"/>
            <w:sz w:val="16"/>
          </w:rPr>
          <w:t>http://ec.europa.eu/justice/grants1/files/expost_evaluations_2007_2013/daphne_programme_evaluation__final_report.pdf</w:t>
        </w:r>
      </w:hyperlink>
      <w:r>
        <w:rPr>
          <w:rFonts w:ascii="Times New Roman" w:hAnsi="Times New Roman"/>
          <w:sz w:val="16"/>
        </w:rPr>
        <w:t xml:space="preserve">; évaluation spécifique de programme: programme «Droits fondamentaux et citoyenneté», </w:t>
      </w:r>
      <w:hyperlink r:id="rId3">
        <w:r>
          <w:rPr>
            <w:rStyle w:val="Hyperlink"/>
            <w:rFonts w:ascii="Times New Roman" w:hAnsi="Times New Roman"/>
            <w:sz w:val="16"/>
          </w:rPr>
          <w:t>http://ec.europa.eu/justice/grants1/files/expost_evaluations_2007_2013/frc_programme_evaluation_final_report.pdf</w:t>
        </w:r>
      </w:hyperlink>
      <w:r>
        <w:rPr>
          <w:rFonts w:ascii="Times New Roman" w:hAnsi="Times New Roman"/>
          <w:sz w:val="16"/>
        </w:rPr>
        <w:t xml:space="preserve">; évaluation ex post du programme pour l’emploi et la solidarité sociale – PROGRESS 2007-2013 et recommandations pour les programmes appelés à succéder à PROGRESS 2014-2020 </w:t>
      </w:r>
      <w:hyperlink r:id="rId4">
        <w:r>
          <w:rPr>
            <w:rStyle w:val="Hyperlink"/>
            <w:rFonts w:ascii="Times New Roman" w:hAnsi="Times New Roman"/>
            <w:sz w:val="16"/>
          </w:rPr>
          <w:t>http://ec.europa.eu/social/BlobServlet?docId=12610&amp;langId=en</w:t>
        </w:r>
      </w:hyperlink>
      <w:r>
        <w:rPr>
          <w:rStyle w:val="Hyperlink"/>
          <w:rFonts w:ascii="Times New Roman" w:hAnsi="Times New Roman"/>
          <w:sz w:val="16"/>
        </w:rPr>
        <w:t>.</w:t>
      </w:r>
    </w:p>
  </w:footnote>
  <w:footnote w:id="7">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Pour de plus amples renseignements sur la carte européenne d’invalidité, voir </w:t>
      </w:r>
      <w:hyperlink r:id="rId5">
        <w:r>
          <w:rPr>
            <w:rStyle w:val="Hyperlink"/>
            <w:rFonts w:ascii="Times New Roman" w:hAnsi="Times New Roman"/>
            <w:sz w:val="16"/>
          </w:rPr>
          <w:t>http://ec.europa.eu/social/main.jsp?catId=1139&amp;langId=fr</w:t>
        </w:r>
      </w:hyperlink>
      <w:r>
        <w:rPr>
          <w:rFonts w:ascii="Times New Roman" w:hAnsi="Times New Roman"/>
          <w:sz w:val="16"/>
        </w:rPr>
        <w:t>.</w:t>
      </w:r>
    </w:p>
  </w:footnote>
  <w:footnote w:id="8">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Pour de plus amples renseignements sur la réforme de la protection des données, voir </w:t>
      </w:r>
      <w:hyperlink r:id="rId6">
        <w:r>
          <w:rPr>
            <w:rStyle w:val="Hyperlink"/>
            <w:rFonts w:ascii="Times New Roman" w:hAnsi="Times New Roman"/>
            <w:sz w:val="16"/>
          </w:rPr>
          <w:t>https://ec.europa.eu/info/law/law-topic/data-protection_fr</w:t>
        </w:r>
      </w:hyperlink>
      <w:r>
        <w:rPr>
          <w:rFonts w:ascii="Times New Roman" w:hAnsi="Times New Roman"/>
          <w:sz w:val="16"/>
        </w:rPr>
        <w:t>.</w:t>
      </w:r>
    </w:p>
  </w:footnote>
  <w:footnote w:id="9">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Les marchés représentent la totalité des dépenses prévues pour l’objectif spécifique relatif aux droits des consommateurs, 65 % de celles prévues pour l’objectif spécifique relatif à la citoyenneté et moins de 5 % du budget total prévu pour l’objectif spécifique relatif à la prévention du racisme. En ce qui concerne tous les autres objectifs spécifiques, entre 11 % et 55 % du budget prévu est affecté aux marchés.                                                                                                                                                                                                                                                          </w:t>
      </w:r>
    </w:p>
  </w:footnote>
  <w:footnote w:id="10">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Les informations disponibles ne permettent pas de calculer le pourcentage d’octroi de subventions pour 2016.</w:t>
      </w:r>
    </w:p>
  </w:footnote>
  <w:footnote w:id="11">
    <w:p>
      <w:pPr>
        <w:pStyle w:val="FootnoteText"/>
        <w:jc w:val="both"/>
        <w:rPr>
          <w:sz w:val="16"/>
          <w:szCs w:val="16"/>
        </w:rPr>
      </w:pPr>
      <w:r>
        <w:rPr>
          <w:rStyle w:val="FootnoteReference"/>
          <w:rFonts w:ascii="Times New Roman" w:hAnsi="Times New Roman"/>
          <w:sz w:val="16"/>
        </w:rPr>
        <w:footnoteRef/>
      </w:r>
      <w:r>
        <w:rPr>
          <w:rFonts w:ascii="Times New Roman" w:hAnsi="Times New Roman"/>
          <w:sz w:val="16"/>
        </w:rPr>
        <w:t xml:space="preserve"> Le </w:t>
      </w:r>
      <w:hyperlink r:id="rId7">
        <w:r>
          <w:rPr>
            <w:rFonts w:ascii="Times New Roman" w:hAnsi="Times New Roman"/>
            <w:sz w:val="16"/>
          </w:rPr>
          <w:t>portail des participants</w:t>
        </w:r>
      </w:hyperlink>
      <w:r>
        <w:rPr>
          <w:rFonts w:ascii="Times New Roman" w:hAnsi="Times New Roman"/>
          <w:sz w:val="16"/>
        </w:rPr>
        <w:t xml:space="preserve"> est une plateforme électronique utilisée afin de gérer les demandes reçues en réponse aux appels publiés dans le cadre du programme «Droits, égalité et citoyenneté». D’après les résultats de l’évaluation, il serait possible de simplifier davantage le nouveau portail, en particulier en ce qui concerne les documents administratifs à fournir, afin d’inciter les organisations plus petites ou moins expérimentées à participer.</w:t>
      </w:r>
    </w:p>
  </w:footnote>
  <w:footnote w:id="12">
    <w:p>
      <w:pPr>
        <w:pStyle w:val="FootnoteText"/>
        <w:jc w:val="both"/>
        <w:rPr>
          <w:rFonts w:ascii="Times New Roman" w:hAnsi="Times New Roman" w:cs="Times New Roman"/>
          <w:sz w:val="16"/>
          <w:szCs w:val="16"/>
        </w:rPr>
      </w:pPr>
      <w:r>
        <w:rPr>
          <w:rStyle w:val="FootnoteReference"/>
          <w:rFonts w:ascii="Times New Roman" w:hAnsi="Times New Roman"/>
          <w:color w:val="000000" w:themeColor="text1"/>
          <w:sz w:val="16"/>
        </w:rPr>
        <w:footnoteRef/>
      </w:r>
      <w:r>
        <w:rPr>
          <w:rFonts w:ascii="Times New Roman" w:hAnsi="Times New Roman"/>
          <w:color w:val="000000" w:themeColor="text1"/>
          <w:sz w:val="16"/>
        </w:rPr>
        <w:t xml:space="preserve"> Indicateur de résultat 1: taux d’emploi des femmes au sein de la tranche d’âge des 20 à 64 ans – valeur cible: 75 % (pour les femmes et les hommes); objectif clé Europe 2020: 71 % pour les femmes. Indicateur de résultat 2: taux d’emploi des personnes handicapées – valeur cible: 55 %. Indicateur de résultat 3: écart salarial entre les hommes et les femmes – valeur cible: 14 %. Indicateur de résultat 4: pourcentage de femmes parmi les administrateurs non exécutifs des conseils d’administration des sociétés cotées en bourse – valeur cible: 40 %. Indicateur de résultat 5: pourcentage d'Européens qui se considèrent «bien» ou «très bien» informés des droits dont ils jouissent en tant que citoyens de l’Union – valeur cible: 51 %.</w:t>
      </w:r>
    </w:p>
  </w:footnote>
  <w:footnote w:id="13">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b/>
          <w:color w:val="000000" w:themeColor="text1"/>
          <w:sz w:val="16"/>
        </w:rPr>
        <w:t xml:space="preserve">Efficacité: </w:t>
      </w:r>
      <w:r>
        <w:rPr>
          <w:rFonts w:ascii="Times New Roman" w:hAnsi="Times New Roman"/>
          <w:color w:val="000000" w:themeColor="text1"/>
          <w:sz w:val="16"/>
        </w:rPr>
        <w:t>si et dans quelle mesure le programme «Droits, égalité et citoyenneté» a atteint son objectif général ainsi que ses neuf objectifs spécifiques, et quels sont les facteurs qui ont contribué à la réalisation de ces objectifs.</w:t>
      </w:r>
    </w:p>
  </w:footnote>
  <w:footnote w:id="14">
    <w:p>
      <w:pPr>
        <w:spacing w:after="0" w:line="240" w:lineRule="auto"/>
        <w:jc w:val="both"/>
        <w:rPr>
          <w:rFonts w:ascii="Times New Roman" w:hAnsi="Times New Roman" w:cs="Times New Roman"/>
          <w:b/>
          <w:color w:val="000000" w:themeColor="text1"/>
          <w:sz w:val="16"/>
          <w:szCs w:val="16"/>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b/>
          <w:color w:val="000000" w:themeColor="text1"/>
          <w:sz w:val="16"/>
        </w:rPr>
        <w:t>Efficience</w:t>
      </w:r>
      <w:r>
        <w:rPr>
          <w:rFonts w:ascii="Times New Roman" w:hAnsi="Times New Roman"/>
          <w:color w:val="000000" w:themeColor="text1"/>
          <w:sz w:val="16"/>
        </w:rPr>
        <w:t>: si et dans quelle mesure les coûts du programme sont proportionnés au vu des bénéfices engendrés et quels paramètres/facteurs ont contribué à ces résultats.</w:t>
      </w:r>
    </w:p>
  </w:footnote>
  <w:footnote w:id="15">
    <w:p>
      <w:pPr>
        <w:spacing w:after="0" w:line="240" w:lineRule="auto"/>
        <w:jc w:val="both"/>
        <w:rPr>
          <w:rFonts w:ascii="Times New Roman" w:hAnsi="Times New Roman" w:cs="Times New Roman"/>
          <w:color w:val="000000" w:themeColor="text1"/>
          <w:sz w:val="16"/>
          <w:szCs w:val="16"/>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b/>
          <w:color w:val="000000" w:themeColor="text1"/>
          <w:sz w:val="16"/>
        </w:rPr>
        <w:t xml:space="preserve">Pertinence: </w:t>
      </w:r>
      <w:r>
        <w:rPr>
          <w:rFonts w:ascii="Times New Roman" w:hAnsi="Times New Roman"/>
          <w:color w:val="000000" w:themeColor="text1"/>
          <w:sz w:val="16"/>
        </w:rPr>
        <w:t>si et dans quelle mesure le programme «Droits, égalité et citoyenneté» répond aux besoins et aux problèmes des groupes cibles identifiés dans l’analyse d’impact de 2011</w:t>
      </w:r>
      <w:r>
        <w:rPr>
          <w:rStyle w:val="FootnoteReference"/>
          <w:rFonts w:ascii="Times New Roman" w:hAnsi="Times New Roman"/>
          <w:color w:val="000000" w:themeColor="text1"/>
          <w:sz w:val="16"/>
        </w:rPr>
        <w:footnoteRef/>
      </w:r>
      <w:r>
        <w:rPr>
          <w:rFonts w:ascii="Times New Roman" w:hAnsi="Times New Roman"/>
          <w:color w:val="000000" w:themeColor="text1"/>
          <w:sz w:val="16"/>
        </w:rPr>
        <w:t xml:space="preserve"> et dans la base juridique du programme, ainsi qu’aux besoins émergents, et si ses objectifs sont toujours pertinents par rapport aux besoins et aux problèmes des bénéficiaires.</w:t>
      </w:r>
    </w:p>
  </w:footnote>
  <w:footnote w:id="16">
    <w:p>
      <w:pPr>
        <w:spacing w:after="0" w:line="240" w:lineRule="auto"/>
        <w:jc w:val="both"/>
        <w:rPr>
          <w:rFonts w:ascii="Times New Roman" w:hAnsi="Times New Roman" w:cs="Times New Roman"/>
          <w:b/>
          <w:color w:val="000000" w:themeColor="text1"/>
          <w:sz w:val="16"/>
          <w:szCs w:val="16"/>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b/>
          <w:color w:val="000000" w:themeColor="text1"/>
          <w:sz w:val="16"/>
        </w:rPr>
        <w:t xml:space="preserve">Cohérence, complémentarité, synergies: </w:t>
      </w:r>
      <w:r>
        <w:rPr>
          <w:rFonts w:ascii="Times New Roman" w:hAnsi="Times New Roman"/>
          <w:color w:val="000000" w:themeColor="text1"/>
          <w:sz w:val="16"/>
        </w:rPr>
        <w:t>si et dans quelle mesure le programme est cohérent avec d’autres interventions aux niveaux européen et international, par exemple avec</w:t>
      </w:r>
      <w:r>
        <w:rPr>
          <w:rFonts w:ascii="Times New Roman" w:hAnsi="Times New Roman"/>
          <w:b/>
          <w:color w:val="000000" w:themeColor="text1"/>
          <w:sz w:val="16"/>
        </w:rPr>
        <w:t xml:space="preserve"> </w:t>
      </w:r>
      <w:r>
        <w:rPr>
          <w:rFonts w:ascii="Times New Roman" w:hAnsi="Times New Roman"/>
          <w:color w:val="000000" w:themeColor="text1"/>
          <w:sz w:val="16"/>
        </w:rPr>
        <w:t>les</w:t>
      </w:r>
      <w:r>
        <w:rPr>
          <w:rFonts w:ascii="Times New Roman" w:hAnsi="Times New Roman"/>
          <w:b/>
          <w:color w:val="000000" w:themeColor="text1"/>
          <w:sz w:val="16"/>
        </w:rPr>
        <w:t xml:space="preserve"> </w:t>
      </w:r>
      <w:r>
        <w:rPr>
          <w:rFonts w:ascii="Times New Roman" w:hAnsi="Times New Roman"/>
          <w:color w:val="000000" w:themeColor="text1"/>
          <w:sz w:val="16"/>
        </w:rPr>
        <w:t>programmes précédents de l’UE dans ce domaine</w:t>
      </w:r>
      <w:r>
        <w:rPr>
          <w:rStyle w:val="FootnoteReference"/>
          <w:rFonts w:ascii="Times New Roman" w:hAnsi="Times New Roman"/>
          <w:color w:val="000000" w:themeColor="text1"/>
          <w:sz w:val="16"/>
        </w:rPr>
        <w:footnoteRef/>
      </w:r>
      <w:r>
        <w:rPr>
          <w:rFonts w:ascii="Times New Roman" w:hAnsi="Times New Roman"/>
          <w:color w:val="000000" w:themeColor="text1"/>
          <w:sz w:val="16"/>
        </w:rPr>
        <w:t>, avec les activités soutenues par d’autres instruments de l’Union et, de façon générale, avec les priorités européennes dans les domaines couverts par le programme.</w:t>
      </w:r>
    </w:p>
  </w:footnote>
  <w:footnote w:id="17">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b/>
          <w:color w:val="000000" w:themeColor="text1"/>
          <w:sz w:val="16"/>
        </w:rPr>
        <w:t xml:space="preserve">Valeur ajoutée européenne: </w:t>
      </w:r>
      <w:r>
        <w:rPr>
          <w:rFonts w:ascii="Times New Roman" w:hAnsi="Times New Roman"/>
          <w:color w:val="000000" w:themeColor="text1"/>
          <w:sz w:val="16"/>
        </w:rPr>
        <w:t>dans quelle mesure les effets de l’action de l’UE ont une valeur supérieure à celle des effets découlant d’une action menée au niveau national uniquement.</w:t>
      </w:r>
    </w:p>
  </w:footnote>
  <w:footnote w:id="18">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b/>
          <w:color w:val="000000" w:themeColor="text1"/>
          <w:sz w:val="16"/>
        </w:rPr>
        <w:t xml:space="preserve">Équité: </w:t>
      </w:r>
      <w:r>
        <w:rPr>
          <w:rFonts w:ascii="Times New Roman" w:hAnsi="Times New Roman"/>
          <w:color w:val="000000" w:themeColor="text1"/>
          <w:sz w:val="16"/>
        </w:rPr>
        <w:t>si et dans quelle mesure le programme a réparti les ressources disponibles de manière équitable entre les bénéficiaires dans les différents États membres, pris en considération les besoins des groupes cibles, promu l’intégration des questions d’égalité entre les femmes et les hommes dans toutes les politiques, les droits de l’enfant et les droits des personnes handicapées.</w:t>
      </w:r>
    </w:p>
  </w:footnote>
  <w:footnote w:id="19">
    <w:p>
      <w:pPr>
        <w:jc w:val="both"/>
        <w:rPr>
          <w:rFonts w:ascii="Times New Roman" w:hAnsi="Times New Roman" w:cs="Times New Roman"/>
          <w:color w:val="000000" w:themeColor="text1"/>
          <w:sz w:val="24"/>
          <w:szCs w:val="24"/>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b/>
          <w:color w:val="000000" w:themeColor="text1"/>
          <w:sz w:val="16"/>
        </w:rPr>
        <w:t xml:space="preserve">Possibilités de simplification: </w:t>
      </w:r>
      <w:r>
        <w:rPr>
          <w:rFonts w:ascii="Times New Roman" w:hAnsi="Times New Roman"/>
          <w:color w:val="000000" w:themeColor="text1"/>
          <w:sz w:val="16"/>
        </w:rPr>
        <w:t>si et dans quelle mesure il serait possible de simplifier davantage la gestion du programme «Droits, égalité et citoyenneté».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38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A768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066B64"/>
    <w:multiLevelType w:val="hybridMultilevel"/>
    <w:tmpl w:val="A640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551B83"/>
    <w:multiLevelType w:val="hybridMultilevel"/>
    <w:tmpl w:val="1E24D6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nsid w:val="22EC6F0C"/>
    <w:multiLevelType w:val="hybridMultilevel"/>
    <w:tmpl w:val="FA02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7D60EA"/>
    <w:multiLevelType w:val="hybridMultilevel"/>
    <w:tmpl w:val="786068C4"/>
    <w:lvl w:ilvl="0" w:tplc="5D6EA894">
      <w:start w:val="1"/>
      <w:numFmt w:val="bullet"/>
      <w:lvlText w:val=""/>
      <w:lvlJc w:val="left"/>
      <w:pPr>
        <w:ind w:left="1080" w:hanging="360"/>
      </w:pPr>
      <w:rPr>
        <w:rFonts w:ascii="Symbol" w:hAnsi="Symbol" w:hint="default"/>
        <w:color w:val="00B0F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2F6F75C5"/>
    <w:multiLevelType w:val="hybridMultilevel"/>
    <w:tmpl w:val="8B140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nsid w:val="3D2F63A1"/>
    <w:multiLevelType w:val="hybridMultilevel"/>
    <w:tmpl w:val="79BCA0F2"/>
    <w:lvl w:ilvl="0" w:tplc="08090001">
      <w:start w:val="1"/>
      <w:numFmt w:val="bullet"/>
      <w:lvlText w:val=""/>
      <w:lvlJc w:val="left"/>
      <w:pPr>
        <w:ind w:left="720" w:hanging="360"/>
      </w:pPr>
      <w:rPr>
        <w:rFonts w:ascii="Symbol" w:hAnsi="Symbol" w:hint="default"/>
      </w:rPr>
    </w:lvl>
    <w:lvl w:ilvl="1" w:tplc="F1748534">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9707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84D4D14"/>
    <w:multiLevelType w:val="hybridMultilevel"/>
    <w:tmpl w:val="89701AF0"/>
    <w:lvl w:ilvl="0" w:tplc="BD807D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EFC3408"/>
    <w:multiLevelType w:val="hybridMultilevel"/>
    <w:tmpl w:val="84427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5146D22"/>
    <w:multiLevelType w:val="hybridMultilevel"/>
    <w:tmpl w:val="CDDCF0A2"/>
    <w:lvl w:ilvl="0" w:tplc="467A1C80">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0928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AEA6F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FFD190D"/>
    <w:multiLevelType w:val="hybridMultilevel"/>
    <w:tmpl w:val="ED6E1A4A"/>
    <w:lvl w:ilvl="0" w:tplc="0410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b/>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71813C73"/>
    <w:multiLevelType w:val="hybridMultilevel"/>
    <w:tmpl w:val="80886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3456954"/>
    <w:multiLevelType w:val="hybridMultilevel"/>
    <w:tmpl w:val="9D88EAD0"/>
    <w:lvl w:ilvl="0" w:tplc="6B6CAE34">
      <w:start w:val="1"/>
      <w:numFmt w:val="bullet"/>
      <w:pStyle w:val="BulletBody"/>
      <w:lvlText w:val=""/>
      <w:lvlJc w:val="left"/>
      <w:pPr>
        <w:ind w:left="720" w:hanging="360"/>
      </w:pPr>
      <w:rPr>
        <w:rFonts w:ascii="Symbol" w:hAnsi="Symbol" w:hint="default"/>
        <w:color w:val="00B0F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6A018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A427D19"/>
    <w:multiLevelType w:val="hybridMultilevel"/>
    <w:tmpl w:val="FD987E7C"/>
    <w:lvl w:ilvl="0" w:tplc="BD807D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4"/>
  </w:num>
  <w:num w:numId="4">
    <w:abstractNumId w:val="3"/>
  </w:num>
  <w:num w:numId="5">
    <w:abstractNumId w:val="10"/>
  </w:num>
  <w:num w:numId="6">
    <w:abstractNumId w:val="11"/>
  </w:num>
  <w:num w:numId="7">
    <w:abstractNumId w:val="17"/>
  </w:num>
  <w:num w:numId="8">
    <w:abstractNumId w:val="15"/>
  </w:num>
  <w:num w:numId="9">
    <w:abstractNumId w:val="16"/>
  </w:num>
  <w:num w:numId="10">
    <w:abstractNumId w:val="19"/>
  </w:num>
  <w:num w:numId="11">
    <w:abstractNumId w:val="14"/>
  </w:num>
  <w:num w:numId="12">
    <w:abstractNumId w:val="12"/>
  </w:num>
  <w:num w:numId="13">
    <w:abstractNumId w:val="18"/>
  </w:num>
  <w:num w:numId="14">
    <w:abstractNumId w:val="6"/>
  </w:num>
  <w:num w:numId="15">
    <w:abstractNumId w:val="7"/>
  </w:num>
  <w:num w:numId="16">
    <w:abstractNumId w:val="13"/>
  </w:num>
  <w:num w:numId="17">
    <w:abstractNumId w:val="1"/>
  </w:num>
  <w:num w:numId="18">
    <w:abstractNumId w:val="9"/>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revisionView w:markup="0"/>
  <w:defaultTabStop w:val="720"/>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5843296-5D11-4E51-B7FB-A10E97030853"/>
    <w:docVar w:name="LW_COVERPAGE_TYPE" w:val="1"/>
    <w:docVar w:name="LW_CROSSREFERENCE" w:val="{SWD(2018) 358 final}_x000b_{SWD(2018) 359 final}"/>
    <w:docVar w:name="LW_DocType" w:val="NORMAL"/>
    <w:docVar w:name="LW_EMISSION" w:val="29.6.2018"/>
    <w:docVar w:name="LW_EMISSION_ISODATE" w:val="2018-06-29"/>
    <w:docVar w:name="LW_EMISSION_LOCATION" w:val="BRX"/>
    <w:docVar w:name="LW_EMISSION_PREFIX" w:val="Bruxelles, le "/>
    <w:docVar w:name="LW_EMISSION_SUFFIX" w:val="&lt;EMPTY&gt;"/>
    <w:docVar w:name="LW_ID_DOCTYPE_NONLW" w:val="CP-008"/>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8) 50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Bold&gt;sur l\u8217?évaluation intermédiaire de la mise en \u339?uvre du programme «Droits, égalité et citoyenneté» 2014-2020&lt;/FMT&gt;"/>
    <w:docVar w:name="LW_TYPE.DOC.CP" w:val="RAPPORT DE LA COMMISSION AU PARLEMENT EUROPÉEN, AU CONSEIL, AU COMITÉ ÉCONOMIQUE ET SOCIAL EUROPÉEN ET AU COMITÉ DES RÉGIONS"/>
    <w:docVar w:name="Stamp" w:val="\\dossiers.dgt.cec.eu.int\dossiers\HOME\HOME-2017-00958\HOME-2017-00958-00-00-EN-REV-00.201801100929480426427.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aliases w:val="Footnote,Fußnote,Testo nota a piè di pagina Carattere,Footnote text,Schriftart: 9 pt,Schriftart: 10 pt,Schriftart: 8 pt,Testo nota a piè di pagina Carattere1 Carattere,Testo nota a piè di pagina Carattere Carattere1,fn,ft,Char"/>
    <w:basedOn w:val="Normal"/>
    <w:link w:val="FootnoteTextChar1"/>
    <w:uiPriority w:val="99"/>
    <w:unhideWhenUsed/>
    <w:qFormat/>
    <w:pPr>
      <w:spacing w:after="0" w:line="240" w:lineRule="auto"/>
    </w:pPr>
    <w:rPr>
      <w:sz w:val="20"/>
      <w:szCs w:val="20"/>
    </w:rPr>
  </w:style>
  <w:style w:type="character" w:customStyle="1" w:styleId="FootnoteTextChar">
    <w:name w:val="Footnote Text Char"/>
    <w:aliases w:val="Footnote Text Char1 Char,Schriftart: 9 pt Char,Schriftart: 10 pt Char,Schriftart: 8 pt Char,WB-Fußnotentext Char,Reference Char,Fußnote Char,fn Char,Footnote Text Char2 Char,Footnote Text Char Char1 Char,Ch Char,stile 1 Char,Fuß Char"/>
    <w:basedOn w:val="DefaultParagraphFont"/>
    <w:uiPriority w:val="99"/>
    <w:qFormat/>
    <w:rPr>
      <w:sz w:val="20"/>
      <w:szCs w:val="20"/>
    </w:rPr>
  </w:style>
  <w:style w:type="character" w:styleId="FootnoteReference">
    <w:name w:val="footnote reference"/>
    <w:aliases w:val="Footnote symbol,Voetnootverwijzing,Times 10 Point,Exposant 3 Point,Appel note de bas de p,BVI fnr,Footnote Reference Superscript,Footnote symboFußnotenzeichen,Footnote sign,EN Footnote Reference,fr,o,Footnote reference numbe"/>
    <w:link w:val="FootnotesymbolCharCharCharChar"/>
    <w:uiPriority w:val="99"/>
    <w:qFormat/>
    <w:rPr>
      <w:vertAlign w:val="superscript"/>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ListParagraph">
    <w:name w:val="List Paragraph"/>
    <w:aliases w:val="List Paragraph2,Numbered List,1st level - Bullet List Paragraph,Lettre d'introduction,Paragraph,Bullet EY,Bullet point 1,Bullets,Medium Grid 1 - Accent 21,Paragraphe de liste 2,Reference list,Table of contents numbered"/>
    <w:basedOn w:val="Normal"/>
    <w:link w:val="ListParagraphChar"/>
    <w:uiPriority w:val="34"/>
    <w:qFormat/>
    <w:pPr>
      <w:ind w:left="720"/>
      <w:contextualSpacing/>
    </w:pPr>
  </w:style>
  <w:style w:type="table" w:styleId="TableGrid">
    <w:name w:val="Table Grid"/>
    <w:aliases w:val="Document Table,CV1,Deloitte"/>
    <w:basedOn w:val="TableNormal"/>
    <w:uiPriority w:val="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Caption PSP,Caption - Centre Graphic,Char Char Char,Caption1 Char Char Char Char Char Char Char Char,Caption1 Char Char Char Char Char Char Char Char Tegn Tegn Tegn Tegn Tegn,Caption1 Char Char Char Char Char Char Char Char Tegn Tegn Tegn"/>
    <w:basedOn w:val="Normal"/>
    <w:next w:val="Normal"/>
    <w:link w:val="CaptionChar"/>
    <w:uiPriority w:val="35"/>
    <w:unhideWhenUsed/>
    <w:qFormat/>
    <w:pPr>
      <w:spacing w:before="120" w:line="240" w:lineRule="auto"/>
      <w:jc w:val="center"/>
    </w:pPr>
    <w:rPr>
      <w:rFonts w:ascii="Calibri" w:eastAsia="Times New Roman" w:hAnsi="Calibri" w:cs="Times New Roman"/>
      <w:i/>
      <w:iCs/>
      <w:color w:val="86BC25"/>
      <w:sz w:val="20"/>
      <w:szCs w:val="18"/>
    </w:rPr>
  </w:style>
  <w:style w:type="character" w:customStyle="1" w:styleId="CaptionChar">
    <w:name w:val="Caption Char"/>
    <w:aliases w:val="Caption PSP Char,Caption - Centre Graphic Char,Char Char Char Char,Caption1 Char Char Char Char Char Char Char Char Char,Caption1 Char Char Char Char Char Char Char Char Tegn Tegn Tegn Tegn Tegn Char"/>
    <w:link w:val="Caption"/>
    <w:uiPriority w:val="35"/>
    <w:rPr>
      <w:rFonts w:ascii="Calibri" w:eastAsia="Times New Roman" w:hAnsi="Calibri" w:cs="Times New Roman"/>
      <w:i/>
      <w:iCs/>
      <w:color w:val="86BC25"/>
      <w:sz w:val="20"/>
      <w:szCs w:val="18"/>
      <w:lang w:val="fr-FR"/>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pPr>
      <w:spacing w:after="160" w:line="240" w:lineRule="exact"/>
    </w:pPr>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Strong">
    <w:name w:val="Strong"/>
    <w:basedOn w:val="DefaultParagraphFont"/>
    <w:uiPriority w:val="22"/>
    <w:qFormat/>
    <w:rPr>
      <w:b/>
      <w:bCs/>
    </w:rPr>
  </w:style>
  <w:style w:type="paragraph" w:customStyle="1" w:styleId="Text4">
    <w:name w:val="Text 4"/>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customStyle="1" w:styleId="Sourcetables">
    <w:name w:val="Source tables"/>
    <w:basedOn w:val="Normal"/>
    <w:link w:val="SourcetablesChar"/>
    <w:qFormat/>
    <w:pPr>
      <w:spacing w:after="160" w:line="256" w:lineRule="auto"/>
    </w:pPr>
    <w:rPr>
      <w:rFonts w:ascii="Verdana" w:eastAsia="Times New Roman" w:hAnsi="Verdana" w:cs="Times New Roman"/>
      <w:i/>
      <w:sz w:val="18"/>
      <w:szCs w:val="18"/>
    </w:rPr>
  </w:style>
  <w:style w:type="character" w:customStyle="1" w:styleId="SourcetablesChar">
    <w:name w:val="Source tables Char"/>
    <w:basedOn w:val="DefaultParagraphFont"/>
    <w:link w:val="Sourcetables"/>
    <w:rPr>
      <w:rFonts w:ascii="Verdana" w:eastAsia="Times New Roman" w:hAnsi="Verdana" w:cs="Times New Roman"/>
      <w:i/>
      <w:sz w:val="18"/>
      <w:szCs w:val="18"/>
    </w:rPr>
  </w:style>
  <w:style w:type="paragraph" w:customStyle="1" w:styleId="BulletBody">
    <w:name w:val="Bullet Body"/>
    <w:basedOn w:val="Normal"/>
    <w:link w:val="BulletBodyChar"/>
    <w:qFormat/>
    <w:pPr>
      <w:numPr>
        <w:numId w:val="7"/>
      </w:numPr>
      <w:spacing w:before="120" w:after="120" w:line="240" w:lineRule="auto"/>
      <w:jc w:val="both"/>
    </w:pPr>
    <w:rPr>
      <w:rFonts w:ascii="Verdana" w:eastAsia="Times New Roman" w:hAnsi="Verdana" w:cs="EUAlbertina"/>
      <w:color w:val="000000"/>
      <w:sz w:val="20"/>
      <w:szCs w:val="19"/>
    </w:rPr>
  </w:style>
  <w:style w:type="character" w:customStyle="1" w:styleId="BulletBodyChar">
    <w:name w:val="Bullet Body Char"/>
    <w:basedOn w:val="DefaultParagraphFont"/>
    <w:link w:val="BulletBody"/>
    <w:rPr>
      <w:rFonts w:ascii="Verdana" w:eastAsia="Times New Roman" w:hAnsi="Verdana" w:cs="EUAlbertina"/>
      <w:color w:val="000000"/>
      <w:sz w:val="20"/>
      <w:szCs w:val="19"/>
      <w:lang w:eastAsia="fr-FR"/>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Body">
    <w:name w:val="Body"/>
    <w:basedOn w:val="Normal"/>
    <w:link w:val="BodyChar"/>
    <w:qFormat/>
    <w:pPr>
      <w:spacing w:before="120" w:after="120" w:line="240" w:lineRule="auto"/>
      <w:jc w:val="both"/>
    </w:pPr>
    <w:rPr>
      <w:rFonts w:ascii="Verdana" w:eastAsia="Times New Roman" w:hAnsi="Verdana" w:cs="Times New Roman"/>
      <w:sz w:val="20"/>
      <w:szCs w:val="20"/>
    </w:rPr>
  </w:style>
  <w:style w:type="character" w:customStyle="1" w:styleId="BodyChar">
    <w:name w:val="Body Char"/>
    <w:link w:val="Body"/>
    <w:rPr>
      <w:rFonts w:ascii="Verdana" w:eastAsia="Times New Roman" w:hAnsi="Verdana" w:cs="Times New Roman"/>
      <w:sz w:val="20"/>
      <w:szCs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pPr>
      <w:spacing w:before="60" w:after="160" w:line="240" w:lineRule="exact"/>
      <w:jc w:val="both"/>
    </w:pPr>
    <w:rPr>
      <w:rFonts w:ascii="Times New Roman" w:eastAsia="Times New Roman" w:hAnsi="Times New Roman" w:cs="Times New Roman"/>
      <w:sz w:val="20"/>
      <w:szCs w:val="20"/>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igure">
    <w:name w:val="Figure"/>
    <w:basedOn w:val="Normal"/>
    <w:pPr>
      <w:keepNext/>
      <w:tabs>
        <w:tab w:val="left" w:pos="10490"/>
      </w:tabs>
      <w:spacing w:after="120" w:line="240" w:lineRule="auto"/>
      <w:jc w:val="center"/>
    </w:pPr>
    <w:rPr>
      <w:rFonts w:ascii="Times New Roman" w:hAnsi="Times New Roman" w:cs="Times New Roman"/>
      <w:b/>
      <w:sz w:val="20"/>
      <w:szCs w:val="20"/>
    </w:rPr>
  </w:style>
  <w:style w:type="paragraph" w:styleId="ListBullet">
    <w:name w:val="List Bullet"/>
    <w:basedOn w:val="Normal"/>
    <w:pPr>
      <w:numPr>
        <w:numId w:val="15"/>
      </w:numPr>
      <w:spacing w:after="240" w:line="240" w:lineRule="auto"/>
      <w:jc w:val="both"/>
    </w:pPr>
    <w:rPr>
      <w:rFonts w:ascii="Times New Roman" w:eastAsia="Times New Roman" w:hAnsi="Times New Roman" w:cs="Times New Roman"/>
      <w:sz w:val="24"/>
      <w:szCs w:val="20"/>
    </w:rPr>
  </w:style>
  <w:style w:type="character" w:customStyle="1" w:styleId="FootnoteTextChar1">
    <w:name w:val="Footnote Text Char1"/>
    <w:aliases w:val="Footnote Char,Fußnote Char1,Testo nota a piè di pagina Carattere Char,Footnote text Char,Schriftart: 9 pt Char1,Schriftart: 10 pt Char1,Schriftart: 8 pt Char1,Testo nota a piè di pagina Carattere1 Carattere Char,fn Char1,ft Char"/>
    <w:basedOn w:val="DefaultParagraphFont"/>
    <w:link w:val="FootnoteText"/>
    <w:uiPriority w:val="99"/>
    <w:qFormat/>
    <w:rPr>
      <w:sz w:val="20"/>
      <w:szCs w:val="20"/>
    </w:rPr>
  </w:style>
  <w:style w:type="character" w:customStyle="1" w:styleId="ListParagraphChar">
    <w:name w:val="List Paragraph Char"/>
    <w:aliases w:val="List Paragraph2 Char,Numbered List Char,1st level - Bullet List Paragraph Char,Lettre d'introduction Char,Paragraph Char,Bullet EY Char,Bullet point 1 Char,Bullets Char,Medium Grid 1 - Accent 21 Char,Paragraphe de liste 2 Char"/>
    <w:link w:val="ListParagraph"/>
    <w:uiPriority w:val="34"/>
    <w:lock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aliases w:val="Footnote,Fußnote,Testo nota a piè di pagina Carattere,Footnote text,Schriftart: 9 pt,Schriftart: 10 pt,Schriftart: 8 pt,Testo nota a piè di pagina Carattere1 Carattere,Testo nota a piè di pagina Carattere Carattere1,fn,ft,Char"/>
    <w:basedOn w:val="Normal"/>
    <w:link w:val="FootnoteTextChar1"/>
    <w:uiPriority w:val="99"/>
    <w:unhideWhenUsed/>
    <w:qFormat/>
    <w:pPr>
      <w:spacing w:after="0" w:line="240" w:lineRule="auto"/>
    </w:pPr>
    <w:rPr>
      <w:sz w:val="20"/>
      <w:szCs w:val="20"/>
    </w:rPr>
  </w:style>
  <w:style w:type="character" w:customStyle="1" w:styleId="FootnoteTextChar">
    <w:name w:val="Footnote Text Char"/>
    <w:aliases w:val="Footnote Text Char1 Char,Schriftart: 9 pt Char,Schriftart: 10 pt Char,Schriftart: 8 pt Char,WB-Fußnotentext Char,Reference Char,Fußnote Char,fn Char,Footnote Text Char2 Char,Footnote Text Char Char1 Char,Ch Char,stile 1 Char,Fuß Char"/>
    <w:basedOn w:val="DefaultParagraphFont"/>
    <w:uiPriority w:val="99"/>
    <w:qFormat/>
    <w:rPr>
      <w:sz w:val="20"/>
      <w:szCs w:val="20"/>
    </w:rPr>
  </w:style>
  <w:style w:type="character" w:styleId="FootnoteReference">
    <w:name w:val="footnote reference"/>
    <w:aliases w:val="Footnote symbol,Voetnootverwijzing,Times 10 Point,Exposant 3 Point,Appel note de bas de p,BVI fnr,Footnote Reference Superscript,Footnote symboFußnotenzeichen,Footnote sign,EN Footnote Reference,fr,o,Footnote reference numbe"/>
    <w:link w:val="FootnotesymbolCharCharCharChar"/>
    <w:uiPriority w:val="99"/>
    <w:qFormat/>
    <w:rPr>
      <w:vertAlign w:val="superscript"/>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ListParagraph">
    <w:name w:val="List Paragraph"/>
    <w:aliases w:val="List Paragraph2,Numbered List,1st level - Bullet List Paragraph,Lettre d'introduction,Paragraph,Bullet EY,Bullet point 1,Bullets,Medium Grid 1 - Accent 21,Paragraphe de liste 2,Reference list,Table of contents numbered"/>
    <w:basedOn w:val="Normal"/>
    <w:link w:val="ListParagraphChar"/>
    <w:uiPriority w:val="34"/>
    <w:qFormat/>
    <w:pPr>
      <w:ind w:left="720"/>
      <w:contextualSpacing/>
    </w:pPr>
  </w:style>
  <w:style w:type="table" w:styleId="TableGrid">
    <w:name w:val="Table Grid"/>
    <w:aliases w:val="Document Table,CV1,Deloitte"/>
    <w:basedOn w:val="TableNormal"/>
    <w:uiPriority w:val="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Caption PSP,Caption - Centre Graphic,Char Char Char,Caption1 Char Char Char Char Char Char Char Char,Caption1 Char Char Char Char Char Char Char Char Tegn Tegn Tegn Tegn Tegn,Caption1 Char Char Char Char Char Char Char Char Tegn Tegn Tegn"/>
    <w:basedOn w:val="Normal"/>
    <w:next w:val="Normal"/>
    <w:link w:val="CaptionChar"/>
    <w:uiPriority w:val="35"/>
    <w:unhideWhenUsed/>
    <w:qFormat/>
    <w:pPr>
      <w:spacing w:before="120" w:line="240" w:lineRule="auto"/>
      <w:jc w:val="center"/>
    </w:pPr>
    <w:rPr>
      <w:rFonts w:ascii="Calibri" w:eastAsia="Times New Roman" w:hAnsi="Calibri" w:cs="Times New Roman"/>
      <w:i/>
      <w:iCs/>
      <w:color w:val="86BC25"/>
      <w:sz w:val="20"/>
      <w:szCs w:val="18"/>
    </w:rPr>
  </w:style>
  <w:style w:type="character" w:customStyle="1" w:styleId="CaptionChar">
    <w:name w:val="Caption Char"/>
    <w:aliases w:val="Caption PSP Char,Caption - Centre Graphic Char,Char Char Char Char,Caption1 Char Char Char Char Char Char Char Char Char,Caption1 Char Char Char Char Char Char Char Char Tegn Tegn Tegn Tegn Tegn Char"/>
    <w:link w:val="Caption"/>
    <w:uiPriority w:val="35"/>
    <w:rPr>
      <w:rFonts w:ascii="Calibri" w:eastAsia="Times New Roman" w:hAnsi="Calibri" w:cs="Times New Roman"/>
      <w:i/>
      <w:iCs/>
      <w:color w:val="86BC25"/>
      <w:sz w:val="20"/>
      <w:szCs w:val="18"/>
      <w:lang w:val="fr-FR"/>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pPr>
      <w:spacing w:after="160" w:line="240" w:lineRule="exact"/>
    </w:pPr>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Strong">
    <w:name w:val="Strong"/>
    <w:basedOn w:val="DefaultParagraphFont"/>
    <w:uiPriority w:val="22"/>
    <w:qFormat/>
    <w:rPr>
      <w:b/>
      <w:bCs/>
    </w:rPr>
  </w:style>
  <w:style w:type="paragraph" w:customStyle="1" w:styleId="Text4">
    <w:name w:val="Text 4"/>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customStyle="1" w:styleId="Sourcetables">
    <w:name w:val="Source tables"/>
    <w:basedOn w:val="Normal"/>
    <w:link w:val="SourcetablesChar"/>
    <w:qFormat/>
    <w:pPr>
      <w:spacing w:after="160" w:line="256" w:lineRule="auto"/>
    </w:pPr>
    <w:rPr>
      <w:rFonts w:ascii="Verdana" w:eastAsia="Times New Roman" w:hAnsi="Verdana" w:cs="Times New Roman"/>
      <w:i/>
      <w:sz w:val="18"/>
      <w:szCs w:val="18"/>
    </w:rPr>
  </w:style>
  <w:style w:type="character" w:customStyle="1" w:styleId="SourcetablesChar">
    <w:name w:val="Source tables Char"/>
    <w:basedOn w:val="DefaultParagraphFont"/>
    <w:link w:val="Sourcetables"/>
    <w:rPr>
      <w:rFonts w:ascii="Verdana" w:eastAsia="Times New Roman" w:hAnsi="Verdana" w:cs="Times New Roman"/>
      <w:i/>
      <w:sz w:val="18"/>
      <w:szCs w:val="18"/>
    </w:rPr>
  </w:style>
  <w:style w:type="paragraph" w:customStyle="1" w:styleId="BulletBody">
    <w:name w:val="Bullet Body"/>
    <w:basedOn w:val="Normal"/>
    <w:link w:val="BulletBodyChar"/>
    <w:qFormat/>
    <w:pPr>
      <w:numPr>
        <w:numId w:val="7"/>
      </w:numPr>
      <w:spacing w:before="120" w:after="120" w:line="240" w:lineRule="auto"/>
      <w:jc w:val="both"/>
    </w:pPr>
    <w:rPr>
      <w:rFonts w:ascii="Verdana" w:eastAsia="Times New Roman" w:hAnsi="Verdana" w:cs="EUAlbertina"/>
      <w:color w:val="000000"/>
      <w:sz w:val="20"/>
      <w:szCs w:val="19"/>
    </w:rPr>
  </w:style>
  <w:style w:type="character" w:customStyle="1" w:styleId="BulletBodyChar">
    <w:name w:val="Bullet Body Char"/>
    <w:basedOn w:val="DefaultParagraphFont"/>
    <w:link w:val="BulletBody"/>
    <w:rPr>
      <w:rFonts w:ascii="Verdana" w:eastAsia="Times New Roman" w:hAnsi="Verdana" w:cs="EUAlbertina"/>
      <w:color w:val="000000"/>
      <w:sz w:val="20"/>
      <w:szCs w:val="19"/>
      <w:lang w:eastAsia="fr-FR"/>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Body">
    <w:name w:val="Body"/>
    <w:basedOn w:val="Normal"/>
    <w:link w:val="BodyChar"/>
    <w:qFormat/>
    <w:pPr>
      <w:spacing w:before="120" w:after="120" w:line="240" w:lineRule="auto"/>
      <w:jc w:val="both"/>
    </w:pPr>
    <w:rPr>
      <w:rFonts w:ascii="Verdana" w:eastAsia="Times New Roman" w:hAnsi="Verdana" w:cs="Times New Roman"/>
      <w:sz w:val="20"/>
      <w:szCs w:val="20"/>
    </w:rPr>
  </w:style>
  <w:style w:type="character" w:customStyle="1" w:styleId="BodyChar">
    <w:name w:val="Body Char"/>
    <w:link w:val="Body"/>
    <w:rPr>
      <w:rFonts w:ascii="Verdana" w:eastAsia="Times New Roman" w:hAnsi="Verdana" w:cs="Times New Roman"/>
      <w:sz w:val="20"/>
      <w:szCs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pPr>
      <w:spacing w:before="60" w:after="160" w:line="240" w:lineRule="exact"/>
      <w:jc w:val="both"/>
    </w:pPr>
    <w:rPr>
      <w:rFonts w:ascii="Times New Roman" w:eastAsia="Times New Roman" w:hAnsi="Times New Roman" w:cs="Times New Roman"/>
      <w:sz w:val="20"/>
      <w:szCs w:val="20"/>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igure">
    <w:name w:val="Figure"/>
    <w:basedOn w:val="Normal"/>
    <w:pPr>
      <w:keepNext/>
      <w:tabs>
        <w:tab w:val="left" w:pos="10490"/>
      </w:tabs>
      <w:spacing w:after="120" w:line="240" w:lineRule="auto"/>
      <w:jc w:val="center"/>
    </w:pPr>
    <w:rPr>
      <w:rFonts w:ascii="Times New Roman" w:hAnsi="Times New Roman" w:cs="Times New Roman"/>
      <w:b/>
      <w:sz w:val="20"/>
      <w:szCs w:val="20"/>
    </w:rPr>
  </w:style>
  <w:style w:type="paragraph" w:styleId="ListBullet">
    <w:name w:val="List Bullet"/>
    <w:basedOn w:val="Normal"/>
    <w:pPr>
      <w:numPr>
        <w:numId w:val="15"/>
      </w:numPr>
      <w:spacing w:after="240" w:line="240" w:lineRule="auto"/>
      <w:jc w:val="both"/>
    </w:pPr>
    <w:rPr>
      <w:rFonts w:ascii="Times New Roman" w:eastAsia="Times New Roman" w:hAnsi="Times New Roman" w:cs="Times New Roman"/>
      <w:sz w:val="24"/>
      <w:szCs w:val="20"/>
    </w:rPr>
  </w:style>
  <w:style w:type="character" w:customStyle="1" w:styleId="FootnoteTextChar1">
    <w:name w:val="Footnote Text Char1"/>
    <w:aliases w:val="Footnote Char,Fußnote Char1,Testo nota a piè di pagina Carattere Char,Footnote text Char,Schriftart: 9 pt Char1,Schriftart: 10 pt Char1,Schriftart: 8 pt Char1,Testo nota a piè di pagina Carattere1 Carattere Char,fn Char1,ft Char"/>
    <w:basedOn w:val="DefaultParagraphFont"/>
    <w:link w:val="FootnoteText"/>
    <w:uiPriority w:val="99"/>
    <w:qFormat/>
    <w:rPr>
      <w:sz w:val="20"/>
      <w:szCs w:val="20"/>
    </w:rPr>
  </w:style>
  <w:style w:type="character" w:customStyle="1" w:styleId="ListParagraphChar">
    <w:name w:val="List Paragraph Char"/>
    <w:aliases w:val="List Paragraph2 Char,Numbered List Char,1st level - Bullet List Paragraph Char,Lettre d'introduction Char,Paragraph Char,Bullet EY Char,Bullet point 1 Char,Bullets Char,Medium Grid 1 - Accent 21 Char,Paragraphe de liste 2 Char"/>
    <w:link w:val="ListParagraph"/>
    <w:uiPriority w:val="34"/>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55815">
      <w:bodyDiv w:val="1"/>
      <w:marLeft w:val="0"/>
      <w:marRight w:val="0"/>
      <w:marTop w:val="0"/>
      <w:marBottom w:val="0"/>
      <w:divBdr>
        <w:top w:val="none" w:sz="0" w:space="0" w:color="auto"/>
        <w:left w:val="none" w:sz="0" w:space="0" w:color="auto"/>
        <w:bottom w:val="none" w:sz="0" w:space="0" w:color="auto"/>
        <w:right w:val="none" w:sz="0" w:space="0" w:color="auto"/>
      </w:divBdr>
    </w:div>
    <w:div w:id="116859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2.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chart" Target="charts/chart1.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justice/grants1/files/expost_evaluations_2007_2013/frc_programme_evaluation_final_report.pdf" TargetMode="External"/><Relationship Id="rId7" Type="http://schemas.openxmlformats.org/officeDocument/2006/relationships/hyperlink" Target="http://ec.europa.eu/education/participants/portal/desktop/en/home.html" TargetMode="External"/><Relationship Id="rId2" Type="http://schemas.openxmlformats.org/officeDocument/2006/relationships/hyperlink" Target="http://ec.europa.eu/justice/grants1/files/expost_evaluations_2007_2013/daphne_programme_evaluation__final_report.pdf" TargetMode="External"/><Relationship Id="rId1" Type="http://schemas.openxmlformats.org/officeDocument/2006/relationships/hyperlink" Target="https://ec.europa.eu/info/business-economy-euro/economic-and-fiscal-policy-coordination/eu-economic-governance-monitoring-prevention-correction/european-semester/framework/europe-2020-strategy_fr" TargetMode="External"/><Relationship Id="rId6" Type="http://schemas.openxmlformats.org/officeDocument/2006/relationships/hyperlink" Target="https://ec.europa.eu/info/law/law-topic/data-protection_fr" TargetMode="External"/><Relationship Id="rId5" Type="http://schemas.openxmlformats.org/officeDocument/2006/relationships/hyperlink" Target="http://ec.europa.eu/social/main.jsp?catId=1139&amp;langId=fr" TargetMode="External"/><Relationship Id="rId4" Type="http://schemas.openxmlformats.org/officeDocument/2006/relationships/hyperlink" Target="http://ec.europa.eu/social/BlobServlet?docId=12610&amp;langId=en"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acqual\AppData\Local\Local%20Documents%20-%20no%20backup\DGT\Dossiers\JUST\JUST-2018-80024\JUST-2018-80024-01-00-FR-SRC-0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jacqual\AppData\Local\Local%20Documents%20-%20no%20backup\DGT\Dossiers\JUST\JUST-2018-80024\JUST-2018-80024-00-00-FR-SRC-0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'RECdistribution of commit'!$B$4</c:f>
              <c:strCache>
                <c:ptCount val="1"/>
                <c:pt idx="0">
                  <c:v>Amount committed 2014</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'RECdistribution of commit'!$A$5:$A$34</c:f>
              <c:strCache>
                <c:ptCount val="30"/>
                <c:pt idx="0">
                  <c:v>DIS SA</c:v>
                </c:pt>
                <c:pt idx="1">
                  <c:v>DIS SF</c:v>
                </c:pt>
                <c:pt idx="2">
                  <c:v>DIS M</c:v>
                </c:pt>
                <c:pt idx="4">
                  <c:v>RAC SA</c:v>
                </c:pt>
                <c:pt idx="5">
                  <c:v>RAC SF</c:v>
                </c:pt>
                <c:pt idx="6">
                  <c:v>RAC M</c:v>
                </c:pt>
                <c:pt idx="8">
                  <c:v>HAND SA</c:v>
                </c:pt>
                <c:pt idx="9">
                  <c:v>HAND SF</c:v>
                </c:pt>
                <c:pt idx="10">
                  <c:v>HAND M</c:v>
                </c:pt>
                <c:pt idx="12">
                  <c:v>EGA SA</c:v>
                </c:pt>
                <c:pt idx="13">
                  <c:v>EGA SF</c:v>
                </c:pt>
                <c:pt idx="14">
                  <c:v>EGA M</c:v>
                </c:pt>
                <c:pt idx="16">
                  <c:v>VIO SA</c:v>
                </c:pt>
                <c:pt idx="17">
                  <c:v>VIO SF</c:v>
                </c:pt>
                <c:pt idx="18">
                  <c:v>VIO M</c:v>
                </c:pt>
                <c:pt idx="19">
                  <c:v>VIO SD</c:v>
                </c:pt>
                <c:pt idx="20">
                  <c:v>ENF SA</c:v>
                </c:pt>
                <c:pt idx="21">
                  <c:v>ENF SF</c:v>
                </c:pt>
                <c:pt idx="22">
                  <c:v>ENF M</c:v>
                </c:pt>
                <c:pt idx="23">
                  <c:v>DON SA</c:v>
                </c:pt>
                <c:pt idx="24">
                  <c:v>DON M</c:v>
                </c:pt>
                <c:pt idx="26">
                  <c:v>CIT SA</c:v>
                </c:pt>
                <c:pt idx="27">
                  <c:v>CIT M</c:v>
                </c:pt>
                <c:pt idx="29">
                  <c:v>CONS M</c:v>
                </c:pt>
              </c:strCache>
            </c:strRef>
          </c:cat>
          <c:val>
            <c:numRef>
              <c:f>'RECdistribution of commit'!$B$5:$B$34</c:f>
            </c:numRef>
          </c:val>
          <c:extLst xmlns:c16r2="http://schemas.microsoft.com/office/drawing/2015/06/chart">
            <c:ext xmlns:c16="http://schemas.microsoft.com/office/drawing/2014/chart" uri="{C3380CC4-5D6E-409C-BE32-E72D297353CC}">
              <c16:uniqueId val="{00000000-BA7F-49A1-B5F3-214CFEFD4BA9}"/>
            </c:ext>
          </c:extLst>
        </c:ser>
        <c:ser>
          <c:idx val="1"/>
          <c:order val="1"/>
          <c:tx>
            <c:strRef>
              <c:f>'RECdistribution of commit'!$C$4</c:f>
              <c:strCache>
                <c:ptCount val="1"/>
                <c:pt idx="0">
                  <c:v>Amount committed 2015</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'RECdistribution of commit'!$A$5:$A$34</c:f>
              <c:strCache>
                <c:ptCount val="30"/>
                <c:pt idx="0">
                  <c:v>DIS SA</c:v>
                </c:pt>
                <c:pt idx="1">
                  <c:v>DIS SF</c:v>
                </c:pt>
                <c:pt idx="2">
                  <c:v>DIS M</c:v>
                </c:pt>
                <c:pt idx="4">
                  <c:v>RAC SA</c:v>
                </c:pt>
                <c:pt idx="5">
                  <c:v>RAC SF</c:v>
                </c:pt>
                <c:pt idx="6">
                  <c:v>RAC M</c:v>
                </c:pt>
                <c:pt idx="8">
                  <c:v>HAND SA</c:v>
                </c:pt>
                <c:pt idx="9">
                  <c:v>HAND SF</c:v>
                </c:pt>
                <c:pt idx="10">
                  <c:v>HAND M</c:v>
                </c:pt>
                <c:pt idx="12">
                  <c:v>EGA SA</c:v>
                </c:pt>
                <c:pt idx="13">
                  <c:v>EGA SF</c:v>
                </c:pt>
                <c:pt idx="14">
                  <c:v>EGA M</c:v>
                </c:pt>
                <c:pt idx="16">
                  <c:v>VIO SA</c:v>
                </c:pt>
                <c:pt idx="17">
                  <c:v>VIO SF</c:v>
                </c:pt>
                <c:pt idx="18">
                  <c:v>VIO M</c:v>
                </c:pt>
                <c:pt idx="19">
                  <c:v>VIO SD</c:v>
                </c:pt>
                <c:pt idx="20">
                  <c:v>ENF SA</c:v>
                </c:pt>
                <c:pt idx="21">
                  <c:v>ENF SF</c:v>
                </c:pt>
                <c:pt idx="22">
                  <c:v>ENF M</c:v>
                </c:pt>
                <c:pt idx="23">
                  <c:v>DON SA</c:v>
                </c:pt>
                <c:pt idx="24">
                  <c:v>DON M</c:v>
                </c:pt>
                <c:pt idx="26">
                  <c:v>CIT SA</c:v>
                </c:pt>
                <c:pt idx="27">
                  <c:v>CIT M</c:v>
                </c:pt>
                <c:pt idx="29">
                  <c:v>CONS M</c:v>
                </c:pt>
              </c:strCache>
            </c:strRef>
          </c:cat>
          <c:val>
            <c:numRef>
              <c:f>'RECdistribution of commit'!$C$5:$C$34</c:f>
            </c:numRef>
          </c:val>
          <c:extLst xmlns:c16r2="http://schemas.microsoft.com/office/drawing/2015/06/chart">
            <c:ext xmlns:c16="http://schemas.microsoft.com/office/drawing/2014/chart" uri="{C3380CC4-5D6E-409C-BE32-E72D297353CC}">
              <c16:uniqueId val="{00000001-BA7F-49A1-B5F3-214CFEFD4BA9}"/>
            </c:ext>
          </c:extLst>
        </c:ser>
        <c:ser>
          <c:idx val="2"/>
          <c:order val="2"/>
          <c:tx>
            <c:strRef>
              <c:f>'RECdistribution of commit'!$D$4</c:f>
              <c:strCache>
                <c:ptCount val="1"/>
                <c:pt idx="0">
                  <c:v>Amount committed 2016</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'RECdistribution of commit'!$A$5:$A$34</c:f>
              <c:strCache>
                <c:ptCount val="30"/>
                <c:pt idx="0">
                  <c:v>DIS SA</c:v>
                </c:pt>
                <c:pt idx="1">
                  <c:v>DIS SF</c:v>
                </c:pt>
                <c:pt idx="2">
                  <c:v>DIS M</c:v>
                </c:pt>
                <c:pt idx="4">
                  <c:v>RAC SA</c:v>
                </c:pt>
                <c:pt idx="5">
                  <c:v>RAC SF</c:v>
                </c:pt>
                <c:pt idx="6">
                  <c:v>RAC M</c:v>
                </c:pt>
                <c:pt idx="8">
                  <c:v>HAND SA</c:v>
                </c:pt>
                <c:pt idx="9">
                  <c:v>HAND SF</c:v>
                </c:pt>
                <c:pt idx="10">
                  <c:v>HAND M</c:v>
                </c:pt>
                <c:pt idx="12">
                  <c:v>EGA SA</c:v>
                </c:pt>
                <c:pt idx="13">
                  <c:v>EGA SF</c:v>
                </c:pt>
                <c:pt idx="14">
                  <c:v>EGA M</c:v>
                </c:pt>
                <c:pt idx="16">
                  <c:v>VIO SA</c:v>
                </c:pt>
                <c:pt idx="17">
                  <c:v>VIO SF</c:v>
                </c:pt>
                <c:pt idx="18">
                  <c:v>VIO M</c:v>
                </c:pt>
                <c:pt idx="19">
                  <c:v>VIO SD</c:v>
                </c:pt>
                <c:pt idx="20">
                  <c:v>ENF SA</c:v>
                </c:pt>
                <c:pt idx="21">
                  <c:v>ENF SF</c:v>
                </c:pt>
                <c:pt idx="22">
                  <c:v>ENF M</c:v>
                </c:pt>
                <c:pt idx="23">
                  <c:v>DON SA</c:v>
                </c:pt>
                <c:pt idx="24">
                  <c:v>DON M</c:v>
                </c:pt>
                <c:pt idx="26">
                  <c:v>CIT SA</c:v>
                </c:pt>
                <c:pt idx="27">
                  <c:v>CIT M</c:v>
                </c:pt>
                <c:pt idx="29">
                  <c:v>CONS M</c:v>
                </c:pt>
              </c:strCache>
            </c:strRef>
          </c:cat>
          <c:val>
            <c:numRef>
              <c:f>'RECdistribution of commit'!$D$5:$D$34</c:f>
            </c:numRef>
          </c:val>
          <c:extLst xmlns:c16r2="http://schemas.microsoft.com/office/drawing/2015/06/chart">
            <c:ext xmlns:c16="http://schemas.microsoft.com/office/drawing/2014/chart" uri="{C3380CC4-5D6E-409C-BE32-E72D297353CC}">
              <c16:uniqueId val="{00000002-BA7F-49A1-B5F3-214CFEFD4BA9}"/>
            </c:ext>
          </c:extLst>
        </c:ser>
        <c:ser>
          <c:idx val="3"/>
          <c:order val="3"/>
          <c:tx>
            <c:strRef>
              <c:f>'RECdistribution of commit'!$E$4</c:f>
              <c:strCache>
                <c:ptCount val="1"/>
                <c:pt idx="0">
                  <c:v>Total amount committed</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'RECdistribution of commit'!$A$5:$A$34</c:f>
              <c:strCache>
                <c:ptCount val="30"/>
                <c:pt idx="0">
                  <c:v>DIS SA</c:v>
                </c:pt>
                <c:pt idx="1">
                  <c:v>DIS SF</c:v>
                </c:pt>
                <c:pt idx="2">
                  <c:v>DIS M</c:v>
                </c:pt>
                <c:pt idx="4">
                  <c:v>RAC SA</c:v>
                </c:pt>
                <c:pt idx="5">
                  <c:v>RAC SF</c:v>
                </c:pt>
                <c:pt idx="6">
                  <c:v>RAC M</c:v>
                </c:pt>
                <c:pt idx="8">
                  <c:v>HAND SA</c:v>
                </c:pt>
                <c:pt idx="9">
                  <c:v>HAND SF</c:v>
                </c:pt>
                <c:pt idx="10">
                  <c:v>HAND M</c:v>
                </c:pt>
                <c:pt idx="12">
                  <c:v>EGA SA</c:v>
                </c:pt>
                <c:pt idx="13">
                  <c:v>EGA SF</c:v>
                </c:pt>
                <c:pt idx="14">
                  <c:v>EGA M</c:v>
                </c:pt>
                <c:pt idx="16">
                  <c:v>VIO SA</c:v>
                </c:pt>
                <c:pt idx="17">
                  <c:v>VIO SF</c:v>
                </c:pt>
                <c:pt idx="18">
                  <c:v>VIO M</c:v>
                </c:pt>
                <c:pt idx="19">
                  <c:v>VIO SD</c:v>
                </c:pt>
                <c:pt idx="20">
                  <c:v>ENF SA</c:v>
                </c:pt>
                <c:pt idx="21">
                  <c:v>ENF SF</c:v>
                </c:pt>
                <c:pt idx="22">
                  <c:v>ENF M</c:v>
                </c:pt>
                <c:pt idx="23">
                  <c:v>DON SA</c:v>
                </c:pt>
                <c:pt idx="24">
                  <c:v>DON M</c:v>
                </c:pt>
                <c:pt idx="26">
                  <c:v>CIT SA</c:v>
                </c:pt>
                <c:pt idx="27">
                  <c:v>CIT M</c:v>
                </c:pt>
                <c:pt idx="29">
                  <c:v>CONS M</c:v>
                </c:pt>
              </c:strCache>
            </c:strRef>
          </c:cat>
          <c:val>
            <c:numRef>
              <c:f>'RECdistribution of commit'!$E$5:$E$34</c:f>
            </c:numRef>
          </c:val>
          <c:extLst xmlns:c16r2="http://schemas.microsoft.com/office/drawing/2015/06/chart">
            <c:ext xmlns:c16="http://schemas.microsoft.com/office/drawing/2014/chart" uri="{C3380CC4-5D6E-409C-BE32-E72D297353CC}">
              <c16:uniqueId val="{00000003-BA7F-49A1-B5F3-214CFEFD4BA9}"/>
            </c:ext>
          </c:extLst>
        </c:ser>
        <c:ser>
          <c:idx val="4"/>
          <c:order val="4"/>
          <c:tx>
            <c:strRef>
              <c:f>'RECdistribution of commit'!$F$4</c:f>
              <c:strCache>
                <c:ptCount val="1"/>
                <c:pt idx="0">
                  <c:v>Percentage of total committed per activity and per specific objective (2014-2015-2016)</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'RECdistribution of commit'!$A$5:$A$34</c:f>
              <c:strCache>
                <c:ptCount val="30"/>
                <c:pt idx="0">
                  <c:v>DIS SA</c:v>
                </c:pt>
                <c:pt idx="1">
                  <c:v>DIS SF</c:v>
                </c:pt>
                <c:pt idx="2">
                  <c:v>DIS M</c:v>
                </c:pt>
                <c:pt idx="4">
                  <c:v>RAC SA</c:v>
                </c:pt>
                <c:pt idx="5">
                  <c:v>RAC SF</c:v>
                </c:pt>
                <c:pt idx="6">
                  <c:v>RAC M</c:v>
                </c:pt>
                <c:pt idx="8">
                  <c:v>HAND SA</c:v>
                </c:pt>
                <c:pt idx="9">
                  <c:v>HAND SF</c:v>
                </c:pt>
                <c:pt idx="10">
                  <c:v>HAND M</c:v>
                </c:pt>
                <c:pt idx="12">
                  <c:v>EGA SA</c:v>
                </c:pt>
                <c:pt idx="13">
                  <c:v>EGA SF</c:v>
                </c:pt>
                <c:pt idx="14">
                  <c:v>EGA M</c:v>
                </c:pt>
                <c:pt idx="16">
                  <c:v>VIO SA</c:v>
                </c:pt>
                <c:pt idx="17">
                  <c:v>VIO SF</c:v>
                </c:pt>
                <c:pt idx="18">
                  <c:v>VIO M</c:v>
                </c:pt>
                <c:pt idx="19">
                  <c:v>VIO SD</c:v>
                </c:pt>
                <c:pt idx="20">
                  <c:v>ENF SA</c:v>
                </c:pt>
                <c:pt idx="21">
                  <c:v>ENF SF</c:v>
                </c:pt>
                <c:pt idx="22">
                  <c:v>ENF M</c:v>
                </c:pt>
                <c:pt idx="23">
                  <c:v>DON SA</c:v>
                </c:pt>
                <c:pt idx="24">
                  <c:v>DON M</c:v>
                </c:pt>
                <c:pt idx="26">
                  <c:v>CIT SA</c:v>
                </c:pt>
                <c:pt idx="27">
                  <c:v>CIT M</c:v>
                </c:pt>
                <c:pt idx="29">
                  <c:v>CONS M</c:v>
                </c:pt>
              </c:strCache>
            </c:strRef>
          </c:cat>
          <c:val>
            <c:numRef>
              <c:f>'RECdistribution of commit'!$F$5:$F$34</c:f>
              <c:numCache>
                <c:formatCode>0%</c:formatCode>
                <c:ptCount val="30"/>
                <c:pt idx="0">
                  <c:v>8.2197533236050932E-2</c:v>
                </c:pt>
                <c:pt idx="1">
                  <c:v>8.7167559643696144E-2</c:v>
                </c:pt>
                <c:pt idx="2">
                  <c:v>8.8882402095800228E-2</c:v>
                </c:pt>
                <c:pt idx="3">
                  <c:v>0</c:v>
                </c:pt>
                <c:pt idx="4">
                  <c:v>0.10729922789419991</c:v>
                </c:pt>
                <c:pt idx="5">
                  <c:v>0</c:v>
                </c:pt>
                <c:pt idx="6">
                  <c:v>2.4501613189752821E-3</c:v>
                </c:pt>
                <c:pt idx="7">
                  <c:v>0</c:v>
                </c:pt>
                <c:pt idx="8">
                  <c:v>1.0089590881551647E-2</c:v>
                </c:pt>
                <c:pt idx="9">
                  <c:v>5.3344506940504757E-2</c:v>
                </c:pt>
                <c:pt idx="10">
                  <c:v>3.1575930417027318E-2</c:v>
                </c:pt>
                <c:pt idx="11">
                  <c:v>0</c:v>
                </c:pt>
                <c:pt idx="12">
                  <c:v>6.5968533493022896E-2</c:v>
                </c:pt>
                <c:pt idx="13">
                  <c:v>1.9576750876421949E-2</c:v>
                </c:pt>
                <c:pt idx="14">
                  <c:v>3.1094791763286295E-2</c:v>
                </c:pt>
                <c:pt idx="15">
                  <c:v>0</c:v>
                </c:pt>
                <c:pt idx="16">
                  <c:v>0.19613041024987654</c:v>
                </c:pt>
                <c:pt idx="17">
                  <c:v>2.7540066370161972E-2</c:v>
                </c:pt>
                <c:pt idx="18">
                  <c:v>5.3499714046486109E-3</c:v>
                </c:pt>
                <c:pt idx="19">
                  <c:v>1.8051296351589429E-2</c:v>
                </c:pt>
                <c:pt idx="20">
                  <c:v>6.3320029264049116E-2</c:v>
                </c:pt>
                <c:pt idx="21">
                  <c:v>9.961891188477635E-3</c:v>
                </c:pt>
                <c:pt idx="22">
                  <c:v>4.059308268743002E-3</c:v>
                </c:pt>
                <c:pt idx="23">
                  <c:v>1.7596860794739932E-2</c:v>
                </c:pt>
                <c:pt idx="24">
                  <c:v>5.2847785959950367E-3</c:v>
                </c:pt>
                <c:pt idx="25">
                  <c:v>0</c:v>
                </c:pt>
                <c:pt idx="26">
                  <c:v>2.778436961880125E-2</c:v>
                </c:pt>
                <c:pt idx="27">
                  <c:v>1.2210357689261807E-2</c:v>
                </c:pt>
                <c:pt idx="28">
                  <c:v>0</c:v>
                </c:pt>
                <c:pt idx="29">
                  <c:v>3.3063671643118325E-2</c:v>
                </c:pt>
              </c:numCache>
            </c:numRef>
          </c:val>
          <c:extLst xmlns:c16r2="http://schemas.microsoft.com/office/drawing/2015/06/chart">
            <c:ext xmlns:c16="http://schemas.microsoft.com/office/drawing/2014/chart" uri="{C3380CC4-5D6E-409C-BE32-E72D297353CC}">
              <c16:uniqueId val="{00000004-BA7F-49A1-B5F3-214CFEFD4BA9}"/>
            </c:ext>
          </c:extLst>
        </c:ser>
        <c:dLbls>
          <c:dLblPos val="outEnd"/>
          <c:showLegendKey val="0"/>
          <c:showVal val="1"/>
          <c:showCatName val="0"/>
          <c:showSerName val="0"/>
          <c:showPercent val="0"/>
          <c:showBubbleSize val="0"/>
        </c:dLbls>
        <c:gapWidth val="80"/>
        <c:overlap val="25"/>
        <c:axId val="35358208"/>
        <c:axId val="35359744"/>
      </c:barChart>
      <c:catAx>
        <c:axId val="35358208"/>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35359744"/>
        <c:crosses val="autoZero"/>
        <c:auto val="1"/>
        <c:lblAlgn val="ctr"/>
        <c:lblOffset val="100"/>
        <c:noMultiLvlLbl val="0"/>
      </c:catAx>
      <c:valAx>
        <c:axId val="35359744"/>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3535820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'Number of AGs and OGs awarded'!$E$7</c:f>
              <c:strCache>
                <c:ptCount val="1"/>
                <c:pt idx="0">
                  <c:v>demandes 2014</c:v>
                </c:pt>
              </c:strCache>
            </c:strRef>
          </c:tx>
          <c:spPr>
            <a:solidFill>
              <a:srgbClr val="00B0F0"/>
            </a:solidFill>
          </c:spPr>
          <c:invertIfNegative val="0"/>
          <c:cat>
            <c:strRef>
              <c:f>'Number of AGs and OGs awarded'!$C$8:$C$26</c:f>
              <c:strCache>
                <c:ptCount val="19"/>
                <c:pt idx="0">
                  <c:v>DIS</c:v>
                </c:pt>
                <c:pt idx="3">
                  <c:v>RAC</c:v>
                </c:pt>
                <c:pt idx="6">
                  <c:v>HAND</c:v>
                </c:pt>
                <c:pt idx="9">
                  <c:v>EGA</c:v>
                </c:pt>
                <c:pt idx="12">
                  <c:v>VIO</c:v>
                </c:pt>
                <c:pt idx="15">
                  <c:v>ENF</c:v>
                </c:pt>
                <c:pt idx="18">
                  <c:v>CIT</c:v>
                </c:pt>
              </c:strCache>
            </c:strRef>
          </c:cat>
          <c:val>
            <c:numRef>
              <c:f>'Number of AGs and OGs awarded'!$E$8:$E$26</c:f>
              <c:numCache>
                <c:formatCode>General</c:formatCode>
                <c:ptCount val="19"/>
                <c:pt idx="0">
                  <c:v>286</c:v>
                </c:pt>
                <c:pt idx="3">
                  <c:v>85</c:v>
                </c:pt>
                <c:pt idx="6">
                  <c:v>16</c:v>
                </c:pt>
                <c:pt idx="9">
                  <c:v>19</c:v>
                </c:pt>
                <c:pt idx="12">
                  <c:v>391</c:v>
                </c:pt>
                <c:pt idx="15">
                  <c:v>73</c:v>
                </c:pt>
                <c:pt idx="18">
                  <c:v>84</c:v>
                </c:pt>
              </c:numCache>
            </c:numRef>
          </c:val>
          <c:extLst xmlns:c16r2="http://schemas.microsoft.com/office/drawing/2015/06/chart">
            <c:ext xmlns:c16="http://schemas.microsoft.com/office/drawing/2014/chart" uri="{C3380CC4-5D6E-409C-BE32-E72D297353CC}">
              <c16:uniqueId val="{00000000-E7DC-4520-85F8-B0A758A523D5}"/>
            </c:ext>
          </c:extLst>
        </c:ser>
        <c:ser>
          <c:idx val="1"/>
          <c:order val="1"/>
          <c:tx>
            <c:strRef>
              <c:f>'Number of AGs and OGs awarded'!$D$7</c:f>
              <c:strCache>
                <c:ptCount val="1"/>
                <c:pt idx="0">
                  <c:v>subventions 2014</c:v>
                </c:pt>
              </c:strCache>
            </c:strRef>
          </c:tx>
          <c:spPr>
            <a:solidFill>
              <a:schemeClr val="accent1">
                <a:lumMod val="60000"/>
                <a:lumOff val="40000"/>
              </a:schemeClr>
            </a:solidFill>
          </c:spPr>
          <c:invertIfNegative val="0"/>
          <c:cat>
            <c:strRef>
              <c:f>'Number of AGs and OGs awarded'!$C$8:$C$26</c:f>
              <c:strCache>
                <c:ptCount val="19"/>
                <c:pt idx="0">
                  <c:v>DIS</c:v>
                </c:pt>
                <c:pt idx="3">
                  <c:v>RAC</c:v>
                </c:pt>
                <c:pt idx="6">
                  <c:v>HAND</c:v>
                </c:pt>
                <c:pt idx="9">
                  <c:v>EGA</c:v>
                </c:pt>
                <c:pt idx="12">
                  <c:v>VIO</c:v>
                </c:pt>
                <c:pt idx="15">
                  <c:v>ENF</c:v>
                </c:pt>
                <c:pt idx="18">
                  <c:v>CIT</c:v>
                </c:pt>
              </c:strCache>
            </c:strRef>
          </c:cat>
          <c:val>
            <c:numRef>
              <c:f>'Number of AGs and OGs awarded'!$D$8:$D$26</c:f>
              <c:numCache>
                <c:formatCode>General</c:formatCode>
                <c:ptCount val="19"/>
                <c:pt idx="0">
                  <c:v>18</c:v>
                </c:pt>
                <c:pt idx="3">
                  <c:v>9</c:v>
                </c:pt>
                <c:pt idx="6">
                  <c:v>16</c:v>
                </c:pt>
                <c:pt idx="9">
                  <c:v>11</c:v>
                </c:pt>
                <c:pt idx="12">
                  <c:v>31</c:v>
                </c:pt>
                <c:pt idx="15">
                  <c:v>15</c:v>
                </c:pt>
                <c:pt idx="18">
                  <c:v>6</c:v>
                </c:pt>
              </c:numCache>
            </c:numRef>
          </c:val>
          <c:extLst xmlns:c16r2="http://schemas.microsoft.com/office/drawing/2015/06/chart">
            <c:ext xmlns:c16="http://schemas.microsoft.com/office/drawing/2014/chart" uri="{C3380CC4-5D6E-409C-BE32-E72D297353CC}">
              <c16:uniqueId val="{00000008-E7DC-4520-85F8-B0A758A523D5}"/>
            </c:ext>
          </c:extLst>
        </c:ser>
        <c:ser>
          <c:idx val="2"/>
          <c:order val="2"/>
          <c:tx>
            <c:strRef>
              <c:f>'Number of AGs and OGs awarded'!$G$7</c:f>
              <c:strCache>
                <c:ptCount val="1"/>
                <c:pt idx="0">
                  <c:v>demandes 2015</c:v>
                </c:pt>
              </c:strCache>
            </c:strRef>
          </c:tx>
          <c:invertIfNegative val="0"/>
          <c:cat>
            <c:strRef>
              <c:f>'Number of AGs and OGs awarded'!$C$8:$C$26</c:f>
              <c:strCache>
                <c:ptCount val="19"/>
                <c:pt idx="0">
                  <c:v>DIS</c:v>
                </c:pt>
                <c:pt idx="3">
                  <c:v>RAC</c:v>
                </c:pt>
                <c:pt idx="6">
                  <c:v>HAND</c:v>
                </c:pt>
                <c:pt idx="9">
                  <c:v>EGA</c:v>
                </c:pt>
                <c:pt idx="12">
                  <c:v>VIO</c:v>
                </c:pt>
                <c:pt idx="15">
                  <c:v>ENF</c:v>
                </c:pt>
                <c:pt idx="18">
                  <c:v>CIT</c:v>
                </c:pt>
              </c:strCache>
            </c:strRef>
          </c:cat>
          <c:val>
            <c:numRef>
              <c:f>'Number of AGs and OGs awarded'!$G$8:$G$26</c:f>
              <c:numCache>
                <c:formatCode>General</c:formatCode>
                <c:ptCount val="19"/>
                <c:pt idx="1">
                  <c:v>210</c:v>
                </c:pt>
                <c:pt idx="4">
                  <c:v>134</c:v>
                </c:pt>
                <c:pt idx="7">
                  <c:v>9</c:v>
                </c:pt>
                <c:pt idx="10">
                  <c:v>123</c:v>
                </c:pt>
                <c:pt idx="13">
                  <c:v>379</c:v>
                </c:pt>
                <c:pt idx="16">
                  <c:v>41</c:v>
                </c:pt>
              </c:numCache>
            </c:numRef>
          </c:val>
          <c:extLst xmlns:c16r2="http://schemas.microsoft.com/office/drawing/2015/06/chart">
            <c:ext xmlns:c16="http://schemas.microsoft.com/office/drawing/2014/chart" uri="{C3380CC4-5D6E-409C-BE32-E72D297353CC}">
              <c16:uniqueId val="{0000000F-E7DC-4520-85F8-B0A758A523D5}"/>
            </c:ext>
          </c:extLst>
        </c:ser>
        <c:ser>
          <c:idx val="3"/>
          <c:order val="3"/>
          <c:tx>
            <c:strRef>
              <c:f>'Number of AGs and OGs awarded'!$F$7</c:f>
              <c:strCache>
                <c:ptCount val="1"/>
                <c:pt idx="0">
                  <c:v>subventions 2015</c:v>
                </c:pt>
              </c:strCache>
            </c:strRef>
          </c:tx>
          <c:spPr>
            <a:solidFill>
              <a:srgbClr val="EEECE1"/>
            </a:solidFill>
          </c:spPr>
          <c:invertIfNegative val="0"/>
          <c:cat>
            <c:strRef>
              <c:f>'Number of AGs and OGs awarded'!$C$8:$C$26</c:f>
              <c:strCache>
                <c:ptCount val="19"/>
                <c:pt idx="0">
                  <c:v>DIS</c:v>
                </c:pt>
                <c:pt idx="3">
                  <c:v>RAC</c:v>
                </c:pt>
                <c:pt idx="6">
                  <c:v>HAND</c:v>
                </c:pt>
                <c:pt idx="9">
                  <c:v>EGA</c:v>
                </c:pt>
                <c:pt idx="12">
                  <c:v>VIO</c:v>
                </c:pt>
                <c:pt idx="15">
                  <c:v>ENF</c:v>
                </c:pt>
                <c:pt idx="18">
                  <c:v>CIT</c:v>
                </c:pt>
              </c:strCache>
            </c:strRef>
          </c:cat>
          <c:val>
            <c:numRef>
              <c:f>'Number of AGs and OGs awarded'!$F$8:$F$26</c:f>
              <c:numCache>
                <c:formatCode>General</c:formatCode>
                <c:ptCount val="19"/>
                <c:pt idx="1">
                  <c:v>32</c:v>
                </c:pt>
                <c:pt idx="4">
                  <c:v>10</c:v>
                </c:pt>
                <c:pt idx="7">
                  <c:v>9</c:v>
                </c:pt>
                <c:pt idx="10">
                  <c:v>10</c:v>
                </c:pt>
                <c:pt idx="13">
                  <c:v>52</c:v>
                </c:pt>
                <c:pt idx="16">
                  <c:v>11</c:v>
                </c:pt>
              </c:numCache>
            </c:numRef>
          </c:val>
          <c:extLst xmlns:c16r2="http://schemas.microsoft.com/office/drawing/2015/06/chart">
            <c:ext xmlns:c16="http://schemas.microsoft.com/office/drawing/2014/chart" uri="{C3380CC4-5D6E-409C-BE32-E72D297353CC}">
              <c16:uniqueId val="{00000016-E7DC-4520-85F8-B0A758A523D5}"/>
            </c:ext>
          </c:extLst>
        </c:ser>
        <c:dLbls>
          <c:showLegendKey val="0"/>
          <c:showVal val="0"/>
          <c:showCatName val="0"/>
          <c:showSerName val="0"/>
          <c:showPercent val="0"/>
          <c:showBubbleSize val="0"/>
        </c:dLbls>
        <c:gapWidth val="0"/>
        <c:overlap val="100"/>
        <c:axId val="70164864"/>
        <c:axId val="70166400"/>
      </c:barChart>
      <c:catAx>
        <c:axId val="70164864"/>
        <c:scaling>
          <c:orientation val="minMax"/>
        </c:scaling>
        <c:delete val="0"/>
        <c:axPos val="b"/>
        <c:numFmt formatCode="General" sourceLinked="0"/>
        <c:majorTickMark val="out"/>
        <c:minorTickMark val="none"/>
        <c:tickLblPos val="nextTo"/>
        <c:crossAx val="70166400"/>
        <c:crosses val="autoZero"/>
        <c:auto val="1"/>
        <c:lblAlgn val="ctr"/>
        <c:lblOffset val="100"/>
        <c:noMultiLvlLbl val="0"/>
      </c:catAx>
      <c:valAx>
        <c:axId val="70166400"/>
        <c:scaling>
          <c:orientation val="minMax"/>
        </c:scaling>
        <c:delete val="0"/>
        <c:axPos val="l"/>
        <c:majorGridlines/>
        <c:numFmt formatCode="General" sourceLinked="1"/>
        <c:majorTickMark val="out"/>
        <c:minorTickMark val="none"/>
        <c:tickLblPos val="nextTo"/>
        <c:crossAx val="70164864"/>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5FD6B-175D-40B0-BDB9-C3CE02C4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15</Pages>
  <Words>6217</Words>
  <Characters>35252</Characters>
  <Application>Microsoft Office Word</Application>
  <DocSecurity>0</DocSecurity>
  <Lines>568</Lines>
  <Paragraphs>160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41309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55</cp:revision>
  <cp:lastPrinted>2017-12-07T09:01:00Z</cp:lastPrinted>
  <dcterms:created xsi:type="dcterms:W3CDTF">2018-05-26T22:10:00Z</dcterms:created>
  <dcterms:modified xsi:type="dcterms:W3CDTF">2018-06-27T05:50:00Z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