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F52EB348-C4BD-4552-A0C6-23C637B967A9" style="width:450.4pt;height:383.4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adjustRightInd w:val="0"/>
        <w:spacing w:before="0" w:after="0"/>
        <w:jc w:val="left"/>
        <w:rPr>
          <w:noProof/>
        </w:rPr>
      </w:pPr>
      <w:bookmarkStart w:id="0" w:name="_GoBack"/>
      <w:bookmarkEnd w:id="0"/>
    </w:p>
    <w:p>
      <w:pPr>
        <w:pStyle w:val="CRSeparator"/>
        <w:rPr>
          <w:noProof/>
        </w:rPr>
      </w:pPr>
    </w:p>
    <w:p>
      <w:pPr>
        <w:pStyle w:val="CRReference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>QUOTE "é"</w:instrText>
      </w:r>
      <w:r>
        <w:rPr>
          <w:noProof/>
        </w:rPr>
        <w:fldChar w:fldCharType="end"/>
      </w:r>
    </w:p>
    <w:p>
      <w:pPr>
        <w:pStyle w:val="Annexetitre"/>
        <w:rPr>
          <w:noProof/>
        </w:rPr>
      </w:pPr>
      <w:r>
        <w:rPr>
          <w:noProof/>
        </w:rPr>
        <w:t>ANNEXE I</w:t>
      </w:r>
    </w:p>
    <w:p>
      <w:pPr>
        <w:jc w:val="center"/>
        <w:rPr>
          <w:b/>
          <w:noProof/>
        </w:rPr>
      </w:pPr>
      <w:bookmarkStart w:id="1" w:name="_CopyToNewDocument_"/>
      <w:bookmarkEnd w:id="1"/>
      <w:r>
        <w:rPr>
          <w:b/>
          <w:noProof/>
        </w:rPr>
        <w:t>Règlement abrogé avec sa modification</w:t>
      </w:r>
    </w:p>
    <w:tbl>
      <w:tblPr>
        <w:tblW w:w="900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2"/>
        <w:gridCol w:w="3428"/>
      </w:tblGrid>
      <w:tr>
        <w:trPr>
          <w:cantSplit/>
        </w:trPr>
        <w:tc>
          <w:tcPr>
            <w:tcW w:w="5572" w:type="dxa"/>
          </w:tcPr>
          <w:p>
            <w:pPr>
              <w:jc w:val="left"/>
              <w:rPr>
                <w:rStyle w:val="Strong"/>
                <w:bCs/>
                <w:noProof/>
                <w:color w:val="444444"/>
              </w:rPr>
            </w:pPr>
            <w:r>
              <w:rPr>
                <w:rStyle w:val="Strong"/>
                <w:noProof/>
                <w:color w:val="444444"/>
              </w:rPr>
              <w:t>Règlement (CE) n° 377/2004 du Conseil</w:t>
            </w:r>
          </w:p>
        </w:tc>
        <w:tc>
          <w:tcPr>
            <w:tcW w:w="3428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(JO L 64 du 2.3.2004, p. 1)</w:t>
            </w:r>
          </w:p>
        </w:tc>
      </w:tr>
      <w:tr>
        <w:trPr>
          <w:cantSplit/>
        </w:trPr>
        <w:tc>
          <w:tcPr>
            <w:tcW w:w="5572" w:type="dxa"/>
          </w:tcPr>
          <w:p>
            <w:pPr>
              <w:spacing w:before="240" w:after="60"/>
              <w:jc w:val="left"/>
              <w:rPr>
                <w:rFonts w:eastAsia="Times New Roman"/>
                <w:bCs/>
                <w:noProof/>
              </w:rPr>
            </w:pPr>
            <w:r>
              <w:rPr>
                <w:rStyle w:val="Strong"/>
                <w:noProof/>
                <w:color w:val="444444"/>
              </w:rPr>
              <w:t>Règlement (UE) nº 493/2011 de la Commission.</w:t>
            </w:r>
          </w:p>
        </w:tc>
        <w:tc>
          <w:tcPr>
            <w:tcW w:w="3428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(JO L 141 du 27.5.2011, p. 13)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</w:t>
      </w:r>
    </w:p>
    <w:p>
      <w:pPr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8" w:bottom="1134" w:left="1418" w:header="709" w:footer="709" w:gutter="0"/>
          <w:cols w:space="708"/>
          <w:docGrid w:linePitch="360"/>
        </w:sect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ANNEXE VII</w:t>
      </w:r>
    </w:p>
    <w:p>
      <w:pPr>
        <w:keepNext/>
        <w:spacing w:before="360"/>
        <w:jc w:val="center"/>
        <w:outlineLvl w:val="0"/>
        <w:rPr>
          <w:b/>
          <w:smallCaps/>
          <w:noProof/>
        </w:rPr>
      </w:pPr>
      <w:r>
        <w:rPr>
          <w:b/>
          <w:smallCaps/>
          <w:noProof/>
        </w:rPr>
        <w:t>Tableau de correspondance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</w:tblGrid>
      <w:tr>
        <w:tc>
          <w:tcPr>
            <w:tcW w:w="4674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Règlement (CE) n° 377/2004</w:t>
            </w:r>
          </w:p>
        </w:tc>
        <w:tc>
          <w:tcPr>
            <w:tcW w:w="4674" w:type="dxa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Présent règlement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1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2, termes introductifs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1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2, point 1, phrase introductive et point 1, sous a)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2, point 1, sous b) et c)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2, point 1, sous d)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2, paragraphe 2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3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4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2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1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3</w:t>
            </w:r>
            <w:r>
              <w:rPr>
                <w:noProof/>
                <w:vertAlign w:val="superscript"/>
              </w:rPr>
              <w:t>er</w:t>
            </w:r>
            <w:r>
              <w:rPr>
                <w:noProof/>
              </w:rPr>
              <w:t>, paragraphe 1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2, paragraphe 2, phrases introductives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3, paragraphe 2, phrases introductives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2, paragraphe 2, premier tiret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3, paragraphe 2, point a)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 2, paragraphe 2, deuxième tiret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Article 3, paragraphe 2, point b)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_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Annexe I</w:t>
            </w:r>
          </w:p>
        </w:tc>
      </w:tr>
      <w:tr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–</w:t>
            </w:r>
          </w:p>
        </w:tc>
        <w:tc>
          <w:tcPr>
            <w:tcW w:w="467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Annexe II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t>_____________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556E6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B1CDE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F62D9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03A43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5C42D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A9E33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3B8CC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49C1B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isplayBackgroundShape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29 10:25:3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u"/>
    <w:docVar w:name="LW_ACCOMPAGNANT.CP" w:val="du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F52EB348-C4BD-4552-A0C6-23C637B967A9"/>
    <w:docVar w:name="LW_COVERPAGE_TYPE" w:val="1"/>
    <w:docVar w:name="LW_CROSSREFERENCE" w:val="{SWD(2018) 197 final}"/>
    <w:docVar w:name="LW_DocType" w:val="ANNEX"/>
    <w:docVar w:name="LW_EMISSION" w:val="16.5.2018"/>
    <w:docVar w:name="LW_EMISSION_ISODATE" w:val="2018-05-16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f à la création d\u8217?un réseau européen d\u8217?officiers de liaison «Immigration» (refonte)"/>
    <w:docVar w:name="LW_OBJETACTEPRINCIPAL.CP" w:val="relatif à la création d\u8217?un réseau européen d\u8217?officiers de liaison «Immigration» (refonte)"/>
    <w:docVar w:name="LW_PART_NBR" w:val="1"/>
    <w:docVar w:name="LW_PART_NBR_TOTAL" w:val="1"/>
    <w:docVar w:name="LW_REF.INST.NEW" w:val="COM"/>
    <w:docVar w:name="LW_REF.INST.NEW_ADOPTED" w:val="final"/>
    <w:docVar w:name="LW_REF.INST.NEW_TEXT" w:val="(2018) 30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règlement du Parlement européen et du Conseil"/>
    <w:docVar w:name="LW_TYPEACTEPRINCIPAL.CP" w:val="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CRMarker">
    <w:name w:val="CR Marker"/>
    <w:basedOn w:val="DefaultParagraphFont"/>
    <w:uiPriority w:val="99"/>
    <w:rPr>
      <w:rFonts w:ascii="Wingdings" w:hAnsi="Wingdings" w:cs="Wingdings"/>
    </w:rPr>
  </w:style>
  <w:style w:type="paragraph" w:customStyle="1" w:styleId="CRSeparator">
    <w:name w:val="CR Separator"/>
    <w:basedOn w:val="Normal"/>
    <w:next w:val="CRReference"/>
    <w:uiPriority w:val="99"/>
    <w:pPr>
      <w:keepNext/>
      <w:pBdr>
        <w:top w:val="single" w:sz="4" w:space="1" w:color="auto"/>
      </w:pBdr>
      <w:autoSpaceDE w:val="0"/>
      <w:autoSpaceDN w:val="0"/>
      <w:spacing w:before="0" w:after="0"/>
    </w:pPr>
    <w:rPr>
      <w:rFonts w:eastAsiaTheme="minorEastAsia"/>
      <w:szCs w:val="24"/>
    </w:rPr>
  </w:style>
  <w:style w:type="paragraph" w:customStyle="1" w:styleId="CRReference">
    <w:name w:val="CR Reference"/>
    <w:basedOn w:val="Normal"/>
    <w:uiPriority w:val="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before="0" w:after="0"/>
      <w:ind w:left="5670"/>
      <w:jc w:val="left"/>
    </w:pPr>
    <w:rPr>
      <w:rFonts w:eastAsiaTheme="minorEastAsia"/>
      <w:szCs w:val="24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164</Words>
  <Characters>829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BARETTE Anne (EMPL)</dc:creator>
  <cp:lastModifiedBy>DIGIT/A3</cp:lastModifiedBy>
  <cp:revision>8</cp:revision>
  <dcterms:created xsi:type="dcterms:W3CDTF">2018-06-28T19:16:00Z</dcterms:created>
  <dcterms:modified xsi:type="dcterms:W3CDTF">2018-06-29T08:25:00Z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