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EA8929C7-E9DA-4305-B43A-440C48BA9FE7" style="width:450.8pt;height:381.5pt">
            <v:imagedata r:id="rId12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Обобщение</w:t>
            </w:r>
          </w:p>
        </w:tc>
      </w:tr>
      <w:t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before="120" w:after="120"/>
              <w:jc w:val="both"/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Оценка на въздействието на предложение за Директива на Съвета относно общия режим на облагане с акциз и за отмяна на Директива 2008/118/ЕО (преработен текст).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A. Необходимост от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Въпреки че Директива 2008/118/ЕО се смята от държавите членки и от икономическите оператори за огромно подобрение спрямо предшестващата я Директива 92/12/ЕИО, бяха набелязани няколко области, нуждаещи се от подобрение: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липса на синхронизация между акцизните и митническите процедури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процедурите между предприятия, при които се плаща акциз (100 000 на година), продължават да се извършват на хартиен носител</w:t>
            </w:r>
          </w:p>
          <w:p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някои от разпоредбите водят до използване на различни процедури в държавите членки и съответно до усложнения за икономическите оператори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Инициативата има за цел да намери равновесие между необходимостта да се улесни законната презгранична търговия и необходимостта да се осигури осъществяването на ефективен контрол и мониторинг с цел събиране на акцизните задължения.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При липса на действие на равнището на ЕС при взаимодействията митници — акцизи и в извънредни ситуации държавите членки могат да прилагат различни правила, което създава несигурност и разходи за икономическите оператори.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Извършваните на хартиен носител процедури за движенията между предприятия, при които се плаща акциз, не може да бъдат подобрени без координация в рамките на целия ЕС поради необходимостта от споделяне на общи данни и използване на общи стандарти за оперативна съвместимост.</w:t>
            </w:r>
          </w:p>
        </w:tc>
      </w:tr>
    </w:tbl>
    <w:p>
      <w:pPr>
        <w:rPr>
          <w:noProof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на политиката са разгледани? Има ли предпочитан вариант?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 следната таблица е обобщено какво решение или какви решения се предвиждат за различните проблеми:</w:t>
            </w:r>
          </w:p>
          <w:p>
            <w:pPr>
              <w:tabs>
                <w:tab w:val="center" w:pos="3261"/>
                <w:tab w:val="center" w:pos="6240"/>
                <w:tab w:val="center" w:pos="8931"/>
              </w:tabs>
              <w:jc w:val="both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  <w:sz w:val="20"/>
              </w:rPr>
              <w:t>Взаимодействия „акцизи — митници“</w:t>
            </w: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  <w:sz w:val="20"/>
              </w:rPr>
              <w:t>Процедури между предприятия, при които се плаща акциз</w:t>
            </w:r>
            <w:r>
              <w:rPr>
                <w:noProof/>
              </w:rPr>
              <w:tab/>
              <w:t xml:space="preserve">            </w:t>
            </w:r>
          </w:p>
          <w:p>
            <w:pPr>
              <w:tabs>
                <w:tab w:val="center" w:pos="3261"/>
                <w:tab w:val="center" w:pos="6240"/>
                <w:tab w:val="center" w:pos="8931"/>
              </w:tabs>
              <w:jc w:val="both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Извънредни ситуации</w:t>
            </w:r>
          </w:p>
          <w:p>
            <w:pPr>
              <w:tabs>
                <w:tab w:val="center" w:pos="3261"/>
                <w:tab w:val="center" w:pos="6240"/>
                <w:tab w:val="center" w:pos="8931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Синхронизация</w:t>
            </w: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  <w:sz w:val="20"/>
              </w:rPr>
              <w:t>X</w:t>
            </w:r>
          </w:p>
          <w:p>
            <w:pPr>
              <w:tabs>
                <w:tab w:val="center" w:pos="3261"/>
                <w:tab w:val="center" w:pos="6240"/>
                <w:tab w:val="center" w:pos="8931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Кръстосана проверка на данните</w:t>
            </w: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  <w:sz w:val="20"/>
              </w:rPr>
              <w:t>X</w:t>
            </w:r>
          </w:p>
          <w:p>
            <w:pPr>
              <w:tabs>
                <w:tab w:val="center" w:pos="3261"/>
                <w:tab w:val="center" w:pos="6240"/>
                <w:tab w:val="center" w:pos="8931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Автоматизация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  <w:sz w:val="20"/>
              </w:rPr>
              <w:t>X</w:t>
            </w:r>
          </w:p>
          <w:p>
            <w:pPr>
              <w:tabs>
                <w:tab w:val="center" w:pos="3261"/>
                <w:tab w:val="center" w:pos="6240"/>
                <w:tab w:val="center" w:pos="8931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Общи правила</w:t>
            </w: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  <w:sz w:val="20"/>
              </w:rPr>
              <w:t>X</w:t>
            </w: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  <w:sz w:val="20"/>
              </w:rPr>
              <w:t>X</w:t>
            </w:r>
            <w:r>
              <w:rPr>
                <w:noProof/>
              </w:rPr>
              <w:tab/>
            </w:r>
            <w:r>
              <w:rPr>
                <w:rFonts w:ascii="Arial" w:hAnsi="Arial"/>
                <w:noProof/>
                <w:sz w:val="20"/>
              </w:rPr>
              <w:t>X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shd w:val="clear" w:color="auto" w:fill="CCCCCC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Кой подкрепя отделните варианти?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Държавите членки подкрепят вариантите за кръстосана проверка на данните между акцизите и митниците и автоматизация на процедурите между предприятия, при които се плаща акциз, особено ако на територията им се извършват много движения или ако акцизната им ставка е висока, защото се очаква тези варианти да снижат административните разходи и да намалят случаите на измами.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Икономическите оператори подкрепят вариантите с автоматизацията на процедурите между предприятия и всички предпочитани общи правила, защото се очаква тези варианти да снижат разходите им при презгранична търговия.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Въздействие на предпочитания вариант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предпочитания вариант (ако има такъв; в противен случай — от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w:t xml:space="preserve">Годишните ползи за държавите членки и икономическите оператори се оценяват съответно на 14,55 и 32,27 милиона евро.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предпочитания вариант (ако има такъв; в противен случай — за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Автоматизация на процедурите между предприятия: еднократните първоначални разходи и годишните повтарящи се разходи за държавите членки се оценяват на</w:t>
            </w:r>
            <w:r>
              <w:rPr>
                <w:noProof/>
              </w:rPr>
              <w:t xml:space="preserve"> </w:t>
            </w:r>
            <w:r>
              <w:rPr>
                <w:rFonts w:ascii="Arial" w:hAnsi="Arial"/>
                <w:noProof/>
                <w:sz w:val="20"/>
              </w:rPr>
              <w:t>21,52 милиона евро.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Еднократните първоначални разходи и годишните повтарящи се разходи за икономическите оператори се оценяват на 18,85 милиона евро.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предприятията, МСП и микропредприятията?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Очаква се автоматизацията на процедурите между предприятия, при които се плаща акциз, да имат положително въздействие върху МСП, тъй като те са основните им ползватели. 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Общите изисквания за алтернативно доказателство за извеждане и за извънредните ситуации може да имат положително въздействие върху МСП, тъй като ще снижат разходите за спорове с други държави членки, различни от държавата членка на установяване, и може да повишат конкурентоспособността на МСП.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въздействие върху националните бюджети и администрации?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 се очаква значително въздействие върху националните бюджети и администрации, с изключение на разходите и ползите, посочени в предходните раздели.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значителни въздействия?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 се очаква да има въздействие върху другите политики, като например основните права, здравеопазването и околната среда.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 се очаква да има въздействие и върху другите заинтересовани страни, като например гражданите или потребителите.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tabs>
                <w:tab w:val="center" w:pos="4986"/>
              </w:tabs>
              <w:spacing w:before="60" w:after="60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/>
                <w:b/>
                <w:noProof/>
                <w:sz w:val="22"/>
              </w:rPr>
              <w:t>Г. Последващи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политиката?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Комисията ще изготви ретроспективна оценка на функционирането на новото законодателство пет години след влизането му в сила.</w:t>
            </w:r>
          </w:p>
        </w:tc>
      </w:tr>
    </w:tbl>
    <w:p>
      <w:pPr>
        <w:rPr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77599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53EA"/>
    <w:multiLevelType w:val="hybridMultilevel"/>
    <w:tmpl w:val="E4D2CF8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EA8929C7-E9DA-4305-B43A-440C48BA9FE7"/>
    <w:docVar w:name="LW_COVERPAGE_TYPE" w:val="1"/>
    <w:docVar w:name="LW_CROSSREFERENCE" w:val="{COM(2018) 346 final}_x000b_{SEC(2018) 255 final}_x000b_{SWD(2018) 260 final}"/>
    <w:docVar w:name="LW_DocType" w:val="NORMAL"/>
    <w:docVar w:name="LW_EMISSION" w:val="25.5.2018"/>
    <w:docVar w:name="LW_EMISSION_ISODATE" w:val="2018-05-25"/>
    <w:docVar w:name="LW_EMISSION_LOCATION" w:val="BRX"/>
    <w:docVar w:name="LW_EMISSION_PREFIX" w:val="Брюксел, 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6?\u1087?\u1088?\u1077?\u1076?\u1077?\u1083?\u1103?\u1085?\u1077? \u1085?\u1072? \u1086?\u1073?\u1097?\u1080?\u1103? \u1088?\u1077?\u1078?\u1080?\u1084? \u1079?\u1072? \u1086?\u1073?\u1083?\u1072?\u1075?\u1072?\u1085?\u1077? \u1089? \u1072?\u1082?\u1094?\u1080?\u1079? (\u1087?\u1088?\u1077?\u1088?\u1072?\u1073?\u1086?\u1090?\u1077?\u1085? \u1090?\u1077?\u1082?\u1089?\u1090?)"/>
    <w:docVar w:name="LW_PART_NBR" w:val="1"/>
    <w:docVar w:name="LW_PART_NBR_TOTAL" w:val="1"/>
    <w:docVar w:name="LW_REF.INST.NEW" w:val="SWD"/>
    <w:docVar w:name="LW_REF.INST.NEW_ADOPTED" w:val="final"/>
    <w:docVar w:name="LW_REF.INST.NEW_TEXT" w:val="(2018) 26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44?\u1080?\u1088?\u1077?\u1082?\u1090?\u1080?\u1074?\u1072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DCF41F10D214DBDDF7E1F5EB8F7C1" ma:contentTypeVersion="1" ma:contentTypeDescription="Create a new document." ma:contentTypeScope="" ma:versionID="4d11a2104eb79e191fab213970d36f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88CBB-D78F-412D-9B35-4671E1A4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228E3-FEEC-429F-8C93-CFCC37DE56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74685F9-246C-4D23-B245-F68BF6D6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649</Words>
  <Characters>3959</Characters>
  <Application>Microsoft Office Word</Application>
  <DocSecurity>0</DocSecurity>
  <Lines>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24</cp:revision>
  <dcterms:created xsi:type="dcterms:W3CDTF">2018-04-27T11:55:00Z</dcterms:created>
  <dcterms:modified xsi:type="dcterms:W3CDTF">2018-07-03T08:25:00Z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  <property fmtid="{D5CDD505-2E9C-101B-9397-08002B2CF9AE}" pid="9" name="ContentTypeId">
    <vt:lpwstr>0x010100AB6DCF41F10D214DBDDF7E1F5EB8F7C1</vt:lpwstr>
  </property>
  <property fmtid="{D5CDD505-2E9C-101B-9397-08002B2CF9AE}" pid="10" name="TemplateUrl">
    <vt:lpwstr/>
  </property>
  <property fmtid="{D5CDD505-2E9C-101B-9397-08002B2CF9AE}" pid="11" name="Level of sensitivity">
    <vt:lpwstr>Standard treatment</vt:lpwstr>
  </property>
</Properties>
</file>