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C8B19E6-B89F-4B60-8442-3E63F1957EB9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Partie A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Directive abrogée</w:t>
      </w:r>
      <w:r>
        <w:rPr>
          <w:noProof/>
        </w:rPr>
        <w:br/>
        <w:t>avec la liste de ses modifications successives</w:t>
      </w:r>
      <w:r>
        <w:rPr>
          <w:noProof/>
        </w:rPr>
        <w:br/>
        <w:t>(visées à l’article 57)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4628"/>
      </w:tblGrid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Directive 2008/118/CE du Conseil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(JO L 9 du 14.1.2009, p. 12)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Directive 2010/12/UE du Conseil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(JO L 50 du 27.2.2010, p. 1)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Traité d’adhésion de la Croatie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(JO L 112 du 24.4.2012, p. 10)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Directive 2013/61/UE du Conseil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(JO L 353 du 28.12.2013, p. 5)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  <w:r>
        <w:rPr>
          <w:noProof/>
        </w:rPr>
        <w:t>Partie B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Délai de transposition en droit interne et date d’application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(visées à l’article 57)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Ind w:w="-53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3600"/>
        <w:gridCol w:w="3107"/>
        <w:gridCol w:w="3100"/>
      </w:tblGrid>
      <w:tr>
        <w:trPr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Directive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Date limite de transposition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Date d’application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2008/118/CE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janvier 2010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avril 2010</w:t>
            </w: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2010/12/UE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janvier 2011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2013/61/UE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janvier 2014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ANNEXE II</w:t>
      </w:r>
    </w:p>
    <w:p>
      <w:pPr>
        <w:jc w:val="center"/>
        <w:rPr>
          <w:rFonts w:eastAsia="Times New Roman"/>
          <w:b/>
          <w:smallCaps/>
          <w:noProof/>
          <w:szCs w:val="20"/>
        </w:rPr>
      </w:pPr>
      <w:r>
        <w:rPr>
          <w:b/>
          <w:smallCaps/>
          <w:noProof/>
          <w:szCs w:val="20"/>
        </w:rPr>
        <w:t>Tableau de correspondance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noProof/>
              </w:rPr>
              <w:lastRenderedPageBreak/>
              <w:t>Directive 2008/118/CE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noProof/>
              </w:rPr>
              <w:t>Présente directive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et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et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3, paragraphes 1, 2 et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3, paragraphes 1, 2 et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3, paragraphe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phrase introductive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phrase introductive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paragraphes 1 à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paragraphes 1 à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4, paragraphe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4, paragraphe 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4, paragraphe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paragraphes 8 à 11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paragraphes 7 à 10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4, paragraphes 11 et 12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36, paragraphe 1, second alinéa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4, paragraphe 13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paragraphes 1 et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paragraphes 1 et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 3, phrase introductive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 3, phrase introductive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 3, points a) à e)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 3, points a) à e)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 3, points f) et g)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paragraphes 4, 5 et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5, paragraphes 4, 5 et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 xml:space="preserve">Article 7, paragraphes 1 à 4, premier et deuxième alinéas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7, paragraphes 1 à 4, premier et deuxième alinéas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7, paragraphe 4, troisième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7, paragraphe 6, premier alinéa 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7, paragraphe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7,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7, paragraphe 6, second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7, paragraphe 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8 à 12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8 à 12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13,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13,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13,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13, paragraphes 2 et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13, paragraphe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13,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Article 14, paragraphes 1, 2 et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Article 14, paragraphes 1, 2 et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 xml:space="preserve">Article 14, paragraphe 4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Article 14, paragraphe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noProof/>
              </w:rPr>
              <w:t>Article 14,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15 et 16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15 et 16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 1, phrase introductive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 1, phrase introductive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 1, point a), phrase introductive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 1, point a), phrase introductive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Article 17, paragraphe 1, point a) i) à iv)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 1, point a) i) à iv)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17, paragraphe 1, point a) v)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17, paragraphe 1, point b)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17, paragraphe 1, point b)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17, paragraphes 2 et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17,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17,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17, paragraphe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17,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18, paragraphe 3, première phrase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18, paragraphe 4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18, paragraphe 3, seconde phrase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18, paragraphe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20,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20,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20,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20, paragraphe 2, points i) et ii)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20, paragraphe 2, point iii)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21, paragraphes 1 à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21, paragraphes 1 à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21, paragraphe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22,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Article 21, paragraphe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21,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21, paragraphe 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21, paragraphe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21, paragraphe 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21, paragraphe 7, première phrase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_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21, paragraphe 7, deuxième phrase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22, paragraphes 2 à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paragraphes 1 et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23, paragraphe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premier alinéa, phrase introductive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24, paragraphe 1, phrase introductive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premier alinéa, point 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24, paragraphe 1, point a)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premier alinéa, point 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24, paragraphe 1, point b)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premier alinéa, point 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24, paragraphe 1, point c)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23, second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24, paragraphe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25,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26,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26, paragraphe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25,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26, paragraphe 3, première, deuxième et troisième phrases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25, paragraphe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26, paragraphe 3, quatrième phrase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Article 26, paragraphes 1 à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27, paragraphes 1 à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26, paragraphe 3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_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26, paragraphes 4 et 5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27, paragraphes 3 et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27,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27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28,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29,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28, paragraphe 2, premier et deuxième alinéas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29, paragraphes 2 et 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29,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28, paragraphe 2, troisième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29,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33,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34, paragraphes 1 et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34, paragraphes 3 et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33, paragraphe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34, paragraphe 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33, paragraphes 3 et 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_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35,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Article 33, paragraphe 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35, paragraphe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33, paragraphe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38, paragraphe 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34, paragraphe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36, paragraphe 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34, paragraphe 2, points a), b) et c)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36, paragraphe 2, points a), b) et c)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34, paragraphe 2, second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36, paragraphes 3 à 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37 à 42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36, paragraphe 1, premier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45, paragraphe 1, premier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36, paragraphe 1, second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45, paragraphe 13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36, paragraphes 2 à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45, paragraphes 2 à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37, paragraphe 1, premier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46, paragraphe 1, premier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_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46, paragraphe 1, deuxième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_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46, paragraphe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37, paragraphe 1, deuxième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46, paragraphe 3, premier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37, paragraphe 1, troisième alinéa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46, paragraphe 3, second alinéa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37, paragraphe 2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lastRenderedPageBreak/>
              <w:t>Article 38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47, paragraphe 3, premier alinéa, deuxième phrase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39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 52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54 et 55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Articles 45 et 46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49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59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Annexe I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Annexe II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0B277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6DE3A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CE4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B3684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5CB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C201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3CF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1128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3 10:25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6C8B19E6-B89F-4B60-8442-3E63F1957EB9"/>
    <w:docVar w:name="LW_COVERPAGE_TYPE" w:val="1"/>
    <w:docVar w:name="LW_CROSSREFERENCE" w:val="{SEC(2018) 255 final}_x000b_{SWD(2018) 260 final}_x000b_{SWD(2018) 261 final}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LWCR:NBS&gt;établissant le&lt;LWCR:NBS&gt; régime général d'accise (refonte)"/>
    <w:docVar w:name="LW_OBJETACTEPRINCIPAL.CP" w:val=" établissant le  régime général d'accise (refonte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ition de directive du Conseil "/>
    <w:docVar w:name="LW_TYPEACTEPRINCIPAL.CP" w:val="Proposition de directive d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FD89-DC33-4416-8FED-BFEB48B1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10</Pages>
  <Words>1113</Words>
  <Characters>5368</Characters>
  <Application>Microsoft Office Word</Application>
  <DocSecurity>0</DocSecurity>
  <Lines>315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10</cp:revision>
  <dcterms:created xsi:type="dcterms:W3CDTF">2018-06-13T08:14:00Z</dcterms:created>
  <dcterms:modified xsi:type="dcterms:W3CDTF">2018-07-03T08:25:00Z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