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337FFDAE-6FEC-4957-8B6E-B6A53AA76017" style="width:450.35pt;height:366.1pt">
            <v:imagedata r:id="rId9" o:title=""/>
          </v:shape>
        </w:pict>
      </w:r>
    </w:p>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pPr>
      <w:bookmarkStart w:id="0" w:name="_GoBack"/>
      <w:bookmarkEnd w:id="0"/>
      <w:r>
        <w:lastRenderedPageBreak/>
        <w:t>EXPLANATORY MEMORANDUM</w:t>
      </w:r>
    </w:p>
    <w:p/>
    <w:p>
      <w:pPr>
        <w:pStyle w:val="ManualHeading1"/>
      </w:pPr>
      <w:r>
        <w:t>1.</w:t>
      </w:r>
      <w:r>
        <w:tab/>
      </w:r>
      <w:r>
        <w:t>CONTEXT OF THE PROPOSAL</w:t>
      </w:r>
    </w:p>
    <w:p>
      <w:pPr>
        <w:pStyle w:val="ManualHeading2"/>
        <w:rPr>
          <w:rFonts w:eastAsia="Arial Unicode MS"/>
        </w:rPr>
      </w:pPr>
      <w:r>
        <w:rPr>
          <w:rFonts w:eastAsia="Arial Unicode MS"/>
          <w:color w:val="000000"/>
          <w:u w:color="000000"/>
          <w:bdr w:val="nil"/>
          <w:lang w:val="en-US" w:eastAsia="en-GB"/>
        </w:rPr>
        <w:t>•</w:t>
      </w:r>
      <w:r>
        <w:rPr>
          <w:rFonts w:eastAsia="Arial Unicode MS"/>
          <w:color w:val="000000"/>
          <w:u w:color="000000"/>
          <w:bdr w:val="nil"/>
          <w:lang w:val="en-US" w:eastAsia="en-GB"/>
        </w:rPr>
        <w:tab/>
      </w:r>
      <w:r>
        <w:rPr>
          <w:rFonts w:eastAsia="Arial Unicode MS"/>
        </w:rPr>
        <w:t>Reasons for and objectives of the proposal</w:t>
      </w:r>
    </w:p>
    <w:p>
      <w:r>
        <w:t>The Action Plan on Forest Law Enforcement, Governance and Trade (FLEGT)</w:t>
      </w:r>
      <w:r>
        <w:rPr>
          <w:rStyle w:val="FootnoteReference"/>
        </w:rPr>
        <w:footnoteReference w:id="2"/>
      </w:r>
      <w:r>
        <w:t>, endorsed by the Council in 2003</w:t>
      </w:r>
      <w:r>
        <w:rPr>
          <w:rStyle w:val="FootnoteReference"/>
        </w:rPr>
        <w:footnoteReference w:id="3"/>
      </w:r>
      <w:r>
        <w:t>, proposes a set of measures, including support for timber-producing countries, multilateral collaboration to tackle trade in illegal timber, support for private-sector initiatives, and measures to discourage investment in activities that encourage illegal logging. The cornerstone of the Action Plan is the establishment of FLEGT partnerships between the EU and timber-producing countries, aimed at stopping illegal logging. In 2005 the Council adopted Regulation (EC) No 2173/2005</w:t>
      </w:r>
      <w:r>
        <w:t xml:space="preserve"> </w:t>
      </w:r>
      <w:r>
        <w:t>on the establishment of a FLEGT licensing scheme for imports of timber into the European Community</w:t>
      </w:r>
      <w:r>
        <w:rPr>
          <w:rStyle w:val="FootnoteReference"/>
        </w:rPr>
        <w:footnoteReference w:id="4"/>
      </w:r>
      <w:r>
        <w:t>, a</w:t>
      </w:r>
      <w:r>
        <w:t xml:space="preserve"> mechanism </w:t>
      </w:r>
      <w:r>
        <w:t>that enables verification of the</w:t>
      </w:r>
      <w:r>
        <w:t xml:space="preserve"> legality of timber imported into the EU under the FLEGT partnerships.</w:t>
      </w:r>
    </w:p>
    <w:p>
      <w:r>
        <w:t>In 2005 the Council authorised the Commission to negotiate FLEGT partnership agreements with timber-producing countries</w:t>
      </w:r>
      <w:r>
        <w:rPr>
          <w:rStyle w:val="FootnoteReference"/>
        </w:rPr>
        <w:footnoteReference w:id="5"/>
      </w:r>
      <w:r>
        <w:t xml:space="preserve">. </w:t>
      </w:r>
    </w:p>
    <w:p>
      <w:r>
        <w:t xml:space="preserve">The Commission entered into negotiations with </w:t>
      </w:r>
      <w:r>
        <w:t>Viet</w:t>
      </w:r>
      <w:r>
        <w:t>nam</w:t>
      </w:r>
      <w:r>
        <w:t xml:space="preserve"> </w:t>
      </w:r>
      <w:r>
        <w:t xml:space="preserve">in </w:t>
      </w:r>
      <w:r>
        <w:t xml:space="preserve">2010. </w:t>
      </w:r>
      <w:r>
        <w:t xml:space="preserve"> The Commission has been assisted by</w:t>
      </w:r>
      <w:r>
        <w:t xml:space="preserve"> Member States, particularly Germany and Finland. The Commission has regularly kept the Council updated on progress, with reports to the Working Party on Forests as well </w:t>
      </w:r>
      <w:r>
        <w:t xml:space="preserve">as </w:t>
      </w:r>
      <w:r>
        <w:t xml:space="preserve">Member States' missions in Vietnam. The Commission has also informed the European Parliament of the negotiation developments. The parties have regularly offered public meetings after negotiating sessions to keep the stakeholders informed of the process.  </w:t>
      </w:r>
    </w:p>
    <w:p>
      <w:r>
        <w:t xml:space="preserve">The </w:t>
      </w:r>
      <w:r>
        <w:t>Voluntary Partnership Agreement between the EU and Vietnam</w:t>
      </w:r>
      <w:r>
        <w:t xml:space="preserve"> </w:t>
      </w:r>
      <w:r>
        <w:t xml:space="preserve">(Agreement) </w:t>
      </w:r>
      <w:r>
        <w:t xml:space="preserve">addresses all elements of the Council negotiating directives. In particular, </w:t>
      </w:r>
      <w:r>
        <w:t>it</w:t>
      </w:r>
      <w:r>
        <w:t xml:space="preserve"> establishes the framework, institutions and systems </w:t>
      </w:r>
      <w:r>
        <w:t>for</w:t>
      </w:r>
      <w:r>
        <w:t xml:space="preserve"> the </w:t>
      </w:r>
      <w:r>
        <w:t xml:space="preserve">timber legality assurance system for the </w:t>
      </w:r>
      <w:r>
        <w:t xml:space="preserve">FLEGT licensing scheme. It </w:t>
      </w:r>
      <w:r>
        <w:t xml:space="preserve">also </w:t>
      </w:r>
      <w:r>
        <w:t xml:space="preserve">sets </w:t>
      </w:r>
      <w:r>
        <w:t xml:space="preserve">out the </w:t>
      </w:r>
      <w:r>
        <w:t xml:space="preserve">framework </w:t>
      </w:r>
      <w:r>
        <w:t>for</w:t>
      </w:r>
      <w:r>
        <w:t xml:space="preserve"> monitoring compliance and </w:t>
      </w:r>
      <w:r>
        <w:t xml:space="preserve">for </w:t>
      </w:r>
      <w:r>
        <w:t xml:space="preserve">independent </w:t>
      </w:r>
      <w:r>
        <w:t>evaluation of</w:t>
      </w:r>
      <w:r>
        <w:t xml:space="preserve"> the system. </w:t>
      </w:r>
      <w:r>
        <w:t xml:space="preserve">The Agreement includes a clear commitment by Vietnam to develop legislation to ensure that timber imported in Vietnam has been </w:t>
      </w:r>
      <w:r>
        <w:rPr>
          <w:szCs w:val="24"/>
        </w:rPr>
        <w:t>legally harvested in compliance with the applicable legislation in the country of harvest.</w:t>
      </w:r>
      <w:r>
        <w:t xml:space="preserve"> </w:t>
      </w:r>
      <w:r>
        <w:t xml:space="preserve">These </w:t>
      </w:r>
      <w:r>
        <w:t>elements a</w:t>
      </w:r>
      <w:r>
        <w:t>re set out in annexes to the Agreement</w:t>
      </w:r>
      <w:r>
        <w:t>,</w:t>
      </w:r>
      <w:r>
        <w:t xml:space="preserve"> </w:t>
      </w:r>
      <w:r>
        <w:t>which</w:t>
      </w:r>
      <w:r>
        <w:t xml:space="preserve"> provide a detailed description of the structures that will underpin the </w:t>
      </w:r>
      <w:r>
        <w:t>development and implementation of the Vietnam timber legality assurance system, as well as criteria to assess the operationality of the system before a future decision on start of the FLEGT licensing scheme.</w:t>
      </w:r>
      <w:r>
        <w:t xml:space="preserve"> </w:t>
      </w:r>
    </w:p>
    <w:p>
      <w:r>
        <w:t xml:space="preserve">The </w:t>
      </w:r>
      <w:r>
        <w:t xml:space="preserve">Agreement </w:t>
      </w:r>
      <w:r>
        <w:t>aims</w:t>
      </w:r>
      <w:r>
        <w:t xml:space="preserve"> at strengthening forest</w:t>
      </w:r>
      <w:r>
        <w:t xml:space="preserve"> governance and law enforcement and, </w:t>
      </w:r>
      <w:r>
        <w:t>by means of</w:t>
      </w:r>
      <w:r>
        <w:t xml:space="preserve"> the </w:t>
      </w:r>
      <w:r>
        <w:t xml:space="preserve">FLEGT </w:t>
      </w:r>
      <w:r>
        <w:t>licensing s</w:t>
      </w:r>
      <w:r>
        <w:t>cheme</w:t>
      </w:r>
      <w:r>
        <w:t xml:space="preserve">, </w:t>
      </w:r>
      <w:r>
        <w:t>w</w:t>
      </w:r>
      <w:r>
        <w:t xml:space="preserve">ill </w:t>
      </w:r>
      <w:r>
        <w:t>reassure the EU market</w:t>
      </w:r>
      <w:r>
        <w:t xml:space="preserve"> that timber</w:t>
      </w:r>
      <w:r>
        <w:t xml:space="preserve"> </w:t>
      </w:r>
      <w:r>
        <w:t>exported from Vietnam comes from legally harvested timber.</w:t>
      </w:r>
      <w:r>
        <w:rPr>
          <w:szCs w:val="24"/>
        </w:rPr>
        <w:t xml:space="preserve"> Once FLEGT licences </w:t>
      </w:r>
      <w:r>
        <w:rPr>
          <w:szCs w:val="24"/>
        </w:rPr>
        <w:t>are</w:t>
      </w:r>
      <w:r>
        <w:rPr>
          <w:szCs w:val="24"/>
        </w:rPr>
        <w:t xml:space="preserve"> issued, the Agreement will facilitate compliance of EU importers with the requirements of </w:t>
      </w:r>
      <w:r>
        <w:t>Regulation (EU) No 995/2010 of the European Parliament and of the Council laying down the obligations of operators who place timber and timber products on the market</w:t>
      </w:r>
      <w:r>
        <w:rPr>
          <w:rStyle w:val="FootnoteReference"/>
        </w:rPr>
        <w:footnoteReference w:id="6"/>
      </w:r>
      <w:r>
        <w:rPr>
          <w:szCs w:val="24"/>
        </w:rPr>
        <w:t xml:space="preserve"> which states that timber and timber products covered with </w:t>
      </w:r>
      <w:r>
        <w:rPr>
          <w:szCs w:val="24"/>
        </w:rPr>
        <w:t xml:space="preserve">a </w:t>
      </w:r>
      <w:r>
        <w:rPr>
          <w:szCs w:val="24"/>
        </w:rPr>
        <w:t xml:space="preserve">FLEGT licence is considered to have been legally harvested for the purposes of that Regulation. </w:t>
      </w:r>
      <w:r>
        <w:t xml:space="preserve"> </w:t>
      </w:r>
    </w:p>
    <w:p>
      <w:r>
        <w:t xml:space="preserve">The Agreement establishes a mechanism for dialogue and cooperation between the EU and </w:t>
      </w:r>
      <w:r>
        <w:t xml:space="preserve">Vietnam on the FLEGT </w:t>
      </w:r>
      <w:r>
        <w:t xml:space="preserve">licensing </w:t>
      </w:r>
      <w:r>
        <w:t>scheme, via a Joint Implementation Committee. It also establishes principles of stakeholder participation, social safeguards, accountability and transparency, and mechanisms for complaints on, monitoring of and reporting on implementation of the Agreement.</w:t>
      </w:r>
    </w:p>
    <w:p>
      <w:r>
        <w:t xml:space="preserve">The Agreement </w:t>
      </w:r>
      <w:r>
        <w:t>is not limited only to</w:t>
      </w:r>
      <w:r>
        <w:t xml:space="preserve"> </w:t>
      </w:r>
      <w:r>
        <w:t xml:space="preserve">the </w:t>
      </w:r>
      <w:r>
        <w:t xml:space="preserve">product coverage proposed in Annex II to Regulation (EC) No 2173/2005 and covers a wide range of exported timber products. </w:t>
      </w:r>
    </w:p>
    <w:p>
      <w:r>
        <w:t xml:space="preserve">The Agreement makes provision for import controls at the EU’s borders, as provided for in Regulation (EC) No 2173/2005 on the FLEGT </w:t>
      </w:r>
      <w:r>
        <w:t>licensing</w:t>
      </w:r>
      <w:r>
        <w:t xml:space="preserve"> scheme and Regulation (EC) No 1024/2008 laying down detailed measures for implementing it. The Agreement includes a description of Vietnam's FLEGT licence, which uses the format prescribed in the above-mentioned Implementing Regulation. </w:t>
      </w:r>
    </w:p>
    <w:p>
      <w:pPr>
        <w:pStyle w:val="ManualHeading2"/>
        <w:rPr>
          <w:rFonts w:eastAsia="Arial Unicode MS"/>
          <w:color w:val="000000"/>
          <w:u w:color="000000"/>
          <w:bdr w:val="nil"/>
          <w:lang w:val="en-US" w:eastAsia="en-GB"/>
        </w:rPr>
      </w:pPr>
      <w:r>
        <w:rPr>
          <w:rFonts w:eastAsia="Arial Unicode MS"/>
          <w:color w:val="000000"/>
          <w:u w:color="000000"/>
          <w:bdr w:val="nil"/>
          <w:lang w:val="en-US" w:eastAsia="en-GB"/>
        </w:rPr>
        <w:t>•</w:t>
      </w:r>
      <w:r>
        <w:rPr>
          <w:rFonts w:eastAsia="Arial Unicode MS"/>
          <w:color w:val="000000"/>
          <w:u w:color="000000"/>
          <w:bdr w:val="nil"/>
          <w:lang w:val="en-US" w:eastAsia="en-GB"/>
        </w:rPr>
        <w:tab/>
      </w:r>
      <w:sdt>
        <w:sdtPr>
          <w:rPr>
            <w:rFonts w:eastAsia="Arial Unicode MS"/>
            <w:color w:val="000000"/>
            <w:u w:color="000000"/>
            <w:bdr w:val="nil"/>
            <w:lang w:val="en-US" w:eastAsia="en-GB"/>
          </w:rPr>
          <w:id w:val="1954589231"/>
          <w:lock w:val="contentLocked"/>
          <w:placeholder>
            <w:docPart w:val="4EAFB6CDFF3A49979108D6E8DD600C44"/>
          </w:placeholder>
          <w:group/>
        </w:sdtPr>
        <w:sdtEndPr>
          <w:rPr>
            <w:color w:val="auto"/>
            <w:bdr w:val="none" w:sz="0" w:space="0" w:color="auto"/>
            <w:lang w:val="en-GB" w:eastAsia="en-US"/>
          </w:rPr>
        </w:sdtEndPr>
        <w:sdtContent>
          <w:sdt>
            <w:sdtPr>
              <w:rPr>
                <w:rFonts w:eastAsia="Arial Unicode MS"/>
                <w:color w:val="000000"/>
                <w:u w:color="000000"/>
                <w:bdr w:val="nil"/>
                <w:lang w:val="en-US" w:eastAsia="en-GB"/>
              </w:rPr>
              <w:id w:val="-1169639288"/>
              <w:lock w:val="contentLocked"/>
              <w:placeholder>
                <w:docPart w:val="4EAFB6CDFF3A49979108D6E8DD600C44"/>
              </w:placeholder>
              <w:group/>
            </w:sdtPr>
            <w:sdtEndPr>
              <w:rPr>
                <w:color w:val="auto"/>
                <w:bdr w:val="none" w:sz="0" w:space="0" w:color="auto"/>
                <w:lang w:val="en-GB" w:eastAsia="en-US"/>
              </w:rPr>
            </w:sdtEndPr>
            <w:sdtContent>
              <w:r>
                <w:rPr>
                  <w:rFonts w:eastAsia="Arial Unicode MS"/>
                </w:rPr>
                <w:t>Consistency with existing policy provisions in the</w:t>
              </w:r>
              <w:r>
                <w:rPr>
                  <w:rFonts w:eastAsia="Arial Unicode MS"/>
                </w:rPr>
                <w:t xml:space="preserve"> </w:t>
              </w:r>
              <w:r>
                <w:rPr>
                  <w:rFonts w:eastAsia="Arial Unicode MS"/>
                </w:rPr>
                <w:t>policy area</w:t>
              </w:r>
            </w:sdtContent>
          </w:sdt>
        </w:sdtContent>
      </w:sdt>
    </w:p>
    <w:p>
      <w:pPr>
        <w:pBdr>
          <w:top w:val="nil"/>
          <w:left w:val="nil"/>
          <w:bottom w:val="nil"/>
          <w:right w:val="nil"/>
          <w:between w:val="nil"/>
          <w:bar w:val="nil"/>
        </w:pBdr>
        <w:spacing w:before="0" w:after="240"/>
        <w:rPr>
          <w:rFonts w:eastAsia="Arial Unicode MS"/>
        </w:rPr>
      </w:pPr>
      <w:r>
        <w:t xml:space="preserve">The initiative is consistent with Regulation (EU) No 995/2010 because the timber products that will be covered by FLEGT licences issued in Vietnam in accordance with this Agreement will be deemed to have been legally harvested in accordance with Article 3 of </w:t>
      </w:r>
      <w:r>
        <w:t>t</w:t>
      </w:r>
      <w:r>
        <w:t>hat</w:t>
      </w:r>
      <w:r>
        <w:t xml:space="preserve"> </w:t>
      </w:r>
      <w:r>
        <w:t>Regulation</w:t>
      </w:r>
      <w:r>
        <w:t>.</w:t>
      </w:r>
    </w:p>
    <w:p>
      <w:pPr>
        <w:pStyle w:val="ManualHeading2"/>
        <w:rPr>
          <w:rFonts w:eastAsia="Arial Unicode MS"/>
        </w:rPr>
      </w:pPr>
      <w:r>
        <w:rPr>
          <w:rFonts w:eastAsia="Arial Unicode MS"/>
          <w:color w:val="000000"/>
          <w:u w:color="000000"/>
          <w:bdr w:val="nil"/>
          <w:lang w:val="en-US" w:eastAsia="en-GB"/>
        </w:rPr>
        <w:t>•</w:t>
      </w:r>
      <w:r>
        <w:rPr>
          <w:rFonts w:eastAsia="Arial Unicode MS"/>
          <w:color w:val="000000"/>
          <w:u w:color="000000"/>
          <w:bdr w:val="nil"/>
          <w:lang w:val="en-US" w:eastAsia="en-GB"/>
        </w:rPr>
        <w:tab/>
      </w:r>
      <w:r>
        <w:rPr>
          <w:rFonts w:eastAsia="Arial Unicode MS"/>
        </w:rPr>
        <w:t>Consistency with other Union policies</w:t>
      </w:r>
    </w:p>
    <w:p>
      <w:pPr>
        <w:pBdr>
          <w:top w:val="nil"/>
          <w:left w:val="nil"/>
          <w:bottom w:val="nil"/>
          <w:right w:val="nil"/>
          <w:between w:val="nil"/>
          <w:bar w:val="nil"/>
        </w:pBdr>
        <w:spacing w:before="0" w:after="240"/>
        <w:rPr>
          <w:rFonts w:eastAsia="Arial Unicode MS"/>
        </w:rPr>
      </w:pPr>
      <w:r>
        <w:t xml:space="preserve"> </w:t>
      </w:r>
      <w:r>
        <w:t>As a part of the FLEGT Action Plan, the conclusion of this Agreement is relevant for the EU development cooperation policy because it does not only promote trade in legally harvested timber, but it also aims to strengthen forest governance in Vietnam by improving transparency, accountability and stakeholder participation. Since the implementation of the Agreement will reinforce sustainable forest management this initiative will also contribute to combating climate change through reduced emissions from deforestation and forest degradation.</w:t>
      </w:r>
    </w:p>
    <w:p>
      <w:pPr>
        <w:pStyle w:val="ManualHeading1"/>
      </w:pPr>
      <w:r>
        <w:t>2.</w:t>
      </w:r>
      <w:r>
        <w:tab/>
        <w:t>LEGAL BASIS, SUBSIDIARITY AND PROPORTIONALITY</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Legal basis</w:t>
      </w:r>
    </w:p>
    <w:p>
      <w:pPr>
        <w:pBdr>
          <w:top w:val="nil"/>
          <w:left w:val="nil"/>
          <w:bottom w:val="nil"/>
          <w:right w:val="nil"/>
          <w:between w:val="nil"/>
          <w:bar w:val="nil"/>
        </w:pBdr>
        <w:spacing w:before="0" w:after="240"/>
        <w:rPr>
          <w:noProof/>
        </w:rPr>
      </w:pPr>
      <w:r>
        <w:t xml:space="preserve">The proposed legal basis </w:t>
      </w:r>
      <w:r>
        <w:t xml:space="preserve">is </w:t>
      </w:r>
      <w:r>
        <w:rPr>
          <w:noProof/>
        </w:rPr>
        <w:t>the first subparagraph of Article 207(3), in conjunction with Article 218(5)</w:t>
      </w:r>
      <w:r>
        <w:rPr>
          <w:noProof/>
        </w:rPr>
        <w:t xml:space="preserve"> </w:t>
      </w:r>
      <w:r>
        <w:t>of the Treaty on the functioning of the European Union (TFEU)</w:t>
      </w:r>
      <w:r>
        <w:rPr>
          <w:noProof/>
        </w:rPr>
        <w:t>.</w:t>
      </w:r>
    </w:p>
    <w:p>
      <w:pPr>
        <w:pBdr>
          <w:top w:val="nil"/>
          <w:left w:val="nil"/>
          <w:bottom w:val="nil"/>
          <w:right w:val="nil"/>
          <w:between w:val="nil"/>
          <w:bar w:val="nil"/>
        </w:pBdr>
        <w:spacing w:before="0" w:after="240"/>
        <w:rPr>
          <w:rFonts w:eastAsia="Arial Unicode MS"/>
        </w:rPr>
      </w:pPr>
      <w:r>
        <w:t xml:space="preserve">Having in mind the objective of the Agreement, which </w:t>
      </w:r>
      <w:r>
        <w:t>is to provide</w:t>
      </w:r>
      <w:r>
        <w:t xml:space="preserve"> legal framework aimed at ensuring that all imports </w:t>
      </w:r>
      <w:r>
        <w:t xml:space="preserve">of timber and timber products covered by the Agreement </w:t>
      </w:r>
      <w:r>
        <w:t>into the Union from Vietnam have been legally produced, the Union has exclusive competence to conclude it in accordance with Article 207(3)</w:t>
      </w:r>
      <w:r>
        <w:t xml:space="preserve"> TFEU</w:t>
      </w:r>
      <w:r>
        <w:t xml:space="preserve">. </w:t>
      </w:r>
      <w:r>
        <w:t>Article 218(</w:t>
      </w:r>
      <w:r>
        <w:t>5</w:t>
      </w:r>
      <w:r>
        <w:t xml:space="preserve">) </w:t>
      </w:r>
      <w:r>
        <w:t xml:space="preserve">TFEU </w:t>
      </w:r>
      <w:r>
        <w:t>authorises the Council</w:t>
      </w:r>
      <w:r>
        <w:t xml:space="preserve"> to adopt a decision authorising the signing of the agreement</w:t>
      </w:r>
      <w:r>
        <w:t xml:space="preserve"> o</w:t>
      </w:r>
      <w:r>
        <w:t>n a proposal by the negotiator.</w:t>
      </w:r>
      <w:r>
        <w:t xml:space="preserve"> </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rPr>
      </w:pPr>
      <w:r>
        <w:t>Not applicable</w:t>
      </w:r>
      <w:r>
        <w:t>.</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Proportionality</w:t>
      </w:r>
    </w:p>
    <w:p>
      <w:pPr>
        <w:pBdr>
          <w:top w:val="nil"/>
          <w:left w:val="nil"/>
          <w:bottom w:val="nil"/>
          <w:right w:val="nil"/>
          <w:between w:val="nil"/>
          <w:bar w:val="nil"/>
        </w:pBdr>
        <w:spacing w:before="0" w:after="240"/>
        <w:rPr>
          <w:rFonts w:eastAsia="Arial Unicode MS"/>
        </w:rPr>
      </w:pPr>
      <w:r>
        <w:t xml:space="preserve">The conclusion of this Agreement is in line with the FLEGT Action Plan </w:t>
      </w:r>
      <w:r>
        <w:t xml:space="preserve">and does not go beyond what is necessary to achieve its aims. </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rPr>
      </w:pPr>
      <w:r>
        <w:t>This proposal is in accordance with Article 218(</w:t>
      </w:r>
      <w:r>
        <w:t>5</w:t>
      </w:r>
      <w:r>
        <w:t xml:space="preserve">) TFEU, which envisages the adoption by the Council of decisions </w:t>
      </w:r>
      <w:r>
        <w:t>authorising the signing of the international agreements.</w:t>
      </w:r>
    </w:p>
    <w:p>
      <w:pPr>
        <w:pStyle w:val="ManualHeading1"/>
      </w:pPr>
      <w:r>
        <w:t>3.</w:t>
      </w:r>
      <w:r>
        <w:tab/>
        <w:t>RESULTS OF EX-POST EVALUATIONS, STAKEHOLDER CONSULTATIONS AND IMPACT ASSESSMENTS</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Impact assessment</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Fundamental rights</w:t>
      </w:r>
    </w:p>
    <w:p>
      <w:pPr>
        <w:pBdr>
          <w:top w:val="nil"/>
          <w:left w:val="nil"/>
          <w:bottom w:val="nil"/>
          <w:right w:val="nil"/>
          <w:between w:val="nil"/>
          <w:bar w:val="nil"/>
        </w:pBdr>
        <w:spacing w:before="0" w:after="240"/>
        <w:rPr>
          <w:rFonts w:eastAsia="Arial Unicode MS"/>
        </w:rPr>
      </w:pPr>
      <w:r>
        <w:t>Not applicable.</w:t>
      </w:r>
    </w:p>
    <w:p>
      <w:pPr>
        <w:pStyle w:val="ManualHeading1"/>
      </w:pPr>
      <w:r>
        <w:t>4.</w:t>
      </w:r>
      <w:r>
        <w:tab/>
        <w:t>BUDGETARY IMPLICATIONS</w:t>
      </w:r>
    </w:p>
    <w:p>
      <w:pPr>
        <w:pBdr>
          <w:top w:val="nil"/>
          <w:left w:val="nil"/>
          <w:bottom w:val="nil"/>
          <w:right w:val="nil"/>
          <w:between w:val="nil"/>
          <w:bar w:val="nil"/>
        </w:pBdr>
        <w:spacing w:before="0" w:after="240"/>
        <w:rPr>
          <w:rFonts w:eastAsia="Arial Unicode MS"/>
        </w:rPr>
      </w:pPr>
      <w:r>
        <w:t>This initiative does not have budgetary implications.</w:t>
      </w:r>
    </w:p>
    <w:p>
      <w:pPr>
        <w:pStyle w:val="ManualHeading1"/>
      </w:pPr>
      <w:r>
        <w:t>5.</w:t>
      </w:r>
      <w:r>
        <w:tab/>
        <w:t>OTHER ELEMENTS</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rPr>
      </w:pPr>
      <w:r>
        <w:t>Not applicable.</w:t>
      </w:r>
    </w:p>
    <w:p>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rPr>
      </w:pPr>
      <w:r>
        <w:t>Not applicable.</w:t>
      </w:r>
    </w:p>
    <w:p>
      <w:p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pPr>
      <w:r>
        <w:t>2018/0273 (NLE)</w:t>
      </w:r>
    </w:p>
    <w:p>
      <w:pPr>
        <w:pStyle w:val="Statut"/>
      </w:pPr>
      <w:r>
        <w:t>Proposal for a</w:t>
      </w:r>
    </w:p>
    <w:p>
      <w:pPr>
        <w:pStyle w:val="Typedudocument"/>
      </w:pPr>
      <w:r>
        <w:t>COUNCIL DECISION</w:t>
      </w:r>
    </w:p>
    <w:p>
      <w:pPr>
        <w:pStyle w:val="Titreobjet"/>
      </w:pPr>
      <w:r>
        <w:t>on the signing, on behalf of the Union, of the Voluntary Partnership Agreement between the European Union and the Socialist Republic of Viet Nam on forest law enforcement, governance and trade</w:t>
      </w:r>
    </w:p>
    <w:p>
      <w:pPr>
        <w:pStyle w:val="Institutionquiagit"/>
      </w:pPr>
      <w:r>
        <w:t xml:space="preserve">THE COUNCIL OF THE EUROPEAN </w:t>
      </w:r>
      <w:smartTag w:uri="urn:schemas-microsoft-com:office:smarttags" w:element="place">
        <w:r>
          <w:t>UNION</w:t>
        </w:r>
      </w:smartTag>
      <w:r>
        <w:t>,</w:t>
      </w:r>
    </w:p>
    <w:p>
      <w:r>
        <w:rPr>
          <w:noProof/>
        </w:rPr>
        <w:t>Having regard to the Treaty on the Functioning of the European Union, and in particular the first subparagraph of Article 207(3), in conjunction with Article 218(5) thereof</w:t>
      </w:r>
      <w:r>
        <w:t>,</w:t>
      </w:r>
    </w:p>
    <w:p>
      <w:r>
        <w:t>Having regard to the proposal from the European Commission,</w:t>
      </w:r>
    </w:p>
    <w:p>
      <w:r>
        <w:t>Whereas:</w:t>
      </w:r>
    </w:p>
    <w:p>
      <w:pPr>
        <w:pStyle w:val="ManualConsidrant"/>
        <w:rPr>
          <w:noProof/>
        </w:rPr>
      </w:pPr>
      <w:r>
        <w:rPr>
          <w:noProof/>
        </w:rPr>
        <w:t>(1)</w:t>
      </w:r>
      <w:r>
        <w:rPr>
          <w:noProof/>
        </w:rPr>
        <w:tab/>
      </w:r>
      <w:r>
        <w:rPr>
          <w:noProof/>
        </w:rPr>
        <w:t>In May 2003</w:t>
      </w:r>
      <w:r>
        <w:rPr>
          <w:noProof/>
        </w:rPr>
        <w:t>,</w:t>
      </w:r>
      <w:r>
        <w:rPr>
          <w:noProof/>
        </w:rPr>
        <w:t xml:space="preserve"> the Commission adopted a Communication to the European Parliament and to the Council entitled ‘Forest Law Enforcement, Governance and Trade (FLEGT): Proposal for an EU Action Plan’</w:t>
      </w:r>
      <w:r>
        <w:rPr>
          <w:rStyle w:val="FootnoteReference"/>
          <w:noProof/>
        </w:rPr>
        <w:footnoteReference w:id="7"/>
      </w:r>
      <w:r>
        <w:rPr>
          <w:noProof/>
        </w:rPr>
        <w:t xml:space="preserve"> </w:t>
      </w:r>
      <w:r>
        <w:rPr>
          <w:noProof/>
        </w:rPr>
        <w:t>which called for measures to address illegal logging by developing voluntary partnership agreements with timber-producing countries. Council conclusions on that Action Plan were adopted in October 2003</w:t>
      </w:r>
      <w:r>
        <w:rPr>
          <w:rStyle w:val="FootnoteReference"/>
          <w:noProof/>
        </w:rPr>
        <w:footnoteReference w:id="8"/>
      </w:r>
      <w:r>
        <w:rPr>
          <w:noProof/>
        </w:rPr>
        <w:t xml:space="preserve"> and Parliament adopted a resolution on the subject on 11 July 2005</w:t>
      </w:r>
      <w:r>
        <w:rPr>
          <w:rStyle w:val="FootnoteReference"/>
          <w:noProof/>
        </w:rPr>
        <w:footnoteReference w:id="9"/>
      </w:r>
      <w:r>
        <w:rPr>
          <w:noProof/>
        </w:rPr>
        <w:t xml:space="preserve">. </w:t>
      </w:r>
    </w:p>
    <w:p>
      <w:pPr>
        <w:pStyle w:val="ManualConsidrant"/>
        <w:rPr>
          <w:noProof/>
        </w:rPr>
      </w:pPr>
      <w:r>
        <w:t>(2)</w:t>
      </w:r>
      <w:r>
        <w:tab/>
      </w:r>
      <w:r>
        <w:rPr>
          <w:noProof/>
        </w:rPr>
        <w:t xml:space="preserve">On 5 December 2005, the Council authorised the Commission to open negotiations </w:t>
      </w:r>
      <w:r>
        <w:rPr>
          <w:noProof/>
        </w:rPr>
        <w:t xml:space="preserve">with </w:t>
      </w:r>
      <w:r>
        <w:rPr>
          <w:noProof/>
        </w:rPr>
        <w:t>timber-producing countries on</w:t>
      </w:r>
      <w:r>
        <w:rPr>
          <w:noProof/>
        </w:rPr>
        <w:t xml:space="preserve"> partnership agreements to implement the EU Action Plan for Forest Law Enforcement, Governance and Trade.</w:t>
      </w:r>
    </w:p>
    <w:p>
      <w:pPr>
        <w:pStyle w:val="ManualConsidrant"/>
        <w:rPr>
          <w:noProof/>
        </w:rPr>
      </w:pPr>
      <w:r>
        <w:t>(3)</w:t>
      </w:r>
      <w:r>
        <w:tab/>
      </w:r>
      <w:r>
        <w:rPr>
          <w:noProof/>
        </w:rPr>
        <w:t>On 20 December 2005, the Council adopted Regulation (EC) No 2173/2005</w:t>
      </w:r>
      <w:r>
        <w:rPr>
          <w:rStyle w:val="FootnoteReference"/>
          <w:noProof/>
        </w:rPr>
        <w:footnoteReference w:id="10"/>
      </w:r>
      <w:r>
        <w:rPr>
          <w:noProof/>
        </w:rPr>
        <w:t xml:space="preserve"> which established a FLEGT licensing scheme for imports of timber into the Union from countries with which the Union has concluded voluntary partnership agreements.</w:t>
      </w:r>
    </w:p>
    <w:p>
      <w:pPr>
        <w:pStyle w:val="ManualConsidrant"/>
        <w:rPr>
          <w:noProof/>
        </w:rPr>
      </w:pPr>
      <w:r>
        <w:t>(4)</w:t>
      </w:r>
      <w:r>
        <w:tab/>
      </w:r>
      <w:r>
        <w:rPr>
          <w:noProof/>
        </w:rPr>
        <w:t xml:space="preserve">The negotiations with </w:t>
      </w:r>
      <w:r>
        <w:t>the Socialist Republic of Viet</w:t>
      </w:r>
      <w:r>
        <w:t>n</w:t>
      </w:r>
      <w:r>
        <w:t xml:space="preserve">am </w:t>
      </w:r>
      <w:r>
        <w:t>in view of the conclusion of a</w:t>
      </w:r>
      <w:r>
        <w:rPr>
          <w:noProof/>
        </w:rPr>
        <w:t xml:space="preserve"> Voluntary Partnership Agreement between the European Union and the </w:t>
      </w:r>
      <w:r>
        <w:rPr>
          <w:noProof/>
        </w:rPr>
        <w:t xml:space="preserve">Socialist </w:t>
      </w:r>
      <w:r>
        <w:rPr>
          <w:noProof/>
        </w:rPr>
        <w:t xml:space="preserve">Republic of </w:t>
      </w:r>
      <w:r>
        <w:rPr>
          <w:noProof/>
        </w:rPr>
        <w:t>Vietnam</w:t>
      </w:r>
      <w:r>
        <w:rPr>
          <w:noProof/>
        </w:rPr>
        <w:t xml:space="preserve"> on forest law enforcement, governance and trade (hereinafter referred to as ‘the Agreement’) </w:t>
      </w:r>
      <w:r>
        <w:rPr>
          <w:noProof/>
        </w:rPr>
        <w:t xml:space="preserve">were successfully concluded by the initialling of the Agreement </w:t>
      </w:r>
      <w:r>
        <w:rPr>
          <w:noProof/>
        </w:rPr>
        <w:t xml:space="preserve"> on </w:t>
      </w:r>
      <w:r>
        <w:rPr>
          <w:noProof/>
        </w:rPr>
        <w:t>11</w:t>
      </w:r>
      <w:r>
        <w:rPr>
          <w:noProof/>
          <w:vertAlign w:val="superscript"/>
        </w:rPr>
        <w:t> </w:t>
      </w:r>
      <w:r>
        <w:rPr>
          <w:noProof/>
        </w:rPr>
        <w:t>May 201</w:t>
      </w:r>
      <w:r>
        <w:rPr>
          <w:noProof/>
        </w:rPr>
        <w:t>7</w:t>
      </w:r>
      <w:r>
        <w:rPr>
          <w:noProof/>
        </w:rPr>
        <w:t>.</w:t>
      </w:r>
    </w:p>
    <w:p>
      <w:pPr>
        <w:pStyle w:val="ManualConsidrant"/>
        <w:rPr>
          <w:noProof/>
        </w:rPr>
      </w:pPr>
      <w:r>
        <w:t>(5)</w:t>
      </w:r>
      <w:r>
        <w:tab/>
      </w:r>
      <w:r>
        <w:t xml:space="preserve">Therefore, </w:t>
      </w:r>
      <w:r>
        <w:rPr>
          <w:noProof/>
        </w:rPr>
        <w:t>t</w:t>
      </w:r>
      <w:r>
        <w:rPr>
          <w:noProof/>
        </w:rPr>
        <w:t>he Agreement should be signed</w:t>
      </w:r>
      <w:r>
        <w:rPr>
          <w:noProof/>
        </w:rPr>
        <w:t xml:space="preserve"> on behalf of the European Union</w:t>
      </w:r>
      <w:r>
        <w:rPr>
          <w:noProof/>
        </w:rPr>
        <w:t>,</w:t>
      </w:r>
      <w:r>
        <w:rPr>
          <w:noProof/>
        </w:rPr>
        <w:t xml:space="preserve"> subject to its conclusion</w:t>
      </w:r>
      <w:r>
        <w:rPr>
          <w:noProof/>
        </w:rPr>
        <w:t xml:space="preserve"> </w:t>
      </w:r>
      <w:r>
        <w:rPr>
          <w:noProof/>
        </w:rPr>
        <w:t>at a</w:t>
      </w:r>
      <w:r>
        <w:rPr>
          <w:noProof/>
        </w:rPr>
        <w:t xml:space="preserve"> </w:t>
      </w:r>
      <w:r>
        <w:rPr>
          <w:noProof/>
        </w:rPr>
        <w:t>later date,</w:t>
      </w:r>
    </w:p>
    <w:p>
      <w:pPr>
        <w:pStyle w:val="Formuledadoption"/>
      </w:pPr>
      <w:r>
        <w:t xml:space="preserve">HAS ADOPTED THIS DECISION: </w:t>
      </w:r>
    </w:p>
    <w:p>
      <w:pPr>
        <w:pStyle w:val="Titrearticle"/>
        <w:rPr>
          <w:noProof/>
        </w:rPr>
      </w:pPr>
      <w:r>
        <w:rPr>
          <w:noProof/>
        </w:rPr>
        <w:t>Article 1</w:t>
      </w:r>
    </w:p>
    <w:p>
      <w:pPr>
        <w:rPr>
          <w:noProof/>
        </w:rPr>
      </w:pPr>
      <w:r>
        <w:rPr>
          <w:noProof/>
        </w:rPr>
        <w:t xml:space="preserve">The signing of the Voluntary Partnership Agreement between the European Union and </w:t>
      </w:r>
      <w:r>
        <w:t xml:space="preserve">the Socialist Republic of Viet Nam </w:t>
      </w:r>
      <w:r>
        <w:rPr>
          <w:noProof/>
        </w:rPr>
        <w:t xml:space="preserve">on forest law enforcement, governance and trade is hereby </w:t>
      </w:r>
      <w:r>
        <w:rPr>
          <w:noProof/>
        </w:rPr>
        <w:t>approved</w:t>
      </w:r>
      <w:r>
        <w:rPr>
          <w:noProof/>
        </w:rPr>
        <w:t xml:space="preserve"> on behalf of the Union</w:t>
      </w:r>
      <w:r>
        <w:rPr>
          <w:noProof/>
        </w:rPr>
        <w:t xml:space="preserve">, subject to </w:t>
      </w:r>
      <w:r>
        <w:rPr>
          <w:noProof/>
        </w:rPr>
        <w:t xml:space="preserve">the </w:t>
      </w:r>
      <w:r>
        <w:rPr>
          <w:noProof/>
        </w:rPr>
        <w:t>conclusion of the said Agreement</w:t>
      </w:r>
      <w:r>
        <w:rPr>
          <w:rStyle w:val="FootnoteReference"/>
          <w:noProof/>
        </w:rPr>
        <w:footnoteReference w:id="11"/>
      </w:r>
      <w:r>
        <w:rPr>
          <w:noProof/>
        </w:rPr>
        <w:t>.</w:t>
      </w:r>
    </w:p>
    <w:p>
      <w:pPr>
        <w:rPr>
          <w:noProof/>
        </w:rPr>
      </w:pPr>
      <w:r>
        <w:rPr>
          <w:noProof/>
        </w:rPr>
        <w:t>The text of the Agreement to be signed is attached to this Decision.</w:t>
      </w:r>
      <w:r>
        <w:rPr>
          <w:noProof/>
        </w:rPr>
        <w:t xml:space="preserve"> </w:t>
      </w:r>
    </w:p>
    <w:p>
      <w:pPr>
        <w:pStyle w:val="Titrearticle"/>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rPr>
          <w:noProof/>
        </w:rPr>
      </w:pPr>
      <w:r>
        <w:rPr>
          <w:noProof/>
        </w:rPr>
        <w:t xml:space="preserve">This Decision shall enter into force on the day of its adoption. </w:t>
      </w:r>
    </w:p>
    <w:p>
      <w:pPr>
        <w:pStyle w:val="Fait"/>
      </w:pPr>
      <w:r>
        <w:t>Done at Brussels,</w:t>
      </w:r>
    </w:p>
    <w:p>
      <w:pPr>
        <w:pStyle w:val="Institutionquisigne"/>
      </w:pPr>
      <w:r>
        <w:tab/>
        <w:t>For the Council</w:t>
      </w:r>
    </w:p>
    <w:p>
      <w:pPr>
        <w:pStyle w:val="Personnequisigne"/>
      </w:pPr>
      <w: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pt-PT"/>
        </w:rPr>
      </w:pPr>
      <w:r>
        <w:rPr>
          <w:rStyle w:val="FootnoteReference"/>
          <w:szCs w:val="24"/>
        </w:rPr>
        <w:footnoteRef/>
      </w:r>
      <w:r>
        <w:rPr>
          <w:szCs w:val="24"/>
          <w:lang w:val="pt-PT"/>
        </w:rPr>
        <w:tab/>
        <w:t>COM(2003) 251.</w:t>
      </w:r>
    </w:p>
  </w:footnote>
  <w:footnote w:id="3">
    <w:p>
      <w:pPr>
        <w:pStyle w:val="FootnoteText"/>
        <w:rPr>
          <w:szCs w:val="24"/>
          <w:lang w:val="pt-PT"/>
        </w:rPr>
      </w:pPr>
      <w:r>
        <w:rPr>
          <w:rStyle w:val="FootnoteReference"/>
          <w:szCs w:val="24"/>
        </w:rPr>
        <w:footnoteRef/>
      </w:r>
      <w:r>
        <w:rPr>
          <w:szCs w:val="24"/>
          <w:lang w:val="pt-PT"/>
        </w:rPr>
        <w:tab/>
        <w:t>OJ C 268, 7.11.2003, p. 1.</w:t>
      </w:r>
    </w:p>
  </w:footnote>
  <w:footnote w:id="4">
    <w:p>
      <w:pPr>
        <w:pStyle w:val="FootnoteText"/>
        <w:rPr>
          <w:szCs w:val="24"/>
          <w:lang w:val="pt-PT"/>
        </w:rPr>
      </w:pPr>
      <w:r>
        <w:rPr>
          <w:rStyle w:val="FootnoteReference"/>
          <w:szCs w:val="24"/>
        </w:rPr>
        <w:footnoteRef/>
      </w:r>
      <w:r>
        <w:rPr>
          <w:szCs w:val="24"/>
          <w:lang w:val="pt-PT"/>
        </w:rPr>
        <w:tab/>
        <w:t>OJ L 347, 30.12.2005, p. 1.</w:t>
      </w:r>
    </w:p>
  </w:footnote>
  <w:footnote w:id="5">
    <w:p>
      <w:pPr>
        <w:pStyle w:val="FootnoteText"/>
        <w:rPr>
          <w:szCs w:val="24"/>
        </w:rPr>
      </w:pPr>
      <w:r>
        <w:rPr>
          <w:rStyle w:val="FootnoteReference"/>
          <w:szCs w:val="24"/>
        </w:rPr>
        <w:footnoteRef/>
      </w:r>
      <w:r>
        <w:rPr>
          <w:szCs w:val="24"/>
        </w:rPr>
        <w:tab/>
        <w:t>Restricted Council document 10229/2/05 (declassified on 24 September 2015).</w:t>
      </w:r>
    </w:p>
  </w:footnote>
  <w:footnote w:id="6">
    <w:p>
      <w:pPr>
        <w:pStyle w:val="FootnoteText"/>
        <w:rPr>
          <w:lang w:val="pt-PT"/>
        </w:rPr>
      </w:pPr>
      <w:r>
        <w:rPr>
          <w:rStyle w:val="FootnoteReference"/>
        </w:rPr>
        <w:footnoteRef/>
      </w:r>
      <w:r>
        <w:rPr>
          <w:lang w:val="pt-PT"/>
        </w:rPr>
        <w:t xml:space="preserve"> </w:t>
      </w:r>
      <w:r>
        <w:rPr>
          <w:lang w:val="pt-PT"/>
        </w:rPr>
        <w:tab/>
        <w:t>OJ L 295, 12.11.2010, p.23</w:t>
      </w:r>
    </w:p>
  </w:footnote>
  <w:footnote w:id="7">
    <w:p>
      <w:pPr>
        <w:pStyle w:val="FootnoteText"/>
        <w:rPr>
          <w:szCs w:val="24"/>
          <w:lang w:val="pt-PT"/>
        </w:rPr>
      </w:pPr>
      <w:r>
        <w:rPr>
          <w:rStyle w:val="FootnoteReference"/>
          <w:szCs w:val="24"/>
        </w:rPr>
        <w:footnoteRef/>
      </w:r>
      <w:r>
        <w:rPr>
          <w:szCs w:val="24"/>
          <w:lang w:val="pt-PT"/>
        </w:rPr>
        <w:tab/>
        <w:t>COM(2003) 251.</w:t>
      </w:r>
    </w:p>
  </w:footnote>
  <w:footnote w:id="8">
    <w:p>
      <w:pPr>
        <w:pStyle w:val="FootnoteText"/>
        <w:rPr>
          <w:szCs w:val="24"/>
          <w:lang w:val="pt-PT"/>
        </w:rPr>
      </w:pPr>
      <w:r>
        <w:rPr>
          <w:rStyle w:val="FootnoteReference"/>
          <w:szCs w:val="24"/>
        </w:rPr>
        <w:footnoteRef/>
      </w:r>
      <w:r>
        <w:rPr>
          <w:szCs w:val="24"/>
          <w:lang w:val="pt-PT"/>
        </w:rPr>
        <w:tab/>
        <w:t>OJ C 268, 7.11.2003, p. 1.</w:t>
      </w:r>
    </w:p>
  </w:footnote>
  <w:footnote w:id="9">
    <w:p>
      <w:pPr>
        <w:pStyle w:val="FootnoteText"/>
        <w:rPr>
          <w:szCs w:val="24"/>
        </w:rPr>
      </w:pPr>
      <w:r>
        <w:rPr>
          <w:rStyle w:val="FootnoteReference"/>
          <w:szCs w:val="24"/>
        </w:rPr>
        <w:footnoteRef/>
      </w:r>
      <w:r>
        <w:rPr>
          <w:szCs w:val="24"/>
        </w:rPr>
        <w:tab/>
        <w:t>OJ C 157E, 6.7.2006, p. 482.</w:t>
      </w:r>
    </w:p>
  </w:footnote>
  <w:footnote w:id="10">
    <w:p>
      <w:pPr>
        <w:pStyle w:val="FootnoteText"/>
        <w:rPr>
          <w:szCs w:val="24"/>
        </w:rPr>
      </w:pPr>
      <w:r>
        <w:rPr>
          <w:rStyle w:val="FootnoteReference"/>
          <w:szCs w:val="24"/>
        </w:rPr>
        <w:footnoteRef/>
      </w:r>
      <w:r>
        <w:rPr>
          <w:szCs w:val="24"/>
        </w:rPr>
        <w:tab/>
        <w:t>Council Regulation (EC) No 2173/2005 of 20 December 2005 on the establishment of a FLEGT licensing scheme for imports of timber into the European Community (OJ L 347, 30.12.2005, p. 1).</w:t>
      </w:r>
    </w:p>
  </w:footnote>
  <w:footnote w:id="11">
    <w:p>
      <w:pPr>
        <w:pStyle w:val="FootnoteText"/>
        <w:rPr>
          <w:szCs w:val="24"/>
        </w:rPr>
      </w:pPr>
      <w:r>
        <w:rPr>
          <w:rStyle w:val="FootnoteReference"/>
          <w:szCs w:val="24"/>
        </w:rPr>
        <w:footnoteRef/>
      </w:r>
      <w:r>
        <w:rPr>
          <w:szCs w:val="24"/>
        </w:rPr>
        <w:tab/>
        <w:t>The text of the Agreement will be published together with the Decision on its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CAE1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CD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A223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F61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741C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A00A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2EA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447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4:03: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37FFDAE-6FEC-4957-8B6E-B6A53AA76017"/>
    <w:docVar w:name="LW_COVERPAGE_TYPE" w:val="1"/>
    <w:docVar w:name="LW_CROSSREFERENCE" w:val="&lt;UNUSED&gt;"/>
    <w:docVar w:name="LW_DocType" w:val="COM"/>
    <w:docVar w:name="LW_EMISSION" w:val="3.7.2018"/>
    <w:docVar w:name="LW_EMISSION_ISODATE" w:val="2018-07-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3"/>
    <w:docVar w:name="LW_REF.II.NEW.CP_YEAR" w:val="2018"/>
    <w:docVar w:name="LW_REF.INST.NEW" w:val="COM"/>
    <w:docVar w:name="LW_REF.INST.NEW_ADOPTED" w:val="final"/>
    <w:docVar w:name="LW_REF.INST.NEW_TEXT" w:val="(2018) 5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signing, on behalf of the Union, of the Voluntary Partnership Agreement between the European Union and the Socialist Republic of Viet Nam on forest law enforcement, governance and trad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AFB6CDFF3A49979108D6E8DD600C44"/>
        <w:category>
          <w:name w:val="General"/>
          <w:gallery w:val="placeholder"/>
        </w:category>
        <w:types>
          <w:type w:val="bbPlcHdr"/>
        </w:types>
        <w:behaviors>
          <w:behavior w:val="content"/>
        </w:behaviors>
        <w:guid w:val="{54C988E3-77C4-4495-93C1-164533BF52E7}"/>
      </w:docPartPr>
      <w:docPartBody>
        <w:p>
          <w:pPr>
            <w:pStyle w:val="4EAFB6CDFF3A49979108D6E8DD600C4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8B7"/>
    <w:rPr>
      <w:color w:val="808080"/>
    </w:rPr>
  </w:style>
  <w:style w:type="paragraph" w:customStyle="1" w:styleId="4EAFB6CDFF3A49979108D6E8DD600C44">
    <w:name w:val="4EAFB6CDFF3A49979108D6E8DD600C44"/>
    <w:rsid w:val="004678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8B7"/>
    <w:rPr>
      <w:color w:val="808080"/>
    </w:rPr>
  </w:style>
  <w:style w:type="paragraph" w:customStyle="1" w:styleId="4EAFB6CDFF3A49979108D6E8DD600C44">
    <w:name w:val="4EAFB6CDFF3A49979108D6E8DD600C44"/>
    <w:rsid w:val="00467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A92E-EB8D-4DD0-BB5F-4B13A6ED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1406</Words>
  <Characters>8047</Characters>
  <Application>Microsoft Office Word</Application>
  <DocSecurity>0</DocSecurity>
  <Lines>154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2018-03-23T13:03:00Z</dcterms:created>
  <dcterms:modified xsi:type="dcterms:W3CDTF">2018-07-02T08:12:00Z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Yellow (DQC version 03)</vt:lpwstr>
  </property>
</Properties>
</file>