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2A445FE-E2C8-444C-A473-1B2B9EFEE797" style="width:450.75pt;height:50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rPr>
      </w:pPr>
    </w:p>
    <w:p>
      <w:pPr>
        <w:jc w:val="center"/>
        <w:rPr>
          <w:b/>
          <w:noProof/>
        </w:rPr>
      </w:pPr>
      <w:r>
        <w:rPr>
          <w:b/>
          <w:noProof/>
        </w:rPr>
        <w:t>Проект на</w:t>
      </w:r>
      <w:r>
        <w:rPr>
          <w:b/>
          <w:noProof/>
        </w:rPr>
        <w:br/>
        <w:t>РЕШЕНИЕ № …/2018 НА МИТНИЧЕСКИЯ ПОДКОМИТЕТ ЕС – УКРАЙНА</w:t>
      </w:r>
    </w:p>
    <w:p>
      <w:pPr>
        <w:jc w:val="center"/>
        <w:rPr>
          <w:b/>
          <w:noProof/>
        </w:rPr>
      </w:pPr>
      <w:r>
        <w:rPr>
          <w:b/>
          <w:noProof/>
        </w:rPr>
        <w:t>от ...</w:t>
      </w:r>
    </w:p>
    <w:p>
      <w:pPr>
        <w:jc w:val="center"/>
        <w:rPr>
          <w:b/>
          <w:noProof/>
        </w:rPr>
      </w:pPr>
      <w:r>
        <w:rPr>
          <w:b/>
          <w:noProof/>
        </w:rPr>
        <w:t>за замяна на протокол І към Споразумението за асоцииране между Европейския съюз и Украйна по отношение на определението на понятието „продукти с произход“ и методите на административно сътрудничество</w:t>
      </w:r>
    </w:p>
    <w:p>
      <w:pPr>
        <w:rPr>
          <w:noProof/>
        </w:rPr>
      </w:pPr>
    </w:p>
    <w:p>
      <w:pPr>
        <w:rPr>
          <w:noProof/>
        </w:rPr>
      </w:pPr>
      <w:r>
        <w:rPr>
          <w:noProof/>
        </w:rPr>
        <w:t>МИТНИЧЕСКИЯT ПОДКОМИТЕТ ЕС — УКРАЙНА,</w:t>
      </w:r>
    </w:p>
    <w:p>
      <w:pPr>
        <w:rPr>
          <w:noProof/>
        </w:rPr>
      </w:pPr>
      <w:r>
        <w:rPr>
          <w:noProof/>
        </w:rPr>
        <w:t>като взе предвид Споразумението за асоцииране между Европейския съюз, от една страна, и Украйна, от друга страна</w:t>
      </w:r>
      <w:r>
        <w:rPr>
          <w:rStyle w:val="FootnoteReference"/>
          <w:noProof/>
        </w:rPr>
        <w:footnoteReference w:id="1"/>
      </w:r>
      <w:r>
        <w:rPr>
          <w:noProof/>
        </w:rPr>
        <w:t>, и по-специално член 26, параграф 2 от него,</w:t>
      </w:r>
    </w:p>
    <w:p>
      <w:pPr>
        <w:rPr>
          <w:noProof/>
        </w:rPr>
      </w:pPr>
      <w:r>
        <w:rPr>
          <w:noProof/>
        </w:rPr>
        <w:t xml:space="preserve">като взе предвид протокол 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от една страна, и Украйна, от друга страна, </w:t>
      </w:r>
    </w:p>
    <w:p>
      <w:pPr>
        <w:rPr>
          <w:noProof/>
        </w:rPr>
      </w:pPr>
      <w:r>
        <w:rPr>
          <w:noProof/>
        </w:rPr>
        <w:t>като има предвид, че:</w:t>
      </w:r>
    </w:p>
    <w:p>
      <w:pPr>
        <w:pStyle w:val="Point0number"/>
        <w:numPr>
          <w:ilvl w:val="0"/>
          <w:numId w:val="1"/>
        </w:numPr>
        <w:ind w:left="851" w:hanging="851"/>
        <w:rPr>
          <w:noProof/>
        </w:rPr>
      </w:pPr>
      <w:r>
        <w:rPr>
          <w:noProof/>
        </w:rPr>
        <w:t>В член 26, параграф 2 от Споразумението за асоцииране между Европейския съюз, от една страна, и Украйна, от друга страна („Споразумението“) се съдържа препратка към протокол I към споразумението (протокол I“) по отношение на правилата за произход.</w:t>
      </w:r>
    </w:p>
    <w:p>
      <w:pPr>
        <w:pStyle w:val="Point0number"/>
        <w:numPr>
          <w:ilvl w:val="0"/>
          <w:numId w:val="1"/>
        </w:numPr>
        <w:ind w:left="851" w:hanging="851"/>
        <w:rPr>
          <w:noProof/>
        </w:rPr>
      </w:pPr>
      <w:r>
        <w:rPr>
          <w:noProof/>
        </w:rPr>
        <w:t>Споразумението влезе в сила на 1 септември 2017 г.</w:t>
      </w:r>
    </w:p>
    <w:p>
      <w:pPr>
        <w:pStyle w:val="Point0number"/>
        <w:ind w:left="851" w:hanging="851"/>
        <w:rPr>
          <w:noProof/>
        </w:rPr>
      </w:pPr>
      <w:r>
        <w:rPr>
          <w:noProof/>
        </w:rPr>
        <w:t>В член 39 от протокол I се предвижда, че митническият подкомитет, създаден по силата на дял IV, глава 5, член 83 от споразумението може да приеме изменения на разпоредбите на посочения протокол и да замени заложените в него правила за произход.</w:t>
      </w:r>
    </w:p>
    <w:p>
      <w:pPr>
        <w:pStyle w:val="Point0number"/>
        <w:rPr>
          <w:noProof/>
        </w:rPr>
      </w:pPr>
      <w:r>
        <w:rPr>
          <w:noProof/>
        </w:rPr>
        <w:t>Целта на Регионалната конвенция за паневросредиземноморските преференциални правила за произход</w:t>
      </w:r>
      <w:r>
        <w:rPr>
          <w:rStyle w:val="FootnoteReference"/>
          <w:noProof/>
        </w:rPr>
        <w:footnoteReference w:id="2"/>
      </w:r>
      <w:r>
        <w:rPr>
          <w:noProof/>
        </w:rPr>
        <w:t xml:space="preserve"> („Конвенцията“) е да бъдат заменени протоколите относно правилата за произход, които са в сила в държавите от паневросредиземноморския регион, с единен правен акт. </w:t>
      </w:r>
    </w:p>
    <w:p>
      <w:pPr>
        <w:pStyle w:val="Point0number"/>
        <w:rPr>
          <w:noProof/>
        </w:rPr>
      </w:pPr>
      <w:r>
        <w:rPr>
          <w:noProof/>
        </w:rPr>
        <w:t>Съюзът подписа Конвенцията на 15 юни 2011 г. На 16 май 2017 г. Съвместният комитет, създаден по силата на член 3 параграф 1 от Конвенцията, реши, че Украйна следва да бъде поканена да се присъедини към Конвенцията</w:t>
      </w:r>
      <w:r>
        <w:rPr>
          <w:rStyle w:val="FootnoteReference"/>
          <w:noProof/>
        </w:rPr>
        <w:footnoteReference w:id="3"/>
      </w:r>
      <w:r>
        <w:rPr>
          <w:noProof/>
        </w:rPr>
        <w:t>.</w:t>
      </w:r>
    </w:p>
    <w:p>
      <w:pPr>
        <w:pStyle w:val="Point0number"/>
        <w:rPr>
          <w:noProof/>
        </w:rPr>
      </w:pPr>
      <w:r>
        <w:rPr>
          <w:noProof/>
        </w:rPr>
        <w:t>Съюзът депозира своя акт за приемане при депозитаря на Конвенцията на 26 март 2012 г. Украйна депозира своя акт за приемане при депозитаря на Конвенцията на 19 декември 2017 г. В резултат на това и съгласно член 10, параграфи 2 и 3 от Конвенцията тя влезе в сила съответно на 1 май 2012 г. за Съюза и на 1 февруари 2018 г. за Украйна.</w:t>
      </w:r>
    </w:p>
    <w:p>
      <w:pPr>
        <w:pStyle w:val="Point0number"/>
        <w:rPr>
          <w:noProof/>
        </w:rPr>
      </w:pPr>
      <w:r>
        <w:rPr>
          <w:noProof/>
        </w:rPr>
        <w:lastRenderedPageBreak/>
        <w:t>Поради това протокол I следва да бъде заменен с нов протокол, в който се съдържа препратка към Конвенцията,</w:t>
      </w:r>
    </w:p>
    <w:p>
      <w:pPr>
        <w:rPr>
          <w:noProof/>
        </w:rPr>
      </w:pPr>
    </w:p>
    <w:p>
      <w:pPr>
        <w:rPr>
          <w:noProof/>
        </w:rPr>
      </w:pPr>
      <w:r>
        <w:rPr>
          <w:noProof/>
        </w:rPr>
        <w:t xml:space="preserve">ПРИЕ НАСТОЯЩОТО РЕШЕНИЕ: </w:t>
      </w:r>
    </w:p>
    <w:p>
      <w:pPr>
        <w:jc w:val="center"/>
        <w:rPr>
          <w:i/>
          <w:noProof/>
        </w:rPr>
      </w:pPr>
      <w:r>
        <w:rPr>
          <w:i/>
          <w:noProof/>
        </w:rPr>
        <w:t>Член 1</w:t>
      </w:r>
    </w:p>
    <w:p>
      <w:pPr>
        <w:rPr>
          <w:noProof/>
        </w:rPr>
      </w:pPr>
      <w:r>
        <w:rPr>
          <w:noProof/>
        </w:rPr>
        <w:t>Протокол 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и неговите  държави членки, от една страна, и Украйна, от друга страна се заменя с текста, съдържащ се в приложението към настоящото решение.</w:t>
      </w:r>
    </w:p>
    <w:p>
      <w:pPr>
        <w:jc w:val="center"/>
        <w:rPr>
          <w:i/>
          <w:noProof/>
        </w:rPr>
      </w:pPr>
      <w:r>
        <w:rPr>
          <w:i/>
          <w:noProof/>
        </w:rPr>
        <w:t>Член 2</w:t>
      </w:r>
    </w:p>
    <w:p>
      <w:pPr>
        <w:keepLines/>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jc w:val="center"/>
        <w:rPr>
          <w:i/>
          <w:noProof/>
        </w:rPr>
      </w:pPr>
      <w:r>
        <w:rPr>
          <w:i/>
          <w:noProof/>
        </w:rPr>
        <w:t>Член 3</w:t>
      </w:r>
    </w:p>
    <w:p>
      <w:pPr>
        <w:rPr>
          <w:noProof/>
        </w:rPr>
      </w:pPr>
      <w:r>
        <w:rPr>
          <w:noProof/>
        </w:rPr>
        <w:t>Настоящото решение влиза в сила в деня на приемането му.</w:t>
      </w:r>
    </w:p>
    <w:p>
      <w:pPr>
        <w:rPr>
          <w:noProof/>
        </w:rPr>
      </w:pPr>
      <w:r>
        <w:rPr>
          <w:noProof/>
        </w:rPr>
        <w:t>То се прилага от …</w:t>
      </w:r>
    </w:p>
    <w:p>
      <w:pPr>
        <w:rPr>
          <w:noProof/>
        </w:rPr>
      </w:pPr>
    </w:p>
    <w:p>
      <w:pPr>
        <w:rPr>
          <w:noProof/>
        </w:rPr>
      </w:pPr>
      <w:r>
        <w:rPr>
          <w:noProof/>
        </w:rPr>
        <w:t>Съставено в […] на […] година.</w:t>
      </w:r>
    </w:p>
    <w:p>
      <w:pPr>
        <w:rPr>
          <w:noProof/>
        </w:rPr>
      </w:pPr>
    </w:p>
    <w:p>
      <w:pPr>
        <w:rPr>
          <w:noProof/>
        </w:rPr>
      </w:pPr>
    </w:p>
    <w:p>
      <w:pPr>
        <w:ind w:left="6480"/>
        <w:rPr>
          <w:i/>
          <w:noProof/>
        </w:rPr>
      </w:pPr>
      <w:r>
        <w:rPr>
          <w:i/>
          <w:noProof/>
        </w:rPr>
        <w:t>За митническия подкомитет ЕС — Украйна</w:t>
      </w:r>
    </w:p>
    <w:p>
      <w:pPr>
        <w:rPr>
          <w:i/>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Председател</w:t>
      </w:r>
    </w:p>
    <w:p>
      <w:pPr>
        <w:rPr>
          <w:noProof/>
        </w:rPr>
      </w:pPr>
    </w:p>
    <w:p>
      <w:pPr>
        <w:spacing w:before="0" w:after="200" w:line="276" w:lineRule="auto"/>
        <w:jc w:val="left"/>
        <w:rPr>
          <w:noProof/>
        </w:rPr>
      </w:pPr>
      <w:r>
        <w:rPr>
          <w:noProof/>
        </w:rPr>
        <w:br w:type="page"/>
      </w:r>
    </w:p>
    <w:p>
      <w:pPr>
        <w:rPr>
          <w:noProof/>
        </w:rPr>
      </w:pPr>
    </w:p>
    <w:p>
      <w:pPr>
        <w:spacing w:before="0" w:after="240"/>
        <w:jc w:val="center"/>
        <w:rPr>
          <w:i/>
          <w:smallCaps/>
          <w:noProof/>
          <w:szCs w:val="20"/>
        </w:rPr>
      </w:pPr>
      <w:r>
        <w:rPr>
          <w:i/>
          <w:smallCaps/>
          <w:noProof/>
        </w:rPr>
        <w:t>Приложение</w:t>
      </w:r>
    </w:p>
    <w:p>
      <w:pPr>
        <w:spacing w:before="0" w:after="240"/>
        <w:jc w:val="center"/>
        <w:rPr>
          <w:b/>
          <w:noProof/>
        </w:rPr>
      </w:pPr>
      <w:r>
        <w:rPr>
          <w:b/>
          <w:noProof/>
        </w:rPr>
        <w:t>„Протокол I</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изпълнението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w:t>
      </w:r>
      <w:r>
        <w:rPr>
          <w:rStyle w:val="FootnoteReference"/>
          <w:noProof/>
        </w:rPr>
        <w:footnoteReference w:id="4"/>
      </w:r>
      <w:r>
        <w:rPr>
          <w:noProof/>
        </w:rPr>
        <w:t xml:space="preserve"> (наричана по-нататък „Конвенцията“).</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Конвенцията се тълкуват като препратки към настоящото споразумение.</w:t>
      </w:r>
    </w:p>
    <w:p>
      <w:pPr>
        <w:keepNext/>
        <w:spacing w:before="360"/>
        <w:jc w:val="center"/>
        <w:rPr>
          <w:i/>
          <w:noProof/>
        </w:rPr>
      </w:pPr>
      <w:r>
        <w:rPr>
          <w:i/>
          <w:noProof/>
        </w:rPr>
        <w:t>Член 2</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които не могат да бъдат уредени между митническите органи, поискали проверката, и митническите органи, отговорни за извършването на тази проверка, тези спорове се отнасят до митническия подкомитет. Разпоредбите относно механизма за уреждане на спорове, които се съдържат в глава 14 („Уреждане на спорове“) от дял IV („Търговия и свързани с търговията въпроси“) от настоящото споразумение, не се прилагат.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3</w:t>
      </w:r>
    </w:p>
    <w:p>
      <w:pPr>
        <w:spacing w:before="0" w:after="240"/>
        <w:jc w:val="center"/>
        <w:rPr>
          <w:b/>
          <w:noProof/>
        </w:rPr>
      </w:pPr>
      <w:r>
        <w:rPr>
          <w:b/>
          <w:noProof/>
        </w:rPr>
        <w:t>Изменения на Протокола</w:t>
      </w:r>
    </w:p>
    <w:p>
      <w:pPr>
        <w:rPr>
          <w:noProof/>
        </w:rPr>
      </w:pPr>
      <w:r>
        <w:rPr>
          <w:noProof/>
        </w:rPr>
        <w:t>Митническият подкомитет може да вземе решение за изменение на разпоредбите на настоящия протокол.</w:t>
      </w:r>
    </w:p>
    <w:p>
      <w:pPr>
        <w:keepNext/>
        <w:spacing w:before="360"/>
        <w:jc w:val="center"/>
        <w:rPr>
          <w:i/>
          <w:noProof/>
        </w:rPr>
      </w:pPr>
      <w:r>
        <w:rPr>
          <w:i/>
          <w:noProof/>
        </w:rPr>
        <w:t>Член 4</w:t>
      </w:r>
    </w:p>
    <w:p>
      <w:pPr>
        <w:spacing w:before="0" w:after="240"/>
        <w:jc w:val="center"/>
        <w:rPr>
          <w:b/>
          <w:noProof/>
        </w:rPr>
      </w:pPr>
      <w:r>
        <w:rPr>
          <w:b/>
          <w:noProof/>
        </w:rPr>
        <w:t>Оттегляне от Конвенцията</w:t>
      </w:r>
    </w:p>
    <w:p>
      <w:pPr>
        <w:rPr>
          <w:noProof/>
        </w:rPr>
      </w:pPr>
      <w:r>
        <w:rPr>
          <w:noProof/>
        </w:rPr>
        <w:t>1.</w:t>
      </w:r>
      <w:r>
        <w:rPr>
          <w:noProof/>
        </w:rPr>
        <w:tab/>
        <w:t xml:space="preserve">Ако Европейският съюз или Украйна изпратят писмено предизвестие до депозитаря на Конвенцията за намерението си да се оттеглят от Конвенцията съгласно </w:t>
      </w:r>
      <w:r>
        <w:rPr>
          <w:noProof/>
        </w:rPr>
        <w:lastRenderedPageBreak/>
        <w:t>член 9 от нея, Европейският съюз и Украйна започват незабавно преговори по правилата за произход за целите на изпълнението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ако е целесъобразно – в съответните разпоредби от допълнение II към Конвенцията, които се прилагат към момента на оттеглянето. Независимо от това от момента на оттеглянето правилата за произход, които се съдържат в допълнение I и – ако е целесъобразно – в съответните разпоредби от допълнение II към Конвенцията, се тълкуват така, че да позволяват двустранна кумулация единствено между Европейския съюз и Украйна.</w:t>
      </w:r>
    </w:p>
    <w:p>
      <w:pPr>
        <w:keepNext/>
        <w:spacing w:before="360"/>
        <w:jc w:val="center"/>
        <w:rPr>
          <w:i/>
          <w:noProof/>
        </w:rPr>
      </w:pPr>
      <w:r>
        <w:rPr>
          <w:i/>
          <w:noProof/>
        </w:rPr>
        <w:t>Член 5</w:t>
      </w:r>
    </w:p>
    <w:p>
      <w:pPr>
        <w:spacing w:before="0" w:after="240"/>
        <w:jc w:val="center"/>
        <w:rPr>
          <w:b/>
          <w:noProof/>
        </w:rPr>
      </w:pPr>
      <w:r>
        <w:rPr>
          <w:b/>
          <w:noProof/>
        </w:rPr>
        <w:t>Преходни разпоредби — кумулация</w:t>
      </w:r>
    </w:p>
    <w:p>
      <w:pPr>
        <w:rPr>
          <w:noProof/>
        </w:rPr>
      </w:pPr>
      <w:r>
        <w:rPr>
          <w:noProof/>
        </w:rPr>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161, 29.5.2014 г., стр. 3.</w:t>
      </w:r>
    </w:p>
  </w:footnote>
  <w:footnote w:id="2">
    <w:p>
      <w:pPr>
        <w:pStyle w:val="FootnoteText"/>
      </w:pPr>
      <w:r>
        <w:rPr>
          <w:rStyle w:val="FootnoteReference"/>
        </w:rPr>
        <w:footnoteRef/>
      </w:r>
      <w:r>
        <w:tab/>
        <w:t>ОВ L 54, 26.2.2013 г., стр. 4.</w:t>
      </w:r>
    </w:p>
  </w:footnote>
  <w:footnote w:id="3">
    <w:p>
      <w:pPr>
        <w:pStyle w:val="FootnoteText"/>
      </w:pPr>
      <w:r>
        <w:rPr>
          <w:rStyle w:val="FootnoteReference"/>
        </w:rPr>
        <w:footnoteRef/>
      </w:r>
      <w:r>
        <w:tab/>
        <w:t>Решение № 1/2017 на Съвместния комитет на Регионалната конвенция за паневросредиземноморските преференциални правила за произход от 16 май 2017 г. по отношение на молбата на Украйна да стане договаряща страна по Регионалната конвенция за паневросредиземноморските преференциални правила за произход [2017/1367] (ОВ L 191, 22.7.2017 г., стр. 11).</w:t>
      </w:r>
    </w:p>
  </w:footnote>
  <w:footnote w:id="4">
    <w:p>
      <w:pPr>
        <w:pStyle w:val="FootnoteText"/>
        <w:rPr>
          <w:lang w:val="pl-PL"/>
        </w:rPr>
      </w:pPr>
      <w:r>
        <w:rPr>
          <w:rStyle w:val="FootnoteReference"/>
        </w:rPr>
        <w:footnoteRef/>
      </w:r>
      <w:r>
        <w:tab/>
        <w:t>ОВ L 54, 26.2.2013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B407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5254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8E50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A24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7CC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78EC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9ABEB2"/>
    <w:lvl w:ilvl="0">
      <w:start w:val="1"/>
      <w:numFmt w:val="decimal"/>
      <w:pStyle w:val="ListNumber"/>
      <w:lvlText w:val="%1."/>
      <w:lvlJc w:val="left"/>
      <w:pPr>
        <w:tabs>
          <w:tab w:val="num" w:pos="360"/>
        </w:tabs>
        <w:ind w:left="360" w:hanging="360"/>
      </w:pPr>
    </w:lvl>
  </w:abstractNum>
  <w:abstractNum w:abstractNumId="7">
    <w:nsid w:val="FFFFFF89"/>
    <w:multiLevelType w:val="singleLevel"/>
    <w:tmpl w:val="611E2B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5 10:51: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2A445FE-E2C8-444C-A473-1B2B9EFEE797"/>
    <w:docVar w:name="LW_COVERPAGE_TYPE" w:val="1"/>
    <w:docVar w:name="LW_CROSSREFERENCE" w:val="&lt;UNUSED&gt;"/>
    <w:docVar w:name="LW_DocType" w:val="ANNEX"/>
    <w:docVar w:name="LW_EMISSION" w:val="3.7.2018"/>
    <w:docVar w:name="LW_EMISSION_ISODATE" w:val="2018-07-0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84?\u1080?\u1090?\u1085?\u1080?\u1095?\u1077?\u1089?\u1082?\u1080?\u1103?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u1098?\u1089? \u1079?\u1072?\u1084?\u1103?\u1085?\u1072?\u1090?\u1072? \u1085?\u1072? \u1087?\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9?\u1077? \u1089?\u1098?\u1076?\u1098?\u1088?\u1078?\u1072?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_x000b_"/>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84?\u1080?\u1090?\u1085?\u1080?\u1095?\u1077?\u1089?\u1082?\u1080?\u1103?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u1098?\u1089? \u1079?\u1072?\u1084?\u1103?\u1085?\u1072?\u1090?\u1072? \u1085?\u1072? \u1087?\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9?\u1077? \u1089?\u1098?\u1076?\u1098?\u1088?\u1078?\u1072?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_x000b_"/>
    <w:docVar w:name="LW_PART_NBR" w:val="1"/>
    <w:docVar w:name="LW_PART_NBR_TOTAL" w:val="1"/>
    <w:docVar w:name="LW_REF.INST.NEW" w:val="COM"/>
    <w:docVar w:name="LW_REF.INST.NEW_ADOPTED" w:val="final"/>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45?\u1064?\u1045?\u1053?\u1048?\u1045? \u1053?\u1040? \u1057?\u1066?\u1042?\u1045?\u1058?\u1040?_x000b_"/>
    <w:docVar w:name="LW_TYPEACTEPRINCIPAL.CP" w:val="\u1055?\u1088?\u1077?\u1076?\u1083?\u1086?\u1078?\u1077?\u1085?\u1080?\u1077? \u1079?\u1072?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840</Words>
  <Characters>4758</Characters>
  <Application>Microsoft Office Word</Application>
  <DocSecurity>0</DocSecurity>
  <Lines>116</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9</cp:revision>
  <dcterms:created xsi:type="dcterms:W3CDTF">2018-06-18T11:18:00Z</dcterms:created>
  <dcterms:modified xsi:type="dcterms:W3CDTF">2018-06-25T08:51:00Z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