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6C8045-B787-456B-867C-2B3ECF25D250" style="width:450.75pt;height:420.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Times New Roman"/>
          <w:noProof/>
          <w:szCs w:val="24"/>
        </w:rPr>
      </w:pPr>
      <w:r>
        <w:rPr>
          <w:noProof/>
        </w:rPr>
        <w:t>Настоящото предложение се отнася до решението за установяване на позицията, която да бъде заета от името на Европейския съюз в рамките на митническия подкомитет, създаден по силата на Споразумението за асоцииране между Европейския съюз, от една страна, и Украйна, от друга страна (наричано по-нататък „споразумението“), във връзка с предвиденото приемане на решение за замяна на протокол I относно определението на понятието „продукти с произход“ и методите на административно сътрудничество към споразумението с нов протокол, в който се съдържа препратка към Регионалната конвенция за паневросредиземноморските преференциални правила за произход</w:t>
      </w:r>
      <w:r>
        <w:rPr>
          <w:rStyle w:val="FootnoteReference"/>
          <w:noProof/>
        </w:rPr>
        <w:footnoteReference w:id="1"/>
      </w:r>
      <w:r>
        <w:rPr>
          <w:noProof/>
        </w:rPr>
        <w:t xml:space="preserve"> (наричана по-нататък „Конвенцията“).</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Протокол І към Споразумението</w:t>
      </w:r>
    </w:p>
    <w:p>
      <w:pPr>
        <w:rPr>
          <w:rFonts w:eastAsia="Arial Unicode MS"/>
          <w:noProof/>
        </w:rPr>
      </w:pPr>
      <w:r>
        <w:rPr>
          <w:noProof/>
        </w:rPr>
        <w:t>По силата на споразумението се създава преференциален ред за търговия. С този ред се осигурява пазарният достъп между ЕС и Украйна. Протокол І към споразумението се отнася до определението на понятието „продукти с произход“ и методите на административно сътрудничество. Споразумението влезе в сила на 1 септември 2017 г.</w:t>
      </w:r>
    </w:p>
    <w:p>
      <w:pPr>
        <w:pStyle w:val="ManualHeading2"/>
        <w:rPr>
          <w:noProof/>
        </w:rPr>
      </w:pPr>
      <w:r>
        <w:t>2.2.</w:t>
      </w:r>
      <w:r>
        <w:tab/>
      </w:r>
      <w:r>
        <w:rPr>
          <w:noProof/>
        </w:rPr>
        <w:t>Митническия подкомитет ЕС — Украйна</w:t>
      </w:r>
    </w:p>
    <w:p>
      <w:pPr>
        <w:pBdr>
          <w:top w:val="nil"/>
          <w:left w:val="nil"/>
          <w:bottom w:val="nil"/>
          <w:right w:val="nil"/>
          <w:between w:val="nil"/>
          <w:bar w:val="nil"/>
        </w:pBdr>
        <w:spacing w:before="0" w:after="240"/>
        <w:rPr>
          <w:rFonts w:eastAsia="Arial Unicode MS"/>
          <w:noProof/>
        </w:rPr>
      </w:pPr>
      <w:r>
        <w:rPr>
          <w:noProof/>
        </w:rPr>
        <w:t>В член 39, параграф 1 от протокол І се предвижда, че митническият подкомитет, създаден по силата на споразумението, може да реши да измени протокол І към Споразумението за асоцииране. По-специално, в член 39, параграф 2 от протокол I се предвижда, че митническият подкомитет може да реши, след присъединяването на Украйна към Регионалната конвенция за паневросредиземноморските преференциални правила за произход, да замени правилата за произход, предвидени в посочения протокол, с тези, съдържащи се в допълненията към Конвенцията.</w:t>
      </w:r>
    </w:p>
    <w:p>
      <w:pPr>
        <w:pStyle w:val="ManualHeading2"/>
        <w:rPr>
          <w:noProof/>
        </w:rPr>
      </w:pPr>
      <w:r>
        <w:t>2.3.</w:t>
      </w:r>
      <w:r>
        <w:tab/>
      </w:r>
      <w:r>
        <w:rPr>
          <w:noProof/>
        </w:rPr>
        <w:t>Предвижданият акт на митническия подкомитет ЕС – Украйна</w:t>
      </w:r>
    </w:p>
    <w:p>
      <w:pPr>
        <w:pBdr>
          <w:top w:val="nil"/>
          <w:left w:val="nil"/>
          <w:bottom w:val="nil"/>
          <w:right w:val="nil"/>
          <w:between w:val="nil"/>
          <w:bar w:val="nil"/>
        </w:pBdr>
        <w:spacing w:before="0" w:after="240"/>
        <w:rPr>
          <w:rFonts w:eastAsia="Arial Unicode MS"/>
          <w:noProof/>
        </w:rPr>
      </w:pPr>
      <w:r>
        <w:rPr>
          <w:noProof/>
        </w:rPr>
        <w:t>Предстои митническият подкомитет ЕС – Украйна да приеме решение за замяна на протокол I относно определението на понятието „продукти с произход“ и методите на административно сътрудничество към споразумението с нов протокол, в който се прави препратка към Конвенцията.</w:t>
      </w:r>
    </w:p>
    <w:p>
      <w:pPr>
        <w:pBdr>
          <w:top w:val="nil"/>
          <w:left w:val="nil"/>
          <w:bottom w:val="nil"/>
          <w:right w:val="nil"/>
          <w:between w:val="nil"/>
          <w:bar w:val="nil"/>
        </w:pBdr>
        <w:spacing w:before="0" w:after="240"/>
        <w:rPr>
          <w:rFonts w:eastAsia="Arial Unicode MS"/>
          <w:noProof/>
        </w:rPr>
      </w:pPr>
      <w:r>
        <w:rPr>
          <w:noProof/>
        </w:rPr>
        <w:t>Предназначението на предвиждания акт е да се осигури ефективното прилагане на Конвенцията.</w:t>
      </w:r>
    </w:p>
    <w:p>
      <w:pPr>
        <w:pStyle w:val="ManualHeading1"/>
        <w:rPr>
          <w:rFonts w:eastAsia="Arial Unicode MS"/>
          <w:noProof/>
        </w:rPr>
      </w:pPr>
      <w:r>
        <w:t>3.</w:t>
      </w:r>
      <w:r>
        <w:tab/>
      </w:r>
      <w:r>
        <w:rPr>
          <w:noProof/>
        </w:rPr>
        <w:t>Позиция, която трябва да се заеме от името на Съюза</w:t>
      </w:r>
    </w:p>
    <w:p>
      <w:pPr>
        <w:rPr>
          <w:rFonts w:eastAsia="Times New Roman"/>
          <w:noProof/>
          <w:szCs w:val="24"/>
        </w:rPr>
      </w:pPr>
      <w:r>
        <w:rPr>
          <w:noProof/>
        </w:rPr>
        <w:t>С Конвенцията се установяват разпоредби за произхода на стоките, търгувани по силата на съответните споразумения, сключени между договарящите страни. Съюзът подписа Конвенцията на 15 юни 2011 г. На 12 септември 2016 г. Украйна представи молба за присъединяване към Конвенцията и с Решение № 1/2017</w:t>
      </w:r>
      <w:r>
        <w:rPr>
          <w:rStyle w:val="FootnoteReference"/>
          <w:noProof/>
        </w:rPr>
        <w:footnoteReference w:id="2"/>
      </w:r>
      <w:r>
        <w:rPr>
          <w:noProof/>
        </w:rPr>
        <w:t xml:space="preserve"> от 16 май 2017 г. Съвместният комитет по Конвенцията реши, че Украйна следва да бъде поканена да се присъедини към Конвенцията.</w:t>
      </w:r>
    </w:p>
    <w:p>
      <w:pPr>
        <w:rPr>
          <w:rFonts w:eastAsia="Times New Roman"/>
          <w:noProof/>
          <w:szCs w:val="24"/>
        </w:rPr>
      </w:pPr>
      <w:r>
        <w:rPr>
          <w:noProof/>
        </w:rPr>
        <w:t>Съюзът депозира своя акт за приемане при депозитаря на Конвенцията на 26 март 2012 г. Украйна депозира своя акт за приемане при депозитаря на Конвенцията на 19 декември 2017 г. В резултат на това и съгласно член 10, параграфи 2 и 3 от Конвенцията тя влезе в сила съответно на 1 май 2012 г. за Съюза и на 1 февруари 2018 г. за Украйна.</w:t>
      </w:r>
    </w:p>
    <w:p>
      <w:pPr>
        <w:rPr>
          <w:noProof/>
        </w:rPr>
      </w:pPr>
      <w:r>
        <w:rPr>
          <w:noProof/>
        </w:rPr>
        <w:t xml:space="preserve">В член 6 от Конвенцията се предвижда всяка договаряща страна да вземе подходящи мерки, за да гарантира нейното ефективно прилагане. Предложеното решение на митническия подкомитет ЕС – Украйна е процедурна стъпка, която е необходима за постигането на главната цел на Конвенцията, а именно – замяна на протоколите за правилата за произход в споразуменията между договарящите страни по Конвенцията с протокол, в който се съдържа препратка към Конвенцията. </w:t>
      </w:r>
    </w:p>
    <w:p>
      <w:pPr>
        <w:rPr>
          <w:rFonts w:eastAsia="Arial Unicode MS"/>
          <w:noProof/>
        </w:rPr>
      </w:pPr>
      <w:r>
        <w:rPr>
          <w:noProof/>
        </w:rPr>
        <w:t>Поради това не бе необходимо провеждането на консултация със заинтересованите лица.</w:t>
      </w:r>
    </w:p>
    <w:p>
      <w:pPr>
        <w:pBdr>
          <w:top w:val="nil"/>
          <w:left w:val="nil"/>
          <w:bottom w:val="nil"/>
          <w:right w:val="nil"/>
          <w:between w:val="nil"/>
          <w:bar w:val="nil"/>
        </w:pBdr>
        <w:spacing w:before="0" w:after="240"/>
        <w:rPr>
          <w:noProof/>
        </w:rPr>
      </w:pPr>
      <w:r>
        <w:rPr>
          <w:noProof/>
        </w:rPr>
        <w:t>Не бе необходимо да се извършва и оценка на въздействието, тъй като предложените изменения са от техническо естество и не засягат същността на действащия понастоящем протокол относно правилата за произход.</w:t>
      </w:r>
    </w:p>
    <w:p>
      <w:pPr>
        <w:pStyle w:val="ManualHeading1"/>
        <w:rPr>
          <w:noProof/>
        </w:rPr>
      </w:pPr>
      <w:r>
        <w:t>4.</w:t>
      </w:r>
      <w:r>
        <w:tab/>
      </w:r>
      <w:r>
        <w:rPr>
          <w:noProof/>
        </w:rPr>
        <w:t>Правно основание</w:t>
      </w:r>
    </w:p>
    <w:p>
      <w:pPr>
        <w:pStyle w:val="ManualHeading2"/>
        <w:rPr>
          <w:rFonts w:eastAsia="Arial Unicode MS"/>
          <w:noProof/>
          <w:u w:color="000000"/>
          <w:bdr w:val="nil"/>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pBdr>
          <w:top w:val="nil"/>
          <w:left w:val="nil"/>
          <w:bottom w:val="nil"/>
          <w:right w:val="nil"/>
          <w:between w:val="nil"/>
          <w:bar w:val="nil"/>
        </w:pBdr>
        <w:spacing w:before="0" w:after="240"/>
        <w:rPr>
          <w:rFonts w:eastAsia="Arial Unicode MS"/>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Bdr>
          <w:top w:val="nil"/>
          <w:left w:val="nil"/>
          <w:bottom w:val="nil"/>
          <w:right w:val="nil"/>
          <w:between w:val="nil"/>
          <w:bar w:val="nil"/>
        </w:pBdr>
        <w:spacing w:before="0" w:after="240"/>
        <w:rPr>
          <w:rFonts w:eastAsia="Arial Unicode MS"/>
          <w:noProof/>
        </w:rPr>
      </w:pPr>
      <w:r>
        <w:rPr>
          <w:noProof/>
        </w:rPr>
        <w:t xml:space="preserve">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 </w:t>
      </w:r>
    </w:p>
    <w:p>
      <w:pPr>
        <w:pStyle w:val="ManualHeading3"/>
        <w:rPr>
          <w:noProof/>
        </w:rPr>
      </w:pPr>
      <w:r>
        <w:rPr>
          <w:noProof/>
        </w:rPr>
        <w:t>4.1.2.</w:t>
      </w:r>
      <w:r>
        <w:rPr>
          <w:noProof/>
        </w:rPr>
        <w:tab/>
        <w:t>Приложение в конкретния случай</w:t>
      </w:r>
    </w:p>
    <w:p>
      <w:pPr>
        <w:pBdr>
          <w:top w:val="nil"/>
          <w:left w:val="nil"/>
          <w:bottom w:val="nil"/>
          <w:right w:val="nil"/>
          <w:between w:val="nil"/>
          <w:bar w:val="nil"/>
        </w:pBdr>
        <w:spacing w:before="0" w:after="240"/>
        <w:rPr>
          <w:rFonts w:eastAsia="Arial Unicode MS"/>
          <w:noProof/>
        </w:rPr>
      </w:pPr>
      <w:r>
        <w:rPr>
          <w:noProof/>
        </w:rPr>
        <w:t>Митническият подкомитет ЕС – Украйна е орган, създаден със споразумение, а именно Споразумението за асоцииране между Европейския съюз, от една страна, и Украйна, от друга страна.</w:t>
      </w:r>
    </w:p>
    <w:p>
      <w:pPr>
        <w:pBdr>
          <w:top w:val="nil"/>
          <w:left w:val="nil"/>
          <w:bottom w:val="nil"/>
          <w:right w:val="nil"/>
          <w:between w:val="nil"/>
          <w:bar w:val="nil"/>
        </w:pBdr>
        <w:spacing w:before="0" w:after="240"/>
        <w:rPr>
          <w:rFonts w:eastAsia="Arial Unicode MS"/>
          <w:noProof/>
        </w:rPr>
      </w:pPr>
      <w:r>
        <w:rPr>
          <w:noProof/>
        </w:rPr>
        <w:t>Актът, който митническият подкомитет ЕС – Украйна има за задача да приеме, представлява акт с правно действие.</w:t>
      </w:r>
    </w:p>
    <w:p>
      <w:pPr>
        <w:pBdr>
          <w:top w:val="nil"/>
          <w:left w:val="nil"/>
          <w:bottom w:val="nil"/>
          <w:right w:val="nil"/>
          <w:between w:val="nil"/>
          <w:bar w:val="nil"/>
        </w:pBdr>
        <w:spacing w:before="0" w:after="240"/>
        <w:rPr>
          <w:rFonts w:eastAsia="Arial Unicode MS"/>
          <w:noProof/>
        </w:rPr>
      </w:pPr>
      <w:r>
        <w:rPr>
          <w:noProof/>
        </w:rPr>
        <w:t>Предвиденият акт не допълва, нито изменя институционалната рамка на споразумението.</w:t>
      </w:r>
    </w:p>
    <w:p>
      <w:pPr>
        <w:pBdr>
          <w:top w:val="nil"/>
          <w:left w:val="nil"/>
          <w:bottom w:val="nil"/>
          <w:right w:val="nil"/>
          <w:between w:val="nil"/>
          <w:bar w:val="nil"/>
        </w:pBdr>
        <w:spacing w:before="0" w:after="240"/>
        <w:rPr>
          <w:rFonts w:eastAsia="Arial Unicode MS"/>
          <w:noProof/>
        </w:rPr>
      </w:pPr>
      <w:r>
        <w:rPr>
          <w:noProof/>
        </w:rPr>
        <w:t>Поради това процесуалноправното основание за предложеното решение е член 218, параграф 9 от ДФЕС.</w:t>
      </w:r>
    </w:p>
    <w:p>
      <w:pPr>
        <w:pStyle w:val="ManualHeading2"/>
        <w:rPr>
          <w:rFonts w:eastAsia="Arial Unicode MS"/>
          <w:noProof/>
          <w:u w:color="000000"/>
          <w:bdr w:val="nil"/>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pBdr>
          <w:top w:val="nil"/>
          <w:left w:val="nil"/>
          <w:bottom w:val="nil"/>
          <w:right w:val="nil"/>
          <w:between w:val="nil"/>
          <w:bar w:val="nil"/>
        </w:pBdr>
        <w:spacing w:before="0" w:after="240"/>
        <w:rPr>
          <w:rFonts w:eastAsia="Arial Unicode MS"/>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почива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pBdr>
          <w:top w:val="nil"/>
          <w:left w:val="nil"/>
          <w:bottom w:val="nil"/>
          <w:right w:val="nil"/>
          <w:between w:val="nil"/>
          <w:bar w:val="nil"/>
        </w:pBdr>
        <w:spacing w:before="0" w:after="240"/>
        <w:rPr>
          <w:rFonts w:eastAsia="Arial Unicode MS"/>
          <w:noProof/>
        </w:rPr>
      </w:pPr>
      <w:r>
        <w:rPr>
          <w:noProof/>
        </w:rPr>
        <w:t>Основната цел и основното съдържание на предвидения акт са свързани с общата търговска политика.</w:t>
      </w:r>
    </w:p>
    <w:p>
      <w:pPr>
        <w:pBdr>
          <w:top w:val="nil"/>
          <w:left w:val="nil"/>
          <w:bottom w:val="nil"/>
          <w:right w:val="nil"/>
          <w:between w:val="nil"/>
          <w:bar w:val="nil"/>
        </w:pBdr>
        <w:spacing w:before="0" w:after="240"/>
        <w:rPr>
          <w:rFonts w:eastAsia="Arial Unicode MS"/>
          <w:noProof/>
        </w:rPr>
      </w:pPr>
      <w:r>
        <w:rPr>
          <w:noProof/>
        </w:rPr>
        <w:t>Поради това материалноправно основание на предложеното решение е член 207 от ДФЕС.</w:t>
      </w:r>
    </w:p>
    <w:p>
      <w:pPr>
        <w:pStyle w:val="ManualHeading2"/>
        <w:rPr>
          <w:rFonts w:eastAsia="Arial Unicode MS"/>
          <w:noProof/>
          <w:u w:color="000000"/>
          <w:bdr w:val="nil"/>
        </w:rPr>
      </w:pPr>
      <w:r>
        <w:rPr>
          <w:noProof/>
        </w:rPr>
        <w:t>4.3.</w:t>
      </w:r>
      <w:r>
        <w:rPr>
          <w:noProof/>
        </w:rPr>
        <w:tab/>
        <w:t>Заключение</w:t>
      </w:r>
    </w:p>
    <w:p>
      <w:pPr>
        <w:pBdr>
          <w:top w:val="nil"/>
          <w:left w:val="nil"/>
          <w:bottom w:val="nil"/>
          <w:right w:val="nil"/>
          <w:between w:val="nil"/>
          <w:bar w:val="nil"/>
        </w:pBdr>
        <w:spacing w:before="0" w:after="240"/>
        <w:rPr>
          <w:rFonts w:eastAsia="Arial Unicode MS"/>
          <w:noProof/>
        </w:rPr>
      </w:pPr>
      <w:r>
        <w:rPr>
          <w:noProof/>
        </w:rPr>
        <w:t>Правното основание за предложеното решение следва да бъде член 207,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митническия подкомитет ЕС – Украйна ще измени протокол І към Споразумението за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митническия подкомитет, създаден по силата на Споразумението за асоцииране между Европейския съюз и неговите държави членки, от една страна, и Украйна, от друга страна, във връзка със замяната на протокол I относно определението на понятието „продукти с произход“ и методите на административно сътрудничество към посоченото споразумение с нов протокол, в който се съдържа препратка към Регионалната конвенция за паневросредиземноморските преференциални правила за произход</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асоцииране между Европейския съюз и неговите държави членки, от една страна, и Украйна, от друга страна (наричано по-нататък „Споразумението“) бе сключено от Съюза по силата на Решение 2014/668/ЕС на Съвета</w:t>
      </w:r>
      <w:r>
        <w:rPr>
          <w:rStyle w:val="FootnoteReference"/>
          <w:noProof/>
        </w:rPr>
        <w:footnoteReference w:id="3"/>
      </w:r>
      <w:r>
        <w:rPr>
          <w:noProof/>
        </w:rPr>
        <w:t xml:space="preserve"> и влезе в сила на 1 септември 2017 г.</w:t>
      </w:r>
    </w:p>
    <w:p>
      <w:pPr>
        <w:pStyle w:val="ManualConsidrant"/>
        <w:rPr>
          <w:noProof/>
        </w:rPr>
      </w:pPr>
      <w:r>
        <w:t>(2)</w:t>
      </w:r>
      <w:r>
        <w:tab/>
      </w:r>
      <w:r>
        <w:rPr>
          <w:noProof/>
        </w:rPr>
        <w:t>Съгласно член 39, параграф 1 от протокол I към споразумението („протокол I“) митническият подкомитет , създаден по силата на дял IV, глава 5, член 83 от споразумението („митнически подкомитет“), може да приема изменения на разпоредбите на посочения протокол.</w:t>
      </w:r>
    </w:p>
    <w:p>
      <w:pPr>
        <w:pStyle w:val="ManualConsidrant"/>
        <w:rPr>
          <w:noProof/>
        </w:rPr>
      </w:pPr>
      <w:r>
        <w:t>(3)</w:t>
      </w:r>
      <w:r>
        <w:tab/>
      </w:r>
      <w:r>
        <w:rPr>
          <w:noProof/>
        </w:rPr>
        <w:t>Съгласно член 39, параграф 2 от протокол I митническият подкомитет може да реши също така, след присъединяването на Украйна към Регионалната конвенция за паневросредиземноморските преференциални правила за произход</w:t>
      </w:r>
      <w:r>
        <w:rPr>
          <w:rStyle w:val="FootnoteReference"/>
          <w:noProof/>
        </w:rPr>
        <w:footnoteReference w:id="4"/>
      </w:r>
      <w:r>
        <w:rPr>
          <w:noProof/>
        </w:rPr>
        <w:t xml:space="preserve"> („Конвенцията“), да замени правилата за произход, предвидени в посочения протокол, с тези, съдържащи се в допълненията към Конвенцията. </w:t>
      </w:r>
    </w:p>
    <w:p>
      <w:pPr>
        <w:pStyle w:val="ManualConsidrant"/>
        <w:rPr>
          <w:noProof/>
        </w:rPr>
      </w:pPr>
      <w:r>
        <w:t>(4)</w:t>
      </w:r>
      <w:r>
        <w:tab/>
      </w:r>
      <w:r>
        <w:rPr>
          <w:noProof/>
        </w:rPr>
        <w:t>Конвенцията съдържа разпоредби относно произхода на стоките, които се търгуват по силата на съответните споразумения, сключени между договарящите страни и влезли в сила за Европейския съюз на 1 май 2012 г. и за Украйна на 1 февруари 2018 г.</w:t>
      </w:r>
    </w:p>
    <w:p>
      <w:pPr>
        <w:pStyle w:val="ManualConsidrant"/>
        <w:rPr>
          <w:noProof/>
        </w:rPr>
      </w:pPr>
      <w:r>
        <w:t>(5)</w:t>
      </w:r>
      <w:r>
        <w:tab/>
      </w:r>
      <w:r>
        <w:rPr>
          <w:noProof/>
        </w:rPr>
        <w:t>Предстои митническият подкомитет ЕС – Украйна да приеме решение за замяна на протокол I относно определението на понятието „продукти с произход“ и методите на административно сътрудничество с нов протокол, в който се прави препратка към Конвенцията.</w:t>
      </w:r>
    </w:p>
    <w:p>
      <w:pPr>
        <w:pStyle w:val="ManualConsidrant"/>
        <w:rPr>
          <w:noProof/>
        </w:rPr>
      </w:pPr>
      <w:r>
        <w:t>(6)</w:t>
      </w:r>
      <w:r>
        <w:tab/>
      </w:r>
      <w:r>
        <w:rPr>
          <w:noProof/>
        </w:rPr>
        <w:t>Целесъобразно е да се установи позицията, която трябва да се заеме от името на Съюза в митническия подкомитет, тъй като решението, прието от него, ще бъде обвързващо за Съюза.</w:t>
      </w:r>
    </w:p>
    <w:p>
      <w:pPr>
        <w:pStyle w:val="ManualConsidrant"/>
        <w:rPr>
          <w:noProof/>
        </w:rPr>
      </w:pPr>
      <w:r>
        <w:t>(7)</w:t>
      </w:r>
      <w:r>
        <w:tab/>
      </w:r>
      <w:r>
        <w:rPr>
          <w:noProof/>
        </w:rPr>
        <w:t xml:space="preserve">В член 6 от Конвенцията се предвижда всяка договаряща страна да вземе подходящи мерки, за да гарантира нейното ефективно прилагане. С оглед на това протокол I следва да бъде заменен с нов протокол, в който по отношение на правилата за произход се съдържа препратка към Конвенцията. </w:t>
      </w:r>
    </w:p>
    <w:p>
      <w:pPr>
        <w:pStyle w:val="ManualConsidrant"/>
        <w:rPr>
          <w:noProof/>
        </w:rPr>
      </w:pPr>
      <w:r>
        <w:t>(8)</w:t>
      </w:r>
      <w:r>
        <w:tab/>
      </w:r>
      <w:r>
        <w:rPr>
          <w:noProof/>
        </w:rPr>
        <w:t>Позицията, която трябва да се заеме от името на Съюза в рамките на митническия подкомитет следва да се основава на приложения проект за решение.</w:t>
      </w:r>
    </w:p>
    <w:p>
      <w:pPr>
        <w:pStyle w:val="ManualConsidrant"/>
        <w:rPr>
          <w:noProof/>
        </w:rPr>
      </w:pPr>
      <w:r>
        <w:t>(9)</w:t>
      </w:r>
      <w:r>
        <w:tab/>
      </w:r>
      <w:r>
        <w:rPr>
          <w:noProof/>
        </w:rPr>
        <w:t xml:space="preserve">Тъй като с решението на митническия подкомитет ЕС – Украйна протокол І ще бъде изменен, той следва да бъде публикуван в </w:t>
      </w:r>
      <w:r>
        <w:rPr>
          <w:i/>
          <w:noProof/>
        </w:rPr>
        <w:t>Официален вестник на Европейския съюз</w:t>
      </w:r>
      <w:r>
        <w:rPr>
          <w:noProof/>
        </w:rPr>
        <w:t>.</w:t>
      </w:r>
    </w:p>
    <w:p>
      <w:pPr>
        <w:pStyle w:val="ManualConsidrant"/>
        <w:rPr>
          <w:noProof/>
        </w:rPr>
      </w:pPr>
      <w:r>
        <w:t>(10)</w:t>
      </w:r>
      <w:r>
        <w:tab/>
      </w:r>
      <w:r>
        <w:rPr>
          <w:noProof/>
        </w:rPr>
        <w:t>В рамките на митническия подкомитет ЕС – Украйна Съюзът се представлява от Комисията в съответствие с член 17, параграф 1 от Договора за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заета от името на Европейския съюз в рамките на митническия подкомитет, създаден по силата на дял IV, глава 5, член 83 от Споразумението за асоцииране между Европейския съюз и неговите държави членки, от една страна, и Украйна, от друга страна (наричан по-нататък „митническия подкомитет“), се основава на проекта на решение, приложен към настоящото решение.</w:t>
      </w:r>
    </w:p>
    <w:p>
      <w:pPr>
        <w:pStyle w:val="Titrearticle"/>
        <w:rPr>
          <w:noProof/>
        </w:rPr>
      </w:pPr>
      <w:r>
        <w:rPr>
          <w:noProof/>
        </w:rPr>
        <w:t>Член 2</w:t>
      </w:r>
    </w:p>
    <w:p>
      <w:pPr>
        <w:rPr>
          <w:noProof/>
        </w:rPr>
      </w:pPr>
      <w:r>
        <w:rPr>
          <w:noProof/>
        </w:rPr>
        <w:t>Представителите на Съюза в митническия подкомитет могат да одобряват внасянето на незначителни промени в проекта на решението, посочено в член 1, без да е необходимо допълнително решение на Съвета.</w:t>
      </w:r>
    </w:p>
    <w:p>
      <w:pPr>
        <w:pStyle w:val="Titrearticle"/>
        <w:rPr>
          <w:noProof/>
        </w:rPr>
      </w:pPr>
      <w:r>
        <w:rPr>
          <w:noProof/>
        </w:rPr>
        <w:t>Член 3</w:t>
      </w:r>
    </w:p>
    <w:p>
      <w:pPr>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54, 26.2.2013 г., стр. 4.</w:t>
      </w:r>
    </w:p>
  </w:footnote>
  <w:footnote w:id="2">
    <w:p>
      <w:pPr>
        <w:pStyle w:val="FootnoteText"/>
      </w:pPr>
      <w:r>
        <w:rPr>
          <w:rStyle w:val="FootnoteReference"/>
        </w:rPr>
        <w:footnoteRef/>
      </w:r>
      <w:r>
        <w:tab/>
        <w:t>ОВ L 191, 22.7.2017 г., стр. 11.</w:t>
      </w:r>
    </w:p>
  </w:footnote>
  <w:footnote w:id="3">
    <w:p>
      <w:pPr>
        <w:pStyle w:val="FootnoteText"/>
      </w:pPr>
      <w:r>
        <w:rPr>
          <w:rStyle w:val="FootnoteReference"/>
        </w:rPr>
        <w:footnoteRef/>
      </w:r>
      <w:r>
        <w:tab/>
        <w:t>Решение 2014/668/ЕС на Съвета от 23 юни 2014 г. за подписване, от името на Европейския съюз, и временно прилагане на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по отношение на дял III (с изключение на разпоредбите относно третирането на граждани на трети държави, които са законно наети като работници на територията на другата страна) и дялове IV, V, VI и VII от него, както и на свързаните приложения и протоколи (ОВ L 278, 20.9.2014 г., стр. 1).</w:t>
      </w:r>
    </w:p>
  </w:footnote>
  <w:footnote w:id="4">
    <w:p>
      <w:pPr>
        <w:pStyle w:val="FootnoteText"/>
        <w:rPr>
          <w:lang w:val="pl-PL"/>
        </w:rPr>
      </w:pPr>
      <w:r>
        <w:rPr>
          <w:rStyle w:val="FootnoteReference"/>
        </w:rPr>
        <w:footnoteRef/>
      </w:r>
      <w:r>
        <w:tab/>
        <w:t>ОВ L 54, 26.2.2013 г.,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80BB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52F3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853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6A24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7E5D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4E84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3491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238D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JUNG RASMUSSEN Eva (SJ)">
    <w15:presenceInfo w15:providerId="None" w15:userId="LJUNG RASMUSSEN Ev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5 10:50: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46C8045-B787-456B-867C-2B3ECF25D250"/>
    <w:docVar w:name="LW_COVERPAGE_TYPE" w:val="1"/>
    <w:docVar w:name="LW_CROSSREFERENCE" w:val="&lt;UNUSED&gt;"/>
    <w:docVar w:name="LW_DocType" w:val="COM"/>
    <w:docVar w:name="LW_EMISSION" w:val="3.7.2018"/>
    <w:docVar w:name="LW_EMISSION_ISODATE" w:val="2018-07-03"/>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84?\u1080?\u1090?\u1085?\u1080?\u1095?\u1077?\u1089?\u1082?\u1080?\u1103?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u1098?\u1089? \u1079?\u1072?\u1084?\u1103?\u1085?\u1072?\u1090?\u1072? \u1085?\u1072? \u1087?\u1088?\u1086?\u1090?\u1086?\u1082?\u1086?\u1083? 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u1082?\u1098?\u1084? \u1087?\u1086?\u1089?\u1086?\u1095?\u1077?\u1085?\u1086?\u1090?\u1086? \u1089?\u1087?\u1086?\u1088?\u1072?\u1079?\u1091?\u1084?\u1077?\u1085?\u1080?\u1077? \u1089? \u1085?\u1086?\u1074? \u1087?\u1088?\u1086?\u1090?\u1086?\u1082?\u1086?\u1083?, \u1074? \u1082?\u1086?\u1081?\u1090?\u1086? \u1089?\u1077? \u1089?\u1098?\u1076?\u1098?\u1088?\u1078?\u1072? \u1087?\u1088?\u1077?\u1087?\u1088?\u1072?\u1090?\u1082?\u1072? \u1082?\u1098?\u1084?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1501</Words>
  <Characters>8603</Characters>
  <Application>Microsoft Office Word</Application>
  <DocSecurity>0</DocSecurity>
  <Lines>172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2018-05-25T12:48:00Z</cp:lastPrinted>
  <dcterms:created xsi:type="dcterms:W3CDTF">2018-06-18T11:09:00Z</dcterms:created>
  <dcterms:modified xsi:type="dcterms:W3CDTF">2018-06-25T08:50:00Z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