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EF1E78C-3091-4441-AB2F-2108AE00E51E"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p>
    <w:p>
      <w:pPr>
        <w:jc w:val="center"/>
        <w:rPr>
          <w:b/>
          <w:noProof/>
        </w:rPr>
      </w:pPr>
      <w:r>
        <w:rPr>
          <w:b/>
          <w:noProof/>
        </w:rPr>
        <w:t>Projet de</w:t>
      </w:r>
      <w:r>
        <w:rPr>
          <w:b/>
          <w:noProof/>
        </w:rPr>
        <w:br/>
        <w:t>DÉCISION nº …/2018 DU SOUS-COMITÉ DOUANIER UE-UKRAINE</w:t>
      </w:r>
    </w:p>
    <w:p>
      <w:pPr>
        <w:jc w:val="center"/>
        <w:rPr>
          <w:b/>
          <w:noProof/>
        </w:rPr>
      </w:pPr>
      <w:r>
        <w:rPr>
          <w:b/>
          <w:noProof/>
        </w:rPr>
        <w:t>du...</w:t>
      </w:r>
    </w:p>
    <w:p>
      <w:pPr>
        <w:jc w:val="center"/>
        <w:rPr>
          <w:b/>
          <w:noProof/>
        </w:rPr>
      </w:pPr>
      <w:r>
        <w:rPr>
          <w:b/>
          <w:noProof/>
        </w:rPr>
        <w:t>remplaçant le protocole I de l'accord d'association UE-Ukraine, concernant la définition de la notion de «produits originaires» et les méthodes de coopération administrative</w:t>
      </w:r>
    </w:p>
    <w:p>
      <w:pPr>
        <w:rPr>
          <w:noProof/>
        </w:rPr>
      </w:pPr>
    </w:p>
    <w:p>
      <w:pPr>
        <w:rPr>
          <w:noProof/>
        </w:rPr>
      </w:pPr>
      <w:r>
        <w:rPr>
          <w:noProof/>
        </w:rPr>
        <w:t>LE SOUS-COMITÉ DOUANIER UE-UKRAINE,</w:t>
      </w:r>
    </w:p>
    <w:p>
      <w:pPr>
        <w:rPr>
          <w:noProof/>
        </w:rPr>
      </w:pPr>
      <w:r>
        <w:rPr>
          <w:noProof/>
        </w:rPr>
        <w:t>vu l'accord d'association entre l'Union européenne, d'une part, et l’Ukraine, d'autre part</w:t>
      </w:r>
      <w:r>
        <w:rPr>
          <w:rStyle w:val="FootnoteReference"/>
          <w:noProof/>
        </w:rPr>
        <w:footnoteReference w:id="1"/>
      </w:r>
      <w:r>
        <w:rPr>
          <w:noProof/>
        </w:rPr>
        <w:t>, et notamment son article 26, paragraphe 2,</w:t>
      </w:r>
    </w:p>
    <w:p>
      <w:pPr>
        <w:rPr>
          <w:noProof/>
        </w:rPr>
      </w:pPr>
      <w:r>
        <w:rPr>
          <w:noProof/>
        </w:rPr>
        <w:t>vu le protocole I de l'accord d'association entre l'Union européenne, d'une part, et l’Ukraine, d'autre part, concernant la définition de la notion de «produits originaires» et les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26, paragraphe 2, de l'accord d'association entre l'Union européenne, d'une part, et l’Ukraine, d'autre part (ci-après l’«accord»), fait référence au protocole I de l'accord (ci-après «protocole I») en ce qui concerne les règles d'origine.</w:t>
      </w:r>
    </w:p>
    <w:p>
      <w:pPr>
        <w:pStyle w:val="Point0number"/>
        <w:numPr>
          <w:ilvl w:val="0"/>
          <w:numId w:val="1"/>
        </w:numPr>
        <w:ind w:left="851" w:hanging="851"/>
        <w:rPr>
          <w:noProof/>
        </w:rPr>
      </w:pPr>
      <w:r>
        <w:rPr>
          <w:noProof/>
        </w:rPr>
        <w:t>L’accord est entré en vigueur le 1</w:t>
      </w:r>
      <w:r>
        <w:rPr>
          <w:noProof/>
          <w:vertAlign w:val="superscript"/>
        </w:rPr>
        <w:t>er</w:t>
      </w:r>
      <w:r>
        <w:rPr>
          <w:noProof/>
        </w:rPr>
        <w:t> septembre 2017.</w:t>
      </w:r>
    </w:p>
    <w:p>
      <w:pPr>
        <w:pStyle w:val="Point0number"/>
        <w:ind w:left="851" w:hanging="851"/>
        <w:rPr>
          <w:noProof/>
        </w:rPr>
      </w:pPr>
      <w:r>
        <w:rPr>
          <w:noProof/>
        </w:rPr>
        <w:t>L’article 39 du protocole I dispose que le sous-comité douanier institué en vertu du titre IV, chapitre 5, article 83, de l’accord peut décider de modifier les dispositions dudit protocole et de remplacer les règles d’origine définies dans ce protocole.</w:t>
      </w:r>
    </w:p>
    <w:p>
      <w:pPr>
        <w:pStyle w:val="Point0number"/>
        <w:rPr>
          <w:noProof/>
        </w:rPr>
      </w:pPr>
      <w:r>
        <w:rPr>
          <w:noProof/>
        </w:rPr>
        <w:t>La convention régionale sur les règles d'origine préférentielles paneuro-méditerranéennes</w:t>
      </w:r>
      <w:r>
        <w:rPr>
          <w:rStyle w:val="FootnoteReference"/>
          <w:noProof/>
        </w:rPr>
        <w:footnoteReference w:id="2"/>
      </w:r>
      <w:r>
        <w:rPr>
          <w:noProof/>
        </w:rPr>
        <w:t xml:space="preserve"> (ci-après la «convention») vise à remplacer par un acte juridique unique les protocoles relatifs aux règles d'origine actuellement en vigueur dans les pays de la zone paneuro-méditerranéenne. </w:t>
      </w:r>
    </w:p>
    <w:p>
      <w:pPr>
        <w:pStyle w:val="Point0number"/>
        <w:rPr>
          <w:noProof/>
        </w:rPr>
      </w:pPr>
      <w:r>
        <w:rPr>
          <w:noProof/>
        </w:rPr>
        <w:t>L'Union a signé la convention le 15 juin 2011. Le 16 mai 2017, le comité mixte institué par l'article 3, paragraphe 1, de la convention a décidé qu'il convenait d'inviter l’Ukraine à adhérer à la convention</w:t>
      </w:r>
      <w:r>
        <w:rPr>
          <w:rStyle w:val="FootnoteReference"/>
          <w:noProof/>
        </w:rPr>
        <w:footnoteReference w:id="3"/>
      </w:r>
      <w:r>
        <w:rPr>
          <w:noProof/>
        </w:rPr>
        <w:t>.</w:t>
      </w:r>
    </w:p>
    <w:p>
      <w:pPr>
        <w:pStyle w:val="Point0number"/>
        <w:rPr>
          <w:noProof/>
        </w:rPr>
      </w:pPr>
      <w:r>
        <w:rPr>
          <w:noProof/>
        </w:rPr>
        <w:t>Le 26 mars 2012, l’Union européenne a déposé son instrument d’acceptation auprès du dépositaire de la convention. Le 19 décembre 2017, l’Ukraine a déposé son instrument d’acceptation auprès du dépositaire de la convention. En conséquence, en application de son article 10, paragraphes 2 et 3, la convention est entrée en vigueur le 1</w:t>
      </w:r>
      <w:r>
        <w:rPr>
          <w:noProof/>
          <w:vertAlign w:val="superscript"/>
        </w:rPr>
        <w:t>er</w:t>
      </w:r>
      <w:r>
        <w:rPr>
          <w:noProof/>
        </w:rPr>
        <w:t> mai 2012 pour l'Union européenne et le 1</w:t>
      </w:r>
      <w:r>
        <w:rPr>
          <w:noProof/>
          <w:vertAlign w:val="superscript"/>
        </w:rPr>
        <w:t>er</w:t>
      </w:r>
      <w:r>
        <w:rPr>
          <w:noProof/>
        </w:rPr>
        <w:t> février 2018 pour l’Ukraine.</w:t>
      </w:r>
    </w:p>
    <w:p>
      <w:pPr>
        <w:pStyle w:val="Point0number"/>
        <w:rPr>
          <w:noProof/>
        </w:rPr>
      </w:pPr>
      <w:r>
        <w:rPr>
          <w:noProof/>
        </w:rPr>
        <w:t>Il convient, dès lors, de remplacer le protocole I par un nouveau protocole faisant référence à la convention,</w:t>
      </w:r>
    </w:p>
    <w:p>
      <w:pPr>
        <w:rPr>
          <w:noProof/>
        </w:rPr>
      </w:pPr>
    </w:p>
    <w:p>
      <w:pPr>
        <w:rPr>
          <w:noProof/>
        </w:rPr>
      </w:pPr>
      <w:r>
        <w:rPr>
          <w:noProof/>
        </w:rPr>
        <w:lastRenderedPageBreak/>
        <w:t xml:space="preserve">A ADOPTÉ LA PRÉSENTE DÉCISION: </w:t>
      </w:r>
    </w:p>
    <w:p>
      <w:pPr>
        <w:jc w:val="center"/>
        <w:rPr>
          <w:i/>
          <w:noProof/>
        </w:rPr>
      </w:pPr>
      <w:r>
        <w:rPr>
          <w:i/>
          <w:noProof/>
        </w:rPr>
        <w:t>Article premier</w:t>
      </w:r>
    </w:p>
    <w:p>
      <w:pPr>
        <w:rPr>
          <w:noProof/>
        </w:rPr>
      </w:pPr>
      <w:r>
        <w:rPr>
          <w:noProof/>
        </w:rPr>
        <w:t>Le protocole I de l'accord d'association entre l'Union européenne et ses États membres, d'une part, et l’Ukraine, d'autre part, concernant la définition de la notion de «produits originaires» et les méthodes de coopération administrative, est remplacé par le texte figurant à l'annexe de la présente décision.</w:t>
      </w:r>
    </w:p>
    <w:p>
      <w:pPr>
        <w:jc w:val="center"/>
        <w:rPr>
          <w:i/>
          <w:noProof/>
        </w:rPr>
      </w:pPr>
      <w:r>
        <w:rPr>
          <w:i/>
          <w:noProof/>
        </w:rPr>
        <w:t>Article 2</w:t>
      </w:r>
    </w:p>
    <w:p>
      <w:pPr>
        <w:keepLines/>
        <w:rPr>
          <w:noProof/>
        </w:rPr>
      </w:pPr>
      <w:r>
        <w:rPr>
          <w:noProof/>
        </w:rPr>
        <w:t xml:space="preserve">La présente décision est publiée au </w:t>
      </w:r>
      <w:r>
        <w:rPr>
          <w:i/>
          <w:noProof/>
        </w:rPr>
        <w:t>Journal officiel de l'Union européenne</w:t>
      </w:r>
      <w:r>
        <w:rPr>
          <w:noProof/>
        </w:rPr>
        <w:t>.</w:t>
      </w:r>
    </w:p>
    <w:p>
      <w:pPr>
        <w:jc w:val="center"/>
        <w:rPr>
          <w:i/>
          <w:noProof/>
        </w:rPr>
      </w:pPr>
      <w:r>
        <w:rPr>
          <w:i/>
          <w:noProof/>
        </w:rPr>
        <w:t>Article 3</w:t>
      </w:r>
    </w:p>
    <w:p>
      <w:pPr>
        <w:rPr>
          <w:noProof/>
        </w:rPr>
      </w:pPr>
      <w:r>
        <w:rPr>
          <w:noProof/>
        </w:rPr>
        <w:t>La présente décision entre en vigueur le jour de son adoption.</w:t>
      </w:r>
    </w:p>
    <w:p>
      <w:pPr>
        <w:rPr>
          <w:noProof/>
        </w:rPr>
      </w:pPr>
      <w:r>
        <w:rPr>
          <w:noProof/>
        </w:rPr>
        <w:t>Elle est applicable à partir du ….</w:t>
      </w:r>
    </w:p>
    <w:p>
      <w:pPr>
        <w:rPr>
          <w:noProof/>
        </w:rPr>
      </w:pPr>
    </w:p>
    <w:p>
      <w:pPr>
        <w:rPr>
          <w:noProof/>
        </w:rPr>
      </w:pPr>
      <w:r>
        <w:rPr>
          <w:noProof/>
        </w:rPr>
        <w:t>Fait à …, le</w:t>
      </w:r>
    </w:p>
    <w:p>
      <w:pPr>
        <w:rPr>
          <w:noProof/>
        </w:rPr>
      </w:pPr>
    </w:p>
    <w:p>
      <w:pPr>
        <w:rPr>
          <w:noProof/>
        </w:rPr>
      </w:pPr>
    </w:p>
    <w:p>
      <w:pPr>
        <w:ind w:left="6480"/>
        <w:rPr>
          <w:i/>
          <w:noProof/>
        </w:rPr>
      </w:pPr>
      <w:r>
        <w:rPr>
          <w:i/>
          <w:noProof/>
        </w:rPr>
        <w:t>Pour le sous-comité douanier UE-Ukraine</w:t>
      </w:r>
    </w:p>
    <w:p>
      <w:pPr>
        <w:rPr>
          <w:i/>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noProof/>
        </w:rPr>
        <w:t>Le président</w:t>
      </w:r>
    </w:p>
    <w:p>
      <w:pPr>
        <w:rPr>
          <w:noProof/>
        </w:rPr>
      </w:pPr>
    </w:p>
    <w:p>
      <w:pPr>
        <w:spacing w:before="0" w:after="200" w:line="276" w:lineRule="auto"/>
        <w:jc w:val="left"/>
        <w:rPr>
          <w:noProof/>
        </w:rPr>
      </w:pPr>
      <w:r>
        <w:rPr>
          <w:noProof/>
        </w:rPr>
        <w:br w:type="page"/>
      </w:r>
    </w:p>
    <w:p>
      <w:pPr>
        <w:rPr>
          <w:noProof/>
        </w:rPr>
      </w:pPr>
    </w:p>
    <w:p>
      <w:pPr>
        <w:spacing w:before="0" w:after="240"/>
        <w:jc w:val="center"/>
        <w:rPr>
          <w:i/>
          <w:smallCaps/>
          <w:noProof/>
          <w:szCs w:val="20"/>
        </w:rPr>
      </w:pPr>
      <w:r>
        <w:rPr>
          <w:i/>
          <w:smallCaps/>
          <w:noProof/>
        </w:rPr>
        <w:t>Annexe</w:t>
      </w:r>
    </w:p>
    <w:p>
      <w:pPr>
        <w:spacing w:before="0" w:after="240"/>
        <w:jc w:val="center"/>
        <w:rPr>
          <w:b/>
          <w:noProof/>
        </w:rPr>
      </w:pPr>
      <w:r>
        <w:rPr>
          <w:b/>
          <w:noProof/>
        </w:rPr>
        <w:t>Protocole I</w:t>
      </w:r>
    </w:p>
    <w:p>
      <w:pPr>
        <w:spacing w:before="0" w:after="240"/>
        <w:jc w:val="center"/>
        <w:rPr>
          <w:b/>
          <w:noProof/>
        </w:rPr>
      </w:pPr>
      <w:r>
        <w:rPr>
          <w:b/>
          <w:noProof/>
        </w:rPr>
        <w:t>concernant la définition de la notion de «produits originaires» et les méthodes de coopération administrative</w:t>
      </w:r>
    </w:p>
    <w:p>
      <w:pPr>
        <w:keepNext/>
        <w:spacing w:before="360"/>
        <w:jc w:val="center"/>
        <w:rPr>
          <w:i/>
          <w:noProof/>
        </w:rPr>
      </w:pPr>
      <w:r>
        <w:rPr>
          <w:i/>
          <w:noProof/>
        </w:rPr>
        <w:t>Article 1</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(ci-après la «convention») s'appliquent.</w:t>
      </w:r>
    </w:p>
    <w:p>
      <w:pPr>
        <w:rPr>
          <w:noProof/>
        </w:rPr>
      </w:pPr>
      <w:r>
        <w:rPr>
          <w:noProof/>
        </w:rPr>
        <w:t>2.</w:t>
      </w:r>
      <w:r>
        <w:rPr>
          <w:noProof/>
        </w:rPr>
        <w:tab/>
        <w:t>Toutes les références à l’«accord pertinent» figurant dans l'appendice I et dans les dispositions pertinentes de l'appendice II de la convention s'entendent comme faites au présent accord.</w:t>
      </w:r>
    </w:p>
    <w:p>
      <w:pPr>
        <w:keepNext/>
        <w:spacing w:before="360"/>
        <w:jc w:val="center"/>
        <w:rPr>
          <w:i/>
          <w:noProof/>
        </w:rPr>
      </w:pPr>
      <w:r>
        <w:rPr>
          <w:i/>
          <w:noProof/>
        </w:rPr>
        <w:t>Article 2</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ne peuvent être réglés entre les autorités douanières ayant sollicité le contrôle et celles responsables de sa réalisation, ils sont soumis au sous-comité douanier. Les dispositions relatives au mécanisme de règlement des différends du titre IV (Commerce et questions liées au commerce), chapitre 14 (Règlement des différends), du présent accord ne s'appliquent pas.</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keepNext/>
        <w:spacing w:before="360"/>
        <w:jc w:val="center"/>
        <w:rPr>
          <w:i/>
          <w:noProof/>
        </w:rPr>
      </w:pPr>
      <w:r>
        <w:rPr>
          <w:i/>
          <w:noProof/>
        </w:rPr>
        <w:t>Article 3</w:t>
      </w:r>
    </w:p>
    <w:p>
      <w:pPr>
        <w:spacing w:before="0" w:after="240"/>
        <w:jc w:val="center"/>
        <w:rPr>
          <w:b/>
          <w:noProof/>
        </w:rPr>
      </w:pPr>
      <w:r>
        <w:rPr>
          <w:b/>
          <w:noProof/>
        </w:rPr>
        <w:t>Modifications du protocole</w:t>
      </w:r>
    </w:p>
    <w:p>
      <w:pPr>
        <w:rPr>
          <w:noProof/>
        </w:rPr>
      </w:pPr>
      <w:r>
        <w:rPr>
          <w:noProof/>
        </w:rPr>
        <w:t>Le sous-comité douanier peut décider de modifier les dispositions du présent protocole.</w:t>
      </w:r>
    </w:p>
    <w:p>
      <w:pPr>
        <w:keepNext/>
        <w:spacing w:before="360"/>
        <w:jc w:val="center"/>
        <w:rPr>
          <w:i/>
          <w:noProof/>
        </w:rPr>
      </w:pPr>
      <w:r>
        <w:rPr>
          <w:i/>
          <w:noProof/>
        </w:rPr>
        <w:t>Article 4</w:t>
      </w:r>
    </w:p>
    <w:p>
      <w:pPr>
        <w:spacing w:before="0" w:after="240"/>
        <w:jc w:val="center"/>
        <w:rPr>
          <w:b/>
          <w:noProof/>
        </w:rPr>
      </w:pPr>
      <w:r>
        <w:rPr>
          <w:b/>
          <w:noProof/>
        </w:rPr>
        <w:t>Dénonciation de la convention</w:t>
      </w:r>
    </w:p>
    <w:p>
      <w:pPr>
        <w:rPr>
          <w:noProof/>
        </w:rPr>
      </w:pPr>
      <w:r>
        <w:rPr>
          <w:noProof/>
        </w:rPr>
        <w:t>1.</w:t>
      </w:r>
      <w:r>
        <w:rPr>
          <w:noProof/>
        </w:rPr>
        <w:tab/>
        <w:t>Si l'Union européenne ou l’Ukraine notifie par écrit au dépositaire de la convention son intention de dénoncer la convention conformément à l'article 9 de ladite convention, l'Union européenne et l’Ukraine engagent immédiatement des négociations sur les règles d'origine aux fins de la mise en œuvre du présent accord.</w:t>
      </w:r>
    </w:p>
    <w:p>
      <w:pPr>
        <w:rPr>
          <w:noProof/>
        </w:rPr>
      </w:pPr>
      <w:r>
        <w:rPr>
          <w:noProof/>
        </w:rPr>
        <w:t>2.</w:t>
      </w:r>
      <w:r>
        <w:rPr>
          <w:noProof/>
        </w:rPr>
        <w:tab/>
        <w:t xml:space="preserve">Jusqu'à l'entrée en vigueur de ces règles d'origine nouvellement négociées, les règles d'origine figurant à l'appendice I et, le cas échéant, les dispositions pertinentes de l'appendice II de la convention applicables au moment de la dénonciation continuent de </w:t>
      </w:r>
      <w:r>
        <w:rPr>
          <w:noProof/>
        </w:rPr>
        <w:lastRenderedPageBreak/>
        <w:t>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l’Ukraine uniquement.</w:t>
      </w:r>
    </w:p>
    <w:p>
      <w:pPr>
        <w:keepNext/>
        <w:spacing w:before="360"/>
        <w:jc w:val="center"/>
        <w:rPr>
          <w:i/>
          <w:noProof/>
        </w:rPr>
      </w:pPr>
      <w:r>
        <w:rPr>
          <w:i/>
          <w:noProof/>
        </w:rPr>
        <w:t>Article 5</w:t>
      </w:r>
    </w:p>
    <w:p>
      <w:pPr>
        <w:spacing w:before="0" w:after="240"/>
        <w:jc w:val="center"/>
        <w:rPr>
          <w:b/>
          <w:noProof/>
        </w:rPr>
      </w:pPr>
      <w:r>
        <w:rPr>
          <w:b/>
          <w:noProof/>
        </w:rPr>
        <w:t>Dispositions transitoires — cumul</w:t>
      </w:r>
    </w:p>
    <w:p>
      <w:pPr>
        <w:rPr>
          <w:noProof/>
        </w:rPr>
      </w:pPr>
      <w:r>
        <w:rPr>
          <w:noProof/>
        </w:rPr>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et la Géorgie et l’Ukraine, la preuve de l'origine peut être un certificat de circulation des marchandises EUR.1 ou une déclaration d'origine.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161 du 29.5.2014, p. 3</w:t>
      </w:r>
    </w:p>
  </w:footnote>
  <w:footnote w:id="2">
    <w:p>
      <w:pPr>
        <w:pStyle w:val="FootnoteText"/>
      </w:pPr>
      <w:r>
        <w:rPr>
          <w:rStyle w:val="FootnoteReference"/>
        </w:rPr>
        <w:footnoteRef/>
      </w:r>
      <w:r>
        <w:tab/>
        <w:t>JO L 54 du 26.2.2013, p. 4.</w:t>
      </w:r>
    </w:p>
  </w:footnote>
  <w:footnote w:id="3">
    <w:p>
      <w:pPr>
        <w:pStyle w:val="FootnoteText"/>
      </w:pPr>
      <w:r>
        <w:rPr>
          <w:rStyle w:val="FootnoteReference"/>
        </w:rPr>
        <w:footnoteRef/>
      </w:r>
      <w:r>
        <w:tab/>
        <w:t>Décision nº 1/2017 du comité mixte de la convention régionale sur les règles d'origine préférentielles paneuro-méditerranéennes du 16 mai 2017 en ce qui concerne la demande de l’Ukraine visant à obtenir le statut de partie contractante à la convention régionale sur les règles d'origine préférentielles paneuro-méditerranéennes [2017/1367] (JO L 191 du 22.7.2016, p. 11).</w:t>
      </w:r>
    </w:p>
  </w:footnote>
  <w:footnote w:id="4">
    <w:p>
      <w:pPr>
        <w:pStyle w:val="FootnoteText"/>
        <w:rPr>
          <w:lang w:val="pl-PL"/>
        </w:rPr>
      </w:pPr>
      <w:r>
        <w:rPr>
          <w:rStyle w:val="FootnoteReference"/>
        </w:rPr>
        <w:footnoteRef/>
      </w:r>
      <w:r>
        <w:tab/>
        <w:t>JO L 54 du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B407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5254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8E50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A24F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7CC9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78EC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9ABEB2"/>
    <w:lvl w:ilvl="0">
      <w:start w:val="1"/>
      <w:numFmt w:val="decimal"/>
      <w:pStyle w:val="ListNumber"/>
      <w:lvlText w:val="%1."/>
      <w:lvlJc w:val="left"/>
      <w:pPr>
        <w:tabs>
          <w:tab w:val="num" w:pos="360"/>
        </w:tabs>
        <w:ind w:left="360" w:hanging="360"/>
      </w:pPr>
    </w:lvl>
  </w:abstractNum>
  <w:abstractNum w:abstractNumId="7">
    <w:nsid w:val="FFFFFF89"/>
    <w:multiLevelType w:val="singleLevel"/>
    <w:tmpl w:val="611E2B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5 10:52: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EF1E78C-3091-4441-AB2F-2108AE00E51E"/>
    <w:docVar w:name="LW_COVERPAGE_TYPE" w:val="1"/>
    <w:docVar w:name="LW_CROSSREFERENCE" w:val="&lt;UNUSED&gt;"/>
    <w:docVar w:name="LW_DocType" w:val="ANNEX"/>
    <w:docVar w:name="LW_EMISSION" w:val="3.7.2018"/>
    <w:docVar w:name="LW_EMISSION_ISODATE" w:val="2018-07-03"/>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sous-comité douanier institué par l'accord d'association entre l'Union européenne et ses États membres, d'une part, et l\u8217?Ukraine, d'autre part, à l\u8217?égard du remplacement du protocole&lt;LWCR:NBS&gt;I de cet accord, concernant la définition de la notion de «produits originaires» et les méthodes de coopération administrative, par un nouveau protocole qui fait référence à la convention régionale sur les règles d'origine préférentielles paneuro-méditerranéennes"/>
    <w:docVar w:name="LW_OBJETACTEPRINCIPAL.CP" w:val="relative à la position à prendre au nom de l'Union européenne au sein du sous-comité douanier institué par l'accord d'association entre l'Union européenne et ses États membres, d'une part, et l\u8217?Ukraine, d'autre part, à l\u8217?égard du remplacement du protocole I de cet accord, concernant la définition de la notion de «produits originaires» et les méthodes de coopération administrative, par un nouveau protocole qui fait référence à la convention régionale sur les règles d'origine préférentielles paneuro-méditerranéennes"/>
    <w:docVar w:name="LW_PART_NBR" w:val="1"/>
    <w:docVar w:name="LW_PART_NBR_TOTAL" w:val="1"/>
    <w:docVar w:name="LW_REF.INST.NEW" w:val="COM"/>
    <w:docVar w:name="LW_REF.INST.NEW_ADOPTED" w:val="final"/>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écision du Conseil"/>
    <w:docVar w:name="LW_TYPEACTEPRINCIPAL.CP" w:val="Proposition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852</Words>
  <Characters>4876</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9</cp:revision>
  <dcterms:created xsi:type="dcterms:W3CDTF">2018-06-11T12:59:00Z</dcterms:created>
  <dcterms:modified xsi:type="dcterms:W3CDTF">2018-06-25T08:52:00Z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