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1B67E6-8E3F-4AE4-8E8E-3D2C8861FF64" style="width:451pt;height:406.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Times New Roman"/>
          <w:noProof/>
          <w:szCs w:val="24"/>
        </w:rPr>
      </w:pPr>
      <w:r>
        <w:rPr>
          <w:rFonts w:eastAsia="Times New Roman"/>
          <w:noProof/>
          <w:szCs w:val="24"/>
        </w:rPr>
        <w:t>This proposal concerns the decision establishing the position to be taken on the Union’s behalf in the Customs Sub-Committee established by the Association Agreement ('the Agreement') between the European Union, of the one part, and Ukraine, of the other part, in connection with the envisaged adoption of a decision as regards the replacement of Protocol I to that Agreement, concerning the definition of the concept of 'originating products' and methods of administrative cooperation, by a new protocol which refers to the Regional Convention on pan-Euro-Mediterranean preferential rules of origin</w:t>
      </w:r>
      <w:r>
        <w:rPr>
          <w:rStyle w:val="FootnoteReference"/>
          <w:noProof/>
        </w:rPr>
        <w:footnoteReference w:id="1"/>
      </w:r>
      <w:r>
        <w:rPr>
          <w:rFonts w:eastAsia="Times New Roman"/>
          <w:noProof/>
          <w:szCs w:val="24"/>
        </w:rPr>
        <w:t xml:space="preserve"> ('the Convention').</w:t>
      </w:r>
    </w:p>
    <w:p>
      <w:pPr>
        <w:pStyle w:val="ManualHeading1"/>
        <w:rPr>
          <w:noProof/>
        </w:rPr>
      </w:pPr>
      <w:r>
        <w:t>2.</w:t>
      </w:r>
      <w:r>
        <w:tab/>
      </w:r>
      <w:r>
        <w:rPr>
          <w:noProof/>
        </w:rPr>
        <w:t>Context of the proposal</w:t>
      </w:r>
    </w:p>
    <w:p>
      <w:pPr>
        <w:pStyle w:val="ManualHeading2"/>
        <w:rPr>
          <w:noProof/>
        </w:rPr>
      </w:pPr>
      <w:r>
        <w:t>2.1.</w:t>
      </w:r>
      <w:r>
        <w:tab/>
      </w:r>
      <w:r>
        <w:rPr>
          <w:noProof/>
        </w:rPr>
        <w:t>Protocol I to the Association Agreement</w:t>
      </w:r>
    </w:p>
    <w:p>
      <w:pPr>
        <w:rPr>
          <w:rFonts w:eastAsia="Arial Unicode MS"/>
          <w:noProof/>
        </w:rPr>
      </w:pPr>
      <w:r>
        <w:rPr>
          <w:noProof/>
        </w:rPr>
        <w:t xml:space="preserve">The Agreement establishes </w:t>
      </w:r>
      <w:r>
        <w:rPr>
          <w:noProof/>
          <w:lang w:val="en"/>
        </w:rPr>
        <w:t xml:space="preserve">a preferential trade regime. This regime provides for market access between the Union and Ukraine. </w:t>
      </w:r>
      <w:r>
        <w:rPr>
          <w:rFonts w:eastAsia="Times New Roman"/>
          <w:noProof/>
          <w:szCs w:val="24"/>
        </w:rPr>
        <w:t>Protocol I to the Agreement concerns the definition of the concept of 'originating products' and methods of administrative cooperation.</w:t>
      </w:r>
      <w:r>
        <w:rPr>
          <w:rFonts w:eastAsia="Arial Unicode MS"/>
          <w:noProof/>
        </w:rPr>
        <w:t xml:space="preserve"> The agreement entered into force on 1 September 2017.</w:t>
      </w:r>
    </w:p>
    <w:p>
      <w:pPr>
        <w:pStyle w:val="ManualHeading2"/>
        <w:rPr>
          <w:noProof/>
        </w:rPr>
      </w:pPr>
      <w:r>
        <w:t>2.2.</w:t>
      </w:r>
      <w:r>
        <w:tab/>
      </w:r>
      <w:r>
        <w:rPr>
          <w:noProof/>
        </w:rPr>
        <w:t>The EU-Ukraine Customs Sub-Committee</w:t>
      </w:r>
    </w:p>
    <w:p>
      <w:pPr>
        <w:pBdr>
          <w:top w:val="nil"/>
          <w:left w:val="nil"/>
          <w:bottom w:val="nil"/>
          <w:right w:val="nil"/>
          <w:between w:val="nil"/>
          <w:bar w:val="nil"/>
        </w:pBdr>
        <w:spacing w:before="0" w:after="240"/>
        <w:rPr>
          <w:rFonts w:eastAsia="Arial Unicode MS"/>
          <w:noProof/>
        </w:rPr>
      </w:pPr>
      <w:r>
        <w:rPr>
          <w:rFonts w:eastAsia="Arial Unicode MS"/>
          <w:noProof/>
        </w:rPr>
        <w:t>Article 39(1) of Protocol I provides that the Customs Sub-Committee established by the Agreement may decide to amend Protocol I to the Association Agreement. More specifically, article 39(2) of Protocol I provides that the Customs Sub-Committee may decide, following the accession of Ukraine to the Regional Convention of the pan-Euro-Mediterranean rules of origin to replace the rules of origin set out in this Protocol by those appended to the Convention.</w:t>
      </w:r>
    </w:p>
    <w:p>
      <w:pPr>
        <w:pStyle w:val="ManualHeading2"/>
        <w:rPr>
          <w:noProof/>
        </w:rPr>
      </w:pPr>
      <w:r>
        <w:t>2.3.</w:t>
      </w:r>
      <w:r>
        <w:tab/>
      </w:r>
      <w:r>
        <w:rPr>
          <w:noProof/>
        </w:rPr>
        <w:t>The envisaged act of the EU-Ukraine Customs Sub-Committee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EU-Ukraine Customs Sub-Committee is to adopt a decision regarding </w:t>
      </w:r>
      <w:r>
        <w:rPr>
          <w:rFonts w:eastAsia="Times New Roman"/>
          <w:noProof/>
          <w:szCs w:val="24"/>
        </w:rPr>
        <w:t>the replacement of Protocol I to the Agreement, concerning the definition of the concept of 'originating products' and methods of administrative cooperation, by a new protocol which refers to the Convention</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purpose of the envisaged act is to ensure the effective implementation of the </w:t>
      </w:r>
      <w:r>
        <w:rPr>
          <w:rFonts w:eastAsia="Times New Roman"/>
          <w:noProof/>
          <w:szCs w:val="24"/>
        </w:rPr>
        <w:t>Convention</w:t>
      </w:r>
      <w:r>
        <w:rPr>
          <w:rFonts w:eastAsia="Arial Unicode MS"/>
          <w:noProof/>
        </w:rPr>
        <w:t>.</w:t>
      </w:r>
    </w:p>
    <w:p>
      <w:pPr>
        <w:pStyle w:val="ManualHeading1"/>
        <w:rPr>
          <w:noProof/>
        </w:rPr>
      </w:pPr>
      <w:r>
        <w:t>3.</w:t>
      </w:r>
      <w:r>
        <w:tab/>
      </w:r>
      <w:r>
        <w:rPr>
          <w:noProof/>
        </w:rPr>
        <w:t>Position to be taken on the Union's behalf</w:t>
      </w:r>
    </w:p>
    <w:p>
      <w:pPr>
        <w:rPr>
          <w:rFonts w:eastAsia="Times New Roman"/>
          <w:noProof/>
          <w:szCs w:val="24"/>
        </w:rPr>
      </w:pPr>
      <w:r>
        <w:rPr>
          <w:rFonts w:eastAsia="Times New Roman"/>
          <w:noProof/>
          <w:szCs w:val="24"/>
        </w:rPr>
        <w:t>The Convention lays down provisions on the origin of goods traded under relevant Agreements concluded between the Contracting Parties. The Union signed the Convention on 15 June 2011. Ukraine</w:t>
      </w:r>
      <w:r>
        <w:rPr>
          <w:noProof/>
        </w:rPr>
        <w:t xml:space="preserve"> requested to accede to the Convention on 12 September 2016 and with its Decision No 1/2017</w:t>
      </w:r>
      <w:r>
        <w:rPr>
          <w:rStyle w:val="FootnoteReference"/>
          <w:noProof/>
        </w:rPr>
        <w:footnoteReference w:id="2"/>
      </w:r>
      <w:r>
        <w:rPr>
          <w:noProof/>
        </w:rPr>
        <w:t xml:space="preserve"> of 16 May 2017, the Joint Committee of the Convention decided that Ukraine should be invited to accede to the Convention.</w:t>
      </w:r>
    </w:p>
    <w:p>
      <w:pPr>
        <w:rPr>
          <w:rFonts w:eastAsia="Times New Roman"/>
          <w:noProof/>
          <w:szCs w:val="24"/>
        </w:rPr>
      </w:pPr>
      <w:r>
        <w:rPr>
          <w:rFonts w:eastAsia="Times New Roman"/>
          <w:noProof/>
          <w:szCs w:val="24"/>
        </w:rPr>
        <w:t>The Union deposited its instrument of acceptance with the depositary of the Convention on 26 March 2012. Ukraine deposited its instrument of acceptance with the depositary of the Convention on 19 December 2017. As a consequence, in application of its Article 10(2) and 10(3), the Convention entered into force in relation to the Union on 1 May 2012 and in relation to Ukraine on 1 February 2018 respectively.</w:t>
      </w:r>
    </w:p>
    <w:p>
      <w:pPr>
        <w:rPr>
          <w:noProof/>
        </w:rPr>
      </w:pPr>
      <w:r>
        <w:rPr>
          <w:rFonts w:eastAsia="Times New Roman"/>
          <w:noProof/>
          <w:szCs w:val="24"/>
        </w:rPr>
        <w:t xml:space="preserve">Article 6 of the Convention provides that each Contracting Party shall take appropriate measures to ensure that the Convention is effectively applied. </w:t>
      </w:r>
      <w:r>
        <w:rPr>
          <w:noProof/>
        </w:rPr>
        <w:t xml:space="preserve">The proposed decision of the EU-Ukraine Customs Sub-Committee is a procedural step necessary for achieving the main objective of the Convention, which is to replace the protocols on rules of origin in the Agreements between Contracting Parties to the Convention by a Protocol which refers to the Convention. </w:t>
      </w:r>
    </w:p>
    <w:p>
      <w:pPr>
        <w:rPr>
          <w:rFonts w:eastAsia="Arial Unicode MS"/>
          <w:noProof/>
        </w:rPr>
      </w:pPr>
      <w:r>
        <w:rPr>
          <w:noProof/>
        </w:rPr>
        <w:t>No recourse to a stakeholder's consultation was therefore necessary.</w:t>
      </w:r>
    </w:p>
    <w:p>
      <w:pPr>
        <w:pBdr>
          <w:top w:val="nil"/>
          <w:left w:val="nil"/>
          <w:bottom w:val="nil"/>
          <w:right w:val="nil"/>
          <w:between w:val="nil"/>
          <w:bar w:val="nil"/>
        </w:pBdr>
        <w:spacing w:before="0" w:after="240"/>
        <w:rPr>
          <w:noProof/>
        </w:rPr>
      </w:pPr>
      <w:r>
        <w:rPr>
          <w:noProof/>
        </w:rPr>
        <w:t>Furthermore, it has not been necessary to conduct an impact assessment, since the proposed amendments are technical in nature and do not affect the substance of the protocol on rules of origin currently in effect.</w:t>
      </w:r>
    </w:p>
    <w:p>
      <w:pPr>
        <w:pStyle w:val="ManualHeading1"/>
        <w:rPr>
          <w:noProof/>
        </w:rPr>
      </w:pPr>
      <w:r>
        <w:t>4.</w:t>
      </w:r>
      <w:r>
        <w:tab/>
      </w:r>
      <w:r>
        <w:rPr>
          <w:noProof/>
        </w:rPr>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pPr>
        <w:pStyle w:val="ManualHeading3"/>
        <w:rPr>
          <w:noProof/>
        </w:rPr>
      </w:pPr>
      <w:r>
        <w:rPr>
          <w:noProof/>
        </w:rPr>
        <w:t>4.1.1.</w:t>
      </w:r>
      <w:r>
        <w:rPr>
          <w:noProof/>
        </w:rPr>
        <w:tab/>
        <w:t>Principles</w:t>
      </w:r>
    </w:p>
    <w:p>
      <w:pPr>
        <w:pBdr>
          <w:top w:val="nil"/>
          <w:left w:val="nil"/>
          <w:bottom w:val="nil"/>
          <w:right w:val="nil"/>
          <w:between w:val="nil"/>
          <w:bar w:val="nil"/>
        </w:pBdr>
        <w:spacing w:before="0" w:after="240"/>
        <w:rPr>
          <w:rFonts w:eastAsia="Arial Unicode MS"/>
          <w:noProof/>
        </w:rPr>
      </w:pPr>
      <w:r>
        <w:rPr>
          <w:rFonts w:eastAsia="Arial Unicode MS"/>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notion of ‘acts having legal effects’ includes acts that have legal effects by virtue of the rules of international law governing the body in question. It also includes instruments that do not have a binding effect under international law but are ‘capable of decisively influencing the content of the legislation adopted by the EU legislature’. </w:t>
      </w:r>
    </w:p>
    <w:p>
      <w:pPr>
        <w:pStyle w:val="ManualHeading3"/>
        <w:rPr>
          <w:noProof/>
        </w:rPr>
      </w:pPr>
      <w:r>
        <w:rPr>
          <w:noProof/>
        </w:rPr>
        <w:t>4.1.2.</w:t>
      </w:r>
      <w:r>
        <w:rPr>
          <w:noProof/>
        </w:rPr>
        <w:tab/>
        <w:t>Application to the present case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EU-Ukraine Customs Sub-Committee is a body set up by an agreement, namely </w:t>
      </w:r>
      <w:r>
        <w:rPr>
          <w:noProof/>
        </w:rPr>
        <w:t>the Association Agreement between the European Union and its Member States, of the one part, and Ukraine, of the other part</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act which the EU-Ukraine Customs Sub-Committee is called upon to adopt constitutes an act having legal effects.</w:t>
      </w:r>
    </w:p>
    <w:p>
      <w:pPr>
        <w:pBdr>
          <w:top w:val="nil"/>
          <w:left w:val="nil"/>
          <w:bottom w:val="nil"/>
          <w:right w:val="nil"/>
          <w:between w:val="nil"/>
          <w:bar w:val="nil"/>
        </w:pBdr>
        <w:spacing w:before="0" w:after="240"/>
        <w:rPr>
          <w:rFonts w:eastAsia="Arial Unicode MS"/>
          <w:noProof/>
        </w:rPr>
      </w:pPr>
      <w:r>
        <w:rPr>
          <w:rFonts w:eastAsia="Arial Unicode MS"/>
          <w:noProof/>
        </w:rPr>
        <w:t>The envisaged act does not supplement or amend the institutional framework of the agreement.</w:t>
      </w:r>
    </w:p>
    <w:p>
      <w:pPr>
        <w:pBdr>
          <w:top w:val="nil"/>
          <w:left w:val="nil"/>
          <w:bottom w:val="nil"/>
          <w:right w:val="nil"/>
          <w:between w:val="nil"/>
          <w:bar w:val="nil"/>
        </w:pBdr>
        <w:spacing w:before="0" w:after="240"/>
        <w:rPr>
          <w:rFonts w:eastAsia="Arial Unicode MS"/>
          <w:noProof/>
        </w:rPr>
      </w:pPr>
      <w:r>
        <w:rPr>
          <w:rFonts w:eastAsia="Arial Unicode MS"/>
          <w:noProof/>
        </w:rPr>
        <w:t>The procedural legal basis for the proposed decision, therefore,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4.2.</w:t>
      </w:r>
      <w:r>
        <w:rPr>
          <w:rFonts w:eastAsia="Arial Unicode MS"/>
          <w:noProof/>
          <w:u w:color="000000"/>
          <w:bdr w:val="nil"/>
          <w:lang w:val="en-US" w:eastAsia="en-GB"/>
        </w:rPr>
        <w:tab/>
        <w:t>Substantive legal basis</w:t>
      </w:r>
    </w:p>
    <w:p>
      <w:pPr>
        <w:pStyle w:val="ManualHeading3"/>
        <w:rPr>
          <w:noProof/>
        </w:rPr>
      </w:pPr>
      <w:r>
        <w:rPr>
          <w:noProof/>
        </w:rPr>
        <w:t>4.2.1.</w:t>
      </w:r>
      <w:r>
        <w:rPr>
          <w:noProof/>
        </w:rPr>
        <w:tab/>
        <w:t>Principles</w:t>
      </w:r>
    </w:p>
    <w:p>
      <w:pPr>
        <w:pBdr>
          <w:top w:val="nil"/>
          <w:left w:val="nil"/>
          <w:bottom w:val="nil"/>
          <w:right w:val="nil"/>
          <w:between w:val="nil"/>
          <w:bar w:val="nil"/>
        </w:pBdr>
        <w:spacing w:before="0" w:after="240"/>
        <w:rPr>
          <w:rFonts w:eastAsia="Arial Unicode MS"/>
          <w:noProof/>
        </w:rPr>
      </w:pPr>
      <w:r>
        <w:rPr>
          <w:rFonts w:eastAsia="Arial Unicode MS"/>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pBdr>
          <w:top w:val="nil"/>
          <w:left w:val="nil"/>
          <w:bottom w:val="nil"/>
          <w:right w:val="nil"/>
          <w:between w:val="nil"/>
          <w:bar w:val="nil"/>
        </w:pBdr>
        <w:spacing w:before="0" w:after="240"/>
        <w:rPr>
          <w:rFonts w:eastAsia="Arial Unicode MS"/>
          <w:noProof/>
        </w:rPr>
      </w:pPr>
      <w:r>
        <w:rPr>
          <w:rFonts w:eastAsia="Arial Unicode MS"/>
          <w:noProof/>
        </w:rPr>
        <w:t>The main objective and content of the envisaged act relate to the common commercial policy.</w:t>
      </w:r>
    </w:p>
    <w:p>
      <w:pPr>
        <w:pBdr>
          <w:top w:val="nil"/>
          <w:left w:val="nil"/>
          <w:bottom w:val="nil"/>
          <w:right w:val="nil"/>
          <w:between w:val="nil"/>
          <w:bar w:val="nil"/>
        </w:pBdr>
        <w:spacing w:before="0" w:after="240"/>
        <w:rPr>
          <w:rFonts w:eastAsia="Arial Unicode MS"/>
          <w:noProof/>
        </w:rPr>
      </w:pPr>
      <w:r>
        <w:rPr>
          <w:rFonts w:eastAsia="Arial Unicode MS"/>
          <w:noProof/>
        </w:rPr>
        <w:t>The substantive legal basis of the proposed decision, therefore, is Article 207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4.3.</w:t>
      </w:r>
      <w:r>
        <w:rPr>
          <w:rFonts w:eastAsia="Arial Unicode MS"/>
          <w:noProof/>
          <w:u w:color="000000"/>
          <w:bdr w:val="nil"/>
          <w:lang w:val="en-US" w:eastAsia="en-GB"/>
        </w:rPr>
        <w:tab/>
        <w:t>Conclusion</w:t>
      </w:r>
    </w:p>
    <w:p>
      <w:pPr>
        <w:pBdr>
          <w:top w:val="nil"/>
          <w:left w:val="nil"/>
          <w:bottom w:val="nil"/>
          <w:right w:val="nil"/>
          <w:between w:val="nil"/>
          <w:bar w:val="nil"/>
        </w:pBdr>
        <w:spacing w:before="0" w:after="240"/>
        <w:rPr>
          <w:rFonts w:eastAsia="Arial Unicode MS"/>
          <w:noProof/>
        </w:rPr>
      </w:pPr>
      <w:r>
        <w:rPr>
          <w:rFonts w:eastAsia="Arial Unicode MS"/>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EU-Ukraine Customs Sub-Committee will amend the Association Agreement,</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its Member States, of the one part, and Ukraine, of the other part, (‘the Agreement’) was concluded by the Union by Council Decision 2014/668/EU</w:t>
      </w:r>
      <w:r>
        <w:rPr>
          <w:rStyle w:val="FootnoteReference"/>
          <w:noProof/>
        </w:rPr>
        <w:footnoteReference w:id="3"/>
      </w:r>
      <w:r>
        <w:rPr>
          <w:noProof/>
        </w:rPr>
        <w:t xml:space="preserve"> and entered into force on 1 September 2017.</w:t>
      </w:r>
    </w:p>
    <w:p>
      <w:pPr>
        <w:pStyle w:val="ManualConsidrant"/>
        <w:rPr>
          <w:noProof/>
        </w:rPr>
      </w:pPr>
      <w:r>
        <w:t>(2)</w:t>
      </w:r>
      <w:r>
        <w:tab/>
      </w:r>
      <w:r>
        <w:rPr>
          <w:noProof/>
        </w:rPr>
        <w:t>Pursuant to Article 39(1) of Protocol I to the Agreement ('Protocol I'), the Customs Sub-Committee established under Article 83 of Chapter 5 of Title IV of the Agreement (‘the Customs Sub-Committee’) may adopt amendments to the provisions of that Protocol.</w:t>
      </w:r>
    </w:p>
    <w:p>
      <w:pPr>
        <w:pStyle w:val="ManualConsidrant"/>
        <w:rPr>
          <w:noProof/>
        </w:rPr>
      </w:pPr>
      <w:r>
        <w:t>(3)</w:t>
      </w:r>
      <w:r>
        <w:tab/>
      </w:r>
      <w:r>
        <w:rPr>
          <w:noProof/>
        </w:rPr>
        <w:t>Pursuant to Article 39(2) of Protocol I, the Customs Sub-Committee may also decide, following accession of Ukraine to the Regional Convention on pan-Euro-Mediterranean preferential rules of origin</w:t>
      </w:r>
      <w:r>
        <w:rPr>
          <w:rStyle w:val="FootnoteReference"/>
          <w:noProof/>
        </w:rPr>
        <w:footnoteReference w:id="4"/>
      </w:r>
      <w:r>
        <w:rPr>
          <w:noProof/>
        </w:rPr>
        <w:t xml:space="preserve"> (‘the Convention’), to replace the rules of origin set out in that Protocol by those appended to the Convention. </w:t>
      </w:r>
    </w:p>
    <w:p>
      <w:pPr>
        <w:pStyle w:val="ManualConsidrant"/>
        <w:rPr>
          <w:noProof/>
        </w:rPr>
      </w:pPr>
      <w:r>
        <w:t>(4)</w:t>
      </w:r>
      <w:r>
        <w:tab/>
      </w:r>
      <w:r>
        <w:rPr>
          <w:noProof/>
        </w:rPr>
        <w:t>The Convention lays down provisions on the origin of goods traded under relevant agreements concluded between the Contracting Parties and entered into force in relation to the Union on 1 May 2012 and in relation to Ukraine on 1 February 2018.</w:t>
      </w:r>
    </w:p>
    <w:p>
      <w:pPr>
        <w:pStyle w:val="ManualConsidrant"/>
        <w:rPr>
          <w:noProof/>
        </w:rPr>
      </w:pPr>
      <w:r>
        <w:t>(5)</w:t>
      </w:r>
      <w:r>
        <w:tab/>
      </w:r>
      <w:r>
        <w:rPr>
          <w:noProof/>
        </w:rPr>
        <w:t>The Customs Sub-Committee is to adopt a Decision on the replacement of Protocol I, concerning the definition of the concept of 'originating products' and methods of administrative cooperation, by a new protocol which refers to the Convention.</w:t>
      </w:r>
    </w:p>
    <w:p>
      <w:pPr>
        <w:pStyle w:val="ManualConsidrant"/>
        <w:rPr>
          <w:noProof/>
        </w:rPr>
      </w:pPr>
      <w:r>
        <w:t>(6)</w:t>
      </w:r>
      <w:r>
        <w:tab/>
      </w:r>
      <w:r>
        <w:rPr>
          <w:noProof/>
        </w:rPr>
        <w:t>It is appropriate to establish the position to be taken on the Union’s behalf in the Customs Sub-Committee, as the Decision of the Customs Sub-Committee will be binding on the Union.</w:t>
      </w:r>
    </w:p>
    <w:p>
      <w:pPr>
        <w:pStyle w:val="ManualConsidrant"/>
        <w:rPr>
          <w:noProof/>
        </w:rPr>
      </w:pPr>
      <w:r>
        <w:t>(7)</w:t>
      </w:r>
      <w:r>
        <w:tab/>
      </w:r>
      <w:r>
        <w:rPr>
          <w:noProof/>
        </w:rPr>
        <w:t xml:space="preserve">Article 6 of the Convention provides that each Contracting Party is to take appropriate measures to ensure that the Convention is effectively applied. To that effect, Protocol I should be replaced by a new protocol which, with regard to the rules of origin, refers to the Convention. </w:t>
      </w:r>
    </w:p>
    <w:p>
      <w:pPr>
        <w:pStyle w:val="ManualConsidrant"/>
        <w:rPr>
          <w:noProof/>
        </w:rPr>
      </w:pPr>
      <w:r>
        <w:t>(8)</w:t>
      </w:r>
      <w:r>
        <w:tab/>
      </w:r>
      <w:r>
        <w:rPr>
          <w:noProof/>
        </w:rPr>
        <w:t>The position to be taken on the Union’s behalf in the Customs Sub-Committee should be based on the attached draft Decision.</w:t>
      </w:r>
    </w:p>
    <w:p>
      <w:pPr>
        <w:pStyle w:val="ManualConsidrant"/>
        <w:rPr>
          <w:noProof/>
        </w:rPr>
      </w:pPr>
      <w:r>
        <w:t>(9)</w:t>
      </w:r>
      <w:r>
        <w:tab/>
      </w:r>
      <w:r>
        <w:rPr>
          <w:noProof/>
        </w:rPr>
        <w:t xml:space="preserve">As the Decision of the Customs Sub-Committee will amend Protocol I, it should be published in the </w:t>
      </w:r>
      <w:r>
        <w:rPr>
          <w:i/>
          <w:noProof/>
        </w:rPr>
        <w:t>Official Journal of the European Union</w:t>
      </w:r>
      <w:r>
        <w:rPr>
          <w:noProof/>
        </w:rPr>
        <w:t>.</w:t>
      </w:r>
    </w:p>
    <w:p>
      <w:pPr>
        <w:pStyle w:val="ManualConsidrant"/>
        <w:rPr>
          <w:noProof/>
        </w:rPr>
      </w:pPr>
      <w:r>
        <w:t>(10)</w:t>
      </w:r>
      <w:r>
        <w:tab/>
      </w:r>
      <w:r>
        <w:rPr>
          <w:noProof/>
        </w:rPr>
        <w:t>In the Customs Sub-Committee, the Union is to be represented by the Commission in accordance with Article 17(1) of the Treaty on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on the Union's behalf in the  Customs Sub-Committee established under Article 83 of Chapter 5 of Title IV of the Association</w:t>
      </w:r>
      <w:r>
        <w:rPr>
          <w:rFonts w:eastAsia="Times New Roman"/>
          <w:noProof/>
          <w:szCs w:val="24"/>
        </w:rPr>
        <w:t xml:space="preserve"> Agreement between </w:t>
      </w:r>
      <w:r>
        <w:rPr>
          <w:noProof/>
        </w:rPr>
        <w:t>the European Union and its Member States, of the one part, and Ukraine, of the other part (‘the Customs Sub-Committee’), shall be based on the draft Decision attached to this Decision.</w:t>
      </w:r>
    </w:p>
    <w:p>
      <w:pPr>
        <w:pStyle w:val="Titrearticle"/>
        <w:rPr>
          <w:noProof/>
        </w:rPr>
      </w:pPr>
      <w:r>
        <w:rPr>
          <w:noProof/>
        </w:rPr>
        <w:t>Article 2</w:t>
      </w:r>
    </w:p>
    <w:p>
      <w:pPr>
        <w:rPr>
          <w:noProof/>
        </w:rPr>
      </w:pPr>
      <w:r>
        <w:rPr>
          <w:noProof/>
        </w:rPr>
        <w:t>Minor changes to the draft Decision referred to in Article 1 may be agreed to by the representatives of the Union in the Customs Sub-Committee without a further decision of the Council.</w:t>
      </w:r>
    </w:p>
    <w:p>
      <w:pPr>
        <w:pStyle w:val="Titrearticle"/>
        <w:rPr>
          <w:noProof/>
        </w:rPr>
      </w:pPr>
      <w:r>
        <w:rPr>
          <w:noProof/>
        </w:rPr>
        <w:t>Article 3</w:t>
      </w:r>
    </w:p>
    <w:p>
      <w:pPr>
        <w:keepLines/>
        <w:rPr>
          <w:noProof/>
        </w:rPr>
      </w:pPr>
      <w:r>
        <w:rPr>
          <w:noProof/>
        </w:rPr>
        <w:t>This Decision is addressed to the Commission.</w:t>
      </w:r>
    </w:p>
    <w:p>
      <w:pPr>
        <w:pStyle w:val="Fait"/>
        <w:rPr>
          <w:noProof/>
        </w:rPr>
      </w:pPr>
      <w:r>
        <w:t>Done at Brussels,</w:t>
      </w:r>
    </w:p>
    <w:p>
      <w:pPr>
        <w:pStyle w:val="Institutionquisigne"/>
        <w:rPr>
          <w:noProof/>
        </w:rPr>
      </w:pP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54, 26.2.2013, p. 4.</w:t>
      </w:r>
    </w:p>
  </w:footnote>
  <w:footnote w:id="2">
    <w:p>
      <w:pPr>
        <w:pStyle w:val="FootnoteText"/>
      </w:pPr>
      <w:r>
        <w:rPr>
          <w:rStyle w:val="FootnoteReference"/>
        </w:rPr>
        <w:footnoteRef/>
      </w:r>
      <w:r>
        <w:tab/>
        <w:t>OJ L 191, 22.07.2017, p. 11</w:t>
      </w:r>
    </w:p>
  </w:footnote>
  <w:footnote w:id="3">
    <w:p>
      <w:pPr>
        <w:pStyle w:val="FootnoteText"/>
      </w:pPr>
      <w:r>
        <w:rPr>
          <w:rStyle w:val="FootnoteReference"/>
        </w:rPr>
        <w:footnoteRef/>
      </w:r>
      <w:r>
        <w:tab/>
        <w:t>Council Decision 2014/668/EU of 23 June 2014 on the signing, on behalf of the European Union, and provisional application of the Association Agreement between the European Union and the European Atomic Energy Community and their Member States, of the one part, and Ukraine, of the other part, as regards Title III (with the exception of the provisions relating to the treatment of third-country nationals legally employed as workers in the territory of the other Party) and Titles IV, V, VI and VII thereof, as well as the related Annexes and Protocols (OJ L 278, 20.9.2014, p.1).</w:t>
      </w:r>
    </w:p>
  </w:footnote>
  <w:footnote w:id="4">
    <w:p>
      <w:pPr>
        <w:pStyle w:val="FootnoteText"/>
        <w:rPr>
          <w:lang w:val="pl-PL"/>
        </w:rPr>
      </w:pPr>
      <w:r>
        <w:rPr>
          <w:rStyle w:val="FootnoteReference"/>
          <w:lang w:val="en-US"/>
        </w:rPr>
        <w:footnoteRef/>
      </w:r>
      <w:r>
        <w:rPr>
          <w:lang w:val="pl-PL"/>
        </w:rPr>
        <w:tab/>
        <w:t>OJ L 54,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49: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1B67E6-8E3F-4AE4-8E8E-3D2C8861FF64"/>
    <w:docVar w:name="LW_COVERPAGE_TYPE" w:val="1"/>
    <w:docVar w:name="LW_CROSSREFERENCE" w:val="&lt;UNUSED&gt;"/>
    <w:docVar w:name="LW_DocType" w:val="COM"/>
    <w:docVar w:name="LW_EMISSION" w:val="3.7.2018"/>
    <w:docVar w:name="LW_EMISSION_ISODATE" w:val="2018-07-03"/>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1552</Words>
  <Characters>8215</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2018-05-25T12:48:00Z</cp:lastPrinted>
  <dcterms:created xsi:type="dcterms:W3CDTF">2018-05-31T08:53:00Z</dcterms:created>
  <dcterms:modified xsi:type="dcterms:W3CDTF">2018-06-25T08:49:00Z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