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D4" w:rsidRDefault="00BB35EB" w:rsidP="00BB35E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DEAE680-0725-40DE-8917-F2FAD68552E9" style="width:450.75pt;height:500.25pt">
            <v:imagedata r:id="rId8" o:title=""/>
          </v:shape>
        </w:pict>
      </w:r>
    </w:p>
    <w:p w:rsidR="004C19D4" w:rsidRDefault="004C19D4">
      <w:pPr>
        <w:rPr>
          <w:noProof/>
        </w:rPr>
        <w:sectPr w:rsidR="004C19D4" w:rsidSect="00BB35E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4C19D4" w:rsidRDefault="00BB35EB">
      <w:pPr>
        <w:pStyle w:val="Exposdesmotifstitre"/>
        <w:rPr>
          <w:noProof/>
        </w:rPr>
      </w:pPr>
      <w:bookmarkStart w:id="0" w:name="_GoBack"/>
      <w:bookmarkEnd w:id="0"/>
      <w:r>
        <w:rPr>
          <w:noProof/>
        </w:rPr>
        <w:lastRenderedPageBreak/>
        <w:t>EXPOSÉ DES MOTIFS</w:t>
      </w:r>
    </w:p>
    <w:p w:rsidR="004C19D4" w:rsidRDefault="00BB35EB">
      <w:pPr>
        <w:pStyle w:val="ManualHeading1"/>
        <w:rPr>
          <w:rFonts w:eastAsia="Arial Unicode MS"/>
          <w:noProof/>
        </w:rPr>
      </w:pPr>
      <w:r>
        <w:rPr>
          <w:noProof/>
        </w:rPr>
        <w:t>1.</w:t>
      </w:r>
      <w:r>
        <w:rPr>
          <w:noProof/>
        </w:rPr>
        <w:tab/>
        <w:t>Objet de la proposition</w:t>
      </w:r>
    </w:p>
    <w:p w:rsidR="004C19D4" w:rsidRDefault="00BB35EB">
      <w:pPr>
        <w:rPr>
          <w:rFonts w:eastAsia="Times New Roman"/>
          <w:noProof/>
          <w:szCs w:val="24"/>
        </w:rPr>
      </w:pPr>
      <w:r>
        <w:rPr>
          <w:noProof/>
        </w:rPr>
        <w:t>La présente proposition porte sur la décision relative à la position à prendre au nom de l'Union au sein du</w:t>
      </w:r>
      <w:r>
        <w:rPr>
          <w:noProof/>
        </w:rPr>
        <w:t xml:space="preserve"> sous-comité douanier institué par l'accord d'association entre l'Union européenne, d'une part, et l’Ukraine, d'autre part (ci-après l’«accord»), à l’égard de l’adoption envisagée d'une décision relative au remplacement du protocole I de cet accord, concer</w:t>
      </w:r>
      <w:r>
        <w:rPr>
          <w:noProof/>
        </w:rPr>
        <w:t>nant la définition de la notion de «produits originaires» et les méthodes de coopération administrative, par un nouveau protocole qui fait référence à la convention régionale sur les règles d'origine préférentielles paneuro-méditerranéennes</w:t>
      </w:r>
      <w:r>
        <w:rPr>
          <w:rStyle w:val="FootnoteReference"/>
          <w:noProof/>
        </w:rPr>
        <w:footnoteReference w:id="1"/>
      </w:r>
      <w:r>
        <w:rPr>
          <w:noProof/>
        </w:rPr>
        <w:t xml:space="preserve"> (ci-après la «</w:t>
      </w:r>
      <w:r>
        <w:rPr>
          <w:noProof/>
        </w:rPr>
        <w:t>convention»).</w:t>
      </w:r>
    </w:p>
    <w:p w:rsidR="004C19D4" w:rsidRDefault="00BB35EB">
      <w:pPr>
        <w:pStyle w:val="ManualHeading1"/>
        <w:rPr>
          <w:noProof/>
        </w:rPr>
      </w:pPr>
      <w:r>
        <w:rPr>
          <w:noProof/>
        </w:rPr>
        <w:t>2.</w:t>
      </w:r>
      <w:r>
        <w:rPr>
          <w:noProof/>
        </w:rPr>
        <w:tab/>
        <w:t>Contexte de la proposition</w:t>
      </w:r>
    </w:p>
    <w:p w:rsidR="004C19D4" w:rsidRDefault="00BB35EB">
      <w:pPr>
        <w:pStyle w:val="ManualHeading2"/>
        <w:rPr>
          <w:noProof/>
        </w:rPr>
      </w:pPr>
      <w:r>
        <w:rPr>
          <w:noProof/>
        </w:rPr>
        <w:t>2.1.</w:t>
      </w:r>
      <w:r>
        <w:rPr>
          <w:noProof/>
        </w:rPr>
        <w:tab/>
        <w:t>Protocole I de l’accord d’association</w:t>
      </w:r>
    </w:p>
    <w:p w:rsidR="004C19D4" w:rsidRDefault="00BB35EB">
      <w:pPr>
        <w:rPr>
          <w:rFonts w:eastAsia="Arial Unicode MS"/>
          <w:noProof/>
        </w:rPr>
      </w:pPr>
      <w:r>
        <w:rPr>
          <w:noProof/>
        </w:rPr>
        <w:t>L’accord instaure un régime préférentiel pour les échanges de marchandises. Ce régime prévoit un accès au marché entre l’Union et l’Ukraine. Le protocole I de l'accord p</w:t>
      </w:r>
      <w:r>
        <w:rPr>
          <w:noProof/>
        </w:rPr>
        <w:t>orte sur la définition de la notion de «produits originaires» et sur les méthodes de coopération administrative. L’accord est entré en vigueur le 1</w:t>
      </w:r>
      <w:r>
        <w:rPr>
          <w:noProof/>
          <w:vertAlign w:val="superscript"/>
        </w:rPr>
        <w:t>er</w:t>
      </w:r>
      <w:r>
        <w:rPr>
          <w:noProof/>
        </w:rPr>
        <w:t> septembre 2017.</w:t>
      </w:r>
    </w:p>
    <w:p w:rsidR="004C19D4" w:rsidRDefault="00BB35EB">
      <w:pPr>
        <w:pStyle w:val="ManualHeading2"/>
        <w:rPr>
          <w:noProof/>
        </w:rPr>
      </w:pPr>
      <w:r>
        <w:rPr>
          <w:noProof/>
        </w:rPr>
        <w:t>2.2.</w:t>
      </w:r>
      <w:r>
        <w:rPr>
          <w:noProof/>
        </w:rPr>
        <w:tab/>
        <w:t>Le sous-comité douanier UE-Ukraine</w:t>
      </w:r>
    </w:p>
    <w:p w:rsidR="004C19D4" w:rsidRDefault="00BB35EB">
      <w:pPr>
        <w:pBdr>
          <w:top w:val="nil"/>
          <w:left w:val="nil"/>
          <w:bottom w:val="nil"/>
          <w:right w:val="nil"/>
          <w:between w:val="nil"/>
          <w:bar w:val="nil"/>
        </w:pBdr>
        <w:spacing w:before="0" w:after="240"/>
        <w:rPr>
          <w:rFonts w:eastAsia="Arial Unicode MS"/>
          <w:noProof/>
        </w:rPr>
      </w:pPr>
      <w:r>
        <w:rPr>
          <w:noProof/>
        </w:rPr>
        <w:t>L’article 39, paragraphe 1, du protocole I dispose</w:t>
      </w:r>
      <w:r>
        <w:rPr>
          <w:noProof/>
        </w:rPr>
        <w:t xml:space="preserve"> que le sous-comité douanier institué par l’accord peut décider de modifier le protocole I de l’accord d’association. Plus précisément, l’article 39, paragraphe 2, du protocole I dispose que le sous-comité douanier peut décider, après l’adhésion de l’Ukrai</w:t>
      </w:r>
      <w:r>
        <w:rPr>
          <w:noProof/>
        </w:rPr>
        <w:t>ne à la convention régionale sur les règles d’origine paneuro-méditerranéenne, de remplacer les règles d’origine définies dans ce protocole par celles figurant dans les appendices de la convention.</w:t>
      </w:r>
    </w:p>
    <w:p w:rsidR="004C19D4" w:rsidRDefault="00BB35EB">
      <w:pPr>
        <w:pStyle w:val="ManualHeading2"/>
        <w:rPr>
          <w:noProof/>
        </w:rPr>
      </w:pPr>
      <w:r>
        <w:rPr>
          <w:noProof/>
        </w:rPr>
        <w:t>2.3.</w:t>
      </w:r>
      <w:r>
        <w:rPr>
          <w:noProof/>
        </w:rPr>
        <w:tab/>
        <w:t>Acte envisagé par le sous-comité douanier UE-Ukraine</w:t>
      </w:r>
    </w:p>
    <w:p w:rsidR="004C19D4" w:rsidRDefault="00BB35EB">
      <w:pPr>
        <w:pBdr>
          <w:top w:val="nil"/>
          <w:left w:val="nil"/>
          <w:bottom w:val="nil"/>
          <w:right w:val="nil"/>
          <w:between w:val="nil"/>
          <w:bar w:val="nil"/>
        </w:pBdr>
        <w:spacing w:before="0" w:after="240"/>
        <w:rPr>
          <w:rFonts w:eastAsia="Arial Unicode MS"/>
          <w:noProof/>
        </w:rPr>
      </w:pPr>
      <w:r>
        <w:rPr>
          <w:noProof/>
        </w:rPr>
        <w:t>Le sous-comité douanier UE-Ukraine doit adopter une décision relative au remplacement du protocole I de l’accord, concernant la définition de la notion de «produits originaires» et les méthodes de coopération administrative, par un nouveau protocole qui fa</w:t>
      </w:r>
      <w:r>
        <w:rPr>
          <w:noProof/>
        </w:rPr>
        <w:t>it référence à la convention.</w:t>
      </w:r>
    </w:p>
    <w:p w:rsidR="004C19D4" w:rsidRDefault="00BB35EB">
      <w:pPr>
        <w:pBdr>
          <w:top w:val="nil"/>
          <w:left w:val="nil"/>
          <w:bottom w:val="nil"/>
          <w:right w:val="nil"/>
          <w:between w:val="nil"/>
          <w:bar w:val="nil"/>
        </w:pBdr>
        <w:spacing w:before="0" w:after="240"/>
        <w:rPr>
          <w:rFonts w:eastAsia="Arial Unicode MS"/>
          <w:noProof/>
        </w:rPr>
      </w:pPr>
      <w:r>
        <w:rPr>
          <w:noProof/>
        </w:rPr>
        <w:t>L’objectif de l’acte envisagé est d’assurer la mise en œuvre effective de la convention.</w:t>
      </w:r>
    </w:p>
    <w:p w:rsidR="004C19D4" w:rsidRDefault="00BB35EB">
      <w:pPr>
        <w:pStyle w:val="ManualHeading1"/>
        <w:rPr>
          <w:rFonts w:eastAsia="Arial Unicode MS"/>
          <w:noProof/>
        </w:rPr>
      </w:pPr>
      <w:r>
        <w:rPr>
          <w:noProof/>
        </w:rPr>
        <w:t>3.</w:t>
      </w:r>
      <w:r>
        <w:rPr>
          <w:noProof/>
        </w:rPr>
        <w:tab/>
        <w:t>Position à prendre au nom de l’Union</w:t>
      </w:r>
    </w:p>
    <w:p w:rsidR="004C19D4" w:rsidRDefault="00BB35EB">
      <w:pPr>
        <w:rPr>
          <w:rFonts w:eastAsia="Times New Roman"/>
          <w:noProof/>
          <w:szCs w:val="24"/>
        </w:rPr>
      </w:pPr>
      <w:r>
        <w:rPr>
          <w:noProof/>
        </w:rPr>
        <w:t>La convention arrête les dispositions concernant l'origine des marchandises échangées dans le cad</w:t>
      </w:r>
      <w:r>
        <w:rPr>
          <w:noProof/>
        </w:rPr>
        <w:t>re des accords de libre-échange pertinents conclus entre les parties contractantes. L'Union a signé la convention le 15 juin 2011. L’Ukraine a demandé à adhérer à la convention le 12 septembre 2016 et, par sa décision n° 1/2017 du 16 mai 2017</w:t>
      </w:r>
      <w:r>
        <w:rPr>
          <w:rStyle w:val="FootnoteReference"/>
          <w:noProof/>
        </w:rPr>
        <w:footnoteReference w:id="2"/>
      </w:r>
      <w:r>
        <w:rPr>
          <w:noProof/>
        </w:rPr>
        <w:t>, le comité m</w:t>
      </w:r>
      <w:r>
        <w:rPr>
          <w:noProof/>
        </w:rPr>
        <w:t>ixte de la convention a décidé qu'il convenait d'inviter l’Ukraine à adhérer à la convention.</w:t>
      </w:r>
    </w:p>
    <w:p w:rsidR="004C19D4" w:rsidRDefault="00BB35EB">
      <w:pPr>
        <w:rPr>
          <w:rFonts w:eastAsia="Times New Roman"/>
          <w:noProof/>
          <w:szCs w:val="24"/>
        </w:rPr>
      </w:pPr>
      <w:r>
        <w:rPr>
          <w:noProof/>
        </w:rPr>
        <w:t>Le 26 mars 2012, l’Union européenne a déposé son instrument d’acceptation auprès du dépositaire de la convention. Le 19 décembre 2017, l’Ukraine a déposé son inst</w:t>
      </w:r>
      <w:r>
        <w:rPr>
          <w:noProof/>
        </w:rPr>
        <w:t>rument d’acceptation auprès du dépositaire de la convention. En conséquence, en application de son article 10, paragraphes 2 et 3, la convention est entrée en vigueur le 1</w:t>
      </w:r>
      <w:r>
        <w:rPr>
          <w:noProof/>
          <w:vertAlign w:val="superscript"/>
        </w:rPr>
        <w:t>er</w:t>
      </w:r>
      <w:r>
        <w:rPr>
          <w:noProof/>
        </w:rPr>
        <w:t> mai 2012 pour l'Union européenne et le 1</w:t>
      </w:r>
      <w:r>
        <w:rPr>
          <w:noProof/>
          <w:vertAlign w:val="superscript"/>
        </w:rPr>
        <w:t>er</w:t>
      </w:r>
      <w:r>
        <w:rPr>
          <w:noProof/>
        </w:rPr>
        <w:t> février 2018 pour l’Ukraine.</w:t>
      </w:r>
    </w:p>
    <w:p w:rsidR="004C19D4" w:rsidRDefault="00BB35EB">
      <w:pPr>
        <w:rPr>
          <w:noProof/>
        </w:rPr>
      </w:pPr>
      <w:r>
        <w:rPr>
          <w:noProof/>
        </w:rPr>
        <w:t>L'article </w:t>
      </w:r>
      <w:r>
        <w:rPr>
          <w:noProof/>
        </w:rPr>
        <w:t>6 de la convention dispose que chaque partie contractante arrête les mesures appropriées pour assurer l'application effective de la convention. La proposition de décision du sous-comité douanier UE-Ukraine est une étape procédurale nécessaire à la réalisat</w:t>
      </w:r>
      <w:r>
        <w:rPr>
          <w:noProof/>
        </w:rPr>
        <w:t xml:space="preserve">ion de l’objectif principal de la convention, qui vise à remplacer les protocoles relatifs aux règles d’origine dans les accords entre les parties contractantes de la convention par un protocole qui fait référence à la convention. </w:t>
      </w:r>
    </w:p>
    <w:p w:rsidR="004C19D4" w:rsidRDefault="00BB35EB">
      <w:pPr>
        <w:rPr>
          <w:rFonts w:eastAsia="Arial Unicode MS"/>
          <w:noProof/>
        </w:rPr>
      </w:pPr>
      <w:r>
        <w:rPr>
          <w:noProof/>
        </w:rPr>
        <w:t>Il n’a donc pas été néce</w:t>
      </w:r>
      <w:r>
        <w:rPr>
          <w:noProof/>
        </w:rPr>
        <w:t>ssaire de recourir à une consultation des parties intéressées.</w:t>
      </w:r>
    </w:p>
    <w:p w:rsidR="004C19D4" w:rsidRDefault="00BB35EB">
      <w:pPr>
        <w:pBdr>
          <w:top w:val="nil"/>
          <w:left w:val="nil"/>
          <w:bottom w:val="nil"/>
          <w:right w:val="nil"/>
          <w:between w:val="nil"/>
          <w:bar w:val="nil"/>
        </w:pBdr>
        <w:spacing w:before="0" w:after="240"/>
        <w:rPr>
          <w:noProof/>
        </w:rPr>
      </w:pPr>
      <w:r>
        <w:rPr>
          <w:noProof/>
        </w:rPr>
        <w:t>Il n’a pas non plus été nécessaire de procéder à une analyse d’impact étant donné que les modifications proposées sont de nature technique et ne touchent pas au contenu du protocole sur les règ</w:t>
      </w:r>
      <w:r>
        <w:rPr>
          <w:noProof/>
        </w:rPr>
        <w:t>les d'origine actuellement en vigueur.</w:t>
      </w:r>
    </w:p>
    <w:p w:rsidR="004C19D4" w:rsidRDefault="00BB35EB">
      <w:pPr>
        <w:pStyle w:val="ManualHeading1"/>
        <w:rPr>
          <w:noProof/>
        </w:rPr>
      </w:pPr>
      <w:r>
        <w:rPr>
          <w:noProof/>
        </w:rPr>
        <w:t>4.</w:t>
      </w:r>
      <w:r>
        <w:rPr>
          <w:noProof/>
        </w:rPr>
        <w:tab/>
        <w:t>Base juridique</w:t>
      </w:r>
    </w:p>
    <w:p w:rsidR="004C19D4" w:rsidRDefault="00BB35EB">
      <w:pPr>
        <w:pStyle w:val="ManualHeading2"/>
        <w:rPr>
          <w:rFonts w:eastAsia="Arial Unicode MS"/>
          <w:noProof/>
          <w:u w:color="000000"/>
          <w:bdr w:val="nil"/>
        </w:rPr>
      </w:pPr>
      <w:r>
        <w:rPr>
          <w:noProof/>
        </w:rPr>
        <w:t>4.1.</w:t>
      </w:r>
      <w:r>
        <w:rPr>
          <w:noProof/>
        </w:rPr>
        <w:tab/>
        <w:t>Base juridique procédurale</w:t>
      </w:r>
    </w:p>
    <w:p w:rsidR="004C19D4" w:rsidRDefault="00BB35EB">
      <w:pPr>
        <w:pStyle w:val="ManualHeading3"/>
        <w:rPr>
          <w:noProof/>
        </w:rPr>
      </w:pPr>
      <w:r>
        <w:rPr>
          <w:noProof/>
        </w:rPr>
        <w:t>4.1.1.</w:t>
      </w:r>
      <w:r>
        <w:rPr>
          <w:noProof/>
        </w:rPr>
        <w:tab/>
        <w:t>Principes</w:t>
      </w:r>
    </w:p>
    <w:p w:rsidR="004C19D4" w:rsidRDefault="00BB35EB">
      <w:pPr>
        <w:pBdr>
          <w:top w:val="nil"/>
          <w:left w:val="nil"/>
          <w:bottom w:val="nil"/>
          <w:right w:val="nil"/>
          <w:between w:val="nil"/>
          <w:bar w:val="nil"/>
        </w:pBdr>
        <w:spacing w:before="0" w:after="240"/>
        <w:rPr>
          <w:rFonts w:eastAsia="Arial Unicode MS"/>
          <w:noProof/>
        </w:rPr>
      </w:pPr>
      <w:r>
        <w:rPr>
          <w:noProof/>
        </w:rPr>
        <w:t xml:space="preserve">L’article 218, paragraphe 9, du traité sur le fonctionnement de l’Union européenne (TFUE) prévoit des décisions établissant «les positions à prendre </w:t>
      </w:r>
      <w:r>
        <w:rPr>
          <w:noProof/>
        </w:rPr>
        <w:t>au nom de l’Union dans une instance créée par un accord, lorsque cette instance est appelée à adopter des actes ayant des effets juridiques, à l’exception des actes complétant ou modifiant le cadre institutionnel de l’accord».</w:t>
      </w:r>
    </w:p>
    <w:p w:rsidR="004C19D4" w:rsidRDefault="00BB35EB">
      <w:pPr>
        <w:pBdr>
          <w:top w:val="nil"/>
          <w:left w:val="nil"/>
          <w:bottom w:val="nil"/>
          <w:right w:val="nil"/>
          <w:between w:val="nil"/>
          <w:bar w:val="nil"/>
        </w:pBdr>
        <w:spacing w:before="0" w:after="240"/>
        <w:rPr>
          <w:rFonts w:eastAsia="Arial Unicode MS"/>
          <w:noProof/>
        </w:rPr>
      </w:pPr>
      <w:r>
        <w:rPr>
          <w:noProof/>
        </w:rPr>
        <w:t xml:space="preserve">La notion d’«actes ayant des </w:t>
      </w:r>
      <w:r>
        <w:rPr>
          <w:noProof/>
        </w:rPr>
        <w:t>effets juridiques» englobe les actes ayant des effets juridiques en vertu des règles de droit international régissant l’instance en question. Elle englobe également des instruments auxquels le droit international ne confère aucun effet contraignant, mais q</w:t>
      </w:r>
      <w:r>
        <w:rPr>
          <w:noProof/>
        </w:rPr>
        <w:t xml:space="preserve">ui sont «de nature à influencer de manière déterminante le contenu de la législation adoptée par le législateur de l’Union». </w:t>
      </w:r>
    </w:p>
    <w:p w:rsidR="004C19D4" w:rsidRDefault="00BB35EB">
      <w:pPr>
        <w:pStyle w:val="ManualHeading3"/>
        <w:rPr>
          <w:noProof/>
        </w:rPr>
      </w:pPr>
      <w:r>
        <w:rPr>
          <w:noProof/>
        </w:rPr>
        <w:t>4.1.2.</w:t>
      </w:r>
      <w:r>
        <w:rPr>
          <w:noProof/>
        </w:rPr>
        <w:tab/>
        <w:t>Application en l’espèce</w:t>
      </w:r>
    </w:p>
    <w:p w:rsidR="004C19D4" w:rsidRDefault="00BB35EB">
      <w:pPr>
        <w:pBdr>
          <w:top w:val="nil"/>
          <w:left w:val="nil"/>
          <w:bottom w:val="nil"/>
          <w:right w:val="nil"/>
          <w:between w:val="nil"/>
          <w:bar w:val="nil"/>
        </w:pBdr>
        <w:spacing w:before="0" w:after="240"/>
        <w:rPr>
          <w:rFonts w:eastAsia="Arial Unicode MS"/>
          <w:noProof/>
        </w:rPr>
      </w:pPr>
      <w:r>
        <w:rPr>
          <w:noProof/>
        </w:rPr>
        <w:t>Le sous-comité douanier UE-Ukraine est une instance créée par un accord, en l’occurrence par l’acco</w:t>
      </w:r>
      <w:r>
        <w:rPr>
          <w:noProof/>
        </w:rPr>
        <w:t>rd d’association entre l’Union européenne et ses États membres, d’une part, et l’Ukraine, d’autre part.</w:t>
      </w:r>
    </w:p>
    <w:p w:rsidR="004C19D4" w:rsidRDefault="00BB35EB">
      <w:pPr>
        <w:pBdr>
          <w:top w:val="nil"/>
          <w:left w:val="nil"/>
          <w:bottom w:val="nil"/>
          <w:right w:val="nil"/>
          <w:between w:val="nil"/>
          <w:bar w:val="nil"/>
        </w:pBdr>
        <w:spacing w:before="0" w:after="240"/>
        <w:rPr>
          <w:rFonts w:eastAsia="Arial Unicode MS"/>
          <w:noProof/>
        </w:rPr>
      </w:pPr>
      <w:r>
        <w:rPr>
          <w:noProof/>
        </w:rPr>
        <w:t>L’acte que le sous-comité douanier UE-Ukraine est appelé à adopter constitue un acte ayant des effets juridiques.</w:t>
      </w:r>
    </w:p>
    <w:p w:rsidR="004C19D4" w:rsidRDefault="00BB35EB">
      <w:pPr>
        <w:pBdr>
          <w:top w:val="nil"/>
          <w:left w:val="nil"/>
          <w:bottom w:val="nil"/>
          <w:right w:val="nil"/>
          <w:between w:val="nil"/>
          <w:bar w:val="nil"/>
        </w:pBdr>
        <w:spacing w:before="0" w:after="240"/>
        <w:rPr>
          <w:rFonts w:eastAsia="Arial Unicode MS"/>
          <w:noProof/>
        </w:rPr>
      </w:pPr>
      <w:r>
        <w:rPr>
          <w:noProof/>
        </w:rPr>
        <w:t>L’acte envisagé ne complète ni ne modi</w:t>
      </w:r>
      <w:r>
        <w:rPr>
          <w:noProof/>
        </w:rPr>
        <w:t>fie le cadre institutionnel de l’accord.</w:t>
      </w:r>
    </w:p>
    <w:p w:rsidR="004C19D4" w:rsidRDefault="00BB35EB">
      <w:pPr>
        <w:pBdr>
          <w:top w:val="nil"/>
          <w:left w:val="nil"/>
          <w:bottom w:val="nil"/>
          <w:right w:val="nil"/>
          <w:between w:val="nil"/>
          <w:bar w:val="nil"/>
        </w:pBdr>
        <w:spacing w:before="0" w:after="240"/>
        <w:rPr>
          <w:rFonts w:eastAsia="Arial Unicode MS"/>
          <w:noProof/>
        </w:rPr>
      </w:pPr>
      <w:r>
        <w:rPr>
          <w:noProof/>
        </w:rPr>
        <w:t>En conséquence, la base juridique procédurale pour la décision proposée est l’article 218, paragraphe 9, du TFUE.</w:t>
      </w:r>
    </w:p>
    <w:p w:rsidR="004C19D4" w:rsidRDefault="00BB35EB">
      <w:pPr>
        <w:pStyle w:val="ManualHeading2"/>
        <w:rPr>
          <w:rFonts w:eastAsia="Arial Unicode MS"/>
          <w:noProof/>
          <w:u w:color="000000"/>
          <w:bdr w:val="nil"/>
        </w:rPr>
      </w:pPr>
      <w:r>
        <w:rPr>
          <w:noProof/>
        </w:rPr>
        <w:t>4.2.</w:t>
      </w:r>
      <w:r>
        <w:rPr>
          <w:noProof/>
        </w:rPr>
        <w:tab/>
        <w:t>Base juridique matérielle</w:t>
      </w:r>
    </w:p>
    <w:p w:rsidR="004C19D4" w:rsidRDefault="00BB35EB">
      <w:pPr>
        <w:pStyle w:val="ManualHeading3"/>
        <w:rPr>
          <w:noProof/>
        </w:rPr>
      </w:pPr>
      <w:r>
        <w:rPr>
          <w:noProof/>
        </w:rPr>
        <w:t>4.2.1.</w:t>
      </w:r>
      <w:r>
        <w:rPr>
          <w:noProof/>
        </w:rPr>
        <w:tab/>
        <w:t>Principes</w:t>
      </w:r>
    </w:p>
    <w:p w:rsidR="004C19D4" w:rsidRDefault="00BB35EB">
      <w:pPr>
        <w:pBdr>
          <w:top w:val="nil"/>
          <w:left w:val="nil"/>
          <w:bottom w:val="nil"/>
          <w:right w:val="nil"/>
          <w:between w:val="nil"/>
          <w:bar w:val="nil"/>
        </w:pBdr>
        <w:spacing w:before="0" w:after="240"/>
        <w:rPr>
          <w:rFonts w:eastAsia="Arial Unicode MS"/>
          <w:noProof/>
        </w:rPr>
      </w:pPr>
      <w:r>
        <w:rPr>
          <w:noProof/>
        </w:rPr>
        <w:t xml:space="preserve">La base juridique matérielle pour une décision au </w:t>
      </w:r>
      <w:r>
        <w:rPr>
          <w:noProof/>
        </w:rPr>
        <w:t>titre de l’article 218, paragraphe 9, du TFUE dépend avant tout de l’objectif et du contenu de l’acte envisagé pour lequel une position est prise au nom de l’Union. Si l’acte envisagé poursuit deux fins ou a deux composantes et si l’une de ces fins ou de c</w:t>
      </w:r>
      <w:r>
        <w:rPr>
          <w:noProof/>
        </w:rPr>
        <w:t>es composantes est identifiable comme principale, tandis que l’autre n’est qu’accessoire, la décision au titre de l’article 218, paragraphe 9, du TFUE doit être fondée sur une seule base juridique matérielle, à savoir celle exigée par la fin ou la composan</w:t>
      </w:r>
      <w:r>
        <w:rPr>
          <w:noProof/>
        </w:rPr>
        <w:t>te principale ou prédominante.</w:t>
      </w:r>
    </w:p>
    <w:p w:rsidR="004C19D4" w:rsidRDefault="00BB35EB">
      <w:pPr>
        <w:pStyle w:val="ManualHeading3"/>
        <w:rPr>
          <w:noProof/>
        </w:rPr>
      </w:pPr>
      <w:r>
        <w:rPr>
          <w:noProof/>
        </w:rPr>
        <w:t>4.2.2.</w:t>
      </w:r>
      <w:r>
        <w:rPr>
          <w:noProof/>
        </w:rPr>
        <w:tab/>
        <w:t>Application en l’espèce</w:t>
      </w:r>
    </w:p>
    <w:p w:rsidR="004C19D4" w:rsidRDefault="00BB35EB">
      <w:pPr>
        <w:pBdr>
          <w:top w:val="nil"/>
          <w:left w:val="nil"/>
          <w:bottom w:val="nil"/>
          <w:right w:val="nil"/>
          <w:between w:val="nil"/>
          <w:bar w:val="nil"/>
        </w:pBdr>
        <w:spacing w:before="0" w:after="240"/>
        <w:rPr>
          <w:rFonts w:eastAsia="Arial Unicode MS"/>
          <w:noProof/>
        </w:rPr>
      </w:pPr>
      <w:r>
        <w:rPr>
          <w:noProof/>
        </w:rPr>
        <w:t>L’objectif et le contenu de l’acte envisagé concernent essentiellement la politique commerciale commune.</w:t>
      </w:r>
    </w:p>
    <w:p w:rsidR="004C19D4" w:rsidRDefault="00BB35EB">
      <w:pPr>
        <w:pBdr>
          <w:top w:val="nil"/>
          <w:left w:val="nil"/>
          <w:bottom w:val="nil"/>
          <w:right w:val="nil"/>
          <w:between w:val="nil"/>
          <w:bar w:val="nil"/>
        </w:pBdr>
        <w:spacing w:before="0" w:after="240"/>
        <w:rPr>
          <w:rFonts w:eastAsia="Arial Unicode MS"/>
          <w:noProof/>
        </w:rPr>
      </w:pPr>
      <w:r>
        <w:rPr>
          <w:noProof/>
        </w:rPr>
        <w:t>La base juridique matérielle de la décision proposée est donc l’article 207 du TFUE.</w:t>
      </w:r>
    </w:p>
    <w:p w:rsidR="004C19D4" w:rsidRDefault="00BB35EB">
      <w:pPr>
        <w:pStyle w:val="ManualHeading2"/>
        <w:rPr>
          <w:rFonts w:eastAsia="Arial Unicode MS"/>
          <w:noProof/>
          <w:u w:color="000000"/>
          <w:bdr w:val="nil"/>
        </w:rPr>
      </w:pPr>
      <w:r>
        <w:rPr>
          <w:noProof/>
        </w:rPr>
        <w:t>4.3.</w:t>
      </w:r>
      <w:r>
        <w:rPr>
          <w:noProof/>
        </w:rPr>
        <w:tab/>
        <w:t>Conclusion</w:t>
      </w:r>
    </w:p>
    <w:p w:rsidR="004C19D4" w:rsidRDefault="00BB35EB">
      <w:pPr>
        <w:pBdr>
          <w:top w:val="nil"/>
          <w:left w:val="nil"/>
          <w:bottom w:val="nil"/>
          <w:right w:val="nil"/>
          <w:between w:val="nil"/>
          <w:bar w:val="nil"/>
        </w:pBdr>
        <w:spacing w:before="0" w:after="240"/>
        <w:rPr>
          <w:rFonts w:eastAsia="Arial Unicode MS"/>
          <w:noProof/>
        </w:rPr>
      </w:pPr>
      <w:r>
        <w:rPr>
          <w:noProof/>
        </w:rPr>
        <w:t>La base juridique de la décision proposée devrait être l’article 207, en liaison avec l’article 218, paragraphe 9, du TFUE.</w:t>
      </w:r>
    </w:p>
    <w:p w:rsidR="004C19D4" w:rsidRDefault="00BB35EB">
      <w:pPr>
        <w:pStyle w:val="ManualHeading1"/>
        <w:rPr>
          <w:noProof/>
        </w:rPr>
      </w:pPr>
      <w:r>
        <w:rPr>
          <w:noProof/>
        </w:rPr>
        <w:t>5.</w:t>
      </w:r>
      <w:r>
        <w:rPr>
          <w:noProof/>
        </w:rPr>
        <w:tab/>
        <w:t>Publication de l’acte envisagé</w:t>
      </w:r>
    </w:p>
    <w:p w:rsidR="004C19D4" w:rsidRDefault="00BB35EB">
      <w:pPr>
        <w:rPr>
          <w:noProof/>
        </w:rPr>
      </w:pPr>
      <w:r>
        <w:rPr>
          <w:noProof/>
        </w:rPr>
        <w:t>Étant donné que l’acte du sous-comité douanier UE-Ukraine  modifiera l’accord d'associ</w:t>
      </w:r>
      <w:r>
        <w:rPr>
          <w:noProof/>
        </w:rPr>
        <w:t xml:space="preserve">ation, il y a lieu de le publier au </w:t>
      </w:r>
      <w:r>
        <w:rPr>
          <w:i/>
          <w:noProof/>
        </w:rPr>
        <w:t>Journal officiel de l’Union européenne</w:t>
      </w:r>
      <w:r>
        <w:rPr>
          <w:noProof/>
        </w:rPr>
        <w:t xml:space="preserve"> après son adoption.</w:t>
      </w:r>
    </w:p>
    <w:p w:rsidR="004C19D4" w:rsidRDefault="004C19D4">
      <w:pPr>
        <w:rPr>
          <w:noProof/>
        </w:rPr>
        <w:sectPr w:rsidR="004C19D4" w:rsidSect="00BB35EB">
          <w:footerReference w:type="default" r:id="rId15"/>
          <w:footerReference w:type="first" r:id="rId16"/>
          <w:pgSz w:w="11907" w:h="16839"/>
          <w:pgMar w:top="1134" w:right="1417" w:bottom="1134" w:left="1417" w:header="709" w:footer="709" w:gutter="0"/>
          <w:cols w:space="708"/>
          <w:docGrid w:linePitch="360"/>
        </w:sectPr>
      </w:pPr>
    </w:p>
    <w:p w:rsidR="004C19D4" w:rsidRDefault="00BB35EB" w:rsidP="00BB35EB">
      <w:pPr>
        <w:pStyle w:val="Rfrenceinterinstitutionnelle"/>
        <w:rPr>
          <w:noProof/>
        </w:rPr>
      </w:pPr>
      <w:r w:rsidRPr="00BB35EB">
        <w:t>2018/0280 (NLE)</w:t>
      </w:r>
    </w:p>
    <w:p w:rsidR="004C19D4" w:rsidRDefault="00BB35EB" w:rsidP="00BB35EB">
      <w:pPr>
        <w:pStyle w:val="Statut"/>
        <w:rPr>
          <w:noProof/>
        </w:rPr>
      </w:pPr>
      <w:r w:rsidRPr="00BB35EB">
        <w:t>Proposition de</w:t>
      </w:r>
    </w:p>
    <w:p w:rsidR="004C19D4" w:rsidRDefault="00BB35EB" w:rsidP="00BB35EB">
      <w:pPr>
        <w:pStyle w:val="Typedudocument"/>
        <w:rPr>
          <w:noProof/>
        </w:rPr>
      </w:pPr>
      <w:r w:rsidRPr="00BB35EB">
        <w:t>DÉCISION DU CONSEIL</w:t>
      </w:r>
    </w:p>
    <w:p w:rsidR="004C19D4" w:rsidRDefault="00BB35EB" w:rsidP="00BB35EB">
      <w:pPr>
        <w:pStyle w:val="Titreobjet"/>
        <w:rPr>
          <w:noProof/>
        </w:rPr>
      </w:pPr>
      <w:r w:rsidRPr="00BB35EB">
        <w:t xml:space="preserve">relative à la position à prendre au nom de l'Union européenne au sein du sous-comité douanier institué par l'accord d'association entre l'Union européenne et ses États membres, d'une part, et l’Ukraine, d'autre part, à l’égard du remplacement du protocole I de cet accord, concernant la définition de la notion de «produits originaires» et les méthodes de coopération administrative, par un nouveau protocole qui fait référence à la convention régionale sur les règles d'origine préférentielles </w:t>
      </w:r>
      <w:proofErr w:type="spellStart"/>
      <w:r w:rsidRPr="00BB35EB">
        <w:t>paneuro-méditerranéennes</w:t>
      </w:r>
      <w:proofErr w:type="spellEnd"/>
    </w:p>
    <w:p w:rsidR="004C19D4" w:rsidRDefault="00BB35EB">
      <w:pPr>
        <w:pStyle w:val="Institutionquiagit"/>
        <w:rPr>
          <w:noProof/>
        </w:rPr>
      </w:pPr>
      <w:r>
        <w:rPr>
          <w:noProof/>
        </w:rPr>
        <w:t>LE CONSEIL DE L'UNION EUROPÉENNE,</w:t>
      </w:r>
    </w:p>
    <w:p w:rsidR="004C19D4" w:rsidRDefault="00BB35EB">
      <w:pPr>
        <w:rPr>
          <w:noProof/>
        </w:rPr>
      </w:pPr>
      <w:r>
        <w:rPr>
          <w:noProof/>
        </w:rPr>
        <w:t>vu le traité su</w:t>
      </w:r>
      <w:r>
        <w:rPr>
          <w:noProof/>
        </w:rPr>
        <w:t>r le fonctionnement de l'Union européenne, et notamment son article 207 en liaison avec son article 218, paragraphe 9,</w:t>
      </w:r>
    </w:p>
    <w:p w:rsidR="004C19D4" w:rsidRDefault="00BB35EB">
      <w:pPr>
        <w:rPr>
          <w:noProof/>
        </w:rPr>
      </w:pPr>
      <w:r>
        <w:rPr>
          <w:noProof/>
        </w:rPr>
        <w:t>vu la proposition de la Commission européenne,</w:t>
      </w:r>
    </w:p>
    <w:p w:rsidR="004C19D4" w:rsidRDefault="00BB35EB">
      <w:pPr>
        <w:rPr>
          <w:noProof/>
        </w:rPr>
      </w:pPr>
      <w:r>
        <w:rPr>
          <w:noProof/>
        </w:rPr>
        <w:t>considérant ce qui suit:</w:t>
      </w:r>
    </w:p>
    <w:p w:rsidR="004C19D4" w:rsidRDefault="00BB35EB">
      <w:pPr>
        <w:pStyle w:val="ManualConsidrant"/>
        <w:rPr>
          <w:noProof/>
        </w:rPr>
      </w:pPr>
      <w:r>
        <w:rPr>
          <w:noProof/>
        </w:rPr>
        <w:t>(1)</w:t>
      </w:r>
      <w:r>
        <w:rPr>
          <w:noProof/>
        </w:rPr>
        <w:tab/>
        <w:t xml:space="preserve">L’accord d’association entre l’Union européenne et ses États </w:t>
      </w:r>
      <w:r>
        <w:rPr>
          <w:noProof/>
        </w:rPr>
        <w:t>membres, d’une part, et l’Ukraine, d’autre part, (ci-après l'«accord»), a été conclu au nom de l’Union par la décision 2014/668/UE du Conseil</w:t>
      </w:r>
      <w:r>
        <w:rPr>
          <w:rStyle w:val="FootnoteReference"/>
          <w:noProof/>
        </w:rPr>
        <w:footnoteReference w:id="3"/>
      </w:r>
      <w:r>
        <w:rPr>
          <w:noProof/>
        </w:rPr>
        <w:t xml:space="preserve"> et est entré en vigueur le 1</w:t>
      </w:r>
      <w:r>
        <w:rPr>
          <w:noProof/>
          <w:vertAlign w:val="superscript"/>
        </w:rPr>
        <w:t>er</w:t>
      </w:r>
      <w:r>
        <w:rPr>
          <w:noProof/>
        </w:rPr>
        <w:t> septembre 2017.</w:t>
      </w:r>
    </w:p>
    <w:p w:rsidR="004C19D4" w:rsidRDefault="00BB35EB">
      <w:pPr>
        <w:pStyle w:val="ManualConsidrant"/>
        <w:rPr>
          <w:noProof/>
        </w:rPr>
      </w:pPr>
      <w:r>
        <w:rPr>
          <w:noProof/>
        </w:rPr>
        <w:t>(2)</w:t>
      </w:r>
      <w:r>
        <w:rPr>
          <w:noProof/>
        </w:rPr>
        <w:tab/>
        <w:t xml:space="preserve">Conformément à l'article 39 du protocole I de l'accord </w:t>
      </w:r>
      <w:r>
        <w:rPr>
          <w:noProof/>
        </w:rPr>
        <w:t>(ci-après le «protocole I»), le sous-comité douanier UE-Ukraine institué par le titre IV, chapitre 5, article 83, de l'accord (ci-après le «sous-comité douanier») peut adopter des modifications des dispositions de ce protocole.</w:t>
      </w:r>
    </w:p>
    <w:p w:rsidR="004C19D4" w:rsidRDefault="00BB35EB">
      <w:pPr>
        <w:pStyle w:val="ManualConsidrant"/>
        <w:rPr>
          <w:noProof/>
        </w:rPr>
      </w:pPr>
      <w:r>
        <w:rPr>
          <w:noProof/>
        </w:rPr>
        <w:t>(3)</w:t>
      </w:r>
      <w:r>
        <w:rPr>
          <w:noProof/>
        </w:rPr>
        <w:tab/>
        <w:t>Conformément à l’article</w:t>
      </w:r>
      <w:r>
        <w:rPr>
          <w:noProof/>
        </w:rPr>
        <w:t> 39, paragraphe 2, du protocole I, le sous-comité douanier peut également décider, après l’adhésion de l’Ukraine à la convention régionale sur les règles d’origine préférentielles paneuro-méditerranéennes</w:t>
      </w:r>
      <w:r>
        <w:rPr>
          <w:rStyle w:val="FootnoteReference"/>
          <w:noProof/>
        </w:rPr>
        <w:footnoteReference w:id="4"/>
      </w:r>
      <w:r>
        <w:rPr>
          <w:noProof/>
        </w:rPr>
        <w:t xml:space="preserve"> (ci-après la «convention»), de remplacer les règle</w:t>
      </w:r>
      <w:r>
        <w:rPr>
          <w:noProof/>
        </w:rPr>
        <w:t xml:space="preserve">s d’origine définies dans ce protocole par celles figurant dans les appendices de la convention. </w:t>
      </w:r>
    </w:p>
    <w:p w:rsidR="004C19D4" w:rsidRDefault="00BB35EB">
      <w:pPr>
        <w:pStyle w:val="ManualConsidrant"/>
        <w:rPr>
          <w:noProof/>
        </w:rPr>
      </w:pPr>
      <w:r>
        <w:rPr>
          <w:noProof/>
        </w:rPr>
        <w:t>(4)</w:t>
      </w:r>
      <w:r>
        <w:rPr>
          <w:noProof/>
        </w:rPr>
        <w:tab/>
        <w:t>La convention, qui fixe les dispositions concernant l’origine des marchandises échangées dans le cadre des accords pertinents conclus entre les parties co</w:t>
      </w:r>
      <w:r>
        <w:rPr>
          <w:noProof/>
        </w:rPr>
        <w:t>ntractantes, est entrée en vigueur pour l’Union le 1</w:t>
      </w:r>
      <w:r>
        <w:rPr>
          <w:noProof/>
          <w:vertAlign w:val="superscript"/>
        </w:rPr>
        <w:t>er</w:t>
      </w:r>
      <w:r>
        <w:rPr>
          <w:noProof/>
        </w:rPr>
        <w:t xml:space="preserve"> mai 2012 et pour l’Ukraine le 1</w:t>
      </w:r>
      <w:r>
        <w:rPr>
          <w:noProof/>
          <w:vertAlign w:val="superscript"/>
        </w:rPr>
        <w:t>er</w:t>
      </w:r>
      <w:r>
        <w:rPr>
          <w:noProof/>
        </w:rPr>
        <w:t xml:space="preserve"> février 2018.</w:t>
      </w:r>
    </w:p>
    <w:p w:rsidR="004C19D4" w:rsidRDefault="00BB35EB">
      <w:pPr>
        <w:pStyle w:val="ManualConsidrant"/>
        <w:rPr>
          <w:noProof/>
        </w:rPr>
      </w:pPr>
      <w:r>
        <w:rPr>
          <w:noProof/>
        </w:rPr>
        <w:t>(5)</w:t>
      </w:r>
      <w:r>
        <w:rPr>
          <w:noProof/>
        </w:rPr>
        <w:tab/>
        <w:t>Le sous-comité douanier doit adopter une décision relative au remplacement du protocole I, concernant la définition de la notion de «produits origina</w:t>
      </w:r>
      <w:r>
        <w:rPr>
          <w:noProof/>
        </w:rPr>
        <w:t>ires» et les méthodes de coopération administrative, par un nouveau protocole qui fait référence à la convention.</w:t>
      </w:r>
    </w:p>
    <w:p w:rsidR="004C19D4" w:rsidRDefault="00BB35EB">
      <w:pPr>
        <w:pStyle w:val="ManualConsidrant"/>
        <w:rPr>
          <w:noProof/>
        </w:rPr>
      </w:pPr>
      <w:r>
        <w:rPr>
          <w:noProof/>
        </w:rPr>
        <w:t>(6)</w:t>
      </w:r>
      <w:r>
        <w:rPr>
          <w:noProof/>
        </w:rPr>
        <w:tab/>
        <w:t>Il convient de définir la position à prendre, au nom de l’Union, au sein du sous-comité douanier, étant donné que la décision qui sera ado</w:t>
      </w:r>
      <w:r>
        <w:rPr>
          <w:noProof/>
        </w:rPr>
        <w:t>ptée par ce sous-comité sera contraignante pour l’Union.</w:t>
      </w:r>
    </w:p>
    <w:p w:rsidR="004C19D4" w:rsidRDefault="00BB35EB">
      <w:pPr>
        <w:pStyle w:val="ManualConsidrant"/>
        <w:rPr>
          <w:noProof/>
        </w:rPr>
      </w:pPr>
      <w:r>
        <w:rPr>
          <w:noProof/>
        </w:rPr>
        <w:t>(7)</w:t>
      </w:r>
      <w:r>
        <w:rPr>
          <w:noProof/>
        </w:rPr>
        <w:tab/>
        <w:t>L'article 6 de la convention dispose que chaque partie contractante doit arrêter les mesures appropriées pour assurer l'application effective de celle-ci. À cet effet, il convient de remplacer le</w:t>
      </w:r>
      <w:r>
        <w:rPr>
          <w:noProof/>
        </w:rPr>
        <w:t xml:space="preserve"> protocole I par un nouveau protocole qui, pour ce qui est des règles d'origine, fait référence à la convention. </w:t>
      </w:r>
    </w:p>
    <w:p w:rsidR="004C19D4" w:rsidRDefault="00BB35EB">
      <w:pPr>
        <w:pStyle w:val="ManualConsidrant"/>
        <w:rPr>
          <w:noProof/>
        </w:rPr>
      </w:pPr>
      <w:r>
        <w:rPr>
          <w:noProof/>
        </w:rPr>
        <w:t>(8)</w:t>
      </w:r>
      <w:r>
        <w:rPr>
          <w:noProof/>
        </w:rPr>
        <w:tab/>
        <w:t>Il convient que la position à prendre au nom de l’Union au sein du sous-comité douanier soit fondée sur le projet de décision ci-joint.</w:t>
      </w:r>
    </w:p>
    <w:p w:rsidR="004C19D4" w:rsidRDefault="00BB35EB">
      <w:pPr>
        <w:pStyle w:val="ManualConsidrant"/>
        <w:rPr>
          <w:noProof/>
        </w:rPr>
      </w:pPr>
      <w:r>
        <w:rPr>
          <w:noProof/>
        </w:rPr>
        <w:t>(9</w:t>
      </w:r>
      <w:r>
        <w:rPr>
          <w:noProof/>
        </w:rPr>
        <w:t>)</w:t>
      </w:r>
      <w:r>
        <w:rPr>
          <w:noProof/>
        </w:rPr>
        <w:tab/>
        <w:t xml:space="preserve">Étant donné que la décision du sous-comité douanier modifiera le protocole I, il convient qu’elle soit publiée au </w:t>
      </w:r>
      <w:r>
        <w:rPr>
          <w:i/>
          <w:noProof/>
        </w:rPr>
        <w:t>Journal officiel de l’Union européenne</w:t>
      </w:r>
      <w:r>
        <w:rPr>
          <w:noProof/>
        </w:rPr>
        <w:t>.</w:t>
      </w:r>
    </w:p>
    <w:p w:rsidR="004C19D4" w:rsidRDefault="00BB35EB">
      <w:pPr>
        <w:pStyle w:val="ManualConsidrant"/>
        <w:rPr>
          <w:noProof/>
        </w:rPr>
      </w:pPr>
      <w:r>
        <w:rPr>
          <w:noProof/>
        </w:rPr>
        <w:t>(10)</w:t>
      </w:r>
      <w:r>
        <w:rPr>
          <w:noProof/>
        </w:rPr>
        <w:tab/>
        <w:t>L’Union sera représentée au sous-comité douanier UE-Ukraine par la Commission, conformément à l</w:t>
      </w:r>
      <w:r>
        <w:rPr>
          <w:noProof/>
        </w:rPr>
        <w:t>’article 17, paragraphe 1, du traité sur l'Union européenne,</w:t>
      </w:r>
    </w:p>
    <w:p w:rsidR="004C19D4" w:rsidRDefault="00BB35EB">
      <w:pPr>
        <w:pStyle w:val="Formuledadoption"/>
        <w:rPr>
          <w:noProof/>
        </w:rPr>
      </w:pPr>
      <w:r>
        <w:rPr>
          <w:noProof/>
        </w:rPr>
        <w:t xml:space="preserve">A ADOPTÉ LA PRÉSENTE DÉCISION: </w:t>
      </w:r>
    </w:p>
    <w:p w:rsidR="004C19D4" w:rsidRDefault="00BB35EB">
      <w:pPr>
        <w:pStyle w:val="Titrearticle"/>
        <w:rPr>
          <w:noProof/>
        </w:rPr>
      </w:pPr>
      <w:r>
        <w:rPr>
          <w:noProof/>
        </w:rPr>
        <w:t>Article premier</w:t>
      </w:r>
    </w:p>
    <w:p w:rsidR="004C19D4" w:rsidRDefault="00BB35EB">
      <w:pPr>
        <w:rPr>
          <w:noProof/>
        </w:rPr>
      </w:pPr>
      <w:r>
        <w:rPr>
          <w:noProof/>
        </w:rPr>
        <w:t>La position à prendre au nom de l’Union au sein du sous-comité douanier institué en vertu du titre IV, chapitre 5, article 83, de l’accord d’associ</w:t>
      </w:r>
      <w:r>
        <w:rPr>
          <w:noProof/>
        </w:rPr>
        <w:t>ation entre l’Union européenne et ses États membres, d’une part, et l’Ukraine, d’autre part (ci-après le «sous-comité douanier»), est fondée sur le projet de décision joint à la présente décision.</w:t>
      </w:r>
    </w:p>
    <w:p w:rsidR="004C19D4" w:rsidRDefault="00BB35EB">
      <w:pPr>
        <w:pStyle w:val="Titrearticle"/>
        <w:rPr>
          <w:noProof/>
        </w:rPr>
      </w:pPr>
      <w:r>
        <w:rPr>
          <w:noProof/>
        </w:rPr>
        <w:t>Article 2</w:t>
      </w:r>
    </w:p>
    <w:p w:rsidR="004C19D4" w:rsidRDefault="00BB35EB">
      <w:pPr>
        <w:rPr>
          <w:noProof/>
        </w:rPr>
      </w:pPr>
      <w:r>
        <w:rPr>
          <w:noProof/>
        </w:rPr>
        <w:t>Les représentants de l'Union au sein du sous-comi</w:t>
      </w:r>
      <w:r>
        <w:rPr>
          <w:noProof/>
        </w:rPr>
        <w:t>té douanier peuvent accepter que des modifications mineures soient apportées au projet de décision du sous-comité douanier visé à l'article 1</w:t>
      </w:r>
      <w:r>
        <w:rPr>
          <w:noProof/>
          <w:vertAlign w:val="superscript"/>
        </w:rPr>
        <w:t>er</w:t>
      </w:r>
      <w:r>
        <w:rPr>
          <w:noProof/>
        </w:rPr>
        <w:t xml:space="preserve"> sans que le Conseil doive adopter une nouvelle décision.</w:t>
      </w:r>
    </w:p>
    <w:p w:rsidR="004C19D4" w:rsidRDefault="00BB35EB">
      <w:pPr>
        <w:pStyle w:val="Titrearticle"/>
        <w:rPr>
          <w:noProof/>
        </w:rPr>
      </w:pPr>
      <w:r>
        <w:rPr>
          <w:noProof/>
        </w:rPr>
        <w:t>Article 3</w:t>
      </w:r>
    </w:p>
    <w:p w:rsidR="004C19D4" w:rsidRDefault="00BB35EB">
      <w:pPr>
        <w:keepLines/>
        <w:rPr>
          <w:noProof/>
        </w:rPr>
      </w:pPr>
      <w:r>
        <w:rPr>
          <w:noProof/>
        </w:rPr>
        <w:t>La Commission est destinataire de la présente</w:t>
      </w:r>
      <w:r>
        <w:rPr>
          <w:noProof/>
        </w:rPr>
        <w:t xml:space="preserve"> décision.</w:t>
      </w:r>
    </w:p>
    <w:p w:rsidR="004C19D4" w:rsidRDefault="00BB35EB" w:rsidP="00BB35EB">
      <w:pPr>
        <w:pStyle w:val="Fait"/>
        <w:rPr>
          <w:noProof/>
        </w:rPr>
      </w:pPr>
      <w:r w:rsidRPr="00BB35EB">
        <w:t>Fait à Bruxelles, le</w:t>
      </w:r>
    </w:p>
    <w:p w:rsidR="004C19D4" w:rsidRDefault="004C19D4">
      <w:pPr>
        <w:pStyle w:val="Institutionquisigne"/>
        <w:rPr>
          <w:noProof/>
        </w:rPr>
      </w:pPr>
    </w:p>
    <w:p w:rsidR="004C19D4" w:rsidRDefault="00BB35EB">
      <w:pPr>
        <w:pStyle w:val="Institutionquisigne"/>
        <w:rPr>
          <w:noProof/>
        </w:rPr>
      </w:pPr>
      <w:r>
        <w:rPr>
          <w:noProof/>
        </w:rPr>
        <w:tab/>
        <w:t>Pour le Conseil</w:t>
      </w:r>
    </w:p>
    <w:p w:rsidR="004C19D4" w:rsidRPr="00975E9D" w:rsidRDefault="00BB35EB">
      <w:pPr>
        <w:pStyle w:val="Personnequisigne"/>
        <w:rPr>
          <w:noProof/>
        </w:rPr>
      </w:pPr>
      <w:r>
        <w:rPr>
          <w:noProof/>
        </w:rPr>
        <w:tab/>
        <w:t>Le président</w:t>
      </w:r>
    </w:p>
    <w:sectPr w:rsidR="004C19D4" w:rsidRPr="00975E9D" w:rsidSect="00BB35E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D4" w:rsidRDefault="00BB35EB">
      <w:pPr>
        <w:spacing w:before="0" w:after="0"/>
      </w:pPr>
      <w:r>
        <w:separator/>
      </w:r>
    </w:p>
  </w:endnote>
  <w:endnote w:type="continuationSeparator" w:id="0">
    <w:p w:rsidR="004C19D4" w:rsidRDefault="00BB35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D4" w:rsidRPr="00BB35EB" w:rsidRDefault="00BB35EB" w:rsidP="00BB35EB">
    <w:pPr>
      <w:pStyle w:val="Footer"/>
      <w:rPr>
        <w:rFonts w:ascii="Arial" w:hAnsi="Arial" w:cs="Arial"/>
        <w:b/>
        <w:sz w:val="48"/>
      </w:rPr>
    </w:pPr>
    <w:r w:rsidRPr="00BB35EB">
      <w:rPr>
        <w:rFonts w:ascii="Arial" w:hAnsi="Arial" w:cs="Arial"/>
        <w:b/>
        <w:sz w:val="48"/>
      </w:rPr>
      <w:t>FR</w:t>
    </w:r>
    <w:r w:rsidRPr="00BB35EB">
      <w:rPr>
        <w:rFonts w:ascii="Arial" w:hAnsi="Arial" w:cs="Arial"/>
        <w:b/>
        <w:sz w:val="48"/>
      </w:rPr>
      <w:tab/>
    </w:r>
    <w:r w:rsidRPr="00BB35EB">
      <w:rPr>
        <w:rFonts w:ascii="Arial" w:hAnsi="Arial" w:cs="Arial"/>
        <w:b/>
        <w:sz w:val="48"/>
      </w:rPr>
      <w:tab/>
    </w:r>
    <w:r w:rsidRPr="00BB35EB">
      <w:tab/>
    </w:r>
    <w:proofErr w:type="spellStart"/>
    <w:r w:rsidRPr="00BB35E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9D" w:rsidRPr="00BB35EB" w:rsidRDefault="00BB35EB" w:rsidP="00BB35EB">
    <w:pPr>
      <w:pStyle w:val="Footer"/>
      <w:rPr>
        <w:rFonts w:ascii="Arial" w:hAnsi="Arial" w:cs="Arial"/>
        <w:b/>
        <w:sz w:val="48"/>
      </w:rPr>
    </w:pPr>
    <w:r w:rsidRPr="00BB35EB">
      <w:rPr>
        <w:rFonts w:ascii="Arial" w:hAnsi="Arial" w:cs="Arial"/>
        <w:b/>
        <w:sz w:val="48"/>
      </w:rPr>
      <w:t>FR</w:t>
    </w:r>
    <w:r w:rsidRPr="00BB35E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B35EB">
      <w:tab/>
    </w:r>
    <w:r w:rsidRPr="00BB35E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D4" w:rsidRDefault="00BB35EB">
      <w:pPr>
        <w:spacing w:before="0" w:after="0"/>
      </w:pPr>
      <w:r>
        <w:separator/>
      </w:r>
    </w:p>
  </w:footnote>
  <w:footnote w:type="continuationSeparator" w:id="0">
    <w:p w:rsidR="004C19D4" w:rsidRDefault="00BB35EB">
      <w:pPr>
        <w:spacing w:before="0" w:after="0"/>
      </w:pPr>
      <w:r>
        <w:continuationSeparator/>
      </w:r>
    </w:p>
  </w:footnote>
  <w:footnote w:id="1">
    <w:p w:rsidR="004C19D4" w:rsidRDefault="00BB35EB">
      <w:pPr>
        <w:pStyle w:val="FootnoteText"/>
        <w:rPr>
          <w:lang w:val="fr-BE"/>
        </w:rPr>
      </w:pPr>
      <w:r>
        <w:rPr>
          <w:rStyle w:val="FootnoteReference"/>
        </w:rPr>
        <w:footnoteRef/>
      </w:r>
      <w:r>
        <w:rPr>
          <w:lang w:val="fr-BE"/>
        </w:rPr>
        <w:tab/>
        <w:t>JO L 54 du 26.2.2013, p. 4.</w:t>
      </w:r>
    </w:p>
  </w:footnote>
  <w:footnote w:id="2">
    <w:p w:rsidR="004C19D4" w:rsidRDefault="00BB35EB">
      <w:pPr>
        <w:pStyle w:val="FootnoteText"/>
        <w:rPr>
          <w:lang w:val="fr-BE"/>
        </w:rPr>
      </w:pPr>
      <w:r>
        <w:rPr>
          <w:rStyle w:val="FootnoteReference"/>
        </w:rPr>
        <w:footnoteRef/>
      </w:r>
      <w:r>
        <w:rPr>
          <w:lang w:val="fr-BE"/>
        </w:rPr>
        <w:tab/>
        <w:t>JO L 191 du 22.7.2017, p. 11.</w:t>
      </w:r>
    </w:p>
  </w:footnote>
  <w:footnote w:id="3">
    <w:p w:rsidR="004C19D4" w:rsidRDefault="00BB35EB">
      <w:pPr>
        <w:pStyle w:val="FootnoteText"/>
        <w:rPr>
          <w:lang w:val="fr-BE"/>
        </w:rPr>
      </w:pPr>
      <w:r>
        <w:rPr>
          <w:rStyle w:val="FootnoteReference"/>
        </w:rPr>
        <w:footnoteRef/>
      </w:r>
      <w:r>
        <w:rPr>
          <w:lang w:val="fr-BE"/>
        </w:rPr>
        <w:tab/>
        <w:t>Décision 2014/668/UE du Conseil du 23 juin 2014 relative à la signature, au nom de l'Union européenne, et à l'application pr</w:t>
      </w:r>
      <w:r>
        <w:rPr>
          <w:lang w:val="fr-BE"/>
        </w:rPr>
        <w:t>ovisoire de l'accord d'association entre l'Union européenne et la Communauté européenne de l'énergie atomique et leurs États membres, d'une part, et l'Ukraine, d'autre part, en ce qui concerne son titre III (à l'exclusion des dispositions relatives au trai</w:t>
      </w:r>
      <w:r>
        <w:rPr>
          <w:lang w:val="fr-BE"/>
        </w:rPr>
        <w:t>tement des ressortissants des pays tiers employés légalement sur le territoire de l'autre partie) et ses titres IV, V, VI et VII, ainsi que les annexes et protocoles correspondants (JO L 278 du 20.9.2014, p. 1).</w:t>
      </w:r>
    </w:p>
  </w:footnote>
  <w:footnote w:id="4">
    <w:p w:rsidR="004C19D4" w:rsidRDefault="00BB35EB">
      <w:pPr>
        <w:pStyle w:val="FootnoteText"/>
        <w:rPr>
          <w:lang w:val="pl-PL"/>
        </w:rPr>
      </w:pPr>
      <w:r>
        <w:rPr>
          <w:rStyle w:val="FootnoteReference"/>
        </w:rPr>
        <w:footnoteRef/>
      </w:r>
      <w:r>
        <w:tab/>
        <w:t>JO L 54 du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EB" w:rsidRPr="00BB35EB" w:rsidRDefault="00BB35EB" w:rsidP="00BB3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7:4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CORRIGENDUM_x000b_This document corrects document COM (2018)510 final of 3.07.2018._x000b_Concerns all language versions. Addition of the inter-institutional reference._x000b_The text shall read as follows:_x000b_"/>
    <w:docVar w:name="LW_COVERPAGE_EXISTS" w:val="True"/>
    <w:docVar w:name="LW_COVERPAGE_GUID" w:val="2DEAE680-0725-40DE-8917-F2FAD68552E9"/>
    <w:docVar w:name="LW_COVERPAGE_TYPE" w:val="1"/>
    <w:docVar w:name="LW_CROSSREFERENCE" w:val="&lt;UNUSED&gt;"/>
    <w:docVar w:name="LW_DocType" w:val="COM"/>
    <w:docVar w:name="LW_EMISSION" w:val="4.7.2018"/>
    <w:docVar w:name="LW_EMISSION_ISODATE" w:val="2018-07-04"/>
    <w:docVar w:name="LW_EMISSION_LOCATION" w:val="BRX"/>
    <w:docVar w:name="LW_EMISSION_PREFIX" w:val="Bruxelles, le"/>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0"/>
    <w:docVar w:name="LW_REF.II.NEW.CP_YEAR" w:val="2018"/>
    <w:docVar w:name="LW_REF.INST.NEW" w:val="COM"/>
    <w:docVar w:name="LW_REF.INST.NEW_ADOPTED" w:val="final/2"/>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sous-comité douanier institué par l'accord d'association entre l'Union européenne et ses États membres, d'une part, et l\u8217?Ukraine, d'autre part, à l\u8217?égard du remplacement du protocole I de cet accord, concernant la définition de la notion de «produits originaires» et les méthodes de coopération administrative, par un nouveau protocole qui fait référence à la convention régionale sur les règles d'origine préférentielles paneuro-méditerranéennes"/>
    <w:docVar w:name="LW_TYPE.DOC.CP" w:val="DÉCISION DU CONSEIL"/>
  </w:docVars>
  <w:rsids>
    <w:rsidRoot w:val="004C19D4"/>
    <w:rsid w:val="004C19D4"/>
    <w:rsid w:val="00975E9D"/>
    <w:rsid w:val="00BB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B35E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B35EB"/>
    <w:rPr>
      <w:rFonts w:ascii="Times New Roman" w:hAnsi="Times New Roman" w:cs="Times New Roman"/>
      <w:sz w:val="24"/>
      <w:lang w:eastAsia="en-US" w:bidi="ar-SA"/>
    </w:rPr>
  </w:style>
  <w:style w:type="paragraph" w:styleId="Footer">
    <w:name w:val="footer"/>
    <w:basedOn w:val="Normal"/>
    <w:link w:val="FooterChar"/>
    <w:uiPriority w:val="99"/>
    <w:unhideWhenUsed/>
    <w:rsid w:val="00BB35E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B35E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B35EB"/>
    <w:pPr>
      <w:tabs>
        <w:tab w:val="center" w:pos="7285"/>
        <w:tab w:val="right" w:pos="14003"/>
      </w:tabs>
      <w:spacing w:before="0"/>
    </w:pPr>
    <w:rPr>
      <w:lang w:eastAsia="en-US" w:bidi="ar-SA"/>
    </w:rPr>
  </w:style>
  <w:style w:type="paragraph" w:customStyle="1" w:styleId="FooterLandscape">
    <w:name w:val="FooterLandscape"/>
    <w:basedOn w:val="Normal"/>
    <w:rsid w:val="00BB35E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B35E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B35E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B35E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B35EB"/>
    <w:rPr>
      <w:rFonts w:ascii="Times New Roman" w:hAnsi="Times New Roman" w:cs="Times New Roman"/>
      <w:sz w:val="24"/>
      <w:lang w:eastAsia="en-US" w:bidi="ar-SA"/>
    </w:rPr>
  </w:style>
  <w:style w:type="paragraph" w:styleId="Footer">
    <w:name w:val="footer"/>
    <w:basedOn w:val="Normal"/>
    <w:link w:val="FooterChar"/>
    <w:uiPriority w:val="99"/>
    <w:unhideWhenUsed/>
    <w:rsid w:val="00BB35E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B35E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B35EB"/>
    <w:pPr>
      <w:tabs>
        <w:tab w:val="center" w:pos="7285"/>
        <w:tab w:val="right" w:pos="14003"/>
      </w:tabs>
      <w:spacing w:before="0"/>
    </w:pPr>
    <w:rPr>
      <w:lang w:eastAsia="en-US" w:bidi="ar-SA"/>
    </w:rPr>
  </w:style>
  <w:style w:type="paragraph" w:customStyle="1" w:styleId="FooterLandscape">
    <w:name w:val="FooterLandscape"/>
    <w:basedOn w:val="Normal"/>
    <w:rsid w:val="00BB35E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B35E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B35E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6</Pages>
  <Words>1570</Words>
  <Characters>8826</Characters>
  <Application>Microsoft Office Word</Application>
  <DocSecurity>0</DocSecurity>
  <Lines>157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37</cp:revision>
  <cp:lastPrinted>2018-05-25T12:48:00Z</cp:lastPrinted>
  <dcterms:created xsi:type="dcterms:W3CDTF">2018-06-11T12:50:00Z</dcterms:created>
  <dcterms:modified xsi:type="dcterms:W3CDTF">2018-07-03T16:30:00Z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