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7BB1145-6EEF-476B-A3A3-17358B7E33C3" style="width:450.75pt;height:381pt">
            <v:imagedata r:id="rId9" o:title=""/>
          </v:shape>
        </w:pict>
      </w:r>
    </w:p>
    <w:bookmarkEnd w:id="0"/>
    <w:p>
      <w:pPr>
        <w:pStyle w:val="Pagedecouverture"/>
        <w:rPr>
          <w:noProof/>
          <w:color w:val="00B050"/>
        </w:rPr>
        <w:sectPr>
          <w:headerReference w:type="even" r:id="rId10"/>
          <w:headerReference w:type="default" r:id="rId11"/>
          <w:footerReference w:type="even" r:id="rId12"/>
          <w:footerReference w:type="default" r:id="rId13"/>
          <w:headerReference w:type="first" r:id="rId14"/>
          <w:footerReference w:type="first" r:id="rId15"/>
          <w:pgSz w:w="11907" w:h="16834"/>
          <w:pgMar w:top="1134" w:right="1417" w:bottom="1134" w:left="1417" w:header="709" w:footer="709" w:gutter="0"/>
          <w:pgNumType w:start="1"/>
          <w:cols w:space="720"/>
          <w:docGrid w:linePitch="326"/>
        </w:sectPr>
      </w:pPr>
    </w:p>
    <w:p>
      <w:pPr>
        <w:spacing w:before="120" w:after="240"/>
        <w:jc w:val="center"/>
        <w:rPr>
          <w:b/>
          <w:noProof/>
          <w:szCs w:val="22"/>
        </w:rPr>
      </w:pPr>
      <w:bookmarkStart w:id="1" w:name="_GoBack"/>
      <w:bookmarkEnd w:id="1"/>
      <w:r>
        <w:rPr>
          <w:b/>
          <w:noProof/>
          <w:szCs w:val="22"/>
        </w:rPr>
        <w:lastRenderedPageBreak/>
        <w:t>TABLE OF CONTENTS</w:t>
      </w:r>
    </w:p>
    <w:p>
      <w:pPr>
        <w:jc w:val="both"/>
        <w:rPr>
          <w:noProof/>
          <w:szCs w:val="22"/>
        </w:rPr>
      </w:pPr>
    </w:p>
    <w:p>
      <w:pPr>
        <w:pStyle w:val="TOC1"/>
        <w:rPr>
          <w:rFonts w:ascii="Calibri" w:hAnsi="Calibri"/>
          <w:noProof/>
          <w:sz w:val="22"/>
        </w:rPr>
      </w:pPr>
      <w:r>
        <w:rPr>
          <w:noProof/>
        </w:rPr>
        <w:fldChar w:fldCharType="begin"/>
      </w:r>
      <w:r>
        <w:rPr>
          <w:noProof/>
        </w:rPr>
        <w:instrText xml:space="preserve"> TOC \o "1-3" \h \z \u </w:instrText>
      </w:r>
      <w:r>
        <w:rPr>
          <w:noProof/>
        </w:rPr>
        <w:fldChar w:fldCharType="separate"/>
      </w:r>
      <w:hyperlink w:anchor="_Toc478663468" w:history="1">
        <w:r>
          <w:rPr>
            <w:rStyle w:val="Hyperlink"/>
            <w:noProof/>
          </w:rPr>
          <w:t>1.</w:t>
        </w:r>
        <w:r>
          <w:rPr>
            <w:rFonts w:ascii="Calibri" w:hAnsi="Calibri"/>
            <w:noProof/>
            <w:sz w:val="22"/>
          </w:rPr>
          <w:tab/>
        </w:r>
        <w:r>
          <w:rPr>
            <w:rStyle w:val="Hyperlink"/>
            <w:noProof/>
          </w:rPr>
          <w:t>Introduction</w:t>
        </w:r>
        <w:r>
          <w:rPr>
            <w:noProof/>
            <w:webHidden/>
          </w:rPr>
          <w:tab/>
        </w:r>
        <w:r>
          <w:rPr>
            <w:noProof/>
            <w:webHidden/>
          </w:rPr>
          <w:fldChar w:fldCharType="begin"/>
        </w:r>
        <w:r>
          <w:rPr>
            <w:noProof/>
            <w:webHidden/>
          </w:rPr>
          <w:instrText xml:space="preserve"> PAGEREF _Toc478663468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Calibri" w:hAnsi="Calibri"/>
          <w:noProof/>
          <w:sz w:val="22"/>
        </w:rPr>
      </w:pPr>
      <w:hyperlink w:anchor="_Toc478663469" w:history="1">
        <w:r>
          <w:rPr>
            <w:rStyle w:val="Hyperlink"/>
            <w:noProof/>
          </w:rPr>
          <w:t>2.</w:t>
        </w:r>
        <w:r>
          <w:rPr>
            <w:rFonts w:ascii="Calibri" w:hAnsi="Calibri"/>
            <w:noProof/>
            <w:sz w:val="22"/>
          </w:rPr>
          <w:tab/>
        </w:r>
        <w:r>
          <w:rPr>
            <w:rStyle w:val="Hyperlink"/>
            <w:noProof/>
          </w:rPr>
          <w:t>Fund Management report</w:t>
        </w:r>
        <w:r>
          <w:rPr>
            <w:noProof/>
            <w:webHidden/>
          </w:rPr>
          <w:tab/>
        </w:r>
        <w:r>
          <w:rPr>
            <w:noProof/>
            <w:webHidden/>
          </w:rPr>
          <w:fldChar w:fldCharType="begin"/>
        </w:r>
        <w:r>
          <w:rPr>
            <w:noProof/>
            <w:webHidden/>
          </w:rPr>
          <w:instrText xml:space="preserve"> PAGEREF _Toc478663469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Calibri" w:hAnsi="Calibri"/>
          <w:noProof/>
          <w:sz w:val="22"/>
          <w:szCs w:val="22"/>
        </w:rPr>
      </w:pPr>
      <w:hyperlink w:anchor="_Toc478663470" w:history="1">
        <w:r>
          <w:rPr>
            <w:rStyle w:val="Hyperlink"/>
            <w:noProof/>
          </w:rPr>
          <w:t>2.1.</w:t>
        </w:r>
        <w:r>
          <w:rPr>
            <w:rFonts w:ascii="Calibri" w:hAnsi="Calibri"/>
            <w:noProof/>
            <w:sz w:val="22"/>
            <w:szCs w:val="22"/>
          </w:rPr>
          <w:tab/>
        </w:r>
        <w:r>
          <w:rPr>
            <w:rStyle w:val="Hyperlink"/>
            <w:noProof/>
          </w:rPr>
          <w:t>Development of the Fund in 2017</w:t>
        </w:r>
        <w:r>
          <w:rPr>
            <w:noProof/>
            <w:webHidden/>
          </w:rPr>
          <w:tab/>
        </w:r>
        <w:r>
          <w:rPr>
            <w:noProof/>
            <w:webHidden/>
          </w:rPr>
          <w:fldChar w:fldCharType="begin"/>
        </w:r>
        <w:r>
          <w:rPr>
            <w:noProof/>
            <w:webHidden/>
          </w:rPr>
          <w:instrText xml:space="preserve"> PAGEREF _Toc478663470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Calibri" w:hAnsi="Calibri"/>
          <w:noProof/>
          <w:sz w:val="22"/>
          <w:szCs w:val="22"/>
        </w:rPr>
      </w:pPr>
      <w:hyperlink w:anchor="_Toc478663471" w:history="1">
        <w:r>
          <w:rPr>
            <w:rStyle w:val="Hyperlink"/>
            <w:noProof/>
          </w:rPr>
          <w:t>2.2.</w:t>
        </w:r>
        <w:r>
          <w:rPr>
            <w:rFonts w:ascii="Calibri" w:hAnsi="Calibri"/>
            <w:noProof/>
            <w:sz w:val="22"/>
            <w:szCs w:val="22"/>
          </w:rPr>
          <w:tab/>
        </w:r>
        <w:r>
          <w:rPr>
            <w:rStyle w:val="Hyperlink"/>
            <w:noProof/>
          </w:rPr>
          <w:t>Situation of the Fund</w:t>
        </w:r>
        <w:r>
          <w:rPr>
            <w:noProof/>
            <w:webHidden/>
          </w:rPr>
          <w:tab/>
        </w:r>
        <w:r>
          <w:rPr>
            <w:noProof/>
            <w:webHidden/>
          </w:rPr>
          <w:fldChar w:fldCharType="begin"/>
        </w:r>
        <w:r>
          <w:rPr>
            <w:noProof/>
            <w:webHidden/>
          </w:rPr>
          <w:instrText xml:space="preserve"> PAGEREF _Toc478663471 \h </w:instrText>
        </w:r>
        <w:r>
          <w:rPr>
            <w:noProof/>
            <w:webHidden/>
          </w:rPr>
        </w:r>
        <w:r>
          <w:rPr>
            <w:noProof/>
            <w:webHidden/>
          </w:rPr>
          <w:fldChar w:fldCharType="separate"/>
        </w:r>
        <w:r>
          <w:rPr>
            <w:noProof/>
            <w:webHidden/>
          </w:rPr>
          <w:t>3</w:t>
        </w:r>
        <w:r>
          <w:rPr>
            <w:noProof/>
            <w:webHidden/>
          </w:rPr>
          <w:fldChar w:fldCharType="end"/>
        </w:r>
      </w:hyperlink>
    </w:p>
    <w:p>
      <w:pPr>
        <w:pStyle w:val="TOC3"/>
        <w:ind w:left="238"/>
        <w:rPr>
          <w:rFonts w:ascii="Calibri" w:hAnsi="Calibri"/>
          <w:noProof/>
          <w:sz w:val="22"/>
          <w:szCs w:val="22"/>
        </w:rPr>
      </w:pPr>
      <w:hyperlink w:anchor="_Toc478663472" w:history="1">
        <w:r>
          <w:rPr>
            <w:rStyle w:val="Hyperlink"/>
            <w:noProof/>
          </w:rPr>
          <w:t>2.2.1.</w:t>
        </w:r>
        <w:r>
          <w:rPr>
            <w:rFonts w:ascii="Calibri" w:hAnsi="Calibri"/>
            <w:noProof/>
            <w:sz w:val="22"/>
            <w:szCs w:val="22"/>
          </w:rPr>
          <w:tab/>
        </w:r>
        <w:r>
          <w:rPr>
            <w:rStyle w:val="Hyperlink"/>
            <w:noProof/>
          </w:rPr>
          <w:t>Contributions as at 31 December 2017</w:t>
        </w:r>
        <w:r>
          <w:rPr>
            <w:noProof/>
            <w:webHidden/>
          </w:rPr>
          <w:tab/>
        </w:r>
        <w:r>
          <w:rPr>
            <w:noProof/>
            <w:webHidden/>
          </w:rPr>
          <w:fldChar w:fldCharType="begin"/>
        </w:r>
        <w:r>
          <w:rPr>
            <w:noProof/>
            <w:webHidden/>
          </w:rPr>
          <w:instrText xml:space="preserve"> PAGEREF _Toc478663472 \h </w:instrText>
        </w:r>
        <w:r>
          <w:rPr>
            <w:noProof/>
            <w:webHidden/>
          </w:rPr>
        </w:r>
        <w:r>
          <w:rPr>
            <w:noProof/>
            <w:webHidden/>
          </w:rPr>
          <w:fldChar w:fldCharType="separate"/>
        </w:r>
        <w:r>
          <w:rPr>
            <w:noProof/>
            <w:webHidden/>
          </w:rPr>
          <w:t>3</w:t>
        </w:r>
        <w:r>
          <w:rPr>
            <w:noProof/>
            <w:webHidden/>
          </w:rPr>
          <w:fldChar w:fldCharType="end"/>
        </w:r>
      </w:hyperlink>
    </w:p>
    <w:p>
      <w:pPr>
        <w:pStyle w:val="TOC3"/>
        <w:ind w:left="238"/>
        <w:rPr>
          <w:rFonts w:ascii="Calibri" w:hAnsi="Calibri"/>
          <w:noProof/>
          <w:sz w:val="22"/>
          <w:szCs w:val="22"/>
        </w:rPr>
      </w:pPr>
      <w:hyperlink w:anchor="_Toc478663473" w:history="1">
        <w:r>
          <w:rPr>
            <w:rStyle w:val="Hyperlink"/>
            <w:noProof/>
          </w:rPr>
          <w:t>2.2.2.</w:t>
        </w:r>
        <w:r>
          <w:rPr>
            <w:rFonts w:ascii="Calibri" w:hAnsi="Calibri"/>
            <w:noProof/>
            <w:sz w:val="22"/>
            <w:szCs w:val="22"/>
          </w:rPr>
          <w:tab/>
        </w:r>
        <w:r>
          <w:rPr>
            <w:rStyle w:val="Hyperlink"/>
            <w:noProof/>
          </w:rPr>
          <w:t>The Fund’s holdings net of accrued interest at 31 December 2017</w:t>
        </w:r>
        <w:r>
          <w:rPr>
            <w:noProof/>
            <w:webHidden/>
          </w:rPr>
          <w:tab/>
        </w:r>
        <w:r>
          <w:rPr>
            <w:noProof/>
            <w:webHidden/>
          </w:rPr>
          <w:fldChar w:fldCharType="begin"/>
        </w:r>
        <w:r>
          <w:rPr>
            <w:noProof/>
            <w:webHidden/>
          </w:rPr>
          <w:instrText xml:space="preserve"> PAGEREF _Toc478663473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Calibri" w:hAnsi="Calibri"/>
          <w:noProof/>
          <w:sz w:val="22"/>
          <w:szCs w:val="22"/>
        </w:rPr>
      </w:pPr>
      <w:hyperlink w:anchor="_Toc478663474" w:history="1">
        <w:r>
          <w:rPr>
            <w:rStyle w:val="Hyperlink"/>
            <w:noProof/>
          </w:rPr>
          <w:t>2.3.</w:t>
        </w:r>
        <w:r>
          <w:rPr>
            <w:rFonts w:ascii="Calibri" w:hAnsi="Calibri"/>
            <w:noProof/>
            <w:sz w:val="22"/>
            <w:szCs w:val="22"/>
          </w:rPr>
          <w:tab/>
        </w:r>
        <w:r>
          <w:rPr>
            <w:rStyle w:val="Hyperlink"/>
            <w:noProof/>
          </w:rPr>
          <w:t>General and segmental analyses of the Fund</w:t>
        </w:r>
        <w:r>
          <w:rPr>
            <w:noProof/>
            <w:webHidden/>
          </w:rPr>
          <w:tab/>
        </w:r>
        <w:r>
          <w:rPr>
            <w:noProof/>
            <w:webHidden/>
          </w:rPr>
          <w:fldChar w:fldCharType="begin"/>
        </w:r>
        <w:r>
          <w:rPr>
            <w:noProof/>
            <w:webHidden/>
          </w:rPr>
          <w:instrText xml:space="preserve"> PAGEREF _Toc478663474 \h </w:instrText>
        </w:r>
        <w:r>
          <w:rPr>
            <w:noProof/>
            <w:webHidden/>
          </w:rPr>
        </w:r>
        <w:r>
          <w:rPr>
            <w:noProof/>
            <w:webHidden/>
          </w:rPr>
          <w:fldChar w:fldCharType="separate"/>
        </w:r>
        <w:r>
          <w:rPr>
            <w:noProof/>
            <w:webHidden/>
          </w:rPr>
          <w:t>3</w:t>
        </w:r>
        <w:r>
          <w:rPr>
            <w:noProof/>
            <w:webHidden/>
          </w:rPr>
          <w:fldChar w:fldCharType="end"/>
        </w:r>
      </w:hyperlink>
    </w:p>
    <w:p>
      <w:pPr>
        <w:pStyle w:val="TOC3"/>
        <w:ind w:left="238"/>
        <w:rPr>
          <w:rFonts w:ascii="Calibri" w:hAnsi="Calibri"/>
          <w:noProof/>
          <w:sz w:val="22"/>
          <w:szCs w:val="22"/>
        </w:rPr>
      </w:pPr>
      <w:hyperlink w:anchor="_Toc478663475" w:history="1">
        <w:r>
          <w:rPr>
            <w:rStyle w:val="Hyperlink"/>
            <w:noProof/>
          </w:rPr>
          <w:t>2.3.1.</w:t>
        </w:r>
        <w:r>
          <w:rPr>
            <w:rFonts w:ascii="Calibri" w:hAnsi="Calibri"/>
            <w:noProof/>
            <w:sz w:val="22"/>
            <w:szCs w:val="22"/>
          </w:rPr>
          <w:tab/>
        </w:r>
        <w:r>
          <w:rPr>
            <w:rStyle w:val="Hyperlink"/>
            <w:noProof/>
          </w:rPr>
          <w:t>Liquidity analysis</w:t>
        </w:r>
        <w:r>
          <w:rPr>
            <w:noProof/>
            <w:webHidden/>
          </w:rPr>
          <w:tab/>
        </w:r>
        <w:r>
          <w:rPr>
            <w:noProof/>
            <w:webHidden/>
          </w:rPr>
          <w:fldChar w:fldCharType="begin"/>
        </w:r>
        <w:r>
          <w:rPr>
            <w:noProof/>
            <w:webHidden/>
          </w:rPr>
          <w:instrText xml:space="preserve"> PAGEREF _Toc478663475 \h </w:instrText>
        </w:r>
        <w:r>
          <w:rPr>
            <w:noProof/>
            <w:webHidden/>
          </w:rPr>
        </w:r>
        <w:r>
          <w:rPr>
            <w:noProof/>
            <w:webHidden/>
          </w:rPr>
          <w:fldChar w:fldCharType="separate"/>
        </w:r>
        <w:r>
          <w:rPr>
            <w:noProof/>
            <w:webHidden/>
          </w:rPr>
          <w:t>3</w:t>
        </w:r>
        <w:r>
          <w:rPr>
            <w:noProof/>
            <w:webHidden/>
          </w:rPr>
          <w:fldChar w:fldCharType="end"/>
        </w:r>
      </w:hyperlink>
    </w:p>
    <w:p>
      <w:pPr>
        <w:pStyle w:val="TOC3"/>
        <w:ind w:left="238"/>
        <w:rPr>
          <w:rFonts w:ascii="Calibri" w:hAnsi="Calibri"/>
          <w:noProof/>
          <w:sz w:val="22"/>
          <w:szCs w:val="22"/>
        </w:rPr>
      </w:pPr>
      <w:hyperlink w:anchor="_Toc478663476" w:history="1">
        <w:r>
          <w:rPr>
            <w:rStyle w:val="Hyperlink"/>
            <w:noProof/>
          </w:rPr>
          <w:t>2.3.2.</w:t>
        </w:r>
        <w:r>
          <w:rPr>
            <w:rFonts w:ascii="Calibri" w:hAnsi="Calibri"/>
            <w:noProof/>
            <w:sz w:val="22"/>
            <w:szCs w:val="22"/>
          </w:rPr>
          <w:tab/>
        </w:r>
        <w:r>
          <w:rPr>
            <w:rStyle w:val="Hyperlink"/>
            <w:noProof/>
          </w:rPr>
          <w:t>General analysis of the results of the Fund</w:t>
        </w:r>
        <w:r>
          <w:rPr>
            <w:noProof/>
            <w:webHidden/>
          </w:rPr>
          <w:tab/>
        </w:r>
        <w:r>
          <w:rPr>
            <w:noProof/>
            <w:webHidden/>
          </w:rPr>
          <w:fldChar w:fldCharType="begin"/>
        </w:r>
        <w:r>
          <w:rPr>
            <w:noProof/>
            <w:webHidden/>
          </w:rPr>
          <w:instrText xml:space="preserve"> PAGEREF _Toc478663476 \h </w:instrText>
        </w:r>
        <w:r>
          <w:rPr>
            <w:noProof/>
            <w:webHidden/>
          </w:rPr>
        </w:r>
        <w:r>
          <w:rPr>
            <w:noProof/>
            <w:webHidden/>
          </w:rPr>
          <w:fldChar w:fldCharType="separate"/>
        </w:r>
        <w:r>
          <w:rPr>
            <w:noProof/>
            <w:webHidden/>
          </w:rPr>
          <w:t>4</w:t>
        </w:r>
        <w:r>
          <w:rPr>
            <w:noProof/>
            <w:webHidden/>
          </w:rPr>
          <w:fldChar w:fldCharType="end"/>
        </w:r>
      </w:hyperlink>
    </w:p>
    <w:p>
      <w:pPr>
        <w:pStyle w:val="TOC3"/>
        <w:ind w:left="238"/>
        <w:rPr>
          <w:rFonts w:ascii="Calibri" w:hAnsi="Calibri"/>
          <w:noProof/>
          <w:sz w:val="22"/>
          <w:szCs w:val="22"/>
        </w:rPr>
      </w:pPr>
      <w:hyperlink w:anchor="_Toc478663477" w:history="1">
        <w:r>
          <w:rPr>
            <w:rStyle w:val="Hyperlink"/>
            <w:noProof/>
          </w:rPr>
          <w:t>2.3.3.</w:t>
        </w:r>
        <w:r>
          <w:rPr>
            <w:rFonts w:ascii="Calibri" w:hAnsi="Calibri"/>
            <w:noProof/>
            <w:sz w:val="22"/>
            <w:szCs w:val="22"/>
          </w:rPr>
          <w:tab/>
        </w:r>
        <w:r>
          <w:rPr>
            <w:rStyle w:val="Hyperlink"/>
            <w:noProof/>
          </w:rPr>
          <w:t>Analysis by segment</w:t>
        </w:r>
        <w:r>
          <w:rPr>
            <w:noProof/>
            <w:webHidden/>
          </w:rPr>
          <w:tab/>
        </w:r>
        <w:r>
          <w:rPr>
            <w:noProof/>
            <w:webHidden/>
          </w:rPr>
          <w:fldChar w:fldCharType="begin"/>
        </w:r>
        <w:r>
          <w:rPr>
            <w:noProof/>
            <w:webHidden/>
          </w:rPr>
          <w:instrText xml:space="preserve"> PAGEREF _Toc478663477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Calibri" w:hAnsi="Calibri"/>
          <w:noProof/>
          <w:sz w:val="22"/>
          <w:szCs w:val="22"/>
        </w:rPr>
      </w:pPr>
      <w:hyperlink w:anchor="_Toc478663478" w:history="1">
        <w:r>
          <w:rPr>
            <w:rStyle w:val="Hyperlink"/>
            <w:noProof/>
          </w:rPr>
          <w:t>2.4.</w:t>
        </w:r>
        <w:r>
          <w:rPr>
            <w:rFonts w:ascii="Calibri" w:hAnsi="Calibri"/>
            <w:noProof/>
            <w:sz w:val="22"/>
            <w:szCs w:val="22"/>
          </w:rPr>
          <w:tab/>
        </w:r>
        <w:r>
          <w:rPr>
            <w:rStyle w:val="Hyperlink"/>
            <w:noProof/>
          </w:rPr>
          <w:t>Benchmarking, performance and interest rate risk analysis</w:t>
        </w:r>
        <w:r>
          <w:rPr>
            <w:noProof/>
            <w:webHidden/>
          </w:rPr>
          <w:tab/>
        </w:r>
        <w:r>
          <w:rPr>
            <w:noProof/>
            <w:webHidden/>
          </w:rPr>
          <w:fldChar w:fldCharType="begin"/>
        </w:r>
        <w:r>
          <w:rPr>
            <w:noProof/>
            <w:webHidden/>
          </w:rPr>
          <w:instrText xml:space="preserve"> PAGEREF _Toc478663478 \h </w:instrText>
        </w:r>
        <w:r>
          <w:rPr>
            <w:noProof/>
            <w:webHidden/>
          </w:rPr>
        </w:r>
        <w:r>
          <w:rPr>
            <w:noProof/>
            <w:webHidden/>
          </w:rPr>
          <w:fldChar w:fldCharType="separate"/>
        </w:r>
        <w:r>
          <w:rPr>
            <w:noProof/>
            <w:webHidden/>
          </w:rPr>
          <w:t>12</w:t>
        </w:r>
        <w:r>
          <w:rPr>
            <w:noProof/>
            <w:webHidden/>
          </w:rPr>
          <w:fldChar w:fldCharType="end"/>
        </w:r>
      </w:hyperlink>
    </w:p>
    <w:p>
      <w:pPr>
        <w:pStyle w:val="TOC3"/>
        <w:ind w:left="238"/>
        <w:rPr>
          <w:rFonts w:ascii="Calibri" w:hAnsi="Calibri"/>
          <w:noProof/>
          <w:sz w:val="22"/>
          <w:szCs w:val="22"/>
        </w:rPr>
      </w:pPr>
      <w:hyperlink w:anchor="_Toc478663479" w:history="1">
        <w:r>
          <w:rPr>
            <w:rStyle w:val="Hyperlink"/>
            <w:noProof/>
          </w:rPr>
          <w:t>2.4.1.</w:t>
        </w:r>
        <w:r>
          <w:rPr>
            <w:rFonts w:ascii="Calibri" w:hAnsi="Calibri"/>
            <w:noProof/>
            <w:sz w:val="22"/>
            <w:szCs w:val="22"/>
          </w:rPr>
          <w:tab/>
        </w:r>
        <w:r>
          <w:rPr>
            <w:rStyle w:val="Hyperlink"/>
            <w:noProof/>
          </w:rPr>
          <w:t>Benchmarking</w:t>
        </w:r>
        <w:r>
          <w:rPr>
            <w:noProof/>
            <w:webHidden/>
          </w:rPr>
          <w:tab/>
        </w:r>
        <w:r>
          <w:rPr>
            <w:noProof/>
            <w:webHidden/>
          </w:rPr>
          <w:fldChar w:fldCharType="begin"/>
        </w:r>
        <w:r>
          <w:rPr>
            <w:noProof/>
            <w:webHidden/>
          </w:rPr>
          <w:instrText xml:space="preserve"> PAGEREF _Toc478663479 \h </w:instrText>
        </w:r>
        <w:r>
          <w:rPr>
            <w:noProof/>
            <w:webHidden/>
          </w:rPr>
        </w:r>
        <w:r>
          <w:rPr>
            <w:noProof/>
            <w:webHidden/>
          </w:rPr>
          <w:fldChar w:fldCharType="separate"/>
        </w:r>
        <w:r>
          <w:rPr>
            <w:noProof/>
            <w:webHidden/>
          </w:rPr>
          <w:t>12</w:t>
        </w:r>
        <w:r>
          <w:rPr>
            <w:noProof/>
            <w:webHidden/>
          </w:rPr>
          <w:fldChar w:fldCharType="end"/>
        </w:r>
      </w:hyperlink>
    </w:p>
    <w:p>
      <w:pPr>
        <w:pStyle w:val="TOC3"/>
        <w:ind w:left="238"/>
        <w:rPr>
          <w:rFonts w:ascii="Calibri" w:hAnsi="Calibri"/>
          <w:noProof/>
          <w:sz w:val="22"/>
          <w:szCs w:val="22"/>
        </w:rPr>
      </w:pPr>
      <w:hyperlink w:anchor="_Toc478663480" w:history="1">
        <w:r>
          <w:rPr>
            <w:rStyle w:val="Hyperlink"/>
            <w:noProof/>
          </w:rPr>
          <w:t>2.4.2.</w:t>
        </w:r>
        <w:r>
          <w:rPr>
            <w:rFonts w:ascii="Calibri" w:hAnsi="Calibri"/>
            <w:noProof/>
            <w:sz w:val="22"/>
            <w:szCs w:val="22"/>
          </w:rPr>
          <w:tab/>
        </w:r>
        <w:r>
          <w:rPr>
            <w:rStyle w:val="Hyperlink"/>
            <w:noProof/>
          </w:rPr>
          <w:t>Performance</w:t>
        </w:r>
        <w:r>
          <w:rPr>
            <w:noProof/>
            <w:webHidden/>
          </w:rPr>
          <w:tab/>
        </w:r>
        <w:r>
          <w:rPr>
            <w:noProof/>
            <w:webHidden/>
          </w:rPr>
          <w:fldChar w:fldCharType="begin"/>
        </w:r>
        <w:r>
          <w:rPr>
            <w:noProof/>
            <w:webHidden/>
          </w:rPr>
          <w:instrText xml:space="preserve"> PAGEREF _Toc478663480 \h </w:instrText>
        </w:r>
        <w:r>
          <w:rPr>
            <w:noProof/>
            <w:webHidden/>
          </w:rPr>
        </w:r>
        <w:r>
          <w:rPr>
            <w:noProof/>
            <w:webHidden/>
          </w:rPr>
          <w:fldChar w:fldCharType="separate"/>
        </w:r>
        <w:r>
          <w:rPr>
            <w:noProof/>
            <w:webHidden/>
          </w:rPr>
          <w:t>15</w:t>
        </w:r>
        <w:r>
          <w:rPr>
            <w:noProof/>
            <w:webHidden/>
          </w:rPr>
          <w:fldChar w:fldCharType="end"/>
        </w:r>
      </w:hyperlink>
    </w:p>
    <w:p>
      <w:pPr>
        <w:pStyle w:val="TOC3"/>
        <w:ind w:left="238"/>
        <w:rPr>
          <w:rFonts w:ascii="Calibri" w:hAnsi="Calibri"/>
          <w:noProof/>
          <w:sz w:val="22"/>
          <w:szCs w:val="22"/>
        </w:rPr>
      </w:pPr>
      <w:hyperlink w:anchor="_Toc478663481" w:history="1">
        <w:r>
          <w:rPr>
            <w:rStyle w:val="Hyperlink"/>
            <w:noProof/>
          </w:rPr>
          <w:t>2.4.3.</w:t>
        </w:r>
        <w:r>
          <w:rPr>
            <w:rFonts w:ascii="Calibri" w:hAnsi="Calibri"/>
            <w:noProof/>
            <w:sz w:val="22"/>
            <w:szCs w:val="22"/>
          </w:rPr>
          <w:tab/>
        </w:r>
        <w:r>
          <w:rPr>
            <w:rStyle w:val="Hyperlink"/>
            <w:noProof/>
          </w:rPr>
          <w:t>Interest rate risk</w:t>
        </w:r>
        <w:r>
          <w:rPr>
            <w:noProof/>
            <w:webHidden/>
          </w:rPr>
          <w:tab/>
        </w:r>
        <w:r>
          <w:rPr>
            <w:noProof/>
            <w:webHidden/>
          </w:rPr>
          <w:fldChar w:fldCharType="begin"/>
        </w:r>
        <w:r>
          <w:rPr>
            <w:noProof/>
            <w:webHidden/>
          </w:rPr>
          <w:instrText xml:space="preserve"> PAGEREF _Toc478663481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Calibri" w:hAnsi="Calibri"/>
          <w:noProof/>
          <w:sz w:val="22"/>
        </w:rPr>
      </w:pPr>
      <w:hyperlink w:anchor="_Toc478663482" w:history="1">
        <w:r>
          <w:rPr>
            <w:rStyle w:val="Hyperlink"/>
            <w:noProof/>
          </w:rPr>
          <w:t>3.</w:t>
        </w:r>
        <w:r>
          <w:rPr>
            <w:rFonts w:ascii="Calibri" w:hAnsi="Calibri"/>
            <w:noProof/>
            <w:sz w:val="22"/>
          </w:rPr>
          <w:tab/>
        </w:r>
        <w:r>
          <w:rPr>
            <w:rStyle w:val="Hyperlink"/>
            <w:noProof/>
          </w:rPr>
          <w:t>Guarantee Fund Financial Statements as at 31 December 2017</w:t>
        </w:r>
        <w:r>
          <w:rPr>
            <w:noProof/>
            <w:webHidden/>
          </w:rPr>
          <w:tab/>
        </w:r>
        <w:r>
          <w:rPr>
            <w:noProof/>
            <w:webHidden/>
          </w:rPr>
          <w:fldChar w:fldCharType="begin"/>
        </w:r>
        <w:r>
          <w:rPr>
            <w:noProof/>
            <w:webHidden/>
          </w:rPr>
          <w:instrText xml:space="preserve"> PAGEREF _Toc478663482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Calibri" w:hAnsi="Calibri"/>
          <w:noProof/>
          <w:sz w:val="22"/>
          <w:szCs w:val="22"/>
        </w:rPr>
      </w:pPr>
      <w:hyperlink w:anchor="_Toc478663483" w:history="1">
        <w:r>
          <w:rPr>
            <w:rStyle w:val="Hyperlink"/>
            <w:noProof/>
          </w:rPr>
          <w:t>3.1.</w:t>
        </w:r>
        <w:r>
          <w:rPr>
            <w:rFonts w:ascii="Calibri" w:hAnsi="Calibri"/>
            <w:noProof/>
            <w:sz w:val="22"/>
            <w:szCs w:val="22"/>
          </w:rPr>
          <w:tab/>
        </w:r>
        <w:r>
          <w:rPr>
            <w:rStyle w:val="Hyperlink"/>
            <w:noProof/>
          </w:rPr>
          <w:t>General disclosures</w:t>
        </w:r>
        <w:r>
          <w:rPr>
            <w:noProof/>
            <w:webHidden/>
          </w:rPr>
          <w:tab/>
        </w:r>
        <w:r>
          <w:rPr>
            <w:noProof/>
            <w:webHidden/>
          </w:rPr>
          <w:fldChar w:fldCharType="begin"/>
        </w:r>
        <w:r>
          <w:rPr>
            <w:noProof/>
            <w:webHidden/>
          </w:rPr>
          <w:instrText xml:space="preserve"> PAGEREF _Toc478663483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Calibri" w:hAnsi="Calibri"/>
          <w:noProof/>
          <w:sz w:val="22"/>
          <w:szCs w:val="22"/>
        </w:rPr>
      </w:pPr>
      <w:hyperlink w:anchor="_Toc478663484" w:history="1">
        <w:r>
          <w:rPr>
            <w:rStyle w:val="Hyperlink"/>
            <w:noProof/>
          </w:rPr>
          <w:t>3.2.</w:t>
        </w:r>
        <w:r>
          <w:rPr>
            <w:rFonts w:ascii="Calibri" w:hAnsi="Calibri"/>
            <w:noProof/>
            <w:sz w:val="22"/>
            <w:szCs w:val="22"/>
          </w:rPr>
          <w:tab/>
        </w:r>
        <w:r>
          <w:rPr>
            <w:rStyle w:val="Hyperlink"/>
            <w:noProof/>
          </w:rPr>
          <w:t>Significant accounting policies</w:t>
        </w:r>
        <w:r>
          <w:rPr>
            <w:noProof/>
            <w:webHidden/>
          </w:rPr>
          <w:tab/>
        </w:r>
        <w:r>
          <w:rPr>
            <w:noProof/>
            <w:webHidden/>
          </w:rPr>
          <w:fldChar w:fldCharType="begin"/>
        </w:r>
        <w:r>
          <w:rPr>
            <w:noProof/>
            <w:webHidden/>
          </w:rPr>
          <w:instrText xml:space="preserve"> PAGEREF _Toc478663484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Calibri" w:hAnsi="Calibri"/>
          <w:noProof/>
          <w:sz w:val="22"/>
          <w:szCs w:val="22"/>
        </w:rPr>
      </w:pPr>
      <w:hyperlink w:anchor="_Toc478663490" w:history="1">
        <w:r>
          <w:rPr>
            <w:rStyle w:val="Hyperlink"/>
            <w:noProof/>
          </w:rPr>
          <w:t>3.3.</w:t>
        </w:r>
        <w:r>
          <w:rPr>
            <w:rFonts w:ascii="Calibri" w:hAnsi="Calibri"/>
            <w:noProof/>
            <w:sz w:val="22"/>
            <w:szCs w:val="22"/>
          </w:rPr>
          <w:tab/>
        </w:r>
        <w:r>
          <w:rPr>
            <w:rStyle w:val="Hyperlink"/>
            <w:noProof/>
          </w:rPr>
          <w:t>Financial Risk Management</w:t>
        </w:r>
        <w:r>
          <w:rPr>
            <w:noProof/>
            <w:webHidden/>
          </w:rPr>
          <w:tab/>
        </w:r>
        <w:r>
          <w:rPr>
            <w:noProof/>
            <w:webHidden/>
          </w:rPr>
          <w:fldChar w:fldCharType="begin"/>
        </w:r>
        <w:r>
          <w:rPr>
            <w:noProof/>
            <w:webHidden/>
          </w:rPr>
          <w:instrText xml:space="preserve"> PAGEREF _Toc478663490 \h </w:instrText>
        </w:r>
        <w:r>
          <w:rPr>
            <w:noProof/>
            <w:webHidden/>
          </w:rPr>
        </w:r>
        <w:r>
          <w:rPr>
            <w:noProof/>
            <w:webHidden/>
          </w:rPr>
          <w:fldChar w:fldCharType="separate"/>
        </w:r>
        <w:r>
          <w:rPr>
            <w:noProof/>
            <w:webHidden/>
          </w:rPr>
          <w:t>27</w:t>
        </w:r>
        <w:r>
          <w:rPr>
            <w:noProof/>
            <w:webHidden/>
          </w:rPr>
          <w:fldChar w:fldCharType="end"/>
        </w:r>
      </w:hyperlink>
    </w:p>
    <w:p>
      <w:pPr>
        <w:pStyle w:val="TOC2"/>
        <w:rPr>
          <w:rFonts w:ascii="Calibri" w:hAnsi="Calibri"/>
          <w:noProof/>
          <w:sz w:val="22"/>
          <w:szCs w:val="22"/>
        </w:rPr>
      </w:pPr>
      <w:hyperlink w:anchor="_Toc478663496" w:history="1">
        <w:r>
          <w:rPr>
            <w:rStyle w:val="Hyperlink"/>
            <w:noProof/>
          </w:rPr>
          <w:t>3.4.</w:t>
        </w:r>
        <w:r>
          <w:rPr>
            <w:rFonts w:ascii="Calibri" w:hAnsi="Calibri"/>
            <w:noProof/>
            <w:sz w:val="22"/>
            <w:szCs w:val="22"/>
          </w:rPr>
          <w:tab/>
        </w:r>
        <w:r>
          <w:rPr>
            <w:rStyle w:val="Hyperlink"/>
            <w:noProof/>
          </w:rPr>
          <w:t>Fair value of financial instruments</w:t>
        </w:r>
        <w:r>
          <w:rPr>
            <w:noProof/>
            <w:webHidden/>
          </w:rPr>
          <w:tab/>
        </w:r>
        <w:r>
          <w:rPr>
            <w:noProof/>
            <w:webHidden/>
          </w:rPr>
          <w:fldChar w:fldCharType="begin"/>
        </w:r>
        <w:r>
          <w:rPr>
            <w:noProof/>
            <w:webHidden/>
          </w:rPr>
          <w:instrText xml:space="preserve"> PAGEREF _Toc478663496 \h </w:instrText>
        </w:r>
        <w:r>
          <w:rPr>
            <w:noProof/>
            <w:webHidden/>
          </w:rPr>
        </w:r>
        <w:r>
          <w:rPr>
            <w:noProof/>
            <w:webHidden/>
          </w:rPr>
          <w:fldChar w:fldCharType="separate"/>
        </w:r>
        <w:r>
          <w:rPr>
            <w:noProof/>
            <w:webHidden/>
          </w:rPr>
          <w:t>37</w:t>
        </w:r>
        <w:r>
          <w:rPr>
            <w:noProof/>
            <w:webHidden/>
          </w:rPr>
          <w:fldChar w:fldCharType="end"/>
        </w:r>
      </w:hyperlink>
    </w:p>
    <w:p>
      <w:pPr>
        <w:pStyle w:val="TOC2"/>
        <w:rPr>
          <w:rFonts w:ascii="Calibri" w:hAnsi="Calibri"/>
          <w:noProof/>
          <w:sz w:val="22"/>
          <w:szCs w:val="22"/>
        </w:rPr>
      </w:pPr>
      <w:hyperlink w:anchor="_Toc478663507" w:history="1">
        <w:r>
          <w:rPr>
            <w:rStyle w:val="Hyperlink"/>
            <w:noProof/>
          </w:rPr>
          <w:t>3.5.</w:t>
        </w:r>
        <w:r>
          <w:rPr>
            <w:rFonts w:ascii="Calibri" w:hAnsi="Calibri"/>
            <w:noProof/>
            <w:sz w:val="22"/>
            <w:szCs w:val="22"/>
          </w:rPr>
          <w:tab/>
        </w:r>
        <w:r>
          <w:rPr>
            <w:rStyle w:val="Hyperlink"/>
            <w:noProof/>
          </w:rPr>
          <w:t>Bond portfolio</w:t>
        </w:r>
        <w:r>
          <w:rPr>
            <w:noProof/>
            <w:webHidden/>
          </w:rPr>
          <w:tab/>
        </w:r>
        <w:r>
          <w:rPr>
            <w:noProof/>
            <w:webHidden/>
          </w:rPr>
          <w:fldChar w:fldCharType="begin"/>
        </w:r>
        <w:r>
          <w:rPr>
            <w:noProof/>
            <w:webHidden/>
          </w:rPr>
          <w:instrText xml:space="preserve"> PAGEREF _Toc478663507 \h </w:instrText>
        </w:r>
        <w:r>
          <w:rPr>
            <w:noProof/>
            <w:webHidden/>
          </w:rPr>
        </w:r>
        <w:r>
          <w:rPr>
            <w:noProof/>
            <w:webHidden/>
          </w:rPr>
          <w:fldChar w:fldCharType="separate"/>
        </w:r>
        <w:r>
          <w:rPr>
            <w:noProof/>
            <w:webHidden/>
          </w:rPr>
          <w:t>39</w:t>
        </w:r>
        <w:r>
          <w:rPr>
            <w:noProof/>
            <w:webHidden/>
          </w:rPr>
          <w:fldChar w:fldCharType="end"/>
        </w:r>
      </w:hyperlink>
    </w:p>
    <w:p>
      <w:pPr>
        <w:pStyle w:val="TOC2"/>
        <w:rPr>
          <w:rFonts w:ascii="Calibri" w:hAnsi="Calibri"/>
          <w:noProof/>
          <w:sz w:val="22"/>
          <w:szCs w:val="22"/>
        </w:rPr>
      </w:pPr>
      <w:hyperlink w:anchor="_Toc478663509" w:history="1">
        <w:r>
          <w:rPr>
            <w:rStyle w:val="Hyperlink"/>
            <w:noProof/>
          </w:rPr>
          <w:t>3.6.</w:t>
        </w:r>
        <w:r>
          <w:rPr>
            <w:rFonts w:ascii="Calibri" w:hAnsi="Calibri"/>
            <w:noProof/>
            <w:sz w:val="22"/>
            <w:szCs w:val="22"/>
          </w:rPr>
          <w:tab/>
        </w:r>
        <w:r>
          <w:rPr>
            <w:rStyle w:val="Hyperlink"/>
            <w:noProof/>
          </w:rPr>
          <w:t>Cash and cash equivalents</w:t>
        </w:r>
        <w:r>
          <w:rPr>
            <w:noProof/>
            <w:webHidden/>
          </w:rPr>
          <w:tab/>
        </w:r>
        <w:r>
          <w:rPr>
            <w:noProof/>
            <w:webHidden/>
          </w:rPr>
          <w:fldChar w:fldCharType="begin"/>
        </w:r>
        <w:r>
          <w:rPr>
            <w:noProof/>
            <w:webHidden/>
          </w:rPr>
          <w:instrText xml:space="preserve"> PAGEREF _Toc478663509 \h </w:instrText>
        </w:r>
        <w:r>
          <w:rPr>
            <w:noProof/>
            <w:webHidden/>
          </w:rPr>
        </w:r>
        <w:r>
          <w:rPr>
            <w:noProof/>
            <w:webHidden/>
          </w:rPr>
          <w:fldChar w:fldCharType="separate"/>
        </w:r>
        <w:r>
          <w:rPr>
            <w:noProof/>
            <w:webHidden/>
          </w:rPr>
          <w:t>40</w:t>
        </w:r>
        <w:r>
          <w:rPr>
            <w:noProof/>
            <w:webHidden/>
          </w:rPr>
          <w:fldChar w:fldCharType="end"/>
        </w:r>
      </w:hyperlink>
    </w:p>
    <w:p>
      <w:pPr>
        <w:pStyle w:val="TOC2"/>
        <w:rPr>
          <w:rFonts w:ascii="Calibri" w:hAnsi="Calibri"/>
          <w:noProof/>
          <w:sz w:val="22"/>
          <w:szCs w:val="22"/>
        </w:rPr>
      </w:pPr>
      <w:hyperlink w:anchor="_Toc478663510" w:history="1">
        <w:r>
          <w:rPr>
            <w:rStyle w:val="Hyperlink"/>
            <w:noProof/>
          </w:rPr>
          <w:t>3.7.</w:t>
        </w:r>
        <w:r>
          <w:rPr>
            <w:rFonts w:ascii="Calibri" w:hAnsi="Calibri"/>
            <w:noProof/>
            <w:sz w:val="22"/>
            <w:szCs w:val="22"/>
          </w:rPr>
          <w:tab/>
        </w:r>
        <w:r>
          <w:rPr>
            <w:rStyle w:val="Hyperlink"/>
            <w:noProof/>
          </w:rPr>
          <w:t>Contributions</w:t>
        </w:r>
        <w:r>
          <w:rPr>
            <w:noProof/>
            <w:webHidden/>
          </w:rPr>
          <w:tab/>
        </w:r>
        <w:r>
          <w:rPr>
            <w:noProof/>
            <w:webHidden/>
          </w:rPr>
          <w:fldChar w:fldCharType="begin"/>
        </w:r>
        <w:r>
          <w:rPr>
            <w:noProof/>
            <w:webHidden/>
          </w:rPr>
          <w:instrText xml:space="preserve"> PAGEREF _Toc478663510 \h </w:instrText>
        </w:r>
        <w:r>
          <w:rPr>
            <w:noProof/>
            <w:webHidden/>
          </w:rPr>
        </w:r>
        <w:r>
          <w:rPr>
            <w:noProof/>
            <w:webHidden/>
          </w:rPr>
          <w:fldChar w:fldCharType="separate"/>
        </w:r>
        <w:r>
          <w:rPr>
            <w:noProof/>
            <w:webHidden/>
          </w:rPr>
          <w:t>40</w:t>
        </w:r>
        <w:r>
          <w:rPr>
            <w:noProof/>
            <w:webHidden/>
          </w:rPr>
          <w:fldChar w:fldCharType="end"/>
        </w:r>
      </w:hyperlink>
    </w:p>
    <w:p>
      <w:pPr>
        <w:pStyle w:val="TOC2"/>
        <w:rPr>
          <w:rFonts w:ascii="Calibri" w:hAnsi="Calibri"/>
          <w:noProof/>
          <w:sz w:val="22"/>
          <w:szCs w:val="22"/>
        </w:rPr>
      </w:pPr>
      <w:hyperlink w:anchor="_Toc478663511" w:history="1">
        <w:r>
          <w:rPr>
            <w:rStyle w:val="Hyperlink"/>
            <w:noProof/>
          </w:rPr>
          <w:t>3.8.</w:t>
        </w:r>
        <w:r>
          <w:rPr>
            <w:rFonts w:ascii="Calibri" w:hAnsi="Calibri"/>
            <w:noProof/>
            <w:sz w:val="22"/>
            <w:szCs w:val="22"/>
          </w:rPr>
          <w:tab/>
        </w:r>
        <w:r>
          <w:rPr>
            <w:rStyle w:val="Hyperlink"/>
            <w:noProof/>
          </w:rPr>
          <w:t>Other payables (in EUR)</w:t>
        </w:r>
        <w:r>
          <w:rPr>
            <w:noProof/>
            <w:webHidden/>
          </w:rPr>
          <w:tab/>
        </w:r>
        <w:r>
          <w:rPr>
            <w:noProof/>
            <w:webHidden/>
          </w:rPr>
          <w:fldChar w:fldCharType="begin"/>
        </w:r>
        <w:r>
          <w:rPr>
            <w:noProof/>
            <w:webHidden/>
          </w:rPr>
          <w:instrText xml:space="preserve"> PAGEREF _Toc478663511 \h </w:instrText>
        </w:r>
        <w:r>
          <w:rPr>
            <w:noProof/>
            <w:webHidden/>
          </w:rPr>
        </w:r>
        <w:r>
          <w:rPr>
            <w:noProof/>
            <w:webHidden/>
          </w:rPr>
          <w:fldChar w:fldCharType="separate"/>
        </w:r>
        <w:r>
          <w:rPr>
            <w:noProof/>
            <w:webHidden/>
          </w:rPr>
          <w:t>41</w:t>
        </w:r>
        <w:r>
          <w:rPr>
            <w:noProof/>
            <w:webHidden/>
          </w:rPr>
          <w:fldChar w:fldCharType="end"/>
        </w:r>
      </w:hyperlink>
    </w:p>
    <w:p>
      <w:pPr>
        <w:pStyle w:val="TOC2"/>
        <w:rPr>
          <w:rFonts w:ascii="Calibri" w:hAnsi="Calibri"/>
          <w:noProof/>
          <w:sz w:val="22"/>
          <w:szCs w:val="22"/>
        </w:rPr>
      </w:pPr>
      <w:hyperlink w:anchor="_Toc478663512" w:history="1">
        <w:r>
          <w:rPr>
            <w:rStyle w:val="Hyperlink"/>
            <w:noProof/>
          </w:rPr>
          <w:t>3.9.</w:t>
        </w:r>
        <w:r>
          <w:rPr>
            <w:rFonts w:ascii="Calibri" w:hAnsi="Calibri"/>
            <w:noProof/>
            <w:sz w:val="22"/>
            <w:szCs w:val="22"/>
          </w:rPr>
          <w:tab/>
        </w:r>
        <w:r>
          <w:rPr>
            <w:rStyle w:val="Hyperlink"/>
            <w:noProof/>
          </w:rPr>
          <w:t>Subsequent events</w:t>
        </w:r>
        <w:r>
          <w:rPr>
            <w:noProof/>
            <w:webHidden/>
          </w:rPr>
          <w:tab/>
        </w:r>
        <w:r>
          <w:rPr>
            <w:noProof/>
            <w:webHidden/>
          </w:rPr>
          <w:fldChar w:fldCharType="begin"/>
        </w:r>
        <w:r>
          <w:rPr>
            <w:noProof/>
            <w:webHidden/>
          </w:rPr>
          <w:instrText xml:space="preserve"> PAGEREF _Toc478663512 \h </w:instrText>
        </w:r>
        <w:r>
          <w:rPr>
            <w:noProof/>
            <w:webHidden/>
          </w:rPr>
        </w:r>
        <w:r>
          <w:rPr>
            <w:noProof/>
            <w:webHidden/>
          </w:rPr>
          <w:fldChar w:fldCharType="separate"/>
        </w:r>
        <w:r>
          <w:rPr>
            <w:noProof/>
            <w:webHidden/>
          </w:rPr>
          <w:t>41</w:t>
        </w:r>
        <w:r>
          <w:rPr>
            <w:noProof/>
            <w:webHidden/>
          </w:rPr>
          <w:fldChar w:fldCharType="end"/>
        </w:r>
      </w:hyperlink>
    </w:p>
    <w:p>
      <w:pPr>
        <w:rPr>
          <w:noProof/>
          <w:szCs w:val="22"/>
        </w:rPr>
      </w:pPr>
      <w:r>
        <w:rPr>
          <w:b/>
          <w:bCs/>
          <w:noProof/>
        </w:rPr>
        <w:fldChar w:fldCharType="end"/>
      </w:r>
    </w:p>
    <w:p>
      <w:pPr>
        <w:spacing w:before="120" w:after="120"/>
        <w:jc w:val="both"/>
        <w:rPr>
          <w:noProof/>
          <w:szCs w:val="22"/>
        </w:rPr>
      </w:pPr>
    </w:p>
    <w:p>
      <w:pPr>
        <w:keepNext/>
        <w:numPr>
          <w:ilvl w:val="1"/>
          <w:numId w:val="39"/>
        </w:numPr>
        <w:spacing w:before="120" w:after="120"/>
        <w:jc w:val="both"/>
        <w:outlineLvl w:val="1"/>
        <w:rPr>
          <w:b/>
          <w:bCs/>
          <w:noProof/>
          <w:szCs w:val="26"/>
        </w:rPr>
        <w:sectPr>
          <w:headerReference w:type="even" r:id="rId16"/>
          <w:headerReference w:type="default" r:id="rId17"/>
          <w:footerReference w:type="even" r:id="rId18"/>
          <w:footerReference w:type="default" r:id="rId19"/>
          <w:headerReference w:type="first" r:id="rId20"/>
          <w:footerReference w:type="first" r:id="rId21"/>
          <w:pgSz w:w="11907" w:h="16834"/>
          <w:pgMar w:top="1417" w:right="1417" w:bottom="1417" w:left="1417" w:header="1531" w:footer="678" w:gutter="0"/>
          <w:pgNumType w:start="1"/>
          <w:cols w:space="720"/>
          <w:docGrid w:linePitch="326"/>
        </w:sectPr>
      </w:pPr>
      <w:bookmarkStart w:id="2" w:name="_Toc322447889"/>
    </w:p>
    <w:p>
      <w:pPr>
        <w:pStyle w:val="ManualHeading1"/>
        <w:spacing w:before="0"/>
        <w:rPr>
          <w:noProof/>
        </w:rPr>
      </w:pPr>
      <w:bookmarkStart w:id="3" w:name="_Toc358640308"/>
      <w:bookmarkStart w:id="4" w:name="_Toc358640576"/>
      <w:bookmarkStart w:id="5" w:name="_Toc358640627"/>
      <w:bookmarkStart w:id="6" w:name="_Toc358640725"/>
      <w:bookmarkStart w:id="7" w:name="_Toc385254771"/>
      <w:bookmarkStart w:id="8" w:name="_Toc415736037"/>
      <w:bookmarkStart w:id="9" w:name="_Toc415748654"/>
      <w:bookmarkStart w:id="10" w:name="_Toc417031771"/>
      <w:bookmarkStart w:id="11" w:name="_Toc449626267"/>
      <w:bookmarkStart w:id="12" w:name="_Toc478663468"/>
      <w:r>
        <w:rPr>
          <w:noProof/>
        </w:rPr>
        <w:lastRenderedPageBreak/>
        <w:t>1.</w:t>
      </w:r>
      <w:r>
        <w:rPr>
          <w:noProof/>
        </w:rPr>
        <w:tab/>
        <w:t>Introduction</w:t>
      </w:r>
      <w:bookmarkEnd w:id="3"/>
      <w:bookmarkEnd w:id="4"/>
      <w:bookmarkEnd w:id="5"/>
      <w:bookmarkEnd w:id="6"/>
      <w:bookmarkEnd w:id="7"/>
      <w:bookmarkEnd w:id="8"/>
      <w:bookmarkEnd w:id="9"/>
      <w:bookmarkEnd w:id="10"/>
      <w:bookmarkEnd w:id="11"/>
      <w:bookmarkEnd w:id="12"/>
    </w:p>
    <w:p>
      <w:pPr>
        <w:spacing w:before="120"/>
        <w:jc w:val="both"/>
        <w:rPr>
          <w:noProof/>
        </w:rPr>
      </w:pPr>
      <w:r>
        <w:rPr>
          <w:noProof/>
        </w:rPr>
        <w:t>According to the Article 7 of the Guarantee Fund Regulation, the assets of the Guarantee Fund (the "Fund") are managed by the EIB (the "Bank"). The agreement signed between the European Commission (the "Commission") and the Bank defines the principles governing the management of assets.</w:t>
      </w:r>
    </w:p>
    <w:p>
      <w:pPr>
        <w:spacing w:before="120"/>
        <w:jc w:val="both"/>
        <w:rPr>
          <w:noProof/>
        </w:rPr>
      </w:pPr>
      <w:r>
        <w:rPr>
          <w:noProof/>
        </w:rPr>
        <w:t>Under Article 8(2) of the Agreement, at the beginning of March of each year the Bank has to send the Commission an annual status report on the Fund and the management thereof and the financial statements of the Fund for the preceding year.</w:t>
      </w:r>
    </w:p>
    <w:p>
      <w:pPr>
        <w:spacing w:before="120"/>
        <w:jc w:val="both"/>
        <w:rPr>
          <w:noProof/>
        </w:rPr>
      </w:pPr>
      <w:r>
        <w:rPr>
          <w:noProof/>
        </w:rPr>
        <w:t>The management report on the Fund is presented in the section 2 of this Commission Staff Working Document (SWD). The financial statements audited by an external auditor are included in section 3.</w:t>
      </w:r>
    </w:p>
    <w:p>
      <w:pPr>
        <w:pStyle w:val="ManualHeading1"/>
        <w:rPr>
          <w:noProof/>
        </w:rPr>
      </w:pPr>
      <w:bookmarkStart w:id="13" w:name="_Toc385254772"/>
      <w:bookmarkStart w:id="14" w:name="_Toc415736038"/>
      <w:bookmarkStart w:id="15" w:name="_Toc415748655"/>
      <w:bookmarkStart w:id="16" w:name="_Toc417031772"/>
      <w:bookmarkStart w:id="17" w:name="_Toc449626268"/>
      <w:bookmarkStart w:id="18" w:name="_Toc478663469"/>
      <w:r>
        <w:rPr>
          <w:noProof/>
        </w:rPr>
        <w:t>2.</w:t>
      </w:r>
      <w:r>
        <w:rPr>
          <w:noProof/>
        </w:rPr>
        <w:tab/>
        <w:t>Fund Management report</w:t>
      </w:r>
      <w:bookmarkEnd w:id="13"/>
      <w:bookmarkEnd w:id="14"/>
      <w:bookmarkEnd w:id="15"/>
      <w:bookmarkEnd w:id="16"/>
      <w:bookmarkEnd w:id="17"/>
      <w:bookmarkEnd w:id="18"/>
    </w:p>
    <w:p>
      <w:pPr>
        <w:pStyle w:val="ManualHeading2"/>
        <w:rPr>
          <w:noProof/>
        </w:rPr>
      </w:pPr>
      <w:bookmarkStart w:id="19" w:name="_Toc449626269"/>
      <w:bookmarkStart w:id="20" w:name="_Toc478663470"/>
      <w:r>
        <w:rPr>
          <w:noProof/>
        </w:rPr>
        <w:t>2.1.</w:t>
      </w:r>
      <w:r>
        <w:rPr>
          <w:noProof/>
        </w:rPr>
        <w:tab/>
        <w:t xml:space="preserve">Development of the Fund in </w:t>
      </w:r>
      <w:bookmarkEnd w:id="2"/>
      <w:bookmarkEnd w:id="19"/>
      <w:bookmarkEnd w:id="20"/>
      <w:r>
        <w:rPr>
          <w:noProof/>
        </w:rPr>
        <w:t>2017</w:t>
      </w:r>
    </w:p>
    <w:p>
      <w:pPr>
        <w:spacing w:before="120" w:after="120"/>
        <w:jc w:val="both"/>
        <w:rPr>
          <w:noProof/>
          <w:lang w:eastAsia="en-US"/>
        </w:rPr>
      </w:pPr>
      <w:r>
        <w:rPr>
          <w:noProof/>
          <w:lang w:eastAsia="en-US"/>
        </w:rPr>
        <w:t>As at 31 December 2017 total assets (excluding accrued interest) of the Guarantee Fund (the “Fund”) amounted to EUR 2,546.6</w:t>
      </w:r>
      <w:r>
        <w:rPr>
          <w:noProof/>
          <w:vertAlign w:val="superscript"/>
          <w:lang w:eastAsia="en-US"/>
        </w:rPr>
        <w:footnoteReference w:id="1"/>
      </w:r>
      <w:r>
        <w:rPr>
          <w:noProof/>
          <w:lang w:eastAsia="en-US"/>
        </w:rPr>
        <w:t xml:space="preserve"> million against EUR 2,490.7 million as at 31 December 2016, an increase of EUR 55.9 million.</w:t>
      </w:r>
    </w:p>
    <w:p>
      <w:pPr>
        <w:spacing w:before="120" w:after="120"/>
        <w:jc w:val="both"/>
        <w:rPr>
          <w:noProof/>
          <w:szCs w:val="22"/>
        </w:rPr>
      </w:pPr>
      <w:r>
        <w:rPr>
          <w:noProof/>
          <w:lang w:val="en-US" w:eastAsia="en-US"/>
        </w:rPr>
        <w:drawing>
          <wp:inline distT="0" distB="0" distL="0" distR="0">
            <wp:extent cx="5772150" cy="2609850"/>
            <wp:effectExtent l="0" t="0" r="0" b="0"/>
            <wp:docPr id="2" name="Object 2" descr="Title: (million euro)"/>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jc w:val="center"/>
        <w:rPr>
          <w:noProof/>
          <w:sz w:val="18"/>
          <w:szCs w:val="22"/>
        </w:rPr>
      </w:pPr>
      <w:r>
        <w:rPr>
          <w:noProof/>
          <w:sz w:val="18"/>
          <w:szCs w:val="22"/>
        </w:rPr>
        <w:t>Fig.1: Development of total assets in 2017 and 2016</w:t>
      </w:r>
    </w:p>
    <w:p>
      <w:pPr>
        <w:contextualSpacing/>
        <w:jc w:val="both"/>
        <w:rPr>
          <w:noProof/>
          <w:szCs w:val="22"/>
        </w:rPr>
      </w:pPr>
    </w:p>
    <w:p>
      <w:pPr>
        <w:contextualSpacing/>
        <w:jc w:val="both"/>
        <w:rPr>
          <w:noProof/>
          <w:sz w:val="22"/>
          <w:szCs w:val="22"/>
          <w:lang w:eastAsia="en-US"/>
        </w:rPr>
      </w:pPr>
      <w:r>
        <w:rPr>
          <w:noProof/>
          <w:sz w:val="22"/>
          <w:szCs w:val="22"/>
          <w:lang w:eastAsia="en-US"/>
        </w:rPr>
        <w:t>The net operating result amounted to EUR 15.97 million at 31 December 2017 compared with EUR 29.85 million at 31 December 2016 representing a decrease of 46.5%.</w:t>
      </w:r>
    </w:p>
    <w:p>
      <w:pPr>
        <w:pStyle w:val="ManualHeading2"/>
        <w:rPr>
          <w:noProof/>
        </w:rPr>
      </w:pPr>
      <w:bookmarkStart w:id="21" w:name="_Toc322447890"/>
      <w:bookmarkStart w:id="22" w:name="_Toc449626270"/>
      <w:bookmarkStart w:id="23" w:name="_Toc478663471"/>
      <w:r>
        <w:rPr>
          <w:noProof/>
        </w:rPr>
        <w:t>2.2.</w:t>
      </w:r>
      <w:r>
        <w:rPr>
          <w:noProof/>
        </w:rPr>
        <w:tab/>
        <w:t>Situation of the Fund</w:t>
      </w:r>
      <w:bookmarkEnd w:id="21"/>
      <w:bookmarkEnd w:id="22"/>
      <w:bookmarkEnd w:id="23"/>
      <w:r>
        <w:rPr>
          <w:noProof/>
        </w:rPr>
        <w:t xml:space="preserve"> </w:t>
      </w:r>
    </w:p>
    <w:p>
      <w:pPr>
        <w:pStyle w:val="ManualHeading3"/>
        <w:rPr>
          <w:noProof/>
        </w:rPr>
      </w:pPr>
      <w:bookmarkStart w:id="24" w:name="_Toc322447891"/>
      <w:bookmarkStart w:id="25" w:name="_Toc449626271"/>
      <w:bookmarkStart w:id="26" w:name="_Toc478663472"/>
      <w:r>
        <w:rPr>
          <w:noProof/>
        </w:rPr>
        <w:t>2.2.1.</w:t>
      </w:r>
      <w:r>
        <w:rPr>
          <w:noProof/>
        </w:rPr>
        <w:tab/>
      </w:r>
      <w:r>
        <w:rPr>
          <w:bCs/>
          <w:noProof/>
        </w:rPr>
        <w:t>Contributions</w:t>
      </w:r>
      <w:r>
        <w:rPr>
          <w:noProof/>
        </w:rPr>
        <w:t xml:space="preserve"> as at 31 December </w:t>
      </w:r>
      <w:bookmarkEnd w:id="24"/>
      <w:bookmarkEnd w:id="25"/>
      <w:bookmarkEnd w:id="26"/>
      <w:r>
        <w:rPr>
          <w:noProof/>
        </w:rPr>
        <w:t>2017</w:t>
      </w:r>
    </w:p>
    <w:p>
      <w:pPr>
        <w:pStyle w:val="ManualHeading4"/>
        <w:rPr>
          <w:noProof/>
        </w:rPr>
      </w:pPr>
      <w:r>
        <w:rPr>
          <w:noProof/>
        </w:rPr>
        <w:t>2.2.1.1.</w:t>
      </w:r>
      <w:r>
        <w:rPr>
          <w:noProof/>
        </w:rPr>
        <w:tab/>
        <w:t>Contributions paid in as at 31 December 2017</w:t>
      </w:r>
    </w:p>
    <w:p>
      <w:pPr>
        <w:spacing w:before="120" w:after="120"/>
        <w:jc w:val="both"/>
        <w:rPr>
          <w:noProof/>
          <w:lang w:val="en-US" w:eastAsia="en-US"/>
        </w:rPr>
      </w:pPr>
      <w:r>
        <w:rPr>
          <w:noProof/>
          <w:lang w:val="en-US" w:eastAsia="en-US"/>
        </w:rPr>
        <w:t xml:space="preserve">The net contributions paid into the Fund by the European Union budget increased by EUR 154.2 million or 12.2% from EUR 1,258.8 million at 31 December 2016 to EUR 1,413.0 million at 31 December 2017. </w:t>
      </w:r>
    </w:p>
    <w:p>
      <w:pPr>
        <w:spacing w:before="120" w:after="120"/>
        <w:jc w:val="both"/>
        <w:rPr>
          <w:noProof/>
        </w:rPr>
      </w:pPr>
      <w:r>
        <w:rPr>
          <w:noProof/>
        </w:rPr>
        <w:t>This is explained by the movements shown in the following table:</w:t>
      </w:r>
    </w:p>
    <w:tbl>
      <w:tblPr>
        <w:tblW w:w="9087" w:type="dxa"/>
        <w:tblInd w:w="93" w:type="dxa"/>
        <w:tblLayout w:type="fixed"/>
        <w:tblLook w:val="04A0" w:firstRow="1" w:lastRow="0" w:firstColumn="1" w:lastColumn="0" w:noHBand="0" w:noVBand="1"/>
      </w:tblPr>
      <w:tblGrid>
        <w:gridCol w:w="3134"/>
        <w:gridCol w:w="2126"/>
        <w:gridCol w:w="2016"/>
        <w:gridCol w:w="1811"/>
      </w:tblGrid>
      <w:tr>
        <w:trPr>
          <w:trHeight w:val="705"/>
        </w:trPr>
        <w:tc>
          <w:tcPr>
            <w:tcW w:w="3134" w:type="dxa"/>
            <w:tcBorders>
              <w:top w:val="single" w:sz="4" w:space="0" w:color="auto"/>
              <w:left w:val="single" w:sz="4" w:space="0" w:color="auto"/>
              <w:bottom w:val="nil"/>
              <w:right w:val="nil"/>
            </w:tcBorders>
            <w:shd w:val="clear" w:color="auto" w:fill="auto"/>
            <w:vAlign w:val="center"/>
            <w:hideMark/>
          </w:tcPr>
          <w:p>
            <w:pPr>
              <w:rPr>
                <w:b/>
                <w:bCs/>
                <w:noProof/>
                <w:color w:val="000000"/>
                <w:sz w:val="20"/>
                <w:szCs w:val="20"/>
              </w:rPr>
            </w:pPr>
            <w:r>
              <w:rPr>
                <w:b/>
                <w:bCs/>
                <w:noProof/>
                <w:color w:val="000000"/>
                <w:sz w:val="20"/>
                <w:szCs w:val="20"/>
              </w:rPr>
              <w:t>Contributions paid in (in EUR)</w:t>
            </w:r>
          </w:p>
        </w:tc>
        <w:tc>
          <w:tcPr>
            <w:tcW w:w="2126" w:type="dxa"/>
            <w:tcBorders>
              <w:top w:val="single" w:sz="4" w:space="0" w:color="auto"/>
              <w:left w:val="nil"/>
              <w:bottom w:val="nil"/>
              <w:right w:val="nil"/>
            </w:tcBorders>
            <w:shd w:val="clear" w:color="auto" w:fill="auto"/>
            <w:vAlign w:val="center"/>
            <w:hideMark/>
          </w:tcPr>
          <w:p>
            <w:pPr>
              <w:jc w:val="right"/>
              <w:rPr>
                <w:b/>
                <w:bCs/>
                <w:noProof/>
                <w:color w:val="000000"/>
                <w:sz w:val="20"/>
                <w:szCs w:val="20"/>
              </w:rPr>
            </w:pPr>
            <w:r>
              <w:rPr>
                <w:b/>
                <w:bCs/>
                <w:noProof/>
                <w:color w:val="000000"/>
                <w:sz w:val="20"/>
                <w:szCs w:val="20"/>
              </w:rPr>
              <w:t>Situation at 31/12/2016</w:t>
            </w:r>
          </w:p>
        </w:tc>
        <w:tc>
          <w:tcPr>
            <w:tcW w:w="2016" w:type="dxa"/>
            <w:tcBorders>
              <w:top w:val="single" w:sz="4" w:space="0" w:color="auto"/>
              <w:left w:val="nil"/>
              <w:bottom w:val="nil"/>
              <w:right w:val="nil"/>
            </w:tcBorders>
            <w:shd w:val="clear" w:color="auto" w:fill="auto"/>
            <w:vAlign w:val="center"/>
            <w:hideMark/>
          </w:tcPr>
          <w:p>
            <w:pPr>
              <w:jc w:val="right"/>
              <w:rPr>
                <w:b/>
                <w:bCs/>
                <w:noProof/>
                <w:color w:val="000000"/>
                <w:sz w:val="20"/>
                <w:szCs w:val="20"/>
              </w:rPr>
            </w:pPr>
            <w:r>
              <w:rPr>
                <w:b/>
                <w:bCs/>
                <w:noProof/>
                <w:color w:val="000000"/>
                <w:sz w:val="20"/>
                <w:szCs w:val="20"/>
              </w:rPr>
              <w:t>Movements in 2017</w:t>
            </w:r>
          </w:p>
        </w:tc>
        <w:tc>
          <w:tcPr>
            <w:tcW w:w="1811" w:type="dxa"/>
            <w:tcBorders>
              <w:top w:val="single" w:sz="4" w:space="0" w:color="auto"/>
              <w:left w:val="nil"/>
              <w:bottom w:val="nil"/>
              <w:right w:val="single" w:sz="4" w:space="0" w:color="auto"/>
            </w:tcBorders>
            <w:shd w:val="clear" w:color="auto" w:fill="auto"/>
            <w:vAlign w:val="center"/>
            <w:hideMark/>
          </w:tcPr>
          <w:p>
            <w:pPr>
              <w:jc w:val="right"/>
              <w:rPr>
                <w:b/>
                <w:bCs/>
                <w:noProof/>
                <w:color w:val="000000"/>
                <w:sz w:val="20"/>
                <w:szCs w:val="20"/>
              </w:rPr>
            </w:pPr>
            <w:r>
              <w:rPr>
                <w:b/>
                <w:bCs/>
                <w:noProof/>
                <w:color w:val="000000"/>
                <w:sz w:val="20"/>
                <w:szCs w:val="20"/>
              </w:rPr>
              <w:t>Situation at 31/12/2017</w:t>
            </w:r>
          </w:p>
        </w:tc>
      </w:tr>
      <w:tr>
        <w:trPr>
          <w:trHeight w:val="315"/>
        </w:trPr>
        <w:tc>
          <w:tcPr>
            <w:tcW w:w="3134" w:type="dxa"/>
            <w:tcBorders>
              <w:top w:val="nil"/>
              <w:left w:val="single" w:sz="4" w:space="0" w:color="auto"/>
              <w:bottom w:val="nil"/>
              <w:right w:val="nil"/>
            </w:tcBorders>
            <w:shd w:val="clear" w:color="auto" w:fill="auto"/>
            <w:vAlign w:val="center"/>
            <w:hideMark/>
          </w:tcPr>
          <w:p>
            <w:pPr>
              <w:rPr>
                <w:noProof/>
                <w:color w:val="000000"/>
                <w:sz w:val="20"/>
                <w:szCs w:val="20"/>
              </w:rPr>
            </w:pPr>
            <w:r>
              <w:rPr>
                <w:noProof/>
                <w:color w:val="000000"/>
                <w:sz w:val="20"/>
                <w:szCs w:val="20"/>
              </w:rPr>
              <w:t>Provisioning</w:t>
            </w:r>
          </w:p>
        </w:tc>
        <w:tc>
          <w:tcPr>
            <w:tcW w:w="2126" w:type="dxa"/>
            <w:tcBorders>
              <w:top w:val="nil"/>
              <w:left w:val="nil"/>
              <w:bottom w:val="nil"/>
              <w:right w:val="nil"/>
            </w:tcBorders>
            <w:shd w:val="clear" w:color="auto" w:fill="auto"/>
            <w:vAlign w:val="center"/>
            <w:hideMark/>
          </w:tcPr>
          <w:p>
            <w:pPr>
              <w:jc w:val="right"/>
              <w:rPr>
                <w:noProof/>
                <w:color w:val="000000"/>
                <w:sz w:val="20"/>
                <w:szCs w:val="20"/>
              </w:rPr>
            </w:pPr>
            <w:r>
              <w:rPr>
                <w:noProof/>
                <w:color w:val="000000"/>
                <w:sz w:val="20"/>
                <w:szCs w:val="20"/>
              </w:rPr>
              <w:t>4,005,448,767</w:t>
            </w:r>
          </w:p>
        </w:tc>
        <w:tc>
          <w:tcPr>
            <w:tcW w:w="2016" w:type="dxa"/>
            <w:tcBorders>
              <w:top w:val="nil"/>
              <w:left w:val="nil"/>
              <w:bottom w:val="nil"/>
              <w:right w:val="nil"/>
            </w:tcBorders>
            <w:shd w:val="clear" w:color="auto" w:fill="auto"/>
            <w:vAlign w:val="center"/>
            <w:hideMark/>
          </w:tcPr>
          <w:p>
            <w:pPr>
              <w:jc w:val="right"/>
              <w:rPr>
                <w:noProof/>
                <w:color w:val="000000"/>
                <w:sz w:val="20"/>
                <w:szCs w:val="20"/>
              </w:rPr>
            </w:pPr>
            <w:r>
              <w:rPr>
                <w:noProof/>
                <w:color w:val="000000"/>
                <w:sz w:val="20"/>
                <w:szCs w:val="20"/>
              </w:rPr>
              <w:t>240,540,250</w:t>
            </w:r>
          </w:p>
        </w:tc>
        <w:tc>
          <w:tcPr>
            <w:tcW w:w="1811" w:type="dxa"/>
            <w:tcBorders>
              <w:top w:val="nil"/>
              <w:left w:val="nil"/>
              <w:bottom w:val="nil"/>
              <w:right w:val="single" w:sz="4" w:space="0" w:color="auto"/>
            </w:tcBorders>
            <w:shd w:val="clear" w:color="auto" w:fill="auto"/>
            <w:vAlign w:val="center"/>
            <w:hideMark/>
          </w:tcPr>
          <w:p>
            <w:pPr>
              <w:jc w:val="right"/>
              <w:rPr>
                <w:noProof/>
                <w:color w:val="000000"/>
                <w:sz w:val="20"/>
                <w:szCs w:val="20"/>
              </w:rPr>
            </w:pPr>
            <w:r>
              <w:rPr>
                <w:noProof/>
                <w:color w:val="000000"/>
                <w:sz w:val="20"/>
                <w:szCs w:val="20"/>
              </w:rPr>
              <w:t>4,245,989,017</w:t>
            </w:r>
          </w:p>
        </w:tc>
      </w:tr>
      <w:tr>
        <w:trPr>
          <w:trHeight w:val="300"/>
        </w:trPr>
        <w:tc>
          <w:tcPr>
            <w:tcW w:w="3134" w:type="dxa"/>
            <w:tcBorders>
              <w:top w:val="nil"/>
              <w:left w:val="single" w:sz="4" w:space="0" w:color="auto"/>
              <w:bottom w:val="nil"/>
              <w:right w:val="nil"/>
            </w:tcBorders>
            <w:shd w:val="clear" w:color="auto" w:fill="auto"/>
            <w:vAlign w:val="center"/>
            <w:hideMark/>
          </w:tcPr>
          <w:p>
            <w:pPr>
              <w:rPr>
                <w:noProof/>
                <w:color w:val="000000"/>
                <w:sz w:val="20"/>
                <w:szCs w:val="20"/>
              </w:rPr>
            </w:pPr>
            <w:r>
              <w:rPr>
                <w:noProof/>
                <w:color w:val="000000"/>
                <w:sz w:val="20"/>
                <w:szCs w:val="20"/>
              </w:rPr>
              <w:t>Repayment of surplus</w:t>
            </w:r>
          </w:p>
        </w:tc>
        <w:tc>
          <w:tcPr>
            <w:tcW w:w="2126" w:type="dxa"/>
            <w:tcBorders>
              <w:top w:val="nil"/>
              <w:left w:val="nil"/>
              <w:bottom w:val="nil"/>
              <w:right w:val="nil"/>
            </w:tcBorders>
            <w:shd w:val="clear" w:color="auto" w:fill="auto"/>
            <w:vAlign w:val="center"/>
            <w:hideMark/>
          </w:tcPr>
          <w:p>
            <w:pPr>
              <w:jc w:val="right"/>
              <w:rPr>
                <w:noProof/>
                <w:color w:val="000000"/>
                <w:sz w:val="20"/>
                <w:szCs w:val="20"/>
              </w:rPr>
            </w:pPr>
            <w:r>
              <w:rPr>
                <w:noProof/>
                <w:color w:val="000000"/>
                <w:sz w:val="20"/>
                <w:szCs w:val="20"/>
              </w:rPr>
              <w:t>-1,775,870,000</w:t>
            </w:r>
          </w:p>
        </w:tc>
        <w:tc>
          <w:tcPr>
            <w:tcW w:w="2016" w:type="dxa"/>
            <w:tcBorders>
              <w:top w:val="nil"/>
              <w:left w:val="nil"/>
              <w:bottom w:val="nil"/>
              <w:right w:val="nil"/>
            </w:tcBorders>
            <w:shd w:val="clear" w:color="auto" w:fill="auto"/>
            <w:vAlign w:val="center"/>
            <w:hideMark/>
          </w:tcPr>
          <w:p>
            <w:pPr>
              <w:jc w:val="right"/>
              <w:rPr>
                <w:noProof/>
                <w:color w:val="000000"/>
                <w:sz w:val="20"/>
                <w:szCs w:val="20"/>
              </w:rPr>
            </w:pPr>
            <w:r>
              <w:rPr>
                <w:noProof/>
                <w:color w:val="000000"/>
                <w:sz w:val="20"/>
                <w:szCs w:val="20"/>
              </w:rPr>
              <w:t>0</w:t>
            </w:r>
          </w:p>
        </w:tc>
        <w:tc>
          <w:tcPr>
            <w:tcW w:w="1811" w:type="dxa"/>
            <w:tcBorders>
              <w:top w:val="nil"/>
              <w:left w:val="nil"/>
              <w:bottom w:val="nil"/>
              <w:right w:val="single" w:sz="4" w:space="0" w:color="auto"/>
            </w:tcBorders>
            <w:shd w:val="clear" w:color="auto" w:fill="auto"/>
            <w:vAlign w:val="center"/>
            <w:hideMark/>
          </w:tcPr>
          <w:p>
            <w:pPr>
              <w:jc w:val="right"/>
              <w:rPr>
                <w:noProof/>
                <w:color w:val="000000"/>
                <w:sz w:val="20"/>
                <w:szCs w:val="20"/>
              </w:rPr>
            </w:pPr>
            <w:r>
              <w:rPr>
                <w:noProof/>
                <w:color w:val="000000"/>
                <w:sz w:val="20"/>
                <w:szCs w:val="20"/>
              </w:rPr>
              <w:t>-1,775,870,000</w:t>
            </w:r>
          </w:p>
        </w:tc>
      </w:tr>
      <w:tr>
        <w:trPr>
          <w:trHeight w:val="300"/>
        </w:trPr>
        <w:tc>
          <w:tcPr>
            <w:tcW w:w="3134" w:type="dxa"/>
            <w:tcBorders>
              <w:top w:val="nil"/>
              <w:left w:val="single" w:sz="4" w:space="0" w:color="auto"/>
              <w:bottom w:val="nil"/>
              <w:right w:val="nil"/>
            </w:tcBorders>
            <w:shd w:val="clear" w:color="auto" w:fill="auto"/>
            <w:vAlign w:val="center"/>
            <w:hideMark/>
          </w:tcPr>
          <w:p>
            <w:pPr>
              <w:rPr>
                <w:noProof/>
                <w:color w:val="000000"/>
                <w:sz w:val="20"/>
                <w:szCs w:val="20"/>
              </w:rPr>
            </w:pPr>
            <w:r>
              <w:rPr>
                <w:noProof/>
                <w:color w:val="000000"/>
                <w:sz w:val="20"/>
                <w:szCs w:val="20"/>
              </w:rPr>
              <w:t>Activation of guarantee calls</w:t>
            </w:r>
          </w:p>
        </w:tc>
        <w:tc>
          <w:tcPr>
            <w:tcW w:w="2126" w:type="dxa"/>
            <w:tcBorders>
              <w:top w:val="nil"/>
              <w:left w:val="nil"/>
              <w:bottom w:val="nil"/>
              <w:right w:val="nil"/>
            </w:tcBorders>
            <w:shd w:val="clear" w:color="auto" w:fill="auto"/>
            <w:vAlign w:val="center"/>
            <w:hideMark/>
          </w:tcPr>
          <w:p>
            <w:pPr>
              <w:jc w:val="right"/>
              <w:rPr>
                <w:noProof/>
                <w:color w:val="000000"/>
                <w:sz w:val="20"/>
                <w:szCs w:val="20"/>
              </w:rPr>
            </w:pPr>
            <w:r>
              <w:rPr>
                <w:noProof/>
                <w:color w:val="000000"/>
                <w:sz w:val="20"/>
                <w:szCs w:val="20"/>
              </w:rPr>
              <w:t>-793,732,853</w:t>
            </w:r>
          </w:p>
        </w:tc>
        <w:tc>
          <w:tcPr>
            <w:tcW w:w="2016" w:type="dxa"/>
            <w:tcBorders>
              <w:top w:val="nil"/>
              <w:left w:val="nil"/>
              <w:bottom w:val="nil"/>
              <w:right w:val="nil"/>
            </w:tcBorders>
            <w:shd w:val="clear" w:color="auto" w:fill="auto"/>
            <w:vAlign w:val="center"/>
            <w:hideMark/>
          </w:tcPr>
          <w:p>
            <w:pPr>
              <w:jc w:val="right"/>
              <w:rPr>
                <w:noProof/>
                <w:color w:val="000000"/>
                <w:sz w:val="20"/>
                <w:szCs w:val="20"/>
              </w:rPr>
            </w:pPr>
            <w:r>
              <w:rPr>
                <w:noProof/>
                <w:color w:val="000000"/>
                <w:sz w:val="20"/>
                <w:szCs w:val="20"/>
              </w:rPr>
              <w:t>-86,424,606</w:t>
            </w:r>
          </w:p>
        </w:tc>
        <w:tc>
          <w:tcPr>
            <w:tcW w:w="1811" w:type="dxa"/>
            <w:tcBorders>
              <w:top w:val="nil"/>
              <w:left w:val="nil"/>
              <w:bottom w:val="nil"/>
              <w:right w:val="single" w:sz="4" w:space="0" w:color="auto"/>
            </w:tcBorders>
            <w:shd w:val="clear" w:color="auto" w:fill="auto"/>
            <w:vAlign w:val="center"/>
            <w:hideMark/>
          </w:tcPr>
          <w:p>
            <w:pPr>
              <w:jc w:val="right"/>
              <w:rPr>
                <w:noProof/>
                <w:color w:val="000000"/>
                <w:sz w:val="20"/>
                <w:szCs w:val="20"/>
              </w:rPr>
            </w:pPr>
            <w:r>
              <w:rPr>
                <w:noProof/>
                <w:color w:val="000000"/>
                <w:sz w:val="20"/>
                <w:szCs w:val="20"/>
              </w:rPr>
              <w:t>-880,157,459</w:t>
            </w:r>
          </w:p>
        </w:tc>
      </w:tr>
      <w:tr>
        <w:trPr>
          <w:trHeight w:val="300"/>
        </w:trPr>
        <w:tc>
          <w:tcPr>
            <w:tcW w:w="3134" w:type="dxa"/>
            <w:tcBorders>
              <w:top w:val="nil"/>
              <w:left w:val="single" w:sz="4" w:space="0" w:color="auto"/>
              <w:bottom w:val="nil"/>
              <w:right w:val="nil"/>
            </w:tcBorders>
            <w:shd w:val="clear" w:color="auto" w:fill="auto"/>
            <w:vAlign w:val="center"/>
            <w:hideMark/>
          </w:tcPr>
          <w:p>
            <w:pPr>
              <w:rPr>
                <w:noProof/>
                <w:color w:val="000000"/>
                <w:sz w:val="20"/>
                <w:szCs w:val="20"/>
              </w:rPr>
            </w:pPr>
            <w:r>
              <w:rPr>
                <w:noProof/>
                <w:color w:val="000000"/>
                <w:sz w:val="20"/>
                <w:szCs w:val="20"/>
              </w:rPr>
              <w:t>Recovery of historic called amounts</w:t>
            </w:r>
          </w:p>
        </w:tc>
        <w:tc>
          <w:tcPr>
            <w:tcW w:w="2126" w:type="dxa"/>
            <w:tcBorders>
              <w:top w:val="nil"/>
              <w:left w:val="nil"/>
              <w:bottom w:val="nil"/>
              <w:right w:val="nil"/>
            </w:tcBorders>
            <w:shd w:val="clear" w:color="auto" w:fill="auto"/>
            <w:vAlign w:val="center"/>
            <w:hideMark/>
          </w:tcPr>
          <w:p>
            <w:pPr>
              <w:jc w:val="right"/>
              <w:rPr>
                <w:noProof/>
                <w:color w:val="000000"/>
                <w:sz w:val="20"/>
                <w:szCs w:val="20"/>
              </w:rPr>
            </w:pPr>
            <w:r>
              <w:rPr>
                <w:noProof/>
                <w:color w:val="000000"/>
                <w:sz w:val="20"/>
                <w:szCs w:val="20"/>
              </w:rPr>
              <w:t>578,854,354</w:t>
            </w:r>
          </w:p>
        </w:tc>
        <w:tc>
          <w:tcPr>
            <w:tcW w:w="2016" w:type="dxa"/>
            <w:tcBorders>
              <w:top w:val="nil"/>
              <w:left w:val="nil"/>
              <w:bottom w:val="nil"/>
              <w:right w:val="nil"/>
            </w:tcBorders>
            <w:shd w:val="clear" w:color="auto" w:fill="auto"/>
            <w:vAlign w:val="center"/>
            <w:hideMark/>
          </w:tcPr>
          <w:p>
            <w:pPr>
              <w:jc w:val="right"/>
              <w:rPr>
                <w:noProof/>
                <w:color w:val="000000"/>
                <w:sz w:val="20"/>
                <w:szCs w:val="20"/>
              </w:rPr>
            </w:pPr>
            <w:r>
              <w:rPr>
                <w:noProof/>
                <w:color w:val="000000"/>
                <w:sz w:val="20"/>
                <w:szCs w:val="20"/>
              </w:rPr>
              <w:t>0</w:t>
            </w:r>
          </w:p>
        </w:tc>
        <w:tc>
          <w:tcPr>
            <w:tcW w:w="1811" w:type="dxa"/>
            <w:tcBorders>
              <w:top w:val="nil"/>
              <w:left w:val="nil"/>
              <w:bottom w:val="nil"/>
              <w:right w:val="single" w:sz="4" w:space="0" w:color="auto"/>
            </w:tcBorders>
            <w:shd w:val="clear" w:color="auto" w:fill="auto"/>
            <w:vAlign w:val="center"/>
            <w:hideMark/>
          </w:tcPr>
          <w:p>
            <w:pPr>
              <w:jc w:val="right"/>
              <w:rPr>
                <w:noProof/>
                <w:color w:val="000000"/>
                <w:sz w:val="20"/>
                <w:szCs w:val="20"/>
              </w:rPr>
            </w:pPr>
            <w:r>
              <w:rPr>
                <w:noProof/>
                <w:color w:val="000000"/>
                <w:sz w:val="20"/>
                <w:szCs w:val="20"/>
              </w:rPr>
              <w:t>578,854,354</w:t>
            </w:r>
          </w:p>
        </w:tc>
      </w:tr>
      <w:tr>
        <w:trPr>
          <w:trHeight w:val="300"/>
        </w:trPr>
        <w:tc>
          <w:tcPr>
            <w:tcW w:w="3134" w:type="dxa"/>
            <w:tcBorders>
              <w:top w:val="nil"/>
              <w:left w:val="single" w:sz="4" w:space="0" w:color="auto"/>
              <w:bottom w:val="nil"/>
              <w:right w:val="nil"/>
            </w:tcBorders>
            <w:shd w:val="clear" w:color="auto" w:fill="auto"/>
            <w:vAlign w:val="center"/>
            <w:hideMark/>
          </w:tcPr>
          <w:p>
            <w:pPr>
              <w:rPr>
                <w:noProof/>
                <w:color w:val="000000"/>
                <w:sz w:val="20"/>
                <w:szCs w:val="20"/>
              </w:rPr>
            </w:pPr>
            <w:r>
              <w:rPr>
                <w:noProof/>
                <w:color w:val="000000"/>
                <w:sz w:val="20"/>
                <w:szCs w:val="20"/>
              </w:rPr>
              <w:t xml:space="preserve">Repayment of Funds </w:t>
            </w:r>
          </w:p>
        </w:tc>
        <w:tc>
          <w:tcPr>
            <w:tcW w:w="2126" w:type="dxa"/>
            <w:tcBorders>
              <w:top w:val="nil"/>
              <w:left w:val="nil"/>
              <w:bottom w:val="nil"/>
              <w:right w:val="nil"/>
            </w:tcBorders>
            <w:shd w:val="clear" w:color="auto" w:fill="auto"/>
            <w:vAlign w:val="center"/>
            <w:hideMark/>
          </w:tcPr>
          <w:p>
            <w:pPr>
              <w:jc w:val="right"/>
              <w:rPr>
                <w:noProof/>
                <w:color w:val="000000"/>
                <w:sz w:val="20"/>
                <w:szCs w:val="20"/>
              </w:rPr>
            </w:pPr>
            <w:r>
              <w:rPr>
                <w:noProof/>
                <w:color w:val="000000"/>
                <w:sz w:val="20"/>
                <w:szCs w:val="20"/>
              </w:rPr>
              <w:t>-755,856,713</w:t>
            </w:r>
          </w:p>
        </w:tc>
        <w:tc>
          <w:tcPr>
            <w:tcW w:w="2016" w:type="dxa"/>
            <w:tcBorders>
              <w:top w:val="nil"/>
              <w:left w:val="nil"/>
              <w:bottom w:val="nil"/>
              <w:right w:val="nil"/>
            </w:tcBorders>
            <w:shd w:val="clear" w:color="auto" w:fill="auto"/>
            <w:vAlign w:val="center"/>
            <w:hideMark/>
          </w:tcPr>
          <w:p>
            <w:pPr>
              <w:jc w:val="right"/>
              <w:rPr>
                <w:noProof/>
                <w:color w:val="000000"/>
                <w:sz w:val="20"/>
                <w:szCs w:val="20"/>
              </w:rPr>
            </w:pPr>
            <w:r>
              <w:rPr>
                <w:noProof/>
                <w:color w:val="000000"/>
                <w:sz w:val="20"/>
                <w:szCs w:val="20"/>
              </w:rPr>
              <w:t>0</w:t>
            </w:r>
          </w:p>
        </w:tc>
        <w:tc>
          <w:tcPr>
            <w:tcW w:w="1811" w:type="dxa"/>
            <w:tcBorders>
              <w:top w:val="nil"/>
              <w:left w:val="nil"/>
              <w:bottom w:val="nil"/>
              <w:right w:val="single" w:sz="4" w:space="0" w:color="auto"/>
            </w:tcBorders>
            <w:shd w:val="clear" w:color="auto" w:fill="auto"/>
            <w:vAlign w:val="center"/>
            <w:hideMark/>
          </w:tcPr>
          <w:p>
            <w:pPr>
              <w:jc w:val="right"/>
              <w:rPr>
                <w:noProof/>
                <w:color w:val="000000"/>
                <w:sz w:val="20"/>
                <w:szCs w:val="20"/>
              </w:rPr>
            </w:pPr>
            <w:r>
              <w:rPr>
                <w:noProof/>
                <w:color w:val="000000"/>
                <w:sz w:val="20"/>
                <w:szCs w:val="20"/>
              </w:rPr>
              <w:t>-755,856,713</w:t>
            </w:r>
          </w:p>
        </w:tc>
      </w:tr>
      <w:tr>
        <w:trPr>
          <w:trHeight w:val="315"/>
        </w:trPr>
        <w:tc>
          <w:tcPr>
            <w:tcW w:w="3134" w:type="dxa"/>
            <w:tcBorders>
              <w:top w:val="nil"/>
              <w:left w:val="single" w:sz="4" w:space="0" w:color="auto"/>
              <w:bottom w:val="nil"/>
              <w:right w:val="nil"/>
            </w:tcBorders>
            <w:shd w:val="clear" w:color="auto" w:fill="auto"/>
            <w:vAlign w:val="center"/>
            <w:hideMark/>
          </w:tcPr>
          <w:p>
            <w:pPr>
              <w:rPr>
                <w:noProof/>
                <w:color w:val="000000"/>
                <w:sz w:val="20"/>
                <w:szCs w:val="20"/>
              </w:rPr>
            </w:pPr>
            <w:r>
              <w:rPr>
                <w:noProof/>
                <w:color w:val="000000"/>
                <w:sz w:val="20"/>
                <w:szCs w:val="20"/>
              </w:rPr>
              <w:t> </w:t>
            </w:r>
          </w:p>
        </w:tc>
        <w:tc>
          <w:tcPr>
            <w:tcW w:w="2126" w:type="dxa"/>
            <w:tcBorders>
              <w:top w:val="nil"/>
              <w:left w:val="nil"/>
              <w:bottom w:val="nil"/>
              <w:right w:val="nil"/>
            </w:tcBorders>
            <w:shd w:val="clear" w:color="auto" w:fill="auto"/>
            <w:vAlign w:val="center"/>
            <w:hideMark/>
          </w:tcPr>
          <w:p>
            <w:pPr>
              <w:jc w:val="right"/>
              <w:rPr>
                <w:noProof/>
                <w:color w:val="000000"/>
                <w:sz w:val="20"/>
                <w:szCs w:val="20"/>
              </w:rPr>
            </w:pPr>
          </w:p>
        </w:tc>
        <w:tc>
          <w:tcPr>
            <w:tcW w:w="2016" w:type="dxa"/>
            <w:tcBorders>
              <w:top w:val="nil"/>
              <w:left w:val="nil"/>
              <w:bottom w:val="nil"/>
              <w:right w:val="nil"/>
            </w:tcBorders>
            <w:shd w:val="clear" w:color="auto" w:fill="auto"/>
            <w:vAlign w:val="center"/>
            <w:hideMark/>
          </w:tcPr>
          <w:p>
            <w:pPr>
              <w:jc w:val="right"/>
              <w:rPr>
                <w:noProof/>
                <w:color w:val="000000"/>
                <w:sz w:val="20"/>
                <w:szCs w:val="20"/>
              </w:rPr>
            </w:pPr>
          </w:p>
        </w:tc>
        <w:tc>
          <w:tcPr>
            <w:tcW w:w="1811" w:type="dxa"/>
            <w:tcBorders>
              <w:top w:val="nil"/>
              <w:left w:val="nil"/>
              <w:bottom w:val="nil"/>
              <w:right w:val="single" w:sz="4" w:space="0" w:color="auto"/>
            </w:tcBorders>
            <w:shd w:val="clear" w:color="auto" w:fill="auto"/>
            <w:vAlign w:val="center"/>
            <w:hideMark/>
          </w:tcPr>
          <w:p>
            <w:pPr>
              <w:jc w:val="right"/>
              <w:rPr>
                <w:noProof/>
                <w:color w:val="000000"/>
                <w:sz w:val="20"/>
                <w:szCs w:val="20"/>
              </w:rPr>
            </w:pPr>
          </w:p>
        </w:tc>
      </w:tr>
      <w:tr>
        <w:trPr>
          <w:trHeight w:val="315"/>
        </w:trPr>
        <w:tc>
          <w:tcPr>
            <w:tcW w:w="3134"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20"/>
                <w:szCs w:val="20"/>
              </w:rPr>
            </w:pPr>
            <w:r>
              <w:rPr>
                <w:b/>
                <w:bCs/>
                <w:noProof/>
                <w:color w:val="000000"/>
                <w:sz w:val="20"/>
                <w:szCs w:val="20"/>
              </w:rPr>
              <w:t>Balance</w:t>
            </w:r>
          </w:p>
        </w:tc>
        <w:tc>
          <w:tcPr>
            <w:tcW w:w="2126" w:type="dxa"/>
            <w:tcBorders>
              <w:top w:val="single" w:sz="4" w:space="0" w:color="auto"/>
              <w:left w:val="nil"/>
              <w:bottom w:val="single" w:sz="4" w:space="0" w:color="auto"/>
              <w:right w:val="nil"/>
            </w:tcBorders>
            <w:shd w:val="clear" w:color="auto" w:fill="auto"/>
            <w:vAlign w:val="center"/>
            <w:hideMark/>
          </w:tcPr>
          <w:p>
            <w:pPr>
              <w:jc w:val="right"/>
              <w:rPr>
                <w:b/>
                <w:noProof/>
                <w:color w:val="000000"/>
                <w:sz w:val="20"/>
                <w:szCs w:val="20"/>
              </w:rPr>
            </w:pPr>
            <w:r>
              <w:rPr>
                <w:b/>
                <w:bCs/>
                <w:noProof/>
                <w:color w:val="000000"/>
                <w:sz w:val="20"/>
                <w:szCs w:val="20"/>
              </w:rPr>
              <w:t>1,258,843,555</w:t>
            </w:r>
          </w:p>
        </w:tc>
        <w:tc>
          <w:tcPr>
            <w:tcW w:w="2016" w:type="dxa"/>
            <w:tcBorders>
              <w:top w:val="single" w:sz="4" w:space="0" w:color="auto"/>
              <w:left w:val="nil"/>
              <w:bottom w:val="single" w:sz="4" w:space="0" w:color="auto"/>
              <w:right w:val="nil"/>
            </w:tcBorders>
            <w:shd w:val="clear" w:color="auto" w:fill="auto"/>
            <w:vAlign w:val="center"/>
            <w:hideMark/>
          </w:tcPr>
          <w:p>
            <w:pPr>
              <w:jc w:val="right"/>
              <w:rPr>
                <w:b/>
                <w:noProof/>
                <w:color w:val="000000"/>
                <w:sz w:val="20"/>
                <w:szCs w:val="20"/>
              </w:rPr>
            </w:pPr>
          </w:p>
        </w:tc>
        <w:tc>
          <w:tcPr>
            <w:tcW w:w="1811" w:type="dxa"/>
            <w:tcBorders>
              <w:top w:val="single" w:sz="4" w:space="0" w:color="auto"/>
              <w:left w:val="nil"/>
              <w:bottom w:val="single" w:sz="4" w:space="0" w:color="auto"/>
              <w:right w:val="single" w:sz="4" w:space="0" w:color="auto"/>
            </w:tcBorders>
            <w:shd w:val="clear" w:color="auto" w:fill="auto"/>
            <w:vAlign w:val="center"/>
            <w:hideMark/>
          </w:tcPr>
          <w:p>
            <w:pPr>
              <w:jc w:val="right"/>
              <w:rPr>
                <w:b/>
                <w:noProof/>
                <w:color w:val="000000"/>
                <w:sz w:val="20"/>
                <w:szCs w:val="20"/>
              </w:rPr>
            </w:pPr>
            <w:r>
              <w:rPr>
                <w:b/>
                <w:bCs/>
                <w:noProof/>
                <w:color w:val="000000"/>
                <w:sz w:val="20"/>
                <w:szCs w:val="20"/>
              </w:rPr>
              <w:t>1,412,959,199</w:t>
            </w:r>
          </w:p>
        </w:tc>
      </w:tr>
    </w:tbl>
    <w:p>
      <w:pPr>
        <w:jc w:val="both"/>
        <w:rPr>
          <w:noProof/>
          <w:szCs w:val="22"/>
        </w:rPr>
      </w:pPr>
    </w:p>
    <w:p>
      <w:pPr>
        <w:pStyle w:val="ManualHeading4"/>
        <w:rPr>
          <w:noProof/>
        </w:rPr>
      </w:pPr>
      <w:r>
        <w:rPr>
          <w:noProof/>
        </w:rPr>
        <w:t>2.2.1.2.</w:t>
      </w:r>
      <w:r>
        <w:rPr>
          <w:noProof/>
        </w:rPr>
        <w:tab/>
        <w:t>Contributions payable and receivable as at 31 December 2017</w:t>
      </w:r>
    </w:p>
    <w:p>
      <w:pPr>
        <w:spacing w:before="120" w:after="120"/>
        <w:jc w:val="both"/>
        <w:rPr>
          <w:noProof/>
          <w:lang w:eastAsia="en-US"/>
        </w:rPr>
      </w:pPr>
      <w:r>
        <w:rPr>
          <w:noProof/>
          <w:lang w:eastAsia="en-US"/>
        </w:rPr>
        <w:t>As at 31 December 2017 the Fund has recorded EUR 137.8 million (2016: EUR 240.5 million) as contributions to be paid in by the European Union. In addition, as at 31 December 2017 the fund has recorded EUR 136,093 (2016: EUR Nil) as contribution receivable from historically called amounts relating to the amounts recovered by European Investment Bank with regards to Tunisian loan calls.</w:t>
      </w:r>
    </w:p>
    <w:p>
      <w:pPr>
        <w:pStyle w:val="ManualHeading3"/>
        <w:rPr>
          <w:noProof/>
        </w:rPr>
      </w:pPr>
      <w:bookmarkStart w:id="27" w:name="_Toc322447892"/>
      <w:bookmarkStart w:id="28" w:name="_Toc449626272"/>
      <w:bookmarkStart w:id="29" w:name="_Toc478663473"/>
      <w:r>
        <w:rPr>
          <w:noProof/>
        </w:rPr>
        <w:t>2.2.2.</w:t>
      </w:r>
      <w:r>
        <w:rPr>
          <w:noProof/>
        </w:rPr>
        <w:tab/>
        <w:t xml:space="preserve">The Fund’s holdings net of accrued interest at 31 December </w:t>
      </w:r>
      <w:bookmarkEnd w:id="27"/>
      <w:bookmarkEnd w:id="28"/>
      <w:bookmarkEnd w:id="29"/>
      <w:r>
        <w:rPr>
          <w:noProof/>
        </w:rPr>
        <w:t>2017</w:t>
      </w:r>
    </w:p>
    <w:p>
      <w:pPr>
        <w:spacing w:before="120" w:after="120"/>
        <w:jc w:val="both"/>
        <w:rPr>
          <w:noProof/>
        </w:rPr>
      </w:pPr>
      <w:r>
        <w:rPr>
          <w:noProof/>
        </w:rPr>
        <w:t>The Fund’s holdings at 31 December 2017 excluding accrued interest and contributions receivable totalled EUR 2,408.7 million as detailed below:</w:t>
      </w:r>
    </w:p>
    <w:p>
      <w:pPr>
        <w:numPr>
          <w:ilvl w:val="0"/>
          <w:numId w:val="26"/>
        </w:numPr>
        <w:tabs>
          <w:tab w:val="left" w:pos="360"/>
        </w:tabs>
        <w:suppressAutoHyphens/>
        <w:jc w:val="both"/>
        <w:rPr>
          <w:noProof/>
          <w:lang w:eastAsia="en-US"/>
        </w:rPr>
      </w:pPr>
      <w:r>
        <w:rPr>
          <w:noProof/>
          <w:lang w:eastAsia="en-US"/>
        </w:rPr>
        <w:t xml:space="preserve">EUR </w:t>
      </w:r>
      <w:r>
        <w:rPr>
          <w:noProof/>
        </w:rPr>
        <w:t xml:space="preserve">178.6 </w:t>
      </w:r>
      <w:r>
        <w:rPr>
          <w:noProof/>
          <w:lang w:eastAsia="en-US"/>
        </w:rPr>
        <w:t>million in the monetary portfolio (nominal value of interbank term deposits);</w:t>
      </w:r>
    </w:p>
    <w:p>
      <w:pPr>
        <w:numPr>
          <w:ilvl w:val="0"/>
          <w:numId w:val="26"/>
        </w:numPr>
        <w:tabs>
          <w:tab w:val="left" w:pos="360"/>
        </w:tabs>
        <w:suppressAutoHyphens/>
        <w:jc w:val="both"/>
        <w:rPr>
          <w:noProof/>
          <w:lang w:eastAsia="en-US"/>
        </w:rPr>
      </w:pPr>
      <w:r>
        <w:rPr>
          <w:noProof/>
          <w:lang w:eastAsia="en-US"/>
        </w:rPr>
        <w:t xml:space="preserve">EUR </w:t>
      </w:r>
      <w:r>
        <w:rPr>
          <w:noProof/>
        </w:rPr>
        <w:t xml:space="preserve">45.6 </w:t>
      </w:r>
      <w:r>
        <w:rPr>
          <w:noProof/>
          <w:lang w:eastAsia="en-US"/>
        </w:rPr>
        <w:t xml:space="preserve">million in the current accounts; </w:t>
      </w:r>
    </w:p>
    <w:p>
      <w:pPr>
        <w:numPr>
          <w:ilvl w:val="0"/>
          <w:numId w:val="26"/>
        </w:numPr>
        <w:suppressAutoHyphens/>
        <w:jc w:val="both"/>
        <w:rPr>
          <w:noProof/>
          <w:lang w:eastAsia="en-US"/>
        </w:rPr>
      </w:pPr>
      <w:r>
        <w:rPr>
          <w:noProof/>
          <w:lang w:eastAsia="en-US"/>
        </w:rPr>
        <w:t xml:space="preserve">EUR </w:t>
      </w:r>
      <w:r>
        <w:rPr>
          <w:noProof/>
        </w:rPr>
        <w:t xml:space="preserve">2,184.5 </w:t>
      </w:r>
      <w:r>
        <w:rPr>
          <w:noProof/>
          <w:lang w:eastAsia="en-US"/>
        </w:rPr>
        <w:t>million in the Available For Sale (AFS) (portfolio market value of fixed rate bonds, floating rate bonds, zero-coupon bonds and commercial papers, excluding accrued interest).</w:t>
      </w:r>
    </w:p>
    <w:p>
      <w:pPr>
        <w:spacing w:before="120" w:after="120"/>
        <w:jc w:val="both"/>
        <w:rPr>
          <w:noProof/>
        </w:rPr>
      </w:pPr>
      <w:r>
        <w:rPr>
          <w:noProof/>
        </w:rPr>
        <w:t>The Fund operates in one currency only, the Euro.</w:t>
      </w:r>
    </w:p>
    <w:p>
      <w:pPr>
        <w:pStyle w:val="ManualHeading2"/>
        <w:rPr>
          <w:noProof/>
        </w:rPr>
      </w:pPr>
      <w:bookmarkStart w:id="30" w:name="_Toc449626273"/>
      <w:bookmarkStart w:id="31" w:name="_Toc478663474"/>
      <w:r>
        <w:rPr>
          <w:noProof/>
        </w:rPr>
        <w:t>2.3.</w:t>
      </w:r>
      <w:r>
        <w:rPr>
          <w:noProof/>
        </w:rPr>
        <w:tab/>
        <w:t>General and segmental analyses of the Fund</w:t>
      </w:r>
      <w:bookmarkEnd w:id="30"/>
      <w:bookmarkEnd w:id="31"/>
    </w:p>
    <w:p>
      <w:pPr>
        <w:pStyle w:val="ManualHeading3"/>
        <w:rPr>
          <w:noProof/>
        </w:rPr>
      </w:pPr>
      <w:bookmarkStart w:id="32" w:name="_Toc322447894"/>
      <w:bookmarkStart w:id="33" w:name="_Toc449626274"/>
      <w:bookmarkStart w:id="34" w:name="_Toc478663475"/>
      <w:r>
        <w:rPr>
          <w:noProof/>
        </w:rPr>
        <w:t>2.3.1.</w:t>
      </w:r>
      <w:r>
        <w:rPr>
          <w:noProof/>
        </w:rPr>
        <w:tab/>
        <w:t>Liquidity analysis</w:t>
      </w:r>
      <w:bookmarkEnd w:id="32"/>
      <w:bookmarkEnd w:id="33"/>
      <w:bookmarkEnd w:id="34"/>
    </w:p>
    <w:p>
      <w:pPr>
        <w:spacing w:before="120" w:after="120"/>
        <w:jc w:val="both"/>
        <w:rPr>
          <w:noProof/>
          <w:lang w:eastAsia="en-US"/>
        </w:rPr>
      </w:pPr>
      <w:r>
        <w:rPr>
          <w:noProof/>
          <w:lang w:eastAsia="en-US"/>
        </w:rPr>
        <w:t xml:space="preserve">The liquidity position of the Fund at 31 December 2017 is outlined in the table below. The liabilities shown in the column "maturity undefined" represent the Contributor's (i.e. European Union's) resources. </w:t>
      </w:r>
    </w:p>
    <w:p>
      <w:pPr>
        <w:keepNext/>
        <w:spacing w:before="120" w:after="120"/>
        <w:contextualSpacing/>
        <w:jc w:val="both"/>
        <w:rPr>
          <w:noProof/>
          <w:lang w:eastAsia="en-US"/>
        </w:rPr>
      </w:pPr>
      <w:r>
        <w:rPr>
          <w:noProof/>
          <w:lang w:eastAsia="en-US"/>
        </w:rPr>
        <w:t>Liquidity position as at 31 December 2017 (in EUR million):</w:t>
      </w:r>
    </w:p>
    <w:p>
      <w:pPr>
        <w:spacing w:before="120" w:after="120"/>
        <w:contextualSpacing/>
        <w:jc w:val="both"/>
        <w:rPr>
          <w:noProof/>
          <w:lang w:eastAsia="en-US"/>
        </w:rPr>
      </w:pPr>
    </w:p>
    <w:tbl>
      <w:tblPr>
        <w:tblW w:w="90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417"/>
        <w:gridCol w:w="1560"/>
        <w:gridCol w:w="1405"/>
        <w:gridCol w:w="1275"/>
        <w:gridCol w:w="1121"/>
      </w:tblGrid>
      <w:tr>
        <w:trPr>
          <w:trHeight w:val="300"/>
        </w:trPr>
        <w:tc>
          <w:tcPr>
            <w:tcW w:w="2296" w:type="dxa"/>
            <w:shd w:val="clear" w:color="auto" w:fill="auto"/>
            <w:vAlign w:val="center"/>
            <w:hideMark/>
          </w:tcPr>
          <w:p>
            <w:pPr>
              <w:jc w:val="both"/>
              <w:rPr>
                <w:b/>
                <w:bCs/>
                <w:noProof/>
                <w:color w:val="000000"/>
                <w:sz w:val="20"/>
                <w:szCs w:val="20"/>
              </w:rPr>
            </w:pPr>
            <w:r>
              <w:rPr>
                <w:b/>
                <w:bCs/>
                <w:noProof/>
                <w:color w:val="000000"/>
                <w:sz w:val="20"/>
                <w:szCs w:val="20"/>
              </w:rPr>
              <w:t>Maturity</w:t>
            </w:r>
          </w:p>
        </w:tc>
        <w:tc>
          <w:tcPr>
            <w:tcW w:w="1417" w:type="dxa"/>
            <w:shd w:val="clear" w:color="auto" w:fill="auto"/>
            <w:vAlign w:val="center"/>
            <w:hideMark/>
          </w:tcPr>
          <w:p>
            <w:pPr>
              <w:jc w:val="center"/>
              <w:rPr>
                <w:b/>
                <w:bCs/>
                <w:noProof/>
                <w:color w:val="000000"/>
                <w:sz w:val="20"/>
                <w:szCs w:val="20"/>
              </w:rPr>
            </w:pPr>
            <w:r>
              <w:rPr>
                <w:b/>
                <w:bCs/>
                <w:noProof/>
                <w:color w:val="000000"/>
                <w:sz w:val="20"/>
                <w:szCs w:val="20"/>
              </w:rPr>
              <w:t>less than 3 months</w:t>
            </w:r>
          </w:p>
        </w:tc>
        <w:tc>
          <w:tcPr>
            <w:tcW w:w="1560" w:type="dxa"/>
            <w:shd w:val="clear" w:color="auto" w:fill="auto"/>
            <w:vAlign w:val="center"/>
            <w:hideMark/>
          </w:tcPr>
          <w:p>
            <w:pPr>
              <w:jc w:val="center"/>
              <w:rPr>
                <w:b/>
                <w:bCs/>
                <w:noProof/>
                <w:color w:val="000000"/>
                <w:sz w:val="20"/>
                <w:szCs w:val="20"/>
              </w:rPr>
            </w:pPr>
            <w:r>
              <w:rPr>
                <w:b/>
                <w:bCs/>
                <w:noProof/>
                <w:color w:val="000000"/>
                <w:sz w:val="20"/>
                <w:szCs w:val="20"/>
              </w:rPr>
              <w:t>3 months to 1 year</w:t>
            </w:r>
          </w:p>
        </w:tc>
        <w:tc>
          <w:tcPr>
            <w:tcW w:w="1405" w:type="dxa"/>
            <w:shd w:val="clear" w:color="auto" w:fill="auto"/>
            <w:vAlign w:val="center"/>
            <w:hideMark/>
          </w:tcPr>
          <w:p>
            <w:pPr>
              <w:jc w:val="center"/>
              <w:rPr>
                <w:b/>
                <w:bCs/>
                <w:noProof/>
                <w:color w:val="000000"/>
                <w:sz w:val="20"/>
                <w:szCs w:val="20"/>
              </w:rPr>
            </w:pPr>
            <w:r>
              <w:rPr>
                <w:b/>
                <w:bCs/>
                <w:noProof/>
                <w:color w:val="000000"/>
                <w:sz w:val="20"/>
                <w:szCs w:val="20"/>
              </w:rPr>
              <w:t>1 to 10 years</w:t>
            </w:r>
          </w:p>
        </w:tc>
        <w:tc>
          <w:tcPr>
            <w:tcW w:w="1275" w:type="dxa"/>
            <w:shd w:val="clear" w:color="auto" w:fill="auto"/>
            <w:vAlign w:val="center"/>
            <w:hideMark/>
          </w:tcPr>
          <w:p>
            <w:pPr>
              <w:jc w:val="center"/>
              <w:rPr>
                <w:b/>
                <w:bCs/>
                <w:noProof/>
                <w:color w:val="000000"/>
                <w:sz w:val="20"/>
                <w:szCs w:val="20"/>
              </w:rPr>
            </w:pPr>
            <w:r>
              <w:rPr>
                <w:b/>
                <w:bCs/>
                <w:noProof/>
                <w:color w:val="000000"/>
                <w:sz w:val="20"/>
                <w:szCs w:val="20"/>
              </w:rPr>
              <w:t>maturity undefined</w:t>
            </w:r>
          </w:p>
        </w:tc>
        <w:tc>
          <w:tcPr>
            <w:tcW w:w="1121" w:type="dxa"/>
            <w:shd w:val="clear" w:color="auto" w:fill="auto"/>
            <w:vAlign w:val="center"/>
            <w:hideMark/>
          </w:tcPr>
          <w:p>
            <w:pPr>
              <w:jc w:val="center"/>
              <w:rPr>
                <w:b/>
                <w:bCs/>
                <w:noProof/>
                <w:color w:val="000000"/>
                <w:sz w:val="20"/>
                <w:szCs w:val="20"/>
              </w:rPr>
            </w:pPr>
            <w:r>
              <w:rPr>
                <w:b/>
                <w:bCs/>
                <w:noProof/>
                <w:color w:val="000000"/>
                <w:sz w:val="20"/>
                <w:szCs w:val="20"/>
              </w:rPr>
              <w:t>Total</w:t>
            </w:r>
          </w:p>
        </w:tc>
      </w:tr>
      <w:tr>
        <w:trPr>
          <w:trHeight w:val="315"/>
        </w:trPr>
        <w:tc>
          <w:tcPr>
            <w:tcW w:w="2296" w:type="dxa"/>
            <w:shd w:val="clear" w:color="auto" w:fill="auto"/>
            <w:vAlign w:val="center"/>
            <w:hideMark/>
          </w:tcPr>
          <w:p>
            <w:pPr>
              <w:jc w:val="both"/>
              <w:rPr>
                <w:i/>
                <w:noProof/>
                <w:color w:val="000000"/>
                <w:sz w:val="20"/>
                <w:szCs w:val="20"/>
              </w:rPr>
            </w:pPr>
            <w:r>
              <w:rPr>
                <w:i/>
                <w:noProof/>
                <w:color w:val="000000"/>
                <w:sz w:val="20"/>
                <w:szCs w:val="20"/>
              </w:rPr>
              <w:t>Total assets</w:t>
            </w:r>
          </w:p>
        </w:tc>
        <w:tc>
          <w:tcPr>
            <w:tcW w:w="1417" w:type="dxa"/>
            <w:shd w:val="clear" w:color="auto" w:fill="auto"/>
            <w:vAlign w:val="center"/>
            <w:hideMark/>
          </w:tcPr>
          <w:p>
            <w:pPr>
              <w:jc w:val="center"/>
              <w:rPr>
                <w:i/>
                <w:noProof/>
                <w:color w:val="000000"/>
                <w:sz w:val="20"/>
                <w:szCs w:val="20"/>
              </w:rPr>
            </w:pPr>
            <w:r>
              <w:rPr>
                <w:i/>
                <w:noProof/>
                <w:color w:val="000000"/>
                <w:sz w:val="20"/>
                <w:szCs w:val="20"/>
              </w:rPr>
              <w:t>390</w:t>
            </w:r>
          </w:p>
        </w:tc>
        <w:tc>
          <w:tcPr>
            <w:tcW w:w="1560" w:type="dxa"/>
            <w:shd w:val="clear" w:color="auto" w:fill="auto"/>
            <w:vAlign w:val="center"/>
            <w:hideMark/>
          </w:tcPr>
          <w:p>
            <w:pPr>
              <w:jc w:val="center"/>
              <w:rPr>
                <w:i/>
                <w:noProof/>
                <w:color w:val="000000"/>
                <w:sz w:val="20"/>
                <w:szCs w:val="20"/>
              </w:rPr>
            </w:pPr>
            <w:r>
              <w:rPr>
                <w:i/>
                <w:noProof/>
                <w:color w:val="000000"/>
                <w:sz w:val="20"/>
                <w:szCs w:val="20"/>
              </w:rPr>
              <w:t>79</w:t>
            </w:r>
          </w:p>
        </w:tc>
        <w:tc>
          <w:tcPr>
            <w:tcW w:w="1405" w:type="dxa"/>
            <w:shd w:val="clear" w:color="auto" w:fill="auto"/>
            <w:vAlign w:val="center"/>
            <w:hideMark/>
          </w:tcPr>
          <w:p>
            <w:pPr>
              <w:jc w:val="center"/>
              <w:rPr>
                <w:i/>
                <w:noProof/>
                <w:color w:val="000000"/>
                <w:sz w:val="20"/>
                <w:szCs w:val="20"/>
              </w:rPr>
            </w:pPr>
            <w:r>
              <w:rPr>
                <w:i/>
                <w:noProof/>
                <w:color w:val="000000"/>
                <w:sz w:val="20"/>
                <w:szCs w:val="20"/>
              </w:rPr>
              <w:t>2,092</w:t>
            </w:r>
          </w:p>
        </w:tc>
        <w:tc>
          <w:tcPr>
            <w:tcW w:w="1275" w:type="dxa"/>
            <w:shd w:val="clear" w:color="auto" w:fill="auto"/>
            <w:vAlign w:val="center"/>
            <w:hideMark/>
          </w:tcPr>
          <w:p>
            <w:pPr>
              <w:jc w:val="center"/>
              <w:rPr>
                <w:i/>
                <w:noProof/>
                <w:color w:val="000000"/>
                <w:sz w:val="20"/>
                <w:szCs w:val="20"/>
              </w:rPr>
            </w:pPr>
            <w:r>
              <w:rPr>
                <w:i/>
                <w:noProof/>
                <w:color w:val="000000"/>
                <w:sz w:val="20"/>
                <w:szCs w:val="20"/>
              </w:rPr>
              <w:t>0</w:t>
            </w:r>
          </w:p>
        </w:tc>
        <w:tc>
          <w:tcPr>
            <w:tcW w:w="1121" w:type="dxa"/>
            <w:shd w:val="clear" w:color="auto" w:fill="auto"/>
            <w:vAlign w:val="center"/>
            <w:hideMark/>
          </w:tcPr>
          <w:p>
            <w:pPr>
              <w:jc w:val="center"/>
              <w:rPr>
                <w:i/>
                <w:noProof/>
                <w:color w:val="000000"/>
                <w:sz w:val="20"/>
                <w:szCs w:val="20"/>
              </w:rPr>
            </w:pPr>
            <w:r>
              <w:rPr>
                <w:i/>
                <w:noProof/>
                <w:color w:val="000000"/>
                <w:sz w:val="20"/>
                <w:szCs w:val="20"/>
              </w:rPr>
              <w:t>2,561</w:t>
            </w:r>
          </w:p>
        </w:tc>
      </w:tr>
      <w:tr>
        <w:trPr>
          <w:trHeight w:val="315"/>
        </w:trPr>
        <w:tc>
          <w:tcPr>
            <w:tcW w:w="9074" w:type="dxa"/>
            <w:gridSpan w:val="6"/>
            <w:shd w:val="clear" w:color="auto" w:fill="auto"/>
            <w:noWrap/>
            <w:vAlign w:val="center"/>
          </w:tcPr>
          <w:p>
            <w:pPr>
              <w:rPr>
                <w:noProof/>
                <w:color w:val="000000"/>
                <w:sz w:val="20"/>
                <w:szCs w:val="20"/>
              </w:rPr>
            </w:pPr>
          </w:p>
        </w:tc>
      </w:tr>
      <w:tr>
        <w:trPr>
          <w:trHeight w:val="363"/>
        </w:trPr>
        <w:tc>
          <w:tcPr>
            <w:tcW w:w="2296" w:type="dxa"/>
            <w:shd w:val="clear" w:color="auto" w:fill="auto"/>
            <w:noWrap/>
            <w:vAlign w:val="center"/>
            <w:hideMark/>
          </w:tcPr>
          <w:p>
            <w:pPr>
              <w:jc w:val="both"/>
              <w:rPr>
                <w:noProof/>
                <w:color w:val="000000"/>
                <w:sz w:val="20"/>
                <w:szCs w:val="20"/>
              </w:rPr>
            </w:pPr>
            <w:r>
              <w:rPr>
                <w:noProof/>
                <w:color w:val="000000"/>
                <w:sz w:val="20"/>
                <w:szCs w:val="20"/>
              </w:rPr>
              <w:t>Total net assets</w:t>
            </w:r>
          </w:p>
        </w:tc>
        <w:tc>
          <w:tcPr>
            <w:tcW w:w="1417" w:type="dxa"/>
            <w:shd w:val="clear" w:color="auto" w:fill="auto"/>
            <w:noWrap/>
            <w:vAlign w:val="center"/>
            <w:hideMark/>
          </w:tcPr>
          <w:p>
            <w:pPr>
              <w:jc w:val="center"/>
              <w:rPr>
                <w:noProof/>
                <w:color w:val="000000"/>
                <w:sz w:val="20"/>
                <w:szCs w:val="20"/>
              </w:rPr>
            </w:pPr>
            <w:r>
              <w:rPr>
                <w:noProof/>
                <w:color w:val="000000"/>
                <w:sz w:val="20"/>
                <w:szCs w:val="20"/>
              </w:rPr>
              <w:t>0</w:t>
            </w:r>
          </w:p>
        </w:tc>
        <w:tc>
          <w:tcPr>
            <w:tcW w:w="1560" w:type="dxa"/>
            <w:shd w:val="clear" w:color="auto" w:fill="auto"/>
            <w:noWrap/>
            <w:vAlign w:val="center"/>
            <w:hideMark/>
          </w:tcPr>
          <w:p>
            <w:pPr>
              <w:jc w:val="center"/>
              <w:rPr>
                <w:noProof/>
                <w:color w:val="000000"/>
                <w:sz w:val="20"/>
                <w:szCs w:val="20"/>
              </w:rPr>
            </w:pPr>
            <w:r>
              <w:rPr>
                <w:noProof/>
                <w:color w:val="000000"/>
                <w:sz w:val="20"/>
                <w:szCs w:val="20"/>
              </w:rPr>
              <w:t>0</w:t>
            </w:r>
          </w:p>
        </w:tc>
        <w:tc>
          <w:tcPr>
            <w:tcW w:w="1405" w:type="dxa"/>
            <w:shd w:val="clear" w:color="auto" w:fill="auto"/>
            <w:noWrap/>
            <w:vAlign w:val="center"/>
            <w:hideMark/>
          </w:tcPr>
          <w:p>
            <w:pPr>
              <w:jc w:val="center"/>
              <w:rPr>
                <w:noProof/>
                <w:color w:val="000000"/>
                <w:sz w:val="20"/>
                <w:szCs w:val="20"/>
              </w:rPr>
            </w:pPr>
            <w:r>
              <w:rPr>
                <w:noProof/>
                <w:color w:val="000000"/>
                <w:sz w:val="20"/>
                <w:szCs w:val="20"/>
              </w:rPr>
              <w:t>0</w:t>
            </w:r>
          </w:p>
        </w:tc>
        <w:tc>
          <w:tcPr>
            <w:tcW w:w="1275" w:type="dxa"/>
            <w:shd w:val="clear" w:color="auto" w:fill="auto"/>
            <w:noWrap/>
            <w:vAlign w:val="center"/>
            <w:hideMark/>
          </w:tcPr>
          <w:p>
            <w:pPr>
              <w:jc w:val="center"/>
              <w:rPr>
                <w:noProof/>
                <w:color w:val="000000"/>
                <w:sz w:val="20"/>
                <w:szCs w:val="20"/>
              </w:rPr>
            </w:pPr>
            <w:r>
              <w:rPr>
                <w:noProof/>
                <w:color w:val="000000"/>
                <w:sz w:val="20"/>
                <w:szCs w:val="20"/>
              </w:rPr>
              <w:t>-2,560</w:t>
            </w:r>
          </w:p>
        </w:tc>
        <w:tc>
          <w:tcPr>
            <w:tcW w:w="1121" w:type="dxa"/>
            <w:shd w:val="clear" w:color="auto" w:fill="auto"/>
            <w:vAlign w:val="center"/>
            <w:hideMark/>
          </w:tcPr>
          <w:p>
            <w:pPr>
              <w:jc w:val="center"/>
              <w:rPr>
                <w:noProof/>
                <w:color w:val="000000"/>
                <w:sz w:val="20"/>
                <w:szCs w:val="20"/>
              </w:rPr>
            </w:pPr>
            <w:r>
              <w:rPr>
                <w:noProof/>
                <w:color w:val="000000"/>
                <w:sz w:val="20"/>
                <w:szCs w:val="20"/>
              </w:rPr>
              <w:t>-2,560</w:t>
            </w:r>
          </w:p>
        </w:tc>
      </w:tr>
      <w:tr>
        <w:trPr>
          <w:trHeight w:val="315"/>
        </w:trPr>
        <w:tc>
          <w:tcPr>
            <w:tcW w:w="2296" w:type="dxa"/>
            <w:shd w:val="clear" w:color="auto" w:fill="auto"/>
            <w:noWrap/>
            <w:vAlign w:val="center"/>
            <w:hideMark/>
          </w:tcPr>
          <w:p>
            <w:pPr>
              <w:jc w:val="both"/>
              <w:rPr>
                <w:noProof/>
                <w:color w:val="000000"/>
                <w:sz w:val="20"/>
                <w:szCs w:val="20"/>
              </w:rPr>
            </w:pPr>
            <w:r>
              <w:rPr>
                <w:noProof/>
                <w:color w:val="000000"/>
                <w:sz w:val="20"/>
                <w:szCs w:val="20"/>
              </w:rPr>
              <w:t xml:space="preserve">Total liabilities </w:t>
            </w:r>
          </w:p>
        </w:tc>
        <w:tc>
          <w:tcPr>
            <w:tcW w:w="1417" w:type="dxa"/>
            <w:tcBorders>
              <w:bottom w:val="single" w:sz="4" w:space="0" w:color="auto"/>
            </w:tcBorders>
            <w:shd w:val="clear" w:color="auto" w:fill="auto"/>
            <w:noWrap/>
            <w:vAlign w:val="center"/>
            <w:hideMark/>
          </w:tcPr>
          <w:p>
            <w:pPr>
              <w:jc w:val="center"/>
              <w:rPr>
                <w:noProof/>
                <w:color w:val="000000"/>
                <w:sz w:val="20"/>
                <w:szCs w:val="20"/>
              </w:rPr>
            </w:pPr>
            <w:r>
              <w:rPr>
                <w:noProof/>
                <w:color w:val="000000"/>
                <w:sz w:val="20"/>
                <w:szCs w:val="20"/>
              </w:rPr>
              <w:t>-1</w:t>
            </w:r>
          </w:p>
        </w:tc>
        <w:tc>
          <w:tcPr>
            <w:tcW w:w="1560" w:type="dxa"/>
            <w:tcBorders>
              <w:bottom w:val="single" w:sz="4" w:space="0" w:color="auto"/>
            </w:tcBorders>
            <w:shd w:val="clear" w:color="auto" w:fill="auto"/>
            <w:noWrap/>
            <w:vAlign w:val="center"/>
            <w:hideMark/>
          </w:tcPr>
          <w:p>
            <w:pPr>
              <w:jc w:val="center"/>
              <w:rPr>
                <w:noProof/>
                <w:color w:val="000000"/>
                <w:sz w:val="20"/>
                <w:szCs w:val="20"/>
              </w:rPr>
            </w:pPr>
            <w:r>
              <w:rPr>
                <w:noProof/>
                <w:color w:val="000000"/>
                <w:sz w:val="20"/>
                <w:szCs w:val="20"/>
              </w:rPr>
              <w:t>0</w:t>
            </w:r>
          </w:p>
        </w:tc>
        <w:tc>
          <w:tcPr>
            <w:tcW w:w="1405" w:type="dxa"/>
            <w:tcBorders>
              <w:bottom w:val="single" w:sz="4" w:space="0" w:color="auto"/>
            </w:tcBorders>
            <w:shd w:val="clear" w:color="auto" w:fill="auto"/>
            <w:noWrap/>
            <w:vAlign w:val="center"/>
            <w:hideMark/>
          </w:tcPr>
          <w:p>
            <w:pPr>
              <w:jc w:val="center"/>
              <w:rPr>
                <w:noProof/>
                <w:color w:val="000000"/>
                <w:sz w:val="20"/>
                <w:szCs w:val="20"/>
              </w:rPr>
            </w:pPr>
            <w:r>
              <w:rPr>
                <w:noProof/>
                <w:color w:val="000000"/>
                <w:sz w:val="20"/>
                <w:szCs w:val="20"/>
              </w:rPr>
              <w:t>0</w:t>
            </w:r>
          </w:p>
        </w:tc>
        <w:tc>
          <w:tcPr>
            <w:tcW w:w="1275" w:type="dxa"/>
            <w:tcBorders>
              <w:bottom w:val="single" w:sz="4" w:space="0" w:color="auto"/>
            </w:tcBorders>
            <w:shd w:val="clear" w:color="auto" w:fill="auto"/>
            <w:noWrap/>
            <w:vAlign w:val="center"/>
            <w:hideMark/>
          </w:tcPr>
          <w:p>
            <w:pPr>
              <w:jc w:val="center"/>
              <w:rPr>
                <w:noProof/>
                <w:color w:val="000000"/>
                <w:sz w:val="20"/>
                <w:szCs w:val="20"/>
              </w:rPr>
            </w:pPr>
            <w:r>
              <w:rPr>
                <w:noProof/>
                <w:color w:val="000000"/>
                <w:sz w:val="20"/>
                <w:szCs w:val="20"/>
              </w:rPr>
              <w:t>0</w:t>
            </w:r>
          </w:p>
        </w:tc>
        <w:tc>
          <w:tcPr>
            <w:tcW w:w="1121" w:type="dxa"/>
            <w:tcBorders>
              <w:bottom w:val="single" w:sz="4" w:space="0" w:color="auto"/>
            </w:tcBorders>
            <w:shd w:val="clear" w:color="auto" w:fill="auto"/>
            <w:vAlign w:val="center"/>
            <w:hideMark/>
          </w:tcPr>
          <w:p>
            <w:pPr>
              <w:jc w:val="center"/>
              <w:rPr>
                <w:noProof/>
                <w:color w:val="000000"/>
                <w:sz w:val="20"/>
                <w:szCs w:val="20"/>
              </w:rPr>
            </w:pPr>
            <w:r>
              <w:rPr>
                <w:noProof/>
                <w:color w:val="000000"/>
                <w:sz w:val="20"/>
                <w:szCs w:val="20"/>
              </w:rPr>
              <w:t>-1</w:t>
            </w:r>
          </w:p>
        </w:tc>
      </w:tr>
      <w:tr>
        <w:trPr>
          <w:trHeight w:val="315"/>
        </w:trPr>
        <w:tc>
          <w:tcPr>
            <w:tcW w:w="2296" w:type="dxa"/>
            <w:shd w:val="clear" w:color="auto" w:fill="auto"/>
            <w:noWrap/>
            <w:vAlign w:val="center"/>
          </w:tcPr>
          <w:p>
            <w:pPr>
              <w:jc w:val="both"/>
              <w:rPr>
                <w:i/>
                <w:noProof/>
                <w:color w:val="000000"/>
                <w:sz w:val="20"/>
                <w:szCs w:val="20"/>
              </w:rPr>
            </w:pPr>
            <w:r>
              <w:rPr>
                <w:i/>
                <w:noProof/>
                <w:color w:val="000000"/>
                <w:sz w:val="20"/>
                <w:szCs w:val="20"/>
              </w:rPr>
              <w:t>Total net assets and liabilities</w:t>
            </w:r>
          </w:p>
        </w:tc>
        <w:tc>
          <w:tcPr>
            <w:tcW w:w="1417" w:type="dxa"/>
            <w:tcBorders>
              <w:bottom w:val="single" w:sz="4" w:space="0" w:color="auto"/>
            </w:tcBorders>
            <w:shd w:val="clear" w:color="auto" w:fill="auto"/>
            <w:noWrap/>
            <w:vAlign w:val="center"/>
          </w:tcPr>
          <w:p>
            <w:pPr>
              <w:jc w:val="center"/>
              <w:rPr>
                <w:i/>
                <w:noProof/>
                <w:color w:val="000000"/>
                <w:sz w:val="20"/>
                <w:szCs w:val="20"/>
              </w:rPr>
            </w:pPr>
            <w:r>
              <w:rPr>
                <w:i/>
                <w:noProof/>
                <w:color w:val="000000"/>
                <w:sz w:val="20"/>
                <w:szCs w:val="20"/>
              </w:rPr>
              <w:t>-1</w:t>
            </w:r>
          </w:p>
        </w:tc>
        <w:tc>
          <w:tcPr>
            <w:tcW w:w="1560" w:type="dxa"/>
            <w:tcBorders>
              <w:bottom w:val="single" w:sz="4" w:space="0" w:color="auto"/>
            </w:tcBorders>
            <w:shd w:val="clear" w:color="auto" w:fill="auto"/>
            <w:noWrap/>
            <w:vAlign w:val="center"/>
          </w:tcPr>
          <w:p>
            <w:pPr>
              <w:jc w:val="center"/>
              <w:rPr>
                <w:i/>
                <w:noProof/>
                <w:color w:val="000000"/>
                <w:sz w:val="20"/>
                <w:szCs w:val="20"/>
              </w:rPr>
            </w:pPr>
            <w:r>
              <w:rPr>
                <w:i/>
                <w:noProof/>
                <w:color w:val="000000"/>
                <w:sz w:val="20"/>
                <w:szCs w:val="20"/>
              </w:rPr>
              <w:t>0</w:t>
            </w:r>
          </w:p>
        </w:tc>
        <w:tc>
          <w:tcPr>
            <w:tcW w:w="1405" w:type="dxa"/>
            <w:tcBorders>
              <w:bottom w:val="single" w:sz="4" w:space="0" w:color="auto"/>
            </w:tcBorders>
            <w:shd w:val="clear" w:color="auto" w:fill="auto"/>
            <w:noWrap/>
            <w:vAlign w:val="center"/>
          </w:tcPr>
          <w:p>
            <w:pPr>
              <w:jc w:val="center"/>
              <w:rPr>
                <w:i/>
                <w:noProof/>
                <w:color w:val="000000"/>
                <w:sz w:val="20"/>
                <w:szCs w:val="20"/>
              </w:rPr>
            </w:pPr>
            <w:r>
              <w:rPr>
                <w:i/>
                <w:noProof/>
                <w:color w:val="000000"/>
                <w:sz w:val="20"/>
                <w:szCs w:val="20"/>
              </w:rPr>
              <w:t>0</w:t>
            </w:r>
          </w:p>
        </w:tc>
        <w:tc>
          <w:tcPr>
            <w:tcW w:w="1275" w:type="dxa"/>
            <w:tcBorders>
              <w:bottom w:val="single" w:sz="4" w:space="0" w:color="auto"/>
            </w:tcBorders>
            <w:shd w:val="clear" w:color="auto" w:fill="auto"/>
            <w:noWrap/>
            <w:vAlign w:val="center"/>
          </w:tcPr>
          <w:p>
            <w:pPr>
              <w:jc w:val="center"/>
              <w:rPr>
                <w:i/>
                <w:noProof/>
                <w:color w:val="000000"/>
                <w:sz w:val="20"/>
                <w:szCs w:val="20"/>
              </w:rPr>
            </w:pPr>
            <w:r>
              <w:rPr>
                <w:i/>
                <w:noProof/>
                <w:color w:val="000000"/>
                <w:sz w:val="20"/>
                <w:szCs w:val="20"/>
              </w:rPr>
              <w:t>-2,560</w:t>
            </w:r>
          </w:p>
        </w:tc>
        <w:tc>
          <w:tcPr>
            <w:tcW w:w="1121" w:type="dxa"/>
            <w:tcBorders>
              <w:bottom w:val="single" w:sz="4" w:space="0" w:color="auto"/>
            </w:tcBorders>
            <w:shd w:val="clear" w:color="auto" w:fill="auto"/>
            <w:vAlign w:val="center"/>
          </w:tcPr>
          <w:p>
            <w:pPr>
              <w:jc w:val="center"/>
              <w:rPr>
                <w:i/>
                <w:noProof/>
                <w:color w:val="000000"/>
                <w:sz w:val="20"/>
                <w:szCs w:val="20"/>
              </w:rPr>
            </w:pPr>
            <w:r>
              <w:rPr>
                <w:i/>
                <w:noProof/>
                <w:color w:val="000000"/>
                <w:sz w:val="20"/>
                <w:szCs w:val="20"/>
              </w:rPr>
              <w:t>-2,561</w:t>
            </w:r>
          </w:p>
        </w:tc>
      </w:tr>
      <w:tr>
        <w:trPr>
          <w:trHeight w:val="315"/>
        </w:trPr>
        <w:tc>
          <w:tcPr>
            <w:tcW w:w="2296" w:type="dxa"/>
            <w:tcBorders>
              <w:bottom w:val="single" w:sz="4" w:space="0" w:color="auto"/>
              <w:right w:val="nil"/>
            </w:tcBorders>
            <w:shd w:val="clear" w:color="auto" w:fill="auto"/>
            <w:noWrap/>
            <w:vAlign w:val="center"/>
          </w:tcPr>
          <w:p>
            <w:pPr>
              <w:jc w:val="both"/>
              <w:rPr>
                <w:i/>
                <w:noProof/>
                <w:color w:val="000000"/>
                <w:sz w:val="20"/>
                <w:szCs w:val="20"/>
              </w:rPr>
            </w:pPr>
          </w:p>
        </w:tc>
        <w:tc>
          <w:tcPr>
            <w:tcW w:w="1417" w:type="dxa"/>
            <w:tcBorders>
              <w:top w:val="single" w:sz="4" w:space="0" w:color="auto"/>
              <w:left w:val="nil"/>
              <w:bottom w:val="single" w:sz="4" w:space="0" w:color="auto"/>
              <w:right w:val="nil"/>
            </w:tcBorders>
            <w:shd w:val="clear" w:color="auto" w:fill="auto"/>
            <w:noWrap/>
            <w:vAlign w:val="center"/>
          </w:tcPr>
          <w:p>
            <w:pPr>
              <w:jc w:val="center"/>
              <w:rPr>
                <w:i/>
                <w:noProof/>
                <w:color w:val="000000"/>
                <w:sz w:val="20"/>
                <w:szCs w:val="20"/>
              </w:rPr>
            </w:pPr>
          </w:p>
        </w:tc>
        <w:tc>
          <w:tcPr>
            <w:tcW w:w="1560" w:type="dxa"/>
            <w:tcBorders>
              <w:top w:val="single" w:sz="4" w:space="0" w:color="auto"/>
              <w:left w:val="nil"/>
              <w:bottom w:val="single" w:sz="4" w:space="0" w:color="auto"/>
              <w:right w:val="nil"/>
            </w:tcBorders>
            <w:shd w:val="clear" w:color="auto" w:fill="auto"/>
            <w:noWrap/>
            <w:vAlign w:val="center"/>
          </w:tcPr>
          <w:p>
            <w:pPr>
              <w:jc w:val="center"/>
              <w:rPr>
                <w:i/>
                <w:noProof/>
                <w:color w:val="000000"/>
                <w:sz w:val="20"/>
                <w:szCs w:val="20"/>
              </w:rPr>
            </w:pPr>
          </w:p>
        </w:tc>
        <w:tc>
          <w:tcPr>
            <w:tcW w:w="1405" w:type="dxa"/>
            <w:tcBorders>
              <w:top w:val="single" w:sz="4" w:space="0" w:color="auto"/>
              <w:left w:val="nil"/>
              <w:bottom w:val="single" w:sz="4" w:space="0" w:color="auto"/>
              <w:right w:val="nil"/>
            </w:tcBorders>
            <w:shd w:val="clear" w:color="auto" w:fill="auto"/>
            <w:noWrap/>
            <w:vAlign w:val="center"/>
          </w:tcPr>
          <w:p>
            <w:pPr>
              <w:jc w:val="center"/>
              <w:rPr>
                <w:i/>
                <w:noProof/>
                <w:color w:val="000000"/>
                <w:sz w:val="20"/>
                <w:szCs w:val="20"/>
              </w:rPr>
            </w:pPr>
          </w:p>
        </w:tc>
        <w:tc>
          <w:tcPr>
            <w:tcW w:w="1275" w:type="dxa"/>
            <w:tcBorders>
              <w:top w:val="single" w:sz="4" w:space="0" w:color="auto"/>
              <w:left w:val="nil"/>
              <w:bottom w:val="single" w:sz="4" w:space="0" w:color="auto"/>
              <w:right w:val="nil"/>
            </w:tcBorders>
            <w:shd w:val="clear" w:color="auto" w:fill="auto"/>
            <w:noWrap/>
            <w:vAlign w:val="center"/>
          </w:tcPr>
          <w:p>
            <w:pPr>
              <w:jc w:val="center"/>
              <w:rPr>
                <w:i/>
                <w:noProof/>
                <w:color w:val="000000"/>
                <w:sz w:val="20"/>
                <w:szCs w:val="20"/>
              </w:rPr>
            </w:pPr>
          </w:p>
        </w:tc>
        <w:tc>
          <w:tcPr>
            <w:tcW w:w="1121" w:type="dxa"/>
            <w:tcBorders>
              <w:top w:val="single" w:sz="4" w:space="0" w:color="auto"/>
              <w:left w:val="nil"/>
              <w:bottom w:val="single" w:sz="4" w:space="0" w:color="auto"/>
            </w:tcBorders>
            <w:shd w:val="clear" w:color="auto" w:fill="auto"/>
            <w:vAlign w:val="center"/>
          </w:tcPr>
          <w:p>
            <w:pPr>
              <w:jc w:val="center"/>
              <w:rPr>
                <w:i/>
                <w:noProof/>
                <w:color w:val="000000"/>
                <w:sz w:val="20"/>
                <w:szCs w:val="20"/>
              </w:rPr>
            </w:pPr>
          </w:p>
        </w:tc>
      </w:tr>
    </w:tbl>
    <w:p>
      <w:pPr>
        <w:pStyle w:val="ManualHeading3"/>
        <w:ind w:left="0" w:firstLine="0"/>
        <w:rPr>
          <w:noProof/>
        </w:rPr>
      </w:pPr>
      <w:bookmarkStart w:id="35" w:name="_Toc322447895"/>
      <w:bookmarkStart w:id="36" w:name="_Toc449626275"/>
      <w:bookmarkStart w:id="37" w:name="_Toc478663476"/>
    </w:p>
    <w:p>
      <w:pPr>
        <w:pStyle w:val="ManualHeading3"/>
        <w:ind w:left="0" w:firstLine="0"/>
        <w:rPr>
          <w:noProof/>
        </w:rPr>
      </w:pPr>
      <w:r>
        <w:rPr>
          <w:noProof/>
        </w:rPr>
        <w:t>2.3.2.</w:t>
      </w:r>
      <w:r>
        <w:rPr>
          <w:noProof/>
        </w:rPr>
        <w:tab/>
        <w:t>General analysis of the results of the Fund</w:t>
      </w:r>
      <w:bookmarkEnd w:id="35"/>
      <w:bookmarkEnd w:id="36"/>
      <w:bookmarkEnd w:id="37"/>
    </w:p>
    <w:p>
      <w:pPr>
        <w:spacing w:before="120" w:after="120"/>
        <w:jc w:val="both"/>
        <w:rPr>
          <w:noProof/>
          <w:lang w:eastAsia="en-US"/>
        </w:rPr>
      </w:pPr>
      <w:r>
        <w:rPr>
          <w:noProof/>
          <w:lang w:val="en-US" w:eastAsia="en-US"/>
        </w:rPr>
        <w:t xml:space="preserve">Overall, during the reporting period 1 January 2017 to 31 December 2017 the Fund achieved EUR 15.97 million in net revenue. </w:t>
      </w:r>
      <w:r>
        <w:rPr>
          <w:noProof/>
          <w:lang w:eastAsia="en-US"/>
        </w:rPr>
        <w:t>The following table outlines the net revenue earned in 2017 and compares it with 2016:</w:t>
      </w:r>
    </w:p>
    <w:tbl>
      <w:tblPr>
        <w:tblW w:w="9077" w:type="dxa"/>
        <w:tblInd w:w="103" w:type="dxa"/>
        <w:tblLayout w:type="fixed"/>
        <w:tblLook w:val="04A0" w:firstRow="1" w:lastRow="0" w:firstColumn="1" w:lastColumn="0" w:noHBand="0" w:noVBand="1"/>
      </w:tblPr>
      <w:tblGrid>
        <w:gridCol w:w="4400"/>
        <w:gridCol w:w="1134"/>
        <w:gridCol w:w="1134"/>
        <w:gridCol w:w="1417"/>
        <w:gridCol w:w="992"/>
      </w:tblGrid>
      <w:tr>
        <w:trPr>
          <w:trHeight w:val="285"/>
        </w:trPr>
        <w:tc>
          <w:tcPr>
            <w:tcW w:w="4400" w:type="dxa"/>
            <w:tcBorders>
              <w:top w:val="single" w:sz="4" w:space="0" w:color="auto"/>
              <w:left w:val="single" w:sz="4" w:space="0" w:color="auto"/>
              <w:bottom w:val="single" w:sz="4" w:space="0" w:color="auto"/>
              <w:right w:val="nil"/>
            </w:tcBorders>
            <w:shd w:val="clear" w:color="auto" w:fill="auto"/>
            <w:noWrap/>
            <w:vAlign w:val="bottom"/>
            <w:hideMark/>
          </w:tcPr>
          <w:p>
            <w:pPr>
              <w:rPr>
                <w:b/>
                <w:bCs/>
                <w:noProof/>
                <w:sz w:val="21"/>
                <w:szCs w:val="21"/>
              </w:rPr>
            </w:pPr>
            <w:r>
              <w:rPr>
                <w:b/>
                <w:bCs/>
                <w:noProof/>
                <w:sz w:val="21"/>
                <w:szCs w:val="21"/>
              </w:rPr>
              <w:t>In EUR million</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pPr>
              <w:jc w:val="center"/>
              <w:rPr>
                <w:b/>
                <w:bCs/>
                <w:noProof/>
                <w:sz w:val="21"/>
                <w:szCs w:val="21"/>
              </w:rPr>
            </w:pPr>
            <w:r>
              <w:rPr>
                <w:b/>
                <w:bCs/>
                <w:noProof/>
                <w:sz w:val="21"/>
                <w:szCs w:val="21"/>
              </w:rPr>
              <w:t>From 1 January to</w:t>
            </w:r>
          </w:p>
          <w:p>
            <w:pPr>
              <w:jc w:val="center"/>
              <w:rPr>
                <w:b/>
                <w:bCs/>
                <w:noProof/>
                <w:sz w:val="21"/>
                <w:szCs w:val="21"/>
              </w:rPr>
            </w:pPr>
            <w:r>
              <w:rPr>
                <w:b/>
                <w:bCs/>
                <w:noProof/>
                <w:sz w:val="21"/>
                <w:szCs w:val="21"/>
              </w:rPr>
              <w:t xml:space="preserve"> 31 December 2017</w:t>
            </w:r>
          </w:p>
        </w:tc>
        <w:tc>
          <w:tcPr>
            <w:tcW w:w="2409" w:type="dxa"/>
            <w:gridSpan w:val="2"/>
            <w:tcBorders>
              <w:top w:val="single" w:sz="4" w:space="0" w:color="auto"/>
              <w:left w:val="nil"/>
              <w:bottom w:val="single" w:sz="4" w:space="0" w:color="auto"/>
              <w:right w:val="single" w:sz="4" w:space="0" w:color="000000"/>
            </w:tcBorders>
            <w:shd w:val="clear" w:color="auto" w:fill="auto"/>
            <w:noWrap/>
            <w:vAlign w:val="bottom"/>
            <w:hideMark/>
          </w:tcPr>
          <w:p>
            <w:pPr>
              <w:jc w:val="center"/>
              <w:rPr>
                <w:b/>
                <w:bCs/>
                <w:noProof/>
                <w:sz w:val="21"/>
                <w:szCs w:val="21"/>
              </w:rPr>
            </w:pPr>
            <w:r>
              <w:rPr>
                <w:b/>
                <w:bCs/>
                <w:noProof/>
                <w:sz w:val="21"/>
                <w:szCs w:val="21"/>
              </w:rPr>
              <w:t xml:space="preserve">From 1 January to </w:t>
            </w:r>
          </w:p>
          <w:p>
            <w:pPr>
              <w:jc w:val="center"/>
              <w:rPr>
                <w:b/>
                <w:bCs/>
                <w:noProof/>
                <w:sz w:val="21"/>
                <w:szCs w:val="21"/>
              </w:rPr>
            </w:pPr>
            <w:r>
              <w:rPr>
                <w:b/>
                <w:bCs/>
                <w:noProof/>
                <w:sz w:val="21"/>
                <w:szCs w:val="21"/>
              </w:rPr>
              <w:t>31 December 2016</w:t>
            </w:r>
          </w:p>
        </w:tc>
      </w:tr>
      <w:tr>
        <w:trPr>
          <w:trHeight w:val="188"/>
        </w:trPr>
        <w:tc>
          <w:tcPr>
            <w:tcW w:w="4400" w:type="dxa"/>
            <w:tcBorders>
              <w:top w:val="nil"/>
              <w:left w:val="single" w:sz="4" w:space="0" w:color="auto"/>
              <w:bottom w:val="nil"/>
              <w:right w:val="nil"/>
            </w:tcBorders>
            <w:shd w:val="clear" w:color="auto" w:fill="auto"/>
            <w:noWrap/>
            <w:vAlign w:val="bottom"/>
            <w:hideMark/>
          </w:tcPr>
          <w:p>
            <w:pPr>
              <w:rPr>
                <w:noProof/>
                <w:sz w:val="21"/>
                <w:szCs w:val="21"/>
              </w:rPr>
            </w:pPr>
            <w:r>
              <w:rPr>
                <w:noProof/>
                <w:sz w:val="21"/>
                <w:szCs w:val="21"/>
              </w:rPr>
              <w:t> </w:t>
            </w:r>
          </w:p>
        </w:tc>
        <w:tc>
          <w:tcPr>
            <w:tcW w:w="1134" w:type="dxa"/>
            <w:tcBorders>
              <w:top w:val="nil"/>
              <w:left w:val="single" w:sz="4" w:space="0" w:color="auto"/>
              <w:bottom w:val="nil"/>
              <w:right w:val="nil"/>
            </w:tcBorders>
            <w:shd w:val="clear" w:color="auto" w:fill="auto"/>
            <w:noWrap/>
            <w:vAlign w:val="bottom"/>
            <w:hideMark/>
          </w:tcPr>
          <w:p>
            <w:pPr>
              <w:rPr>
                <w:noProof/>
                <w:sz w:val="21"/>
                <w:szCs w:val="21"/>
              </w:rPr>
            </w:pPr>
            <w:r>
              <w:rPr>
                <w:noProof/>
                <w:sz w:val="21"/>
                <w:szCs w:val="21"/>
              </w:rPr>
              <w:t> </w:t>
            </w:r>
          </w:p>
        </w:tc>
        <w:tc>
          <w:tcPr>
            <w:tcW w:w="1134" w:type="dxa"/>
            <w:tcBorders>
              <w:top w:val="nil"/>
              <w:left w:val="nil"/>
              <w:bottom w:val="nil"/>
              <w:right w:val="single" w:sz="4" w:space="0" w:color="auto"/>
            </w:tcBorders>
            <w:shd w:val="clear" w:color="auto" w:fill="auto"/>
            <w:noWrap/>
            <w:vAlign w:val="bottom"/>
            <w:hideMark/>
          </w:tcPr>
          <w:p>
            <w:pPr>
              <w:rPr>
                <w:noProof/>
                <w:sz w:val="21"/>
                <w:szCs w:val="21"/>
              </w:rPr>
            </w:pPr>
            <w:r>
              <w:rPr>
                <w:noProof/>
                <w:sz w:val="21"/>
                <w:szCs w:val="21"/>
              </w:rPr>
              <w:t> </w:t>
            </w:r>
          </w:p>
        </w:tc>
        <w:tc>
          <w:tcPr>
            <w:tcW w:w="1417" w:type="dxa"/>
            <w:tcBorders>
              <w:top w:val="nil"/>
              <w:left w:val="nil"/>
              <w:bottom w:val="nil"/>
              <w:right w:val="nil"/>
            </w:tcBorders>
            <w:shd w:val="clear" w:color="auto" w:fill="auto"/>
            <w:noWrap/>
            <w:vAlign w:val="bottom"/>
            <w:hideMark/>
          </w:tcPr>
          <w:p>
            <w:pPr>
              <w:rPr>
                <w:noProof/>
                <w:sz w:val="21"/>
                <w:szCs w:val="21"/>
              </w:rPr>
            </w:pPr>
            <w:r>
              <w:rPr>
                <w:noProof/>
                <w:sz w:val="21"/>
                <w:szCs w:val="21"/>
              </w:rPr>
              <w:t> </w:t>
            </w:r>
          </w:p>
        </w:tc>
        <w:tc>
          <w:tcPr>
            <w:tcW w:w="992" w:type="dxa"/>
            <w:tcBorders>
              <w:top w:val="nil"/>
              <w:left w:val="nil"/>
              <w:bottom w:val="nil"/>
              <w:right w:val="single" w:sz="4" w:space="0" w:color="auto"/>
            </w:tcBorders>
            <w:shd w:val="clear" w:color="auto" w:fill="auto"/>
            <w:noWrap/>
            <w:vAlign w:val="bottom"/>
            <w:hideMark/>
          </w:tcPr>
          <w:p>
            <w:pPr>
              <w:rPr>
                <w:noProof/>
                <w:sz w:val="21"/>
                <w:szCs w:val="21"/>
              </w:rPr>
            </w:pPr>
            <w:r>
              <w:rPr>
                <w:noProof/>
                <w:sz w:val="21"/>
                <w:szCs w:val="21"/>
              </w:rPr>
              <w:t> </w:t>
            </w:r>
          </w:p>
        </w:tc>
      </w:tr>
      <w:tr>
        <w:trPr>
          <w:trHeight w:val="270"/>
        </w:trPr>
        <w:tc>
          <w:tcPr>
            <w:tcW w:w="4400" w:type="dxa"/>
            <w:tcBorders>
              <w:top w:val="nil"/>
              <w:left w:val="single" w:sz="4" w:space="0" w:color="auto"/>
              <w:bottom w:val="nil"/>
              <w:right w:val="nil"/>
            </w:tcBorders>
            <w:shd w:val="clear" w:color="auto" w:fill="auto"/>
            <w:noWrap/>
            <w:vAlign w:val="bottom"/>
            <w:hideMark/>
          </w:tcPr>
          <w:p>
            <w:pPr>
              <w:rPr>
                <w:noProof/>
                <w:sz w:val="21"/>
                <w:szCs w:val="21"/>
              </w:rPr>
            </w:pPr>
            <w:r>
              <w:rPr>
                <w:noProof/>
                <w:sz w:val="21"/>
                <w:szCs w:val="21"/>
              </w:rPr>
              <w:t>Interest income on cash &amp; cash equivalents</w:t>
            </w:r>
          </w:p>
        </w:tc>
        <w:tc>
          <w:tcPr>
            <w:tcW w:w="1134" w:type="dxa"/>
            <w:tcBorders>
              <w:top w:val="nil"/>
              <w:left w:val="single" w:sz="4" w:space="0" w:color="auto"/>
              <w:bottom w:val="nil"/>
              <w:right w:val="nil"/>
            </w:tcBorders>
            <w:shd w:val="clear" w:color="auto" w:fill="auto"/>
            <w:noWrap/>
            <w:vAlign w:val="bottom"/>
            <w:hideMark/>
          </w:tcPr>
          <w:p>
            <w:pPr>
              <w:jc w:val="right"/>
              <w:rPr>
                <w:noProof/>
                <w:sz w:val="21"/>
                <w:szCs w:val="21"/>
              </w:rPr>
            </w:pPr>
            <w:r>
              <w:rPr>
                <w:noProof/>
                <w:sz w:val="21"/>
                <w:szCs w:val="21"/>
              </w:rPr>
              <w:t>0.00</w:t>
            </w:r>
          </w:p>
        </w:tc>
        <w:tc>
          <w:tcPr>
            <w:tcW w:w="1134" w:type="dxa"/>
            <w:tcBorders>
              <w:top w:val="nil"/>
              <w:left w:val="nil"/>
              <w:bottom w:val="nil"/>
              <w:right w:val="single" w:sz="4" w:space="0" w:color="auto"/>
            </w:tcBorders>
            <w:shd w:val="clear" w:color="auto" w:fill="auto"/>
            <w:noWrap/>
            <w:vAlign w:val="bottom"/>
            <w:hideMark/>
          </w:tcPr>
          <w:p>
            <w:pPr>
              <w:jc w:val="right"/>
              <w:rPr>
                <w:noProof/>
                <w:sz w:val="21"/>
                <w:szCs w:val="21"/>
              </w:rPr>
            </w:pPr>
            <w:r>
              <w:rPr>
                <w:noProof/>
                <w:sz w:val="21"/>
                <w:szCs w:val="21"/>
              </w:rPr>
              <w:t>0.0%</w:t>
            </w:r>
          </w:p>
        </w:tc>
        <w:tc>
          <w:tcPr>
            <w:tcW w:w="1417" w:type="dxa"/>
            <w:tcBorders>
              <w:top w:val="nil"/>
              <w:left w:val="nil"/>
              <w:bottom w:val="nil"/>
              <w:right w:val="nil"/>
            </w:tcBorders>
            <w:shd w:val="clear" w:color="auto" w:fill="auto"/>
            <w:noWrap/>
            <w:vAlign w:val="bottom"/>
            <w:hideMark/>
          </w:tcPr>
          <w:p>
            <w:pPr>
              <w:jc w:val="right"/>
              <w:rPr>
                <w:noProof/>
                <w:sz w:val="21"/>
                <w:szCs w:val="21"/>
              </w:rPr>
            </w:pPr>
            <w:r>
              <w:rPr>
                <w:noProof/>
                <w:sz w:val="21"/>
                <w:szCs w:val="21"/>
              </w:rPr>
              <w:t>0.00</w:t>
            </w:r>
          </w:p>
        </w:tc>
        <w:tc>
          <w:tcPr>
            <w:tcW w:w="992" w:type="dxa"/>
            <w:tcBorders>
              <w:top w:val="nil"/>
              <w:left w:val="nil"/>
              <w:bottom w:val="nil"/>
              <w:right w:val="single" w:sz="4" w:space="0" w:color="auto"/>
            </w:tcBorders>
            <w:shd w:val="clear" w:color="auto" w:fill="auto"/>
            <w:noWrap/>
            <w:vAlign w:val="bottom"/>
            <w:hideMark/>
          </w:tcPr>
          <w:p>
            <w:pPr>
              <w:jc w:val="right"/>
              <w:rPr>
                <w:noProof/>
                <w:sz w:val="21"/>
                <w:szCs w:val="21"/>
              </w:rPr>
            </w:pPr>
            <w:r>
              <w:rPr>
                <w:noProof/>
                <w:sz w:val="21"/>
                <w:szCs w:val="21"/>
              </w:rPr>
              <w:t>0.0%</w:t>
            </w:r>
          </w:p>
        </w:tc>
      </w:tr>
      <w:tr>
        <w:trPr>
          <w:trHeight w:val="270"/>
        </w:trPr>
        <w:tc>
          <w:tcPr>
            <w:tcW w:w="4400" w:type="dxa"/>
            <w:tcBorders>
              <w:top w:val="nil"/>
              <w:left w:val="single" w:sz="4" w:space="0" w:color="auto"/>
              <w:bottom w:val="nil"/>
              <w:right w:val="nil"/>
            </w:tcBorders>
            <w:shd w:val="clear" w:color="auto" w:fill="auto"/>
            <w:noWrap/>
            <w:vAlign w:val="bottom"/>
            <w:hideMark/>
          </w:tcPr>
          <w:p>
            <w:pPr>
              <w:rPr>
                <w:noProof/>
                <w:sz w:val="21"/>
                <w:szCs w:val="21"/>
              </w:rPr>
            </w:pPr>
            <w:r>
              <w:rPr>
                <w:noProof/>
                <w:sz w:val="21"/>
                <w:szCs w:val="21"/>
              </w:rPr>
              <w:t>Interest income on AFS assets</w:t>
            </w:r>
          </w:p>
        </w:tc>
        <w:tc>
          <w:tcPr>
            <w:tcW w:w="1134" w:type="dxa"/>
            <w:tcBorders>
              <w:top w:val="nil"/>
              <w:left w:val="single" w:sz="4" w:space="0" w:color="auto"/>
              <w:bottom w:val="nil"/>
              <w:right w:val="nil"/>
            </w:tcBorders>
            <w:shd w:val="clear" w:color="auto" w:fill="auto"/>
            <w:noWrap/>
            <w:vAlign w:val="bottom"/>
            <w:hideMark/>
          </w:tcPr>
          <w:p>
            <w:pPr>
              <w:jc w:val="right"/>
              <w:rPr>
                <w:noProof/>
                <w:sz w:val="21"/>
                <w:szCs w:val="21"/>
              </w:rPr>
            </w:pPr>
            <w:r>
              <w:rPr>
                <w:noProof/>
                <w:sz w:val="21"/>
                <w:szCs w:val="21"/>
              </w:rPr>
              <w:t>8.76</w:t>
            </w:r>
          </w:p>
        </w:tc>
        <w:tc>
          <w:tcPr>
            <w:tcW w:w="1134" w:type="dxa"/>
            <w:tcBorders>
              <w:top w:val="nil"/>
              <w:left w:val="nil"/>
              <w:bottom w:val="nil"/>
              <w:right w:val="single" w:sz="4" w:space="0" w:color="auto"/>
            </w:tcBorders>
            <w:shd w:val="clear" w:color="auto" w:fill="auto"/>
            <w:noWrap/>
            <w:vAlign w:val="bottom"/>
            <w:hideMark/>
          </w:tcPr>
          <w:p>
            <w:pPr>
              <w:jc w:val="right"/>
              <w:rPr>
                <w:noProof/>
                <w:sz w:val="21"/>
                <w:szCs w:val="21"/>
              </w:rPr>
            </w:pPr>
            <w:r>
              <w:rPr>
                <w:noProof/>
                <w:sz w:val="21"/>
                <w:szCs w:val="21"/>
              </w:rPr>
              <w:t>54.9%</w:t>
            </w:r>
          </w:p>
        </w:tc>
        <w:tc>
          <w:tcPr>
            <w:tcW w:w="1417" w:type="dxa"/>
            <w:tcBorders>
              <w:top w:val="nil"/>
              <w:left w:val="nil"/>
              <w:bottom w:val="nil"/>
              <w:right w:val="nil"/>
            </w:tcBorders>
            <w:shd w:val="clear" w:color="auto" w:fill="auto"/>
            <w:noWrap/>
            <w:vAlign w:val="bottom"/>
            <w:hideMark/>
          </w:tcPr>
          <w:p>
            <w:pPr>
              <w:jc w:val="right"/>
              <w:rPr>
                <w:noProof/>
                <w:sz w:val="21"/>
                <w:szCs w:val="21"/>
              </w:rPr>
            </w:pPr>
            <w:r>
              <w:rPr>
                <w:noProof/>
                <w:sz w:val="21"/>
                <w:szCs w:val="21"/>
              </w:rPr>
              <w:t>14.39</w:t>
            </w:r>
          </w:p>
        </w:tc>
        <w:tc>
          <w:tcPr>
            <w:tcW w:w="992" w:type="dxa"/>
            <w:tcBorders>
              <w:top w:val="nil"/>
              <w:left w:val="nil"/>
              <w:bottom w:val="nil"/>
              <w:right w:val="single" w:sz="4" w:space="0" w:color="auto"/>
            </w:tcBorders>
            <w:shd w:val="clear" w:color="auto" w:fill="auto"/>
            <w:noWrap/>
            <w:vAlign w:val="bottom"/>
            <w:hideMark/>
          </w:tcPr>
          <w:p>
            <w:pPr>
              <w:jc w:val="right"/>
              <w:rPr>
                <w:noProof/>
                <w:sz w:val="21"/>
                <w:szCs w:val="21"/>
              </w:rPr>
            </w:pPr>
            <w:r>
              <w:rPr>
                <w:noProof/>
                <w:sz w:val="21"/>
                <w:szCs w:val="21"/>
              </w:rPr>
              <w:t>48.2%</w:t>
            </w:r>
          </w:p>
        </w:tc>
      </w:tr>
      <w:tr>
        <w:trPr>
          <w:trHeight w:val="270"/>
        </w:trPr>
        <w:tc>
          <w:tcPr>
            <w:tcW w:w="4400" w:type="dxa"/>
            <w:tcBorders>
              <w:top w:val="nil"/>
              <w:left w:val="single" w:sz="4" w:space="0" w:color="auto"/>
              <w:bottom w:val="nil"/>
              <w:right w:val="nil"/>
            </w:tcBorders>
            <w:shd w:val="clear" w:color="auto" w:fill="auto"/>
            <w:noWrap/>
            <w:vAlign w:val="bottom"/>
            <w:hideMark/>
          </w:tcPr>
          <w:p>
            <w:pPr>
              <w:rPr>
                <w:noProof/>
                <w:sz w:val="21"/>
                <w:szCs w:val="21"/>
              </w:rPr>
            </w:pPr>
            <w:r>
              <w:rPr>
                <w:noProof/>
                <w:sz w:val="21"/>
                <w:szCs w:val="21"/>
              </w:rPr>
              <w:t>Realised gain on sale of AFS assets</w:t>
            </w:r>
          </w:p>
        </w:tc>
        <w:tc>
          <w:tcPr>
            <w:tcW w:w="1134" w:type="dxa"/>
            <w:tcBorders>
              <w:top w:val="nil"/>
              <w:left w:val="single" w:sz="4" w:space="0" w:color="auto"/>
              <w:bottom w:val="nil"/>
              <w:right w:val="nil"/>
            </w:tcBorders>
            <w:shd w:val="clear" w:color="auto" w:fill="auto"/>
            <w:noWrap/>
            <w:vAlign w:val="bottom"/>
            <w:hideMark/>
          </w:tcPr>
          <w:p>
            <w:pPr>
              <w:jc w:val="right"/>
              <w:rPr>
                <w:noProof/>
                <w:sz w:val="21"/>
                <w:szCs w:val="21"/>
              </w:rPr>
            </w:pPr>
            <w:r>
              <w:rPr>
                <w:noProof/>
                <w:sz w:val="21"/>
                <w:szCs w:val="21"/>
              </w:rPr>
              <w:t>9.20</w:t>
            </w:r>
          </w:p>
        </w:tc>
        <w:tc>
          <w:tcPr>
            <w:tcW w:w="1134" w:type="dxa"/>
            <w:tcBorders>
              <w:top w:val="nil"/>
              <w:left w:val="nil"/>
              <w:bottom w:val="nil"/>
              <w:right w:val="single" w:sz="4" w:space="0" w:color="auto"/>
            </w:tcBorders>
            <w:shd w:val="clear" w:color="auto" w:fill="auto"/>
            <w:noWrap/>
            <w:vAlign w:val="bottom"/>
            <w:hideMark/>
          </w:tcPr>
          <w:p>
            <w:pPr>
              <w:jc w:val="right"/>
              <w:rPr>
                <w:noProof/>
                <w:sz w:val="21"/>
                <w:szCs w:val="21"/>
              </w:rPr>
            </w:pPr>
            <w:r>
              <w:rPr>
                <w:noProof/>
                <w:sz w:val="21"/>
                <w:szCs w:val="21"/>
              </w:rPr>
              <w:t>57.6%</w:t>
            </w:r>
          </w:p>
        </w:tc>
        <w:tc>
          <w:tcPr>
            <w:tcW w:w="1417" w:type="dxa"/>
            <w:tcBorders>
              <w:top w:val="nil"/>
              <w:left w:val="nil"/>
              <w:bottom w:val="nil"/>
              <w:right w:val="nil"/>
            </w:tcBorders>
            <w:shd w:val="clear" w:color="auto" w:fill="auto"/>
            <w:noWrap/>
            <w:vAlign w:val="bottom"/>
            <w:hideMark/>
          </w:tcPr>
          <w:p>
            <w:pPr>
              <w:jc w:val="right"/>
              <w:rPr>
                <w:noProof/>
                <w:sz w:val="21"/>
                <w:szCs w:val="21"/>
              </w:rPr>
            </w:pPr>
            <w:r>
              <w:rPr>
                <w:noProof/>
                <w:sz w:val="21"/>
                <w:szCs w:val="21"/>
              </w:rPr>
              <w:t>16.76</w:t>
            </w:r>
          </w:p>
        </w:tc>
        <w:tc>
          <w:tcPr>
            <w:tcW w:w="992" w:type="dxa"/>
            <w:tcBorders>
              <w:top w:val="nil"/>
              <w:left w:val="nil"/>
              <w:bottom w:val="nil"/>
              <w:right w:val="single" w:sz="4" w:space="0" w:color="auto"/>
            </w:tcBorders>
            <w:shd w:val="clear" w:color="auto" w:fill="auto"/>
            <w:noWrap/>
            <w:vAlign w:val="bottom"/>
            <w:hideMark/>
          </w:tcPr>
          <w:p>
            <w:pPr>
              <w:jc w:val="right"/>
              <w:rPr>
                <w:noProof/>
                <w:sz w:val="21"/>
                <w:szCs w:val="21"/>
              </w:rPr>
            </w:pPr>
            <w:r>
              <w:rPr>
                <w:noProof/>
                <w:sz w:val="21"/>
                <w:szCs w:val="21"/>
              </w:rPr>
              <w:t>56.1%</w:t>
            </w:r>
          </w:p>
        </w:tc>
      </w:tr>
      <w:tr>
        <w:trPr>
          <w:trHeight w:val="270"/>
        </w:trPr>
        <w:tc>
          <w:tcPr>
            <w:tcW w:w="4400" w:type="dxa"/>
            <w:tcBorders>
              <w:top w:val="nil"/>
              <w:left w:val="single" w:sz="4" w:space="0" w:color="auto"/>
              <w:bottom w:val="nil"/>
              <w:right w:val="nil"/>
            </w:tcBorders>
            <w:shd w:val="clear" w:color="auto" w:fill="auto"/>
            <w:noWrap/>
            <w:vAlign w:val="bottom"/>
            <w:hideMark/>
          </w:tcPr>
          <w:p>
            <w:pPr>
              <w:rPr>
                <w:noProof/>
                <w:sz w:val="21"/>
                <w:szCs w:val="21"/>
              </w:rPr>
            </w:pPr>
            <w:r>
              <w:rPr>
                <w:noProof/>
                <w:sz w:val="21"/>
                <w:szCs w:val="21"/>
              </w:rPr>
              <w:t>Income from securities lending activity</w:t>
            </w:r>
          </w:p>
        </w:tc>
        <w:tc>
          <w:tcPr>
            <w:tcW w:w="1134" w:type="dxa"/>
            <w:tcBorders>
              <w:top w:val="nil"/>
              <w:left w:val="single" w:sz="4" w:space="0" w:color="auto"/>
              <w:bottom w:val="nil"/>
              <w:right w:val="nil"/>
            </w:tcBorders>
            <w:shd w:val="clear" w:color="auto" w:fill="auto"/>
            <w:noWrap/>
            <w:vAlign w:val="bottom"/>
            <w:hideMark/>
          </w:tcPr>
          <w:p>
            <w:pPr>
              <w:jc w:val="right"/>
              <w:rPr>
                <w:noProof/>
                <w:sz w:val="21"/>
                <w:szCs w:val="21"/>
              </w:rPr>
            </w:pPr>
            <w:r>
              <w:rPr>
                <w:noProof/>
                <w:sz w:val="21"/>
                <w:szCs w:val="21"/>
              </w:rPr>
              <w:t>0.10</w:t>
            </w:r>
          </w:p>
        </w:tc>
        <w:tc>
          <w:tcPr>
            <w:tcW w:w="1134" w:type="dxa"/>
            <w:tcBorders>
              <w:top w:val="nil"/>
              <w:left w:val="nil"/>
              <w:bottom w:val="nil"/>
              <w:right w:val="single" w:sz="4" w:space="0" w:color="auto"/>
            </w:tcBorders>
            <w:shd w:val="clear" w:color="auto" w:fill="auto"/>
            <w:noWrap/>
            <w:vAlign w:val="bottom"/>
            <w:hideMark/>
          </w:tcPr>
          <w:p>
            <w:pPr>
              <w:jc w:val="right"/>
              <w:rPr>
                <w:noProof/>
                <w:sz w:val="21"/>
                <w:szCs w:val="21"/>
              </w:rPr>
            </w:pPr>
            <w:r>
              <w:rPr>
                <w:noProof/>
                <w:sz w:val="21"/>
                <w:szCs w:val="21"/>
              </w:rPr>
              <w:t>0.6%</w:t>
            </w:r>
          </w:p>
        </w:tc>
        <w:tc>
          <w:tcPr>
            <w:tcW w:w="1417" w:type="dxa"/>
            <w:tcBorders>
              <w:top w:val="nil"/>
              <w:left w:val="nil"/>
              <w:bottom w:val="nil"/>
              <w:right w:val="nil"/>
            </w:tcBorders>
            <w:shd w:val="clear" w:color="auto" w:fill="auto"/>
            <w:noWrap/>
            <w:vAlign w:val="bottom"/>
            <w:hideMark/>
          </w:tcPr>
          <w:p>
            <w:pPr>
              <w:jc w:val="right"/>
              <w:rPr>
                <w:noProof/>
                <w:sz w:val="21"/>
                <w:szCs w:val="21"/>
              </w:rPr>
            </w:pPr>
            <w:r>
              <w:rPr>
                <w:noProof/>
                <w:sz w:val="21"/>
                <w:szCs w:val="21"/>
              </w:rPr>
              <w:t>0.12</w:t>
            </w:r>
          </w:p>
        </w:tc>
        <w:tc>
          <w:tcPr>
            <w:tcW w:w="992" w:type="dxa"/>
            <w:tcBorders>
              <w:top w:val="nil"/>
              <w:left w:val="nil"/>
              <w:bottom w:val="nil"/>
              <w:right w:val="single" w:sz="4" w:space="0" w:color="auto"/>
            </w:tcBorders>
            <w:shd w:val="clear" w:color="auto" w:fill="auto"/>
            <w:noWrap/>
            <w:vAlign w:val="bottom"/>
            <w:hideMark/>
          </w:tcPr>
          <w:p>
            <w:pPr>
              <w:jc w:val="right"/>
              <w:rPr>
                <w:noProof/>
                <w:sz w:val="21"/>
                <w:szCs w:val="21"/>
              </w:rPr>
            </w:pPr>
            <w:r>
              <w:rPr>
                <w:noProof/>
                <w:sz w:val="21"/>
                <w:szCs w:val="21"/>
              </w:rPr>
              <w:t>0.4%</w:t>
            </w:r>
          </w:p>
        </w:tc>
      </w:tr>
      <w:tr>
        <w:trPr>
          <w:trHeight w:val="270"/>
        </w:trPr>
        <w:tc>
          <w:tcPr>
            <w:tcW w:w="4400" w:type="dxa"/>
            <w:tcBorders>
              <w:top w:val="nil"/>
              <w:left w:val="single" w:sz="4" w:space="0" w:color="auto"/>
              <w:bottom w:val="nil"/>
              <w:right w:val="nil"/>
            </w:tcBorders>
            <w:shd w:val="clear" w:color="auto" w:fill="auto"/>
            <w:noWrap/>
            <w:vAlign w:val="bottom"/>
          </w:tcPr>
          <w:p>
            <w:pPr>
              <w:rPr>
                <w:noProof/>
                <w:sz w:val="21"/>
                <w:szCs w:val="21"/>
              </w:rPr>
            </w:pPr>
            <w:r>
              <w:rPr>
                <w:noProof/>
                <w:sz w:val="21"/>
                <w:szCs w:val="21"/>
              </w:rPr>
              <w:t>Interest expense on cash &amp; cash equivalents</w:t>
            </w:r>
          </w:p>
        </w:tc>
        <w:tc>
          <w:tcPr>
            <w:tcW w:w="1134" w:type="dxa"/>
            <w:tcBorders>
              <w:top w:val="nil"/>
              <w:left w:val="single" w:sz="4" w:space="0" w:color="auto"/>
              <w:bottom w:val="nil"/>
              <w:right w:val="nil"/>
            </w:tcBorders>
            <w:shd w:val="clear" w:color="auto" w:fill="auto"/>
            <w:noWrap/>
            <w:vAlign w:val="bottom"/>
          </w:tcPr>
          <w:p>
            <w:pPr>
              <w:jc w:val="right"/>
              <w:rPr>
                <w:noProof/>
                <w:sz w:val="21"/>
                <w:szCs w:val="21"/>
              </w:rPr>
            </w:pPr>
            <w:r>
              <w:rPr>
                <w:noProof/>
                <w:sz w:val="21"/>
                <w:szCs w:val="21"/>
              </w:rPr>
              <w:t>-0.96</w:t>
            </w:r>
          </w:p>
        </w:tc>
        <w:tc>
          <w:tcPr>
            <w:tcW w:w="1134" w:type="dxa"/>
            <w:tcBorders>
              <w:top w:val="nil"/>
              <w:left w:val="nil"/>
              <w:bottom w:val="nil"/>
              <w:right w:val="single" w:sz="4" w:space="0" w:color="auto"/>
            </w:tcBorders>
            <w:shd w:val="clear" w:color="auto" w:fill="auto"/>
            <w:noWrap/>
            <w:vAlign w:val="bottom"/>
          </w:tcPr>
          <w:p>
            <w:pPr>
              <w:jc w:val="right"/>
              <w:rPr>
                <w:noProof/>
                <w:sz w:val="21"/>
                <w:szCs w:val="21"/>
              </w:rPr>
            </w:pPr>
            <w:r>
              <w:rPr>
                <w:noProof/>
                <w:sz w:val="21"/>
                <w:szCs w:val="21"/>
              </w:rPr>
              <w:t>-6.0%</w:t>
            </w:r>
          </w:p>
        </w:tc>
        <w:tc>
          <w:tcPr>
            <w:tcW w:w="1417" w:type="dxa"/>
            <w:tcBorders>
              <w:top w:val="nil"/>
              <w:left w:val="nil"/>
              <w:bottom w:val="nil"/>
              <w:right w:val="nil"/>
            </w:tcBorders>
            <w:shd w:val="clear" w:color="auto" w:fill="auto"/>
            <w:noWrap/>
            <w:vAlign w:val="bottom"/>
          </w:tcPr>
          <w:p>
            <w:pPr>
              <w:jc w:val="right"/>
              <w:rPr>
                <w:noProof/>
                <w:sz w:val="21"/>
                <w:szCs w:val="21"/>
              </w:rPr>
            </w:pPr>
            <w:r>
              <w:rPr>
                <w:noProof/>
                <w:sz w:val="21"/>
                <w:szCs w:val="21"/>
              </w:rPr>
              <w:t>-0.34</w:t>
            </w:r>
          </w:p>
        </w:tc>
        <w:tc>
          <w:tcPr>
            <w:tcW w:w="992" w:type="dxa"/>
            <w:tcBorders>
              <w:top w:val="nil"/>
              <w:left w:val="nil"/>
              <w:bottom w:val="nil"/>
              <w:right w:val="single" w:sz="4" w:space="0" w:color="auto"/>
            </w:tcBorders>
            <w:shd w:val="clear" w:color="auto" w:fill="auto"/>
            <w:noWrap/>
            <w:vAlign w:val="bottom"/>
          </w:tcPr>
          <w:p>
            <w:pPr>
              <w:jc w:val="right"/>
              <w:rPr>
                <w:noProof/>
                <w:sz w:val="21"/>
                <w:szCs w:val="21"/>
              </w:rPr>
            </w:pPr>
            <w:r>
              <w:rPr>
                <w:noProof/>
                <w:sz w:val="21"/>
                <w:szCs w:val="21"/>
              </w:rPr>
              <w:t>-1.1%</w:t>
            </w:r>
          </w:p>
        </w:tc>
      </w:tr>
      <w:tr>
        <w:trPr>
          <w:trHeight w:val="270"/>
        </w:trPr>
        <w:tc>
          <w:tcPr>
            <w:tcW w:w="4400" w:type="dxa"/>
            <w:tcBorders>
              <w:top w:val="nil"/>
              <w:left w:val="single" w:sz="4" w:space="0" w:color="auto"/>
              <w:bottom w:val="nil"/>
              <w:right w:val="nil"/>
            </w:tcBorders>
            <w:shd w:val="clear" w:color="auto" w:fill="auto"/>
            <w:noWrap/>
            <w:vAlign w:val="bottom"/>
          </w:tcPr>
          <w:p>
            <w:pPr>
              <w:rPr>
                <w:noProof/>
                <w:sz w:val="21"/>
                <w:szCs w:val="21"/>
              </w:rPr>
            </w:pPr>
            <w:r>
              <w:rPr>
                <w:noProof/>
                <w:sz w:val="21"/>
                <w:szCs w:val="21"/>
              </w:rPr>
              <w:t>Realised loss on sale of AFS assets</w:t>
            </w:r>
          </w:p>
        </w:tc>
        <w:tc>
          <w:tcPr>
            <w:tcW w:w="1134" w:type="dxa"/>
            <w:tcBorders>
              <w:top w:val="nil"/>
              <w:left w:val="single" w:sz="4" w:space="0" w:color="auto"/>
              <w:bottom w:val="nil"/>
              <w:right w:val="nil"/>
            </w:tcBorders>
            <w:shd w:val="clear" w:color="auto" w:fill="auto"/>
            <w:noWrap/>
            <w:vAlign w:val="bottom"/>
          </w:tcPr>
          <w:p>
            <w:pPr>
              <w:jc w:val="right"/>
              <w:rPr>
                <w:noProof/>
                <w:sz w:val="21"/>
                <w:szCs w:val="21"/>
              </w:rPr>
            </w:pPr>
            <w:r>
              <w:rPr>
                <w:noProof/>
                <w:sz w:val="21"/>
                <w:szCs w:val="21"/>
              </w:rPr>
              <w:t>-0.03</w:t>
            </w:r>
          </w:p>
        </w:tc>
        <w:tc>
          <w:tcPr>
            <w:tcW w:w="1134" w:type="dxa"/>
            <w:tcBorders>
              <w:top w:val="nil"/>
              <w:left w:val="nil"/>
              <w:bottom w:val="nil"/>
              <w:right w:val="single" w:sz="4" w:space="0" w:color="auto"/>
            </w:tcBorders>
            <w:shd w:val="clear" w:color="auto" w:fill="auto"/>
            <w:noWrap/>
            <w:vAlign w:val="bottom"/>
          </w:tcPr>
          <w:p>
            <w:pPr>
              <w:jc w:val="right"/>
              <w:rPr>
                <w:noProof/>
                <w:sz w:val="21"/>
                <w:szCs w:val="21"/>
              </w:rPr>
            </w:pPr>
            <w:r>
              <w:rPr>
                <w:noProof/>
                <w:sz w:val="21"/>
                <w:szCs w:val="21"/>
              </w:rPr>
              <w:t>-0.2%</w:t>
            </w:r>
          </w:p>
        </w:tc>
        <w:tc>
          <w:tcPr>
            <w:tcW w:w="1417" w:type="dxa"/>
            <w:tcBorders>
              <w:top w:val="nil"/>
              <w:left w:val="nil"/>
              <w:bottom w:val="nil"/>
              <w:right w:val="nil"/>
            </w:tcBorders>
            <w:shd w:val="clear" w:color="auto" w:fill="auto"/>
            <w:noWrap/>
            <w:vAlign w:val="bottom"/>
          </w:tcPr>
          <w:p>
            <w:pPr>
              <w:jc w:val="right"/>
              <w:rPr>
                <w:noProof/>
                <w:sz w:val="21"/>
                <w:szCs w:val="21"/>
              </w:rPr>
            </w:pPr>
            <w:r>
              <w:rPr>
                <w:noProof/>
                <w:sz w:val="21"/>
                <w:szCs w:val="21"/>
              </w:rPr>
              <w:t>0.00</w:t>
            </w:r>
          </w:p>
        </w:tc>
        <w:tc>
          <w:tcPr>
            <w:tcW w:w="992" w:type="dxa"/>
            <w:tcBorders>
              <w:top w:val="nil"/>
              <w:left w:val="nil"/>
              <w:bottom w:val="nil"/>
              <w:right w:val="single" w:sz="4" w:space="0" w:color="auto"/>
            </w:tcBorders>
            <w:shd w:val="clear" w:color="auto" w:fill="auto"/>
            <w:noWrap/>
            <w:vAlign w:val="bottom"/>
          </w:tcPr>
          <w:p>
            <w:pPr>
              <w:jc w:val="right"/>
              <w:rPr>
                <w:noProof/>
                <w:sz w:val="21"/>
                <w:szCs w:val="21"/>
              </w:rPr>
            </w:pPr>
            <w:r>
              <w:rPr>
                <w:noProof/>
                <w:sz w:val="21"/>
                <w:szCs w:val="21"/>
              </w:rPr>
              <w:t>0.0%</w:t>
            </w:r>
          </w:p>
        </w:tc>
      </w:tr>
      <w:tr>
        <w:trPr>
          <w:trHeight w:val="270"/>
        </w:trPr>
        <w:tc>
          <w:tcPr>
            <w:tcW w:w="4400" w:type="dxa"/>
            <w:tcBorders>
              <w:top w:val="nil"/>
              <w:left w:val="single" w:sz="4" w:space="0" w:color="auto"/>
              <w:bottom w:val="nil"/>
              <w:right w:val="nil"/>
            </w:tcBorders>
            <w:shd w:val="clear" w:color="auto" w:fill="auto"/>
            <w:noWrap/>
            <w:vAlign w:val="bottom"/>
            <w:hideMark/>
          </w:tcPr>
          <w:p>
            <w:pPr>
              <w:rPr>
                <w:noProof/>
                <w:sz w:val="21"/>
                <w:szCs w:val="21"/>
              </w:rPr>
            </w:pPr>
            <w:r>
              <w:rPr>
                <w:noProof/>
                <w:sz w:val="21"/>
                <w:szCs w:val="21"/>
              </w:rPr>
              <w:t>Commission and other charges</w:t>
            </w:r>
          </w:p>
        </w:tc>
        <w:tc>
          <w:tcPr>
            <w:tcW w:w="1134" w:type="dxa"/>
            <w:tcBorders>
              <w:top w:val="nil"/>
              <w:left w:val="single" w:sz="4" w:space="0" w:color="auto"/>
              <w:bottom w:val="nil"/>
              <w:right w:val="nil"/>
            </w:tcBorders>
            <w:shd w:val="clear" w:color="auto" w:fill="auto"/>
            <w:noWrap/>
            <w:vAlign w:val="bottom"/>
            <w:hideMark/>
          </w:tcPr>
          <w:p>
            <w:pPr>
              <w:jc w:val="right"/>
              <w:rPr>
                <w:noProof/>
                <w:sz w:val="21"/>
                <w:szCs w:val="21"/>
              </w:rPr>
            </w:pPr>
            <w:r>
              <w:rPr>
                <w:noProof/>
                <w:sz w:val="21"/>
                <w:szCs w:val="21"/>
              </w:rPr>
              <w:t>-1.10</w:t>
            </w:r>
          </w:p>
        </w:tc>
        <w:tc>
          <w:tcPr>
            <w:tcW w:w="1134" w:type="dxa"/>
            <w:tcBorders>
              <w:top w:val="nil"/>
              <w:left w:val="nil"/>
              <w:bottom w:val="nil"/>
              <w:right w:val="single" w:sz="4" w:space="0" w:color="auto"/>
            </w:tcBorders>
            <w:shd w:val="clear" w:color="auto" w:fill="auto"/>
            <w:noWrap/>
            <w:vAlign w:val="bottom"/>
            <w:hideMark/>
          </w:tcPr>
          <w:p>
            <w:pPr>
              <w:jc w:val="right"/>
              <w:rPr>
                <w:noProof/>
                <w:sz w:val="21"/>
                <w:szCs w:val="21"/>
              </w:rPr>
            </w:pPr>
            <w:r>
              <w:rPr>
                <w:noProof/>
                <w:sz w:val="21"/>
                <w:szCs w:val="21"/>
              </w:rPr>
              <w:t>-6.9%</w:t>
            </w:r>
          </w:p>
        </w:tc>
        <w:tc>
          <w:tcPr>
            <w:tcW w:w="1417" w:type="dxa"/>
            <w:tcBorders>
              <w:top w:val="nil"/>
              <w:left w:val="nil"/>
              <w:bottom w:val="nil"/>
              <w:right w:val="nil"/>
            </w:tcBorders>
            <w:shd w:val="clear" w:color="auto" w:fill="auto"/>
            <w:noWrap/>
            <w:vAlign w:val="bottom"/>
            <w:hideMark/>
          </w:tcPr>
          <w:p>
            <w:pPr>
              <w:jc w:val="right"/>
              <w:rPr>
                <w:noProof/>
                <w:sz w:val="21"/>
                <w:szCs w:val="21"/>
              </w:rPr>
            </w:pPr>
            <w:r>
              <w:rPr>
                <w:noProof/>
                <w:sz w:val="21"/>
                <w:szCs w:val="21"/>
              </w:rPr>
              <w:t>-1.08</w:t>
            </w:r>
          </w:p>
        </w:tc>
        <w:tc>
          <w:tcPr>
            <w:tcW w:w="992" w:type="dxa"/>
            <w:tcBorders>
              <w:top w:val="nil"/>
              <w:left w:val="nil"/>
              <w:bottom w:val="nil"/>
              <w:right w:val="single" w:sz="4" w:space="0" w:color="auto"/>
            </w:tcBorders>
            <w:shd w:val="clear" w:color="auto" w:fill="auto"/>
            <w:noWrap/>
            <w:vAlign w:val="bottom"/>
            <w:hideMark/>
          </w:tcPr>
          <w:p>
            <w:pPr>
              <w:jc w:val="right"/>
              <w:rPr>
                <w:noProof/>
                <w:sz w:val="21"/>
                <w:szCs w:val="21"/>
              </w:rPr>
            </w:pPr>
            <w:r>
              <w:rPr>
                <w:noProof/>
                <w:sz w:val="21"/>
                <w:szCs w:val="21"/>
              </w:rPr>
              <w:t>-3.6%</w:t>
            </w:r>
          </w:p>
        </w:tc>
      </w:tr>
      <w:tr>
        <w:trPr>
          <w:trHeight w:val="153"/>
        </w:trPr>
        <w:tc>
          <w:tcPr>
            <w:tcW w:w="4400" w:type="dxa"/>
            <w:tcBorders>
              <w:top w:val="nil"/>
              <w:left w:val="single" w:sz="4" w:space="0" w:color="auto"/>
              <w:bottom w:val="nil"/>
              <w:right w:val="nil"/>
            </w:tcBorders>
            <w:shd w:val="clear" w:color="auto" w:fill="auto"/>
            <w:noWrap/>
            <w:vAlign w:val="bottom"/>
            <w:hideMark/>
          </w:tcPr>
          <w:p>
            <w:pPr>
              <w:rPr>
                <w:noProof/>
                <w:sz w:val="21"/>
                <w:szCs w:val="21"/>
              </w:rPr>
            </w:pPr>
            <w:r>
              <w:rPr>
                <w:noProof/>
                <w:sz w:val="21"/>
                <w:szCs w:val="21"/>
              </w:rPr>
              <w:t> </w:t>
            </w:r>
          </w:p>
        </w:tc>
        <w:tc>
          <w:tcPr>
            <w:tcW w:w="1134" w:type="dxa"/>
            <w:tcBorders>
              <w:top w:val="nil"/>
              <w:left w:val="single" w:sz="4" w:space="0" w:color="auto"/>
              <w:bottom w:val="nil"/>
              <w:right w:val="nil"/>
            </w:tcBorders>
            <w:shd w:val="clear" w:color="auto" w:fill="auto"/>
            <w:noWrap/>
            <w:vAlign w:val="bottom"/>
            <w:hideMark/>
          </w:tcPr>
          <w:p>
            <w:pPr>
              <w:jc w:val="right"/>
              <w:rPr>
                <w:noProof/>
                <w:sz w:val="21"/>
                <w:szCs w:val="21"/>
              </w:rPr>
            </w:pPr>
          </w:p>
        </w:tc>
        <w:tc>
          <w:tcPr>
            <w:tcW w:w="1134" w:type="dxa"/>
            <w:tcBorders>
              <w:top w:val="nil"/>
              <w:left w:val="nil"/>
              <w:bottom w:val="nil"/>
              <w:right w:val="single" w:sz="4" w:space="0" w:color="auto"/>
            </w:tcBorders>
            <w:shd w:val="clear" w:color="auto" w:fill="auto"/>
            <w:noWrap/>
            <w:vAlign w:val="bottom"/>
            <w:hideMark/>
          </w:tcPr>
          <w:p>
            <w:pPr>
              <w:jc w:val="right"/>
              <w:rPr>
                <w:noProof/>
                <w:sz w:val="21"/>
                <w:szCs w:val="21"/>
              </w:rPr>
            </w:pPr>
          </w:p>
        </w:tc>
        <w:tc>
          <w:tcPr>
            <w:tcW w:w="1417" w:type="dxa"/>
            <w:tcBorders>
              <w:top w:val="nil"/>
              <w:left w:val="nil"/>
              <w:bottom w:val="nil"/>
              <w:right w:val="nil"/>
            </w:tcBorders>
            <w:shd w:val="clear" w:color="auto" w:fill="auto"/>
            <w:noWrap/>
            <w:vAlign w:val="bottom"/>
            <w:hideMark/>
          </w:tcPr>
          <w:p>
            <w:pPr>
              <w:jc w:val="right"/>
              <w:rPr>
                <w:noProof/>
                <w:sz w:val="21"/>
                <w:szCs w:val="21"/>
              </w:rPr>
            </w:pPr>
          </w:p>
        </w:tc>
        <w:tc>
          <w:tcPr>
            <w:tcW w:w="992" w:type="dxa"/>
            <w:tcBorders>
              <w:top w:val="nil"/>
              <w:left w:val="nil"/>
              <w:bottom w:val="nil"/>
              <w:right w:val="single" w:sz="4" w:space="0" w:color="auto"/>
            </w:tcBorders>
            <w:shd w:val="clear" w:color="auto" w:fill="auto"/>
            <w:noWrap/>
            <w:vAlign w:val="bottom"/>
            <w:hideMark/>
          </w:tcPr>
          <w:p>
            <w:pPr>
              <w:jc w:val="right"/>
              <w:rPr>
                <w:noProof/>
                <w:sz w:val="21"/>
                <w:szCs w:val="21"/>
              </w:rPr>
            </w:pPr>
          </w:p>
        </w:tc>
      </w:tr>
      <w:tr>
        <w:trPr>
          <w:trHeight w:val="285"/>
        </w:trPr>
        <w:tc>
          <w:tcPr>
            <w:tcW w:w="4400" w:type="dxa"/>
            <w:tcBorders>
              <w:top w:val="single" w:sz="4" w:space="0" w:color="auto"/>
              <w:left w:val="single" w:sz="4" w:space="0" w:color="auto"/>
              <w:bottom w:val="single" w:sz="4" w:space="0" w:color="auto"/>
              <w:right w:val="nil"/>
            </w:tcBorders>
            <w:shd w:val="clear" w:color="auto" w:fill="auto"/>
            <w:noWrap/>
            <w:vAlign w:val="bottom"/>
            <w:hideMark/>
          </w:tcPr>
          <w:p>
            <w:pPr>
              <w:rPr>
                <w:b/>
                <w:bCs/>
                <w:noProof/>
                <w:sz w:val="21"/>
                <w:szCs w:val="21"/>
              </w:rPr>
            </w:pPr>
            <w:r>
              <w:rPr>
                <w:b/>
                <w:bCs/>
                <w:noProof/>
                <w:sz w:val="21"/>
                <w:szCs w:val="21"/>
              </w:rPr>
              <w:t>Total</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pPr>
              <w:jc w:val="right"/>
              <w:rPr>
                <w:b/>
                <w:bCs/>
                <w:noProof/>
                <w:sz w:val="21"/>
                <w:szCs w:val="21"/>
              </w:rPr>
            </w:pPr>
            <w:r>
              <w:rPr>
                <w:b/>
                <w:bCs/>
                <w:noProof/>
                <w:sz w:val="21"/>
                <w:szCs w:val="21"/>
              </w:rPr>
              <w:t>15.97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pPr>
              <w:jc w:val="right"/>
              <w:rPr>
                <w:b/>
                <w:bCs/>
                <w:noProof/>
                <w:sz w:val="21"/>
                <w:szCs w:val="21"/>
              </w:rPr>
            </w:pPr>
            <w:r>
              <w:rPr>
                <w:b/>
                <w:bCs/>
                <w:noProof/>
                <w:sz w:val="21"/>
                <w:szCs w:val="21"/>
              </w:rPr>
              <w:t>100.0%</w:t>
            </w:r>
          </w:p>
        </w:tc>
        <w:tc>
          <w:tcPr>
            <w:tcW w:w="1417" w:type="dxa"/>
            <w:tcBorders>
              <w:top w:val="single" w:sz="4" w:space="0" w:color="auto"/>
              <w:left w:val="nil"/>
              <w:bottom w:val="single" w:sz="4" w:space="0" w:color="auto"/>
              <w:right w:val="nil"/>
            </w:tcBorders>
            <w:shd w:val="clear" w:color="auto" w:fill="auto"/>
            <w:noWrap/>
            <w:vAlign w:val="bottom"/>
            <w:hideMark/>
          </w:tcPr>
          <w:p>
            <w:pPr>
              <w:jc w:val="right"/>
              <w:rPr>
                <w:b/>
                <w:bCs/>
                <w:noProof/>
                <w:sz w:val="21"/>
                <w:szCs w:val="21"/>
              </w:rPr>
            </w:pPr>
            <w:r>
              <w:rPr>
                <w:b/>
                <w:bCs/>
                <w:noProof/>
                <w:sz w:val="21"/>
                <w:szCs w:val="21"/>
              </w:rPr>
              <w:t>29.85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pPr>
              <w:jc w:val="right"/>
              <w:rPr>
                <w:b/>
                <w:bCs/>
                <w:noProof/>
                <w:sz w:val="21"/>
                <w:szCs w:val="21"/>
              </w:rPr>
            </w:pPr>
            <w:r>
              <w:rPr>
                <w:b/>
                <w:bCs/>
                <w:noProof/>
                <w:sz w:val="21"/>
                <w:szCs w:val="21"/>
              </w:rPr>
              <w:t>100.0%</w:t>
            </w:r>
          </w:p>
        </w:tc>
      </w:tr>
    </w:tbl>
    <w:p>
      <w:pPr>
        <w:ind w:left="851"/>
        <w:rPr>
          <w:noProof/>
          <w:szCs w:val="22"/>
        </w:rPr>
      </w:pPr>
    </w:p>
    <w:p>
      <w:pPr>
        <w:pStyle w:val="ManualHeading3"/>
        <w:rPr>
          <w:noProof/>
        </w:rPr>
      </w:pPr>
      <w:bookmarkStart w:id="38" w:name="_Toc322447896"/>
      <w:bookmarkStart w:id="39" w:name="_Toc449626276"/>
      <w:bookmarkStart w:id="40" w:name="_Toc478663477"/>
      <w:r>
        <w:rPr>
          <w:noProof/>
        </w:rPr>
        <w:t>2.3.3.</w:t>
      </w:r>
      <w:r>
        <w:rPr>
          <w:noProof/>
        </w:rPr>
        <w:tab/>
        <w:t>Analysis by segment</w:t>
      </w:r>
      <w:bookmarkEnd w:id="38"/>
      <w:bookmarkEnd w:id="39"/>
      <w:bookmarkEnd w:id="40"/>
    </w:p>
    <w:p>
      <w:pPr>
        <w:pStyle w:val="ManualHeading4"/>
        <w:rPr>
          <w:noProof/>
        </w:rPr>
      </w:pPr>
      <w:bookmarkStart w:id="41" w:name="_Toc322447897"/>
      <w:r>
        <w:rPr>
          <w:noProof/>
        </w:rPr>
        <w:t>2.3.3.1.</w:t>
      </w:r>
      <w:r>
        <w:rPr>
          <w:noProof/>
        </w:rPr>
        <w:tab/>
        <w:t>Analysis of money market operations</w:t>
      </w:r>
      <w:bookmarkEnd w:id="41"/>
    </w:p>
    <w:p>
      <w:pPr>
        <w:spacing w:after="120"/>
        <w:jc w:val="both"/>
        <w:rPr>
          <w:noProof/>
          <w:lang w:eastAsia="en-US"/>
        </w:rPr>
      </w:pPr>
      <w:r>
        <w:rPr>
          <w:noProof/>
        </w:rPr>
        <w:t>Money-market investments (excluding accrued interest) amount to EUR 224.2 million at 31 December 2017, as compared to EUR 196.9  million the year before.</w:t>
      </w:r>
    </w:p>
    <w:p>
      <w:pPr>
        <w:keepNext/>
        <w:numPr>
          <w:ilvl w:val="0"/>
          <w:numId w:val="25"/>
        </w:numPr>
        <w:tabs>
          <w:tab w:val="left" w:pos="360"/>
        </w:tabs>
        <w:suppressAutoHyphens/>
        <w:jc w:val="both"/>
        <w:rPr>
          <w:b/>
          <w:i/>
          <w:iCs/>
          <w:noProof/>
          <w:lang w:eastAsia="en-US"/>
        </w:rPr>
      </w:pPr>
      <w:r>
        <w:rPr>
          <w:b/>
          <w:i/>
          <w:iCs/>
          <w:noProof/>
          <w:lang w:eastAsia="en-US"/>
        </w:rPr>
        <w:t>Evolution of money-market rates in 2017</w:t>
      </w:r>
    </w:p>
    <w:p>
      <w:pPr>
        <w:keepNext/>
        <w:suppressAutoHyphens/>
        <w:jc w:val="both"/>
        <w:rPr>
          <w:b/>
          <w:iCs/>
          <w:noProof/>
          <w:lang w:eastAsia="en-US"/>
        </w:rPr>
      </w:pPr>
    </w:p>
    <w:p>
      <w:pPr>
        <w:jc w:val="both"/>
        <w:rPr>
          <w:noProof/>
          <w:lang w:eastAsia="en-US"/>
        </w:rPr>
      </w:pPr>
      <w:r>
        <w:rPr>
          <w:noProof/>
          <w:lang w:eastAsia="en-US"/>
        </w:rPr>
        <w:t xml:space="preserve">The year 2017 was reflected by rising yields on the European fixed income markets, but this move was compensated by narrowing credit spreads to historical low levels. </w:t>
      </w:r>
    </w:p>
    <w:p>
      <w:pPr>
        <w:spacing w:before="120" w:after="120"/>
        <w:jc w:val="both"/>
        <w:rPr>
          <w:noProof/>
          <w:lang w:eastAsia="en-US"/>
        </w:rPr>
      </w:pPr>
      <w:r>
        <w:rPr>
          <w:noProof/>
          <w:lang w:eastAsia="en-US"/>
        </w:rPr>
        <w:t xml:space="preserve">Rates volatility was affected by political events, including Dutch, French and German elections, expectations for lower central bank asset purchases and the improving global economic environment. The German sovereign curve rose by 14, 33 and 22 basispoints in 2, 5 and 10 years tenors, respectively, so the curve bear steepened. The year 2017 was characterized by the lowest market volatility in history, but it is underpinned by low macro volatility. </w:t>
      </w:r>
    </w:p>
    <w:p>
      <w:pPr>
        <w:spacing w:before="120" w:after="120"/>
        <w:jc w:val="both"/>
        <w:rPr>
          <w:noProof/>
          <w:lang w:eastAsia="en-US"/>
        </w:rPr>
      </w:pPr>
      <w:r>
        <w:rPr>
          <w:noProof/>
          <w:lang w:eastAsia="en-US"/>
        </w:rPr>
        <w:t>Although political uncertainty is expected to remain high in 2018 with a.o. the Italian elections, the global economy should continue to expand at an above average pace. According to the market consensus, the Eurozone is expected to grow by 2.2% in 2018 after 2.4% in 2017. In the same time, inflation should remain subdued around 1.5%, below the 2% ECB target. Despite the declining unemployment, as Phillips curves became flatter, price pressure is building up very slowly. The oil price rising to a 4 year high could counterbalance that effect.</w:t>
      </w:r>
    </w:p>
    <w:p>
      <w:pPr>
        <w:spacing w:before="120" w:after="120"/>
        <w:jc w:val="both"/>
        <w:rPr>
          <w:noProof/>
          <w:lang w:eastAsia="en-US"/>
        </w:rPr>
      </w:pPr>
      <w:r>
        <w:rPr>
          <w:noProof/>
          <w:lang w:eastAsia="en-US"/>
        </w:rPr>
        <w:t>Major global central banks are still conducting accommodative monetary policies with ongoing asset purchases, but normalization has already started. The FED is expected to hike rates 3 times in 2018, and ECB will continue with asset purchases of EUR 30bn a month until September 2018. ECB cut its monthly purchases from EUR 60bn to 30bn from January 2018, but reinvestments of redemptions add EUR 15bn monthly, making the drop less significant. Hawkish December ECB minutes and subsequent comments raise the likelihood of QE ending in September 2018 or at the end of the year the latest.</w:t>
      </w:r>
    </w:p>
    <w:p>
      <w:pPr>
        <w:suppressAutoHyphens/>
        <w:jc w:val="both"/>
        <w:rPr>
          <w:noProof/>
          <w:lang w:eastAsia="en-US"/>
        </w:rPr>
      </w:pPr>
      <w:r>
        <w:rPr>
          <w:noProof/>
          <w:lang w:eastAsia="en-US"/>
        </w:rPr>
        <w:t>In 2018, European sovereign yields can rise further if strong economic fundamentals and rising inflation expectations due to higher oil prices are confirmed. Curves can bear steepen as short end is more anchored by forward guidance. The continuation of central bank asset purchases are still supporting credit spreads in the first half of 2018, but the current historical low levels can start to normalize and drift wider approaching September, when most probably ECB will end QE.</w:t>
      </w:r>
    </w:p>
    <w:p>
      <w:pPr>
        <w:jc w:val="both"/>
        <w:rPr>
          <w:noProof/>
          <w:lang w:eastAsia="en-US"/>
        </w:rPr>
      </w:pPr>
    </w:p>
    <w:p>
      <w:pPr>
        <w:spacing w:before="120"/>
        <w:jc w:val="both"/>
        <w:rPr>
          <w:noProof/>
          <w:sz w:val="22"/>
          <w:szCs w:val="22"/>
          <w:highlight w:val="yellow"/>
        </w:rPr>
      </w:pPr>
      <w:r>
        <w:rPr>
          <w:noProof/>
          <w:sz w:val="22"/>
          <w:szCs w:val="22"/>
          <w:lang w:val="en-US" w:eastAsia="en-US"/>
        </w:rPr>
        <w:drawing>
          <wp:inline distT="0" distB="0" distL="0" distR="0">
            <wp:extent cx="5822315" cy="2755900"/>
            <wp:effectExtent l="0" t="0" r="6985" b="635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2315" cy="2755900"/>
                    </a:xfrm>
                    <a:prstGeom prst="rect">
                      <a:avLst/>
                    </a:prstGeom>
                    <a:noFill/>
                  </pic:spPr>
                </pic:pic>
              </a:graphicData>
            </a:graphic>
          </wp:inline>
        </w:drawing>
      </w:r>
    </w:p>
    <w:p>
      <w:pPr>
        <w:jc w:val="center"/>
        <w:rPr>
          <w:noProof/>
          <w:sz w:val="18"/>
          <w:szCs w:val="18"/>
        </w:rPr>
      </w:pPr>
    </w:p>
    <w:p>
      <w:pPr>
        <w:jc w:val="center"/>
        <w:rPr>
          <w:noProof/>
          <w:sz w:val="18"/>
          <w:szCs w:val="18"/>
        </w:rPr>
      </w:pPr>
    </w:p>
    <w:p>
      <w:pPr>
        <w:jc w:val="center"/>
        <w:rPr>
          <w:noProof/>
          <w:sz w:val="18"/>
          <w:szCs w:val="18"/>
        </w:rPr>
      </w:pPr>
      <w:r>
        <w:rPr>
          <w:noProof/>
          <w:sz w:val="18"/>
          <w:szCs w:val="18"/>
        </w:rPr>
        <w:t>Fig. 2: Evolution of Money Market rates during 2017 (source Reuters)</w:t>
      </w:r>
    </w:p>
    <w:p>
      <w:pPr>
        <w:jc w:val="center"/>
        <w:rPr>
          <w:noProof/>
          <w:sz w:val="22"/>
          <w:szCs w:val="22"/>
        </w:rPr>
      </w:pPr>
    </w:p>
    <w:p>
      <w:pPr>
        <w:jc w:val="center"/>
        <w:rPr>
          <w:noProof/>
          <w:sz w:val="22"/>
          <w:szCs w:val="22"/>
        </w:rPr>
      </w:pPr>
    </w:p>
    <w:p>
      <w:pPr>
        <w:numPr>
          <w:ilvl w:val="0"/>
          <w:numId w:val="24"/>
        </w:numPr>
        <w:tabs>
          <w:tab w:val="left" w:pos="426"/>
        </w:tabs>
        <w:suppressAutoHyphens/>
        <w:spacing w:before="120" w:after="120"/>
        <w:jc w:val="both"/>
        <w:rPr>
          <w:b/>
          <w:i/>
          <w:iCs/>
          <w:noProof/>
          <w:sz w:val="22"/>
          <w:szCs w:val="22"/>
        </w:rPr>
      </w:pPr>
      <w:r>
        <w:rPr>
          <w:b/>
          <w:i/>
          <w:iCs/>
          <w:noProof/>
          <w:sz w:val="22"/>
          <w:szCs w:val="22"/>
        </w:rPr>
        <w:t>Profile of counterparties</w:t>
      </w:r>
    </w:p>
    <w:p>
      <w:pPr>
        <w:jc w:val="both"/>
        <w:rPr>
          <w:noProof/>
          <w:lang w:eastAsia="en-US"/>
        </w:rPr>
      </w:pPr>
      <w:r>
        <w:rPr>
          <w:noProof/>
        </w:rPr>
        <w:t>I</w:t>
      </w:r>
      <w:r>
        <w:rPr>
          <w:noProof/>
          <w:lang w:eastAsia="en-US"/>
        </w:rPr>
        <w:t>n accordance with the agreement between the European Union and the EIB on the management of the Fund, all banks with which deposits are placed should have a minimum short-term credit rating of P-1 (Moody's or equivalent). The breakdown, including accrued interest, is as follows:</w:t>
      </w:r>
    </w:p>
    <w:p>
      <w:pPr>
        <w:spacing w:before="120" w:after="120"/>
        <w:jc w:val="both"/>
        <w:rPr>
          <w:noProof/>
          <w:sz w:val="22"/>
          <w:szCs w:val="22"/>
        </w:rPr>
      </w:pPr>
      <w:r>
        <w:rPr>
          <w:noProof/>
          <w:lang w:val="en-US" w:eastAsia="en-US"/>
        </w:rPr>
        <w:drawing>
          <wp:inline distT="0" distB="0" distL="0" distR="0">
            <wp:extent cx="4834255" cy="2150110"/>
            <wp:effectExtent l="0" t="0" r="23495" b="2159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before="120" w:after="120"/>
        <w:contextualSpacing/>
        <w:jc w:val="center"/>
        <w:rPr>
          <w:noProof/>
          <w:sz w:val="18"/>
          <w:szCs w:val="18"/>
        </w:rPr>
      </w:pPr>
      <w:r>
        <w:rPr>
          <w:noProof/>
          <w:sz w:val="18"/>
          <w:szCs w:val="18"/>
        </w:rPr>
        <w:t>Fig. 3: Short term interbank investments by profile of counterparty at 31 December 2017</w:t>
      </w:r>
    </w:p>
    <w:p>
      <w:pPr>
        <w:contextualSpacing/>
        <w:jc w:val="both"/>
        <w:rPr>
          <w:noProof/>
          <w:szCs w:val="22"/>
        </w:rPr>
      </w:pPr>
      <w:bookmarkStart w:id="42" w:name="_Toc322447898"/>
    </w:p>
    <w:p>
      <w:pPr>
        <w:pStyle w:val="ManualHeading4"/>
        <w:rPr>
          <w:noProof/>
        </w:rPr>
      </w:pPr>
      <w:r>
        <w:rPr>
          <w:noProof/>
        </w:rPr>
        <w:t>2.3.3.2.</w:t>
      </w:r>
      <w:r>
        <w:rPr>
          <w:noProof/>
        </w:rPr>
        <w:tab/>
        <w:t>Analysis of bond portfolio results</w:t>
      </w:r>
      <w:bookmarkEnd w:id="42"/>
      <w:r>
        <w:rPr>
          <w:noProof/>
        </w:rPr>
        <w:t xml:space="preserve"> </w:t>
      </w:r>
    </w:p>
    <w:p>
      <w:pPr>
        <w:jc w:val="both"/>
        <w:rPr>
          <w:noProof/>
          <w:lang w:eastAsia="en-US"/>
        </w:rPr>
      </w:pPr>
      <w:r>
        <w:rPr>
          <w:noProof/>
        </w:rPr>
        <w:t>T</w:t>
      </w:r>
      <w:r>
        <w:rPr>
          <w:noProof/>
          <w:lang w:eastAsia="en-US"/>
        </w:rPr>
        <w:t>he bond portfolio, seen as a long-term investment portfolio, is made up of euro-denominated securities initially acquired with the intention of holding them until maturity. In the Fund’s Financial Statements these securities are classified as Available for Sale (AFS) in line with the EC accounting rule 11</w:t>
      </w:r>
      <w:r>
        <w:rPr>
          <w:noProof/>
          <w:vertAlign w:val="superscript"/>
          <w:lang w:eastAsia="en-US"/>
        </w:rPr>
        <w:footnoteReference w:id="2"/>
      </w:r>
      <w:r>
        <w:rPr>
          <w:noProof/>
          <w:lang w:eastAsia="en-US"/>
        </w:rPr>
        <w:t xml:space="preserve">. At 31 December 2017, the market value (excluding accrued interest) of securities with a residual period </w:t>
      </w:r>
      <w:bookmarkStart w:id="43" w:name="OLE_LINK7"/>
      <w:r>
        <w:rPr>
          <w:noProof/>
          <w:lang w:eastAsia="en-US"/>
        </w:rPr>
        <w:t>to maturity of less than three months amounted to EUR 28.0 million, between 3 months and one year EUR 78.5 million and between one and 10 years EUR 2,078.0 million.</w:t>
      </w:r>
    </w:p>
    <w:p>
      <w:pPr>
        <w:jc w:val="both"/>
        <w:rPr>
          <w:noProof/>
          <w:lang w:eastAsia="en-US"/>
        </w:rPr>
      </w:pPr>
    </w:p>
    <w:bookmarkEnd w:id="43"/>
    <w:p>
      <w:pPr>
        <w:jc w:val="both"/>
        <w:rPr>
          <w:noProof/>
          <w:lang w:eastAsia="en-US"/>
        </w:rPr>
      </w:pPr>
      <w:r>
        <w:rPr>
          <w:noProof/>
          <w:lang w:eastAsia="en-US"/>
        </w:rPr>
        <w:t>The starting value of the securities in this portfolio is the acquisition cost. The difference between the entry price and the redemption value is the premium/discount spread, which is amortised over the remaining life of each of the securities using the effective interest rate method as specified in the EC accounting rules.</w:t>
      </w:r>
    </w:p>
    <w:p>
      <w:pPr>
        <w:jc w:val="both"/>
        <w:rPr>
          <w:noProof/>
          <w:lang w:eastAsia="en-US"/>
        </w:rPr>
      </w:pPr>
    </w:p>
    <w:p>
      <w:pPr>
        <w:jc w:val="both"/>
        <w:rPr>
          <w:noProof/>
          <w:lang w:eastAsia="en-US"/>
        </w:rPr>
      </w:pPr>
      <w:r>
        <w:rPr>
          <w:noProof/>
          <w:lang w:eastAsia="en-US"/>
        </w:rPr>
        <w:t>At 31 December 2017, the nominal value of the investment bond portfolio was EUR 2,101.2 million, against a clean market value of EUR 2,184.5 million.</w:t>
      </w:r>
    </w:p>
    <w:p>
      <w:pPr>
        <w:jc w:val="both"/>
        <w:rPr>
          <w:noProof/>
          <w:lang w:eastAsia="en-US"/>
        </w:rPr>
      </w:pPr>
    </w:p>
    <w:p>
      <w:pPr>
        <w:jc w:val="both"/>
        <w:rPr>
          <w:noProof/>
          <w:lang w:eastAsia="en-US"/>
        </w:rPr>
      </w:pPr>
      <w:r>
        <w:rPr>
          <w:noProof/>
          <w:lang w:eastAsia="en-US"/>
        </w:rPr>
        <w:t xml:space="preserve">The global (modified) duration of the bond portfolio decreased over 2017 to reach 2.93 years at the end of the year. As of 31 December 2017, the clean market value of the investment bond portfolio came to EUR 2,184.5 million (2016: EUR 2,053.3 million) compared with a book value (including premiums/discounts) of EUR 2,161.8 million (2016: EUR 2,017.8 million), which gives an unrealised fair value result of EUR +22.7 million (2016: EUR +35.5 million). </w:t>
      </w:r>
    </w:p>
    <w:p>
      <w:pPr>
        <w:jc w:val="both"/>
        <w:rPr>
          <w:noProof/>
          <w:lang w:eastAsia="en-US"/>
        </w:rPr>
      </w:pPr>
    </w:p>
    <w:p>
      <w:pPr>
        <w:jc w:val="both"/>
        <w:rPr>
          <w:noProof/>
        </w:rPr>
      </w:pPr>
      <w:r>
        <w:rPr>
          <w:noProof/>
          <w:lang w:eastAsia="en-US"/>
        </w:rPr>
        <w:t>In the 12-month period until December 2017, German sovereign bond yields rose by 16-34 basis points. The front-end of the curve until the 2-year tenor was rising the least, as ECP asset purchases and forwards guidance on monetary policy still serving as an anchor. The belly of the curve between 4-7 years were strongest hit, as this part is most vulnerable for repricing due to strong economic momentum and slowly rising inflation pressure, why the longer-end was also somewhat contained by flattening of the US curve and the potential slowdown of the US economy in the next years</w:t>
      </w:r>
      <w:r>
        <w:rPr>
          <w:noProof/>
        </w:rPr>
        <w:t>.</w:t>
      </w:r>
    </w:p>
    <w:p>
      <w:pPr>
        <w:jc w:val="both"/>
        <w:rPr>
          <w:noProof/>
        </w:rPr>
      </w:pPr>
    </w:p>
    <w:p>
      <w:pPr>
        <w:spacing w:before="120"/>
        <w:jc w:val="both"/>
        <w:rPr>
          <w:noProof/>
          <w:sz w:val="22"/>
          <w:szCs w:val="22"/>
          <w:highlight w:val="yellow"/>
        </w:rPr>
      </w:pPr>
      <w:r>
        <w:rPr>
          <w:noProof/>
          <w:sz w:val="22"/>
          <w:szCs w:val="22"/>
          <w:lang w:val="en-US" w:eastAsia="en-US"/>
        </w:rPr>
        <w:drawing>
          <wp:inline distT="0" distB="0" distL="0" distR="0">
            <wp:extent cx="5810250" cy="20574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10250" cy="2057400"/>
                    </a:xfrm>
                    <a:prstGeom prst="rect">
                      <a:avLst/>
                    </a:prstGeom>
                    <a:noFill/>
                    <a:ln>
                      <a:noFill/>
                    </a:ln>
                  </pic:spPr>
                </pic:pic>
              </a:graphicData>
            </a:graphic>
          </wp:inline>
        </w:drawing>
      </w:r>
    </w:p>
    <w:p>
      <w:pPr>
        <w:jc w:val="center"/>
        <w:rPr>
          <w:noProof/>
          <w:sz w:val="22"/>
          <w:szCs w:val="22"/>
          <w:highlight w:val="yellow"/>
        </w:rPr>
      </w:pPr>
    </w:p>
    <w:p>
      <w:pPr>
        <w:spacing w:before="120" w:after="120"/>
        <w:contextualSpacing/>
        <w:jc w:val="center"/>
        <w:rPr>
          <w:noProof/>
          <w:sz w:val="22"/>
          <w:szCs w:val="22"/>
        </w:rPr>
      </w:pPr>
      <w:r>
        <w:rPr>
          <w:noProof/>
          <w:sz w:val="22"/>
          <w:szCs w:val="22"/>
        </w:rPr>
        <w:t>Fig. 4: Quasi parallel shift of the Euro sovereign yield curve during 2017 (source Bloomberg)</w:t>
      </w:r>
    </w:p>
    <w:p>
      <w:pPr>
        <w:jc w:val="both"/>
        <w:rPr>
          <w:noProof/>
          <w:sz w:val="22"/>
          <w:szCs w:val="22"/>
        </w:rPr>
      </w:pPr>
    </w:p>
    <w:p>
      <w:pPr>
        <w:jc w:val="both"/>
        <w:rPr>
          <w:noProof/>
          <w:sz w:val="22"/>
          <w:szCs w:val="22"/>
        </w:rPr>
      </w:pPr>
    </w:p>
    <w:p>
      <w:pPr>
        <w:jc w:val="both"/>
        <w:rPr>
          <w:noProof/>
        </w:rPr>
      </w:pPr>
      <w:r>
        <w:rPr>
          <w:noProof/>
        </w:rPr>
        <w:t>Narrowing credit spreads have compensated the negative effect of higher bond yields on the Fund’s portfolio performance, which in terms of the absolute return amounted to 16 basis points.</w:t>
      </w:r>
    </w:p>
    <w:p>
      <w:pPr>
        <w:jc w:val="both"/>
        <w:rPr>
          <w:noProof/>
          <w:sz w:val="22"/>
          <w:szCs w:val="22"/>
        </w:rPr>
      </w:pPr>
    </w:p>
    <w:p>
      <w:pPr>
        <w:spacing w:after="240"/>
        <w:jc w:val="both"/>
        <w:rPr>
          <w:noProof/>
        </w:rPr>
      </w:pPr>
      <w:r>
        <w:rPr>
          <w:noProof/>
        </w:rPr>
        <w:t>I</w:t>
      </w:r>
      <w:r>
        <w:rPr>
          <w:noProof/>
          <w:lang w:eastAsia="en-US"/>
        </w:rPr>
        <w:t>n line with the 2017 approved investment strategy and in compliance with the guidelines, a total nominal amount of EUR 908.8</w:t>
      </w:r>
      <w:r>
        <w:rPr>
          <w:noProof/>
          <w:vertAlign w:val="superscript"/>
          <w:lang w:eastAsia="en-US"/>
        </w:rPr>
        <w:footnoteReference w:id="3"/>
      </w:r>
      <w:r>
        <w:rPr>
          <w:noProof/>
          <w:lang w:eastAsia="en-US"/>
        </w:rPr>
        <w:t xml:space="preserve"> million was invested in four asset classes: SSA (EUR 545.6 million or 60%), covered bonds (EUR 186.6 million or 21%), corporate bonds (EUR 83.9 million or 9%) and financials (EUR 92.6 million or 10%) either on an outright or on a switch basis. The purchases were made both on the primary and on the secondary market. All of the transactions aimed to maximize the risk return profile of the portfolio while satisfying the liquidity constraints. The charts below outline the total 2017 investments per asset class as well as in terms of country distribution</w:t>
      </w:r>
      <w:r>
        <w:rPr>
          <w:noProof/>
        </w:rPr>
        <w:t>.</w:t>
      </w:r>
    </w:p>
    <w:p>
      <w:pPr>
        <w:jc w:val="center"/>
        <w:rPr>
          <w:noProof/>
          <w:sz w:val="22"/>
          <w:szCs w:val="22"/>
        </w:rPr>
      </w:pPr>
      <w:r>
        <w:rPr>
          <w:noProof/>
          <w:sz w:val="22"/>
          <w:szCs w:val="22"/>
          <w:lang w:val="en-US" w:eastAsia="en-US"/>
        </w:rPr>
        <w:drawing>
          <wp:inline distT="0" distB="0" distL="0" distR="0">
            <wp:extent cx="5234940" cy="3140710"/>
            <wp:effectExtent l="0" t="0" r="3810" b="254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34940" cy="3140710"/>
                    </a:xfrm>
                    <a:prstGeom prst="rect">
                      <a:avLst/>
                    </a:prstGeom>
                    <a:noFill/>
                  </pic:spPr>
                </pic:pic>
              </a:graphicData>
            </a:graphic>
          </wp:inline>
        </w:drawing>
      </w:r>
    </w:p>
    <w:p>
      <w:pPr>
        <w:contextualSpacing/>
        <w:jc w:val="center"/>
        <w:rPr>
          <w:noProof/>
          <w:sz w:val="18"/>
          <w:szCs w:val="18"/>
        </w:rPr>
      </w:pPr>
      <w:r>
        <w:rPr>
          <w:noProof/>
          <w:sz w:val="18"/>
          <w:szCs w:val="18"/>
        </w:rPr>
        <w:t>Fig. 5: 2017 Investments per asset class</w:t>
      </w:r>
    </w:p>
    <w:p>
      <w:pPr>
        <w:contextualSpacing/>
        <w:jc w:val="center"/>
        <w:rPr>
          <w:noProof/>
          <w:sz w:val="18"/>
          <w:szCs w:val="18"/>
        </w:rPr>
      </w:pPr>
    </w:p>
    <w:p>
      <w:pPr>
        <w:contextualSpacing/>
        <w:jc w:val="center"/>
        <w:rPr>
          <w:noProof/>
          <w:sz w:val="18"/>
          <w:szCs w:val="18"/>
        </w:rPr>
      </w:pPr>
    </w:p>
    <w:p>
      <w:pPr>
        <w:spacing w:before="120" w:after="120"/>
        <w:jc w:val="center"/>
        <w:rPr>
          <w:noProof/>
        </w:rPr>
      </w:pPr>
      <w:r>
        <w:rPr>
          <w:noProof/>
          <w:sz w:val="18"/>
          <w:szCs w:val="18"/>
          <w:lang w:val="en-US" w:eastAsia="en-US"/>
        </w:rPr>
        <w:drawing>
          <wp:inline distT="0" distB="0" distL="0" distR="0">
            <wp:extent cx="4397375" cy="3079115"/>
            <wp:effectExtent l="0" t="0" r="3175" b="698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97375" cy="3079115"/>
                    </a:xfrm>
                    <a:prstGeom prst="rect">
                      <a:avLst/>
                    </a:prstGeom>
                    <a:noFill/>
                  </pic:spPr>
                </pic:pic>
              </a:graphicData>
            </a:graphic>
          </wp:inline>
        </w:drawing>
      </w:r>
    </w:p>
    <w:p>
      <w:pPr>
        <w:spacing w:before="120" w:after="120"/>
        <w:jc w:val="center"/>
        <w:rPr>
          <w:noProof/>
          <w:sz w:val="22"/>
          <w:szCs w:val="22"/>
        </w:rPr>
      </w:pPr>
    </w:p>
    <w:p>
      <w:pPr>
        <w:contextualSpacing/>
        <w:jc w:val="center"/>
        <w:rPr>
          <w:noProof/>
          <w:sz w:val="18"/>
          <w:szCs w:val="18"/>
        </w:rPr>
      </w:pPr>
      <w:r>
        <w:rPr>
          <w:noProof/>
          <w:sz w:val="18"/>
          <w:szCs w:val="18"/>
        </w:rPr>
        <w:t>Fig. 6: 2017 Investments per country of exposure</w:t>
      </w:r>
    </w:p>
    <w:p>
      <w:pPr>
        <w:contextualSpacing/>
        <w:jc w:val="center"/>
        <w:rPr>
          <w:noProof/>
          <w:sz w:val="18"/>
          <w:szCs w:val="18"/>
        </w:rPr>
      </w:pPr>
    </w:p>
    <w:p>
      <w:pPr>
        <w:contextualSpacing/>
        <w:jc w:val="both"/>
        <w:rPr>
          <w:noProof/>
        </w:rPr>
      </w:pPr>
      <w:r>
        <w:rPr>
          <w:noProof/>
        </w:rPr>
        <w:t>The below chart displays the maturity and instrument format split of the 2017 investments. It can be inferred from the chart that the 5Y tenor, as most attractive spot on the yield curve in terms of supply dynamics of new issuances.</w:t>
      </w:r>
    </w:p>
    <w:p>
      <w:pPr>
        <w:jc w:val="both"/>
        <w:rPr>
          <w:noProof/>
          <w:sz w:val="22"/>
          <w:szCs w:val="22"/>
        </w:rPr>
      </w:pPr>
    </w:p>
    <w:p>
      <w:pPr>
        <w:jc w:val="center"/>
        <w:rPr>
          <w:noProof/>
          <w:szCs w:val="22"/>
        </w:rPr>
      </w:pPr>
      <w:r>
        <w:rPr>
          <w:noProof/>
          <w:lang w:val="en-US" w:eastAsia="en-US"/>
        </w:rPr>
        <w:drawing>
          <wp:inline distT="0" distB="0" distL="0" distR="0">
            <wp:extent cx="4584700" cy="2755900"/>
            <wp:effectExtent l="0" t="0" r="6350" b="635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pPr>
        <w:contextualSpacing/>
        <w:jc w:val="center"/>
        <w:rPr>
          <w:noProof/>
          <w:sz w:val="18"/>
          <w:szCs w:val="18"/>
        </w:rPr>
      </w:pPr>
    </w:p>
    <w:p>
      <w:pPr>
        <w:contextualSpacing/>
        <w:jc w:val="center"/>
        <w:rPr>
          <w:noProof/>
          <w:sz w:val="18"/>
          <w:szCs w:val="18"/>
          <w:lang w:eastAsia="en-US"/>
        </w:rPr>
      </w:pPr>
      <w:r>
        <w:rPr>
          <w:noProof/>
          <w:sz w:val="18"/>
          <w:szCs w:val="18"/>
          <w:lang w:eastAsia="en-US"/>
        </w:rPr>
        <w:t>Fig. 7: 2017 Investments per maturity tenor and instrument type</w:t>
      </w:r>
    </w:p>
    <w:p>
      <w:pPr>
        <w:jc w:val="both"/>
        <w:rPr>
          <w:noProof/>
          <w:sz w:val="22"/>
          <w:szCs w:val="22"/>
        </w:rPr>
      </w:pPr>
    </w:p>
    <w:p>
      <w:pPr>
        <w:jc w:val="both"/>
        <w:rPr>
          <w:noProof/>
          <w:sz w:val="22"/>
          <w:szCs w:val="22"/>
        </w:rPr>
      </w:pPr>
    </w:p>
    <w:p>
      <w:pPr>
        <w:ind w:left="426"/>
        <w:jc w:val="both"/>
        <w:rPr>
          <w:noProof/>
          <w:sz w:val="22"/>
          <w:szCs w:val="22"/>
          <w:highlight w:val="yellow"/>
        </w:rPr>
      </w:pPr>
    </w:p>
    <w:p>
      <w:pPr>
        <w:keepNext/>
        <w:numPr>
          <w:ilvl w:val="0"/>
          <w:numId w:val="29"/>
        </w:numPr>
        <w:tabs>
          <w:tab w:val="left" w:pos="426"/>
          <w:tab w:val="num" w:pos="567"/>
        </w:tabs>
        <w:spacing w:before="120" w:after="120"/>
        <w:ind w:left="425" w:hanging="425"/>
        <w:jc w:val="both"/>
        <w:rPr>
          <w:noProof/>
          <w:sz w:val="22"/>
          <w:szCs w:val="22"/>
          <w:lang w:val="en-US"/>
        </w:rPr>
      </w:pPr>
      <w:r>
        <w:rPr>
          <w:noProof/>
          <w:sz w:val="22"/>
          <w:szCs w:val="22"/>
          <w:lang w:val="en-US"/>
        </w:rPr>
        <w:t>Breakdown of the investment portfolio between fixed rate and variable rate securities (nominal value)</w:t>
      </w:r>
    </w:p>
    <w:p>
      <w:pPr>
        <w:keepNext/>
        <w:keepLines/>
        <w:spacing w:before="120" w:after="120"/>
        <w:ind w:left="720"/>
        <w:jc w:val="both"/>
        <w:rPr>
          <w:noProof/>
          <w:sz w:val="22"/>
          <w:szCs w:val="22"/>
        </w:rPr>
      </w:pPr>
      <w:r>
        <w:rPr>
          <w:noProof/>
          <w:szCs w:val="22"/>
          <w:lang w:val="en-US" w:eastAsia="en-US"/>
        </w:rPr>
        <w:drawing>
          <wp:inline distT="0" distB="0" distL="0" distR="0">
            <wp:extent cx="4664710" cy="2484755"/>
            <wp:effectExtent l="0" t="0" r="2540" b="0"/>
            <wp:docPr id="9" name="Picture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spacing w:before="120" w:after="120"/>
        <w:jc w:val="center"/>
        <w:rPr>
          <w:noProof/>
          <w:sz w:val="18"/>
          <w:szCs w:val="18"/>
        </w:rPr>
      </w:pPr>
      <w:r>
        <w:rPr>
          <w:noProof/>
          <w:sz w:val="18"/>
          <w:szCs w:val="18"/>
        </w:rPr>
        <w:t>Fig. 8: Investment portfolio breakdown between fixed</w:t>
      </w:r>
      <w:r>
        <w:rPr>
          <w:noProof/>
          <w:sz w:val="18"/>
          <w:szCs w:val="18"/>
          <w:vertAlign w:val="superscript"/>
        </w:rPr>
        <w:footnoteReference w:id="4"/>
      </w:r>
      <w:r>
        <w:rPr>
          <w:noProof/>
          <w:sz w:val="18"/>
          <w:szCs w:val="18"/>
        </w:rPr>
        <w:t xml:space="preserve"> and variable rate securities at 31 December 2017</w:t>
      </w:r>
    </w:p>
    <w:p>
      <w:pPr>
        <w:spacing w:before="120" w:after="120"/>
        <w:rPr>
          <w:noProof/>
          <w:sz w:val="18"/>
          <w:szCs w:val="18"/>
        </w:rPr>
      </w:pPr>
    </w:p>
    <w:p>
      <w:pPr>
        <w:numPr>
          <w:ilvl w:val="0"/>
          <w:numId w:val="29"/>
        </w:numPr>
        <w:tabs>
          <w:tab w:val="left" w:pos="426"/>
        </w:tabs>
        <w:spacing w:before="120" w:after="120"/>
        <w:ind w:left="426" w:hanging="426"/>
        <w:jc w:val="both"/>
        <w:rPr>
          <w:noProof/>
          <w:sz w:val="22"/>
          <w:szCs w:val="22"/>
        </w:rPr>
      </w:pPr>
      <w:r>
        <w:rPr>
          <w:noProof/>
          <w:sz w:val="22"/>
          <w:szCs w:val="22"/>
        </w:rPr>
        <w:t xml:space="preserve">Redemption </w:t>
      </w:r>
      <w:r>
        <w:rPr>
          <w:noProof/>
        </w:rPr>
        <w:t>profile</w:t>
      </w:r>
      <w:r>
        <w:rPr>
          <w:noProof/>
          <w:sz w:val="22"/>
          <w:szCs w:val="22"/>
        </w:rPr>
        <w:t xml:space="preserve"> of investment portfolio (nominal value)</w:t>
      </w:r>
    </w:p>
    <w:p>
      <w:pPr>
        <w:tabs>
          <w:tab w:val="left" w:pos="7305"/>
        </w:tabs>
        <w:spacing w:before="120" w:after="120"/>
        <w:jc w:val="center"/>
        <w:rPr>
          <w:noProof/>
          <w:sz w:val="22"/>
          <w:szCs w:val="22"/>
        </w:rPr>
      </w:pPr>
      <w:r>
        <w:rPr>
          <w:noProof/>
          <w:lang w:val="en-US" w:eastAsia="en-US"/>
        </w:rPr>
        <w:drawing>
          <wp:inline distT="0" distB="0" distL="0" distR="0">
            <wp:extent cx="5750560" cy="2082800"/>
            <wp:effectExtent l="0" t="0" r="21590" b="12700"/>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tabs>
          <w:tab w:val="left" w:pos="4005"/>
        </w:tabs>
        <w:spacing w:before="120" w:after="120"/>
        <w:jc w:val="center"/>
        <w:rPr>
          <w:noProof/>
          <w:sz w:val="18"/>
          <w:szCs w:val="18"/>
        </w:rPr>
      </w:pPr>
      <w:r>
        <w:rPr>
          <w:noProof/>
          <w:sz w:val="18"/>
          <w:szCs w:val="18"/>
        </w:rPr>
        <w:t>Fig.9: Investment portfolio: Redemption profile at 31 December 2017</w:t>
      </w:r>
    </w:p>
    <w:p>
      <w:pPr>
        <w:jc w:val="both"/>
        <w:rPr>
          <w:noProof/>
          <w:sz w:val="22"/>
          <w:szCs w:val="22"/>
        </w:rPr>
      </w:pPr>
    </w:p>
    <w:p>
      <w:pPr>
        <w:tabs>
          <w:tab w:val="num" w:pos="426"/>
        </w:tabs>
        <w:jc w:val="both"/>
        <w:rPr>
          <w:noProof/>
        </w:rPr>
      </w:pPr>
      <w:r>
        <w:rPr>
          <w:noProof/>
        </w:rPr>
        <w:t>The latest final maturity date for fixed rate securities is 7 December 2026.</w:t>
      </w:r>
    </w:p>
    <w:p>
      <w:pPr>
        <w:rPr>
          <w:noProof/>
          <w:u w:val="single"/>
        </w:rPr>
      </w:pPr>
      <w:r>
        <w:rPr>
          <w:noProof/>
        </w:rPr>
        <w:br w:type="page"/>
      </w:r>
      <w:r>
        <w:rPr>
          <w:noProof/>
          <w:u w:val="single"/>
        </w:rPr>
        <w:t>Profile of issuers</w:t>
      </w:r>
    </w:p>
    <w:p>
      <w:pPr>
        <w:ind w:left="426"/>
        <w:jc w:val="both"/>
        <w:rPr>
          <w:noProof/>
          <w:color w:val="000000"/>
        </w:rPr>
      </w:pPr>
    </w:p>
    <w:p>
      <w:pPr>
        <w:rPr>
          <w:noProof/>
          <w:color w:val="000000"/>
          <w:lang w:eastAsia="en-US"/>
        </w:rPr>
      </w:pPr>
      <w:r>
        <w:rPr>
          <w:noProof/>
          <w:color w:val="000000"/>
        </w:rPr>
        <w:t>A</w:t>
      </w:r>
      <w:r>
        <w:rPr>
          <w:noProof/>
          <w:color w:val="000000"/>
          <w:lang w:eastAsia="en-US"/>
        </w:rPr>
        <w:t>ll the securities held in the portfolio are in line with the management guidelines and meet the following criteria for:</w:t>
      </w:r>
    </w:p>
    <w:p>
      <w:pPr>
        <w:numPr>
          <w:ilvl w:val="0"/>
          <w:numId w:val="45"/>
        </w:numPr>
        <w:spacing w:before="120" w:after="120"/>
        <w:contextualSpacing/>
        <w:jc w:val="both"/>
        <w:rPr>
          <w:noProof/>
          <w:color w:val="000000"/>
          <w:lang w:eastAsia="en-US"/>
        </w:rPr>
      </w:pPr>
      <w:r>
        <w:rPr>
          <w:noProof/>
          <w:color w:val="000000"/>
          <w:lang w:eastAsia="en-US"/>
        </w:rPr>
        <w:t>Securities issued or guaranteed by Member States</w:t>
      </w:r>
      <w:r>
        <w:rPr>
          <w:rStyle w:val="FootnoteReference"/>
          <w:noProof/>
          <w:color w:val="000000"/>
          <w:lang w:eastAsia="en-US"/>
        </w:rPr>
        <w:footnoteReference w:id="5"/>
      </w:r>
      <w:r>
        <w:rPr>
          <w:noProof/>
          <w:color w:val="000000"/>
          <w:lang w:eastAsia="en-US"/>
        </w:rPr>
        <w:t>: minimum rating Baa3;</w:t>
      </w:r>
    </w:p>
    <w:p>
      <w:pPr>
        <w:numPr>
          <w:ilvl w:val="0"/>
          <w:numId w:val="45"/>
        </w:numPr>
        <w:spacing w:before="120" w:after="120"/>
        <w:jc w:val="both"/>
        <w:rPr>
          <w:noProof/>
          <w:color w:val="000000"/>
          <w:lang w:eastAsia="en-US"/>
        </w:rPr>
      </w:pPr>
      <w:r>
        <w:rPr>
          <w:noProof/>
          <w:color w:val="000000"/>
          <w:lang w:eastAsia="en-US"/>
        </w:rPr>
        <w:t>Securities issued (or guaranteed) by a Supranational in which Member States are involved, other States, regional or local governments, public enterprises or institutions belonging to a government or controlled by the latter: minimum rating Aa2.;</w:t>
      </w:r>
    </w:p>
    <w:p>
      <w:pPr>
        <w:numPr>
          <w:ilvl w:val="0"/>
          <w:numId w:val="45"/>
        </w:numPr>
        <w:spacing w:before="120" w:after="120"/>
        <w:contextualSpacing/>
        <w:jc w:val="both"/>
        <w:rPr>
          <w:noProof/>
          <w:color w:val="000000"/>
          <w:lang w:eastAsia="en-US"/>
        </w:rPr>
      </w:pPr>
      <w:r>
        <w:rPr>
          <w:noProof/>
          <w:color w:val="000000"/>
          <w:lang w:eastAsia="en-US"/>
        </w:rPr>
        <w:t>Covered Bonds or other legal bodies (including structured products): minimum rating Aaa;</w:t>
      </w:r>
    </w:p>
    <w:p>
      <w:pPr>
        <w:numPr>
          <w:ilvl w:val="0"/>
          <w:numId w:val="45"/>
        </w:numPr>
        <w:jc w:val="both"/>
        <w:rPr>
          <w:noProof/>
          <w:color w:val="000000"/>
          <w:lang w:eastAsia="en-US"/>
        </w:rPr>
      </w:pPr>
      <w:r>
        <w:rPr>
          <w:noProof/>
          <w:color w:val="000000"/>
          <w:lang w:eastAsia="en-US"/>
        </w:rPr>
        <w:t>Securities issued by other legal bodies (excluding CBs and structured products): minimum rating Aa2.</w:t>
      </w:r>
    </w:p>
    <w:p>
      <w:pPr>
        <w:jc w:val="both"/>
        <w:rPr>
          <w:noProof/>
          <w:color w:val="000000"/>
          <w:lang w:eastAsia="en-US"/>
        </w:rPr>
      </w:pPr>
    </w:p>
    <w:p>
      <w:pPr>
        <w:jc w:val="both"/>
        <w:rPr>
          <w:noProof/>
          <w:color w:val="000000"/>
        </w:rPr>
      </w:pPr>
      <w:r>
        <w:rPr>
          <w:noProof/>
          <w:color w:val="000000"/>
          <w:lang w:eastAsia="en-US"/>
        </w:rPr>
        <w:t>The profile of issuers by issuer type and long term rating</w:t>
      </w:r>
      <w:r>
        <w:rPr>
          <w:rStyle w:val="FootnoteReference"/>
          <w:noProof/>
          <w:color w:val="000000"/>
          <w:lang w:eastAsia="en-US"/>
        </w:rPr>
        <w:footnoteReference w:id="6"/>
      </w:r>
      <w:r>
        <w:rPr>
          <w:noProof/>
          <w:color w:val="FFFFFF"/>
          <w:vertAlign w:val="superscript"/>
          <w:lang w:eastAsia="en-US"/>
        </w:rPr>
        <w:t xml:space="preserve"> </w:t>
      </w:r>
      <w:r>
        <w:rPr>
          <w:noProof/>
          <w:color w:val="000000"/>
          <w:lang w:eastAsia="en-US"/>
        </w:rPr>
        <w:t>of the investment portfolio (nominal amount) at 31 December 2017 is as follows:</w:t>
      </w:r>
    </w:p>
    <w:p>
      <w:pPr>
        <w:jc w:val="both"/>
        <w:rPr>
          <w:noProof/>
          <w:color w:val="000000"/>
        </w:rPr>
      </w:pPr>
    </w:p>
    <w:p>
      <w:pPr>
        <w:spacing w:before="120" w:after="120"/>
        <w:jc w:val="both"/>
        <w:rPr>
          <w:noProof/>
          <w:color w:val="FFFFFF"/>
          <w:sz w:val="22"/>
          <w:szCs w:val="22"/>
        </w:rPr>
      </w:pPr>
      <w:r>
        <w:rPr>
          <w:noProof/>
          <w:lang w:val="en-US" w:eastAsia="en-US"/>
        </w:rPr>
        <w:drawing>
          <wp:inline distT="0" distB="0" distL="0" distR="0">
            <wp:extent cx="5750560" cy="2980690"/>
            <wp:effectExtent l="0" t="0" r="21590" b="10160"/>
            <wp:docPr id="1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spacing w:before="120" w:after="120"/>
        <w:jc w:val="center"/>
        <w:rPr>
          <w:noProof/>
          <w:sz w:val="18"/>
          <w:szCs w:val="18"/>
        </w:rPr>
      </w:pPr>
      <w:r>
        <w:rPr>
          <w:noProof/>
          <w:sz w:val="18"/>
          <w:szCs w:val="18"/>
        </w:rPr>
        <w:t>Fig.10: Investment portfolio: Profile of issuers at 31 December 2017</w:t>
      </w:r>
      <w:r>
        <w:rPr>
          <w:rStyle w:val="FootnoteReference"/>
          <w:noProof/>
          <w:sz w:val="18"/>
          <w:szCs w:val="18"/>
        </w:rPr>
        <w:footnoteReference w:id="7"/>
      </w:r>
    </w:p>
    <w:p>
      <w:pPr>
        <w:pStyle w:val="ManualHeading2"/>
        <w:rPr>
          <w:noProof/>
        </w:rPr>
      </w:pPr>
      <w:bookmarkStart w:id="44" w:name="OLE_LINK1"/>
      <w:bookmarkStart w:id="45" w:name="OLE_LINK2"/>
      <w:bookmarkStart w:id="46" w:name="_Hlk190783042"/>
      <w:bookmarkStart w:id="47" w:name="_Toc449626277"/>
      <w:bookmarkStart w:id="48" w:name="_Toc478663478"/>
      <w:bookmarkEnd w:id="44"/>
      <w:bookmarkEnd w:id="45"/>
      <w:bookmarkEnd w:id="46"/>
      <w:r>
        <w:rPr>
          <w:noProof/>
        </w:rPr>
        <w:t>2.4.</w:t>
      </w:r>
      <w:r>
        <w:rPr>
          <w:noProof/>
        </w:rPr>
        <w:tab/>
        <w:t>Benchmarking, performance and interest rate risk analysis</w:t>
      </w:r>
      <w:bookmarkEnd w:id="47"/>
      <w:bookmarkEnd w:id="48"/>
    </w:p>
    <w:p>
      <w:pPr>
        <w:pStyle w:val="ManualHeading3"/>
        <w:rPr>
          <w:noProof/>
        </w:rPr>
      </w:pPr>
      <w:bookmarkStart w:id="49" w:name="_Toc449626278"/>
      <w:bookmarkStart w:id="50" w:name="_Toc478663479"/>
      <w:r>
        <w:rPr>
          <w:noProof/>
        </w:rPr>
        <w:t>2.4.1.</w:t>
      </w:r>
      <w:r>
        <w:rPr>
          <w:noProof/>
        </w:rPr>
        <w:tab/>
        <w:t>Benchmarking</w:t>
      </w:r>
      <w:bookmarkEnd w:id="49"/>
      <w:bookmarkEnd w:id="50"/>
    </w:p>
    <w:p>
      <w:pPr>
        <w:jc w:val="both"/>
        <w:rPr>
          <w:noProof/>
          <w:lang w:eastAsia="en-US"/>
        </w:rPr>
      </w:pPr>
      <w:r>
        <w:rPr>
          <w:noProof/>
        </w:rPr>
        <w:t>T</w:t>
      </w:r>
      <w:r>
        <w:rPr>
          <w:noProof/>
          <w:lang w:eastAsia="en-US"/>
        </w:rPr>
        <w:t>he performance of the Fund is monitored on a marked-to-market (MTM) basis against a composite index. This index is the result of the combination of the following sub-indices:</w:t>
      </w:r>
    </w:p>
    <w:p>
      <w:pPr>
        <w:numPr>
          <w:ilvl w:val="0"/>
          <w:numId w:val="46"/>
        </w:numPr>
        <w:tabs>
          <w:tab w:val="num" w:pos="850"/>
        </w:tabs>
        <w:spacing w:before="120" w:after="120"/>
        <w:ind w:left="851" w:hanging="851"/>
        <w:jc w:val="both"/>
        <w:rPr>
          <w:noProof/>
          <w:lang w:eastAsia="en-US"/>
        </w:rPr>
      </w:pPr>
      <w:r>
        <w:rPr>
          <w:noProof/>
          <w:lang w:eastAsia="en-US"/>
        </w:rPr>
        <w:t>Euribid 1M for money-market operations</w:t>
      </w:r>
    </w:p>
    <w:p>
      <w:pPr>
        <w:numPr>
          <w:ilvl w:val="0"/>
          <w:numId w:val="46"/>
        </w:numPr>
        <w:tabs>
          <w:tab w:val="num" w:pos="850"/>
        </w:tabs>
        <w:spacing w:before="120" w:after="120"/>
        <w:ind w:left="850" w:hanging="850"/>
        <w:jc w:val="both"/>
        <w:rPr>
          <w:noProof/>
          <w:lang w:eastAsia="en-US"/>
        </w:rPr>
      </w:pPr>
      <w:r>
        <w:rPr>
          <w:noProof/>
          <w:lang w:eastAsia="en-US"/>
        </w:rPr>
        <w:t xml:space="preserve">Euribid 3M for floating rate notes and fixed rate bond with less than one year to maturity </w:t>
      </w:r>
    </w:p>
    <w:p>
      <w:pPr>
        <w:numPr>
          <w:ilvl w:val="0"/>
          <w:numId w:val="46"/>
        </w:numPr>
        <w:tabs>
          <w:tab w:val="num" w:pos="850"/>
        </w:tabs>
        <w:spacing w:before="120" w:after="120"/>
        <w:ind w:left="850" w:hanging="850"/>
        <w:jc w:val="both"/>
        <w:rPr>
          <w:noProof/>
          <w:lang w:eastAsia="en-US"/>
        </w:rPr>
      </w:pPr>
      <w:r>
        <w:rPr>
          <w:noProof/>
          <w:lang w:eastAsia="en-US"/>
        </w:rPr>
        <w:t xml:space="preserve">IBOXX EUR Sovereign indices for fixed rate bonds issued by sovereign (or similar) issuers, split by maturity buckets </w:t>
      </w:r>
    </w:p>
    <w:p>
      <w:pPr>
        <w:numPr>
          <w:ilvl w:val="0"/>
          <w:numId w:val="46"/>
        </w:numPr>
        <w:tabs>
          <w:tab w:val="num" w:pos="850"/>
        </w:tabs>
        <w:spacing w:before="120" w:after="120"/>
        <w:ind w:left="850" w:hanging="850"/>
        <w:jc w:val="both"/>
        <w:rPr>
          <w:noProof/>
          <w:lang w:eastAsia="en-US"/>
        </w:rPr>
      </w:pPr>
      <w:r>
        <w:rPr>
          <w:noProof/>
          <w:lang w:eastAsia="en-US"/>
        </w:rPr>
        <w:t xml:space="preserve">IBOXX EUR Collateralized Covered indices for fixed rate bonds issued by non-sovereign issuers, split by maturity buckets </w:t>
      </w:r>
    </w:p>
    <w:p>
      <w:pPr>
        <w:spacing w:after="120"/>
        <w:jc w:val="both"/>
        <w:rPr>
          <w:noProof/>
          <w:lang w:eastAsia="en-US"/>
        </w:rPr>
      </w:pPr>
      <w:r>
        <w:rPr>
          <w:noProof/>
          <w:lang w:eastAsia="en-US"/>
        </w:rPr>
        <w:t>Index weightings are based on portfolio composition and are reviewed:</w:t>
      </w:r>
    </w:p>
    <w:p>
      <w:pPr>
        <w:numPr>
          <w:ilvl w:val="0"/>
          <w:numId w:val="46"/>
        </w:numPr>
        <w:tabs>
          <w:tab w:val="clear" w:pos="360"/>
          <w:tab w:val="num" w:pos="426"/>
        </w:tabs>
        <w:spacing w:before="120" w:after="120"/>
        <w:ind w:left="426" w:hanging="426"/>
        <w:jc w:val="both"/>
        <w:rPr>
          <w:noProof/>
          <w:lang w:eastAsia="en-US"/>
        </w:rPr>
      </w:pPr>
      <w:r>
        <w:rPr>
          <w:noProof/>
          <w:lang w:eastAsia="en-US"/>
        </w:rPr>
        <w:t>at each end-month day: the dates which define the time buckets (up to 1y, from 1y to 3y, from 3y o 5y, from 5y to 7y and from 7y to 10y) are updated. As a consequence, the shifts between buckets due to the aging of existing positions are accounted only once per month at end-month, following the same procedure underlying the managing of the IBOXX’s indexes;</w:t>
      </w:r>
    </w:p>
    <w:p>
      <w:pPr>
        <w:numPr>
          <w:ilvl w:val="0"/>
          <w:numId w:val="46"/>
        </w:numPr>
        <w:tabs>
          <w:tab w:val="clear" w:pos="360"/>
          <w:tab w:val="num" w:pos="426"/>
        </w:tabs>
        <w:spacing w:before="120" w:after="120"/>
        <w:ind w:left="426" w:hanging="426"/>
        <w:jc w:val="both"/>
        <w:rPr>
          <w:noProof/>
          <w:lang w:eastAsia="en-US"/>
        </w:rPr>
      </w:pPr>
      <w:r>
        <w:rPr>
          <w:noProof/>
          <w:lang w:eastAsia="en-US"/>
        </w:rPr>
        <w:t>during the month, whenever a change higher then ±5% in one of the asset-classes (with respect to the last benchmark’s adjustment) is observed. This change can be the result of:</w:t>
      </w:r>
    </w:p>
    <w:p>
      <w:pPr>
        <w:numPr>
          <w:ilvl w:val="0"/>
          <w:numId w:val="47"/>
        </w:numPr>
        <w:spacing w:after="120"/>
        <w:jc w:val="both"/>
        <w:rPr>
          <w:noProof/>
          <w:lang w:eastAsia="en-US"/>
        </w:rPr>
      </w:pPr>
      <w:r>
        <w:rPr>
          <w:noProof/>
          <w:lang w:eastAsia="en-US"/>
        </w:rPr>
        <w:t>the impact of a contribution from the European Commission to the portfolio (external cash flows from the European Commission);</w:t>
      </w:r>
    </w:p>
    <w:p>
      <w:pPr>
        <w:numPr>
          <w:ilvl w:val="0"/>
          <w:numId w:val="47"/>
        </w:numPr>
        <w:spacing w:after="120"/>
        <w:jc w:val="both"/>
        <w:rPr>
          <w:noProof/>
          <w:lang w:eastAsia="en-US"/>
        </w:rPr>
      </w:pPr>
      <w:r>
        <w:rPr>
          <w:noProof/>
          <w:lang w:eastAsia="en-US"/>
        </w:rPr>
        <w:t>the impact of a withdrawal from the portfolio to the European Commission (external cash flows to the European Commission);</w:t>
      </w:r>
    </w:p>
    <w:p>
      <w:pPr>
        <w:numPr>
          <w:ilvl w:val="0"/>
          <w:numId w:val="47"/>
        </w:numPr>
        <w:spacing w:after="120"/>
        <w:jc w:val="both"/>
        <w:rPr>
          <w:noProof/>
          <w:lang w:eastAsia="en-US"/>
        </w:rPr>
      </w:pPr>
      <w:r>
        <w:rPr>
          <w:noProof/>
          <w:lang w:eastAsia="en-US"/>
        </w:rPr>
        <w:t>the impact of a transaction settled (sales and purchases);</w:t>
      </w:r>
    </w:p>
    <w:p>
      <w:pPr>
        <w:numPr>
          <w:ilvl w:val="0"/>
          <w:numId w:val="47"/>
        </w:numPr>
        <w:jc w:val="both"/>
        <w:rPr>
          <w:noProof/>
          <w:lang w:eastAsia="en-US"/>
        </w:rPr>
      </w:pPr>
      <w:r>
        <w:rPr>
          <w:noProof/>
          <w:lang w:eastAsia="en-US"/>
        </w:rPr>
        <w:t>the impact of a redemption;</w:t>
      </w:r>
    </w:p>
    <w:p>
      <w:pPr>
        <w:numPr>
          <w:ilvl w:val="0"/>
          <w:numId w:val="47"/>
        </w:numPr>
        <w:ind w:left="709"/>
        <w:jc w:val="both"/>
        <w:rPr>
          <w:noProof/>
          <w:lang w:eastAsia="en-US"/>
        </w:rPr>
      </w:pPr>
      <w:r>
        <w:rPr>
          <w:noProof/>
          <w:lang w:eastAsia="en-US"/>
        </w:rPr>
        <w:t>the sum of the impacts of previous events accumulated from the last benchmark’s adjustment, taking also into consideration the changes in the clean values of the positions.</w:t>
      </w:r>
    </w:p>
    <w:p>
      <w:pPr>
        <w:rPr>
          <w:noProof/>
        </w:rPr>
      </w:pPr>
      <w:r>
        <w:rPr>
          <w:noProof/>
        </w:rPr>
        <w:br w:type="page"/>
      </w:r>
    </w:p>
    <w:tbl>
      <w:tblPr>
        <w:tblW w:w="9200" w:type="dxa"/>
        <w:tblInd w:w="93" w:type="dxa"/>
        <w:tblLook w:val="04A0" w:firstRow="1" w:lastRow="0" w:firstColumn="1" w:lastColumn="0" w:noHBand="0" w:noVBand="1"/>
      </w:tblPr>
      <w:tblGrid>
        <w:gridCol w:w="1149"/>
        <w:gridCol w:w="113"/>
        <w:gridCol w:w="2722"/>
        <w:gridCol w:w="113"/>
        <w:gridCol w:w="2155"/>
        <w:gridCol w:w="113"/>
        <w:gridCol w:w="2835"/>
      </w:tblGrid>
      <w:tr>
        <w:trPr>
          <w:trHeight w:val="855"/>
        </w:trPr>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Bucket (years)</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Performance Benchmark Sector</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Instrument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Average Clean Market Value Composition of 2017</w:t>
            </w:r>
          </w:p>
        </w:tc>
      </w:tr>
      <w:tr>
        <w:trPr>
          <w:trHeight w:val="432"/>
        </w:trPr>
        <w:tc>
          <w:tcPr>
            <w:tcW w:w="1262"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pPr>
              <w:spacing w:after="240"/>
              <w:jc w:val="center"/>
              <w:rPr>
                <w:noProof/>
                <w:color w:val="000000"/>
                <w:sz w:val="22"/>
                <w:szCs w:val="22"/>
              </w:rPr>
            </w:pPr>
            <w:r>
              <w:rPr>
                <w:noProof/>
                <w:color w:val="000000"/>
                <w:sz w:val="22"/>
                <w:szCs w:val="22"/>
              </w:rPr>
              <w:t xml:space="preserve"> 0-1</w:t>
            </w: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1 m</w:t>
            </w:r>
          </w:p>
        </w:tc>
        <w:tc>
          <w:tcPr>
            <w:tcW w:w="2268"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Money Market</w:t>
            </w: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10.1%</w:t>
            </w:r>
          </w:p>
        </w:tc>
      </w:tr>
      <w:tr>
        <w:trPr>
          <w:trHeight w:val="300"/>
        </w:trPr>
        <w:tc>
          <w:tcPr>
            <w:tcW w:w="1262" w:type="dxa"/>
            <w:gridSpan w:val="2"/>
            <w:vMerge/>
            <w:tcBorders>
              <w:top w:val="nil"/>
              <w:left w:val="single" w:sz="4" w:space="0" w:color="auto"/>
              <w:bottom w:val="single" w:sz="4" w:space="0" w:color="auto"/>
              <w:right w:val="single" w:sz="4" w:space="0" w:color="auto"/>
            </w:tcBorders>
            <w:vAlign w:val="center"/>
            <w:hideMark/>
          </w:tcPr>
          <w:p>
            <w:pP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3 m</w:t>
            </w:r>
          </w:p>
        </w:tc>
        <w:tc>
          <w:tcPr>
            <w:tcW w:w="2268"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FRN and Fixed Rate Bonds</w:t>
            </w: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12.7%</w:t>
            </w:r>
          </w:p>
        </w:tc>
      </w:tr>
      <w:tr>
        <w:trPr>
          <w:trHeight w:val="459"/>
        </w:trPr>
        <w:tc>
          <w:tcPr>
            <w:tcW w:w="1262"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pPr>
              <w:jc w:val="center"/>
              <w:rPr>
                <w:noProof/>
                <w:color w:val="000000"/>
                <w:sz w:val="22"/>
                <w:szCs w:val="22"/>
              </w:rPr>
            </w:pPr>
            <w:r>
              <w:rPr>
                <w:noProof/>
                <w:color w:val="000000"/>
                <w:sz w:val="22"/>
                <w:szCs w:val="22"/>
              </w:rPr>
              <w:t>1-3</w:t>
            </w:r>
          </w:p>
          <w:p>
            <w:pPr>
              <w:jc w:val="center"/>
              <w:rPr>
                <w:noProof/>
                <w:color w:val="000000"/>
                <w:sz w:val="22"/>
                <w:szCs w:val="22"/>
              </w:rPr>
            </w:pPr>
            <w:r>
              <w:rPr>
                <w:noProof/>
                <w:color w:val="00000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sovereign</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pPr>
              <w:spacing w:after="240"/>
              <w:jc w:val="center"/>
              <w:rPr>
                <w:noProof/>
                <w:color w:val="000000"/>
                <w:sz w:val="22"/>
                <w:szCs w:val="22"/>
              </w:rPr>
            </w:pPr>
            <w:r>
              <w:rPr>
                <w:noProof/>
                <w:color w:val="000000"/>
                <w:sz w:val="22"/>
                <w:szCs w:val="22"/>
              </w:rPr>
              <w:t>Fixed</w:t>
            </w:r>
            <w:r>
              <w:rPr>
                <w:noProof/>
                <w:color w:val="000000"/>
                <w:sz w:val="22"/>
                <w:szCs w:val="22"/>
              </w:rPr>
              <w:br/>
              <w:t>Rate</w:t>
            </w:r>
            <w:r>
              <w:rPr>
                <w:noProof/>
                <w:color w:val="000000"/>
                <w:sz w:val="22"/>
                <w:szCs w:val="22"/>
              </w:rPr>
              <w:br/>
              <w:t>Bonds</w:t>
            </w:r>
          </w:p>
          <w:p>
            <w:pPr>
              <w:spacing w:after="240"/>
              <w:jc w:val="center"/>
              <w:rPr>
                <w:noProof/>
                <w:color w:val="000000"/>
                <w:sz w:val="22"/>
                <w:szCs w:val="22"/>
              </w:rPr>
            </w:pPr>
          </w:p>
          <w:p>
            <w:pPr>
              <w:spacing w:after="240"/>
              <w:jc w:val="center"/>
              <w:rPr>
                <w:noProof/>
                <w:color w:val="000000"/>
                <w:sz w:val="22"/>
                <w:szCs w:val="22"/>
              </w:rPr>
            </w:pPr>
            <w:r>
              <w:rPr>
                <w:noProof/>
                <w:color w:val="000000"/>
                <w:sz w:val="22"/>
                <w:szCs w:val="22"/>
              </w:rPr>
              <w:br/>
            </w: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15.0%</w:t>
            </w:r>
          </w:p>
        </w:tc>
      </w:tr>
      <w:tr>
        <w:trPr>
          <w:trHeight w:val="448"/>
        </w:trPr>
        <w:tc>
          <w:tcPr>
            <w:tcW w:w="1262" w:type="dxa"/>
            <w:gridSpan w:val="2"/>
            <w:vMerge/>
            <w:tcBorders>
              <w:top w:val="nil"/>
              <w:left w:val="single" w:sz="4" w:space="0" w:color="auto"/>
              <w:bottom w:val="single" w:sz="4" w:space="0" w:color="auto"/>
              <w:right w:val="single" w:sz="4" w:space="0" w:color="auto"/>
            </w:tcBorders>
            <w:vAlign w:val="center"/>
            <w:hideMark/>
          </w:tcPr>
          <w:p>
            <w:pP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covered bonds</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9.2%</w:t>
            </w:r>
          </w:p>
        </w:tc>
      </w:tr>
      <w:tr>
        <w:trPr>
          <w:trHeight w:val="403"/>
        </w:trPr>
        <w:tc>
          <w:tcPr>
            <w:tcW w:w="1262"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pPr>
              <w:jc w:val="center"/>
              <w:rPr>
                <w:noProof/>
                <w:color w:val="000000"/>
                <w:sz w:val="22"/>
                <w:szCs w:val="22"/>
              </w:rPr>
            </w:pPr>
            <w:r>
              <w:rPr>
                <w:noProof/>
                <w:color w:val="000000"/>
                <w:sz w:val="22"/>
                <w:szCs w:val="22"/>
              </w:rPr>
              <w:t xml:space="preserve"> 3-5</w:t>
            </w:r>
          </w:p>
          <w:p>
            <w:pPr>
              <w:jc w:val="cente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sovereign</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16.6%</w:t>
            </w:r>
          </w:p>
        </w:tc>
      </w:tr>
      <w:tr>
        <w:trPr>
          <w:trHeight w:val="409"/>
        </w:trPr>
        <w:tc>
          <w:tcPr>
            <w:tcW w:w="1262" w:type="dxa"/>
            <w:gridSpan w:val="2"/>
            <w:vMerge/>
            <w:tcBorders>
              <w:top w:val="nil"/>
              <w:left w:val="single" w:sz="4" w:space="0" w:color="auto"/>
              <w:bottom w:val="single" w:sz="4" w:space="0" w:color="auto"/>
              <w:right w:val="single" w:sz="4" w:space="0" w:color="auto"/>
            </w:tcBorders>
            <w:vAlign w:val="center"/>
            <w:hideMark/>
          </w:tcPr>
          <w:p>
            <w:pP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covered bonds</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17.8%</w:t>
            </w:r>
          </w:p>
        </w:tc>
      </w:tr>
      <w:tr>
        <w:trPr>
          <w:trHeight w:val="415"/>
        </w:trPr>
        <w:tc>
          <w:tcPr>
            <w:tcW w:w="1262"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pPr>
              <w:jc w:val="center"/>
              <w:rPr>
                <w:noProof/>
                <w:color w:val="000000"/>
                <w:sz w:val="22"/>
                <w:szCs w:val="22"/>
              </w:rPr>
            </w:pPr>
            <w:r>
              <w:rPr>
                <w:noProof/>
                <w:color w:val="000000"/>
                <w:sz w:val="22"/>
                <w:szCs w:val="22"/>
              </w:rPr>
              <w:t xml:space="preserve"> 5-7</w:t>
            </w:r>
          </w:p>
          <w:p>
            <w:pPr>
              <w:jc w:val="cente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sovereign</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11.9%</w:t>
            </w:r>
          </w:p>
        </w:tc>
      </w:tr>
      <w:tr>
        <w:trPr>
          <w:trHeight w:val="421"/>
        </w:trPr>
        <w:tc>
          <w:tcPr>
            <w:tcW w:w="1262" w:type="dxa"/>
            <w:gridSpan w:val="2"/>
            <w:vMerge/>
            <w:tcBorders>
              <w:top w:val="nil"/>
              <w:left w:val="single" w:sz="4" w:space="0" w:color="auto"/>
              <w:bottom w:val="single" w:sz="4" w:space="0" w:color="auto"/>
              <w:right w:val="single" w:sz="4" w:space="0" w:color="auto"/>
            </w:tcBorders>
            <w:vAlign w:val="center"/>
            <w:hideMark/>
          </w:tcPr>
          <w:p>
            <w:pP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covered bonds</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5.5%</w:t>
            </w:r>
          </w:p>
        </w:tc>
      </w:tr>
      <w:tr>
        <w:trPr>
          <w:trHeight w:val="413"/>
        </w:trPr>
        <w:tc>
          <w:tcPr>
            <w:tcW w:w="1262"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pPr>
              <w:jc w:val="center"/>
              <w:rPr>
                <w:noProof/>
                <w:color w:val="000000"/>
                <w:sz w:val="22"/>
                <w:szCs w:val="22"/>
              </w:rPr>
            </w:pPr>
            <w:r>
              <w:rPr>
                <w:noProof/>
                <w:color w:val="000000"/>
                <w:sz w:val="22"/>
                <w:szCs w:val="22"/>
              </w:rPr>
              <w:t xml:space="preserve"> 7-10</w:t>
            </w:r>
          </w:p>
          <w:p>
            <w:pPr>
              <w:jc w:val="cente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sovereign</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0.6%</w:t>
            </w:r>
          </w:p>
        </w:tc>
      </w:tr>
      <w:tr>
        <w:trPr>
          <w:trHeight w:val="419"/>
        </w:trPr>
        <w:tc>
          <w:tcPr>
            <w:tcW w:w="1262" w:type="dxa"/>
            <w:gridSpan w:val="2"/>
            <w:vMerge/>
            <w:tcBorders>
              <w:top w:val="nil"/>
              <w:left w:val="single" w:sz="4" w:space="0" w:color="auto"/>
              <w:bottom w:val="single" w:sz="4" w:space="0" w:color="auto"/>
              <w:right w:val="single" w:sz="4" w:space="0" w:color="auto"/>
            </w:tcBorders>
            <w:vAlign w:val="center"/>
            <w:hideMark/>
          </w:tcPr>
          <w:p>
            <w:pP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covered bonds</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0.6%</w:t>
            </w:r>
          </w:p>
        </w:tc>
      </w:tr>
      <w:tr>
        <w:trPr>
          <w:trHeight w:val="818"/>
        </w:trPr>
        <w:tc>
          <w:tcPr>
            <w:tcW w:w="1262" w:type="dxa"/>
            <w:gridSpan w:val="2"/>
            <w:tcBorders>
              <w:top w:val="nil"/>
              <w:left w:val="single" w:sz="4" w:space="0" w:color="auto"/>
              <w:bottom w:val="single" w:sz="4" w:space="0" w:color="auto"/>
              <w:right w:val="single" w:sz="4" w:space="0" w:color="auto"/>
            </w:tcBorders>
            <w:shd w:val="clear" w:color="auto" w:fill="auto"/>
            <w:noWrap/>
            <w:vAlign w:val="bottom"/>
            <w:hideMark/>
          </w:tcPr>
          <w:p>
            <w:pPr>
              <w:jc w:val="center"/>
              <w:rPr>
                <w:b/>
                <w:bCs/>
                <w:noProof/>
                <w:color w:val="000000"/>
                <w:sz w:val="22"/>
                <w:szCs w:val="22"/>
              </w:rPr>
            </w:pPr>
          </w:p>
          <w:p>
            <w:pPr>
              <w:jc w:val="center"/>
              <w:rPr>
                <w:b/>
                <w:bCs/>
                <w:noProof/>
                <w:color w:val="000000"/>
                <w:sz w:val="22"/>
                <w:szCs w:val="22"/>
              </w:rPr>
            </w:pPr>
            <w:r>
              <w:rPr>
                <w:b/>
                <w:bCs/>
                <w:noProof/>
                <w:color w:val="000000"/>
                <w:sz w:val="22"/>
                <w:szCs w:val="22"/>
              </w:rPr>
              <w:t>Total</w:t>
            </w:r>
          </w:p>
          <w:p>
            <w:pPr>
              <w:jc w:val="center"/>
              <w:rPr>
                <w:b/>
                <w:bCs/>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b/>
                <w:bCs/>
                <w:noProof/>
                <w:color w:val="000000"/>
                <w:sz w:val="22"/>
                <w:szCs w:val="22"/>
              </w:rPr>
            </w:pPr>
          </w:p>
        </w:tc>
        <w:tc>
          <w:tcPr>
            <w:tcW w:w="2268" w:type="dxa"/>
            <w:gridSpan w:val="2"/>
            <w:tcBorders>
              <w:top w:val="nil"/>
              <w:left w:val="nil"/>
              <w:bottom w:val="single" w:sz="4" w:space="0" w:color="auto"/>
              <w:right w:val="single" w:sz="4" w:space="0" w:color="auto"/>
            </w:tcBorders>
            <w:shd w:val="clear" w:color="auto" w:fill="auto"/>
            <w:noWrap/>
            <w:vAlign w:val="bottom"/>
            <w:hideMark/>
          </w:tcPr>
          <w:p>
            <w:pPr>
              <w:jc w:val="center"/>
              <w:rPr>
                <w:b/>
                <w:bCs/>
                <w:noProof/>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b/>
                <w:bCs/>
                <w:noProof/>
                <w:sz w:val="22"/>
                <w:szCs w:val="22"/>
              </w:rPr>
            </w:pPr>
            <w:r>
              <w:rPr>
                <w:b/>
                <w:bCs/>
                <w:noProof/>
                <w:sz w:val="22"/>
                <w:szCs w:val="22"/>
              </w:rPr>
              <w:t>100.00%</w:t>
            </w:r>
          </w:p>
          <w:p>
            <w:pPr>
              <w:jc w:val="center"/>
              <w:rPr>
                <w:b/>
                <w:bCs/>
                <w:noProof/>
                <w:sz w:val="22"/>
                <w:szCs w:val="22"/>
              </w:rPr>
            </w:pPr>
          </w:p>
        </w:tc>
      </w:tr>
      <w:tr>
        <w:trPr>
          <w:trHeight w:val="855"/>
        </w:trPr>
        <w:tc>
          <w:tcPr>
            <w:tcW w:w="12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Bucket (years)</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Performance Benchmark Sector</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Instrument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Average Clean Market Value Composition of 2017</w:t>
            </w:r>
          </w:p>
        </w:tc>
      </w:tr>
      <w:tr>
        <w:trPr>
          <w:trHeight w:val="432"/>
        </w:trPr>
        <w:tc>
          <w:tcPr>
            <w:tcW w:w="1262"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pPr>
              <w:spacing w:after="240"/>
              <w:jc w:val="center"/>
              <w:rPr>
                <w:noProof/>
                <w:color w:val="000000"/>
                <w:sz w:val="22"/>
                <w:szCs w:val="22"/>
              </w:rPr>
            </w:pPr>
            <w:r>
              <w:rPr>
                <w:noProof/>
                <w:color w:val="000000"/>
                <w:sz w:val="22"/>
                <w:szCs w:val="22"/>
              </w:rPr>
              <w:t xml:space="preserve"> 0-1</w:t>
            </w: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1 m</w:t>
            </w:r>
          </w:p>
        </w:tc>
        <w:tc>
          <w:tcPr>
            <w:tcW w:w="2268"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Money Market</w:t>
            </w: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10.1%</w:t>
            </w:r>
          </w:p>
        </w:tc>
      </w:tr>
      <w:tr>
        <w:trPr>
          <w:trHeight w:val="300"/>
        </w:trPr>
        <w:tc>
          <w:tcPr>
            <w:tcW w:w="1262" w:type="dxa"/>
            <w:gridSpan w:val="2"/>
            <w:vMerge/>
            <w:tcBorders>
              <w:top w:val="nil"/>
              <w:left w:val="single" w:sz="4" w:space="0" w:color="auto"/>
              <w:bottom w:val="single" w:sz="4" w:space="0" w:color="auto"/>
              <w:right w:val="single" w:sz="4" w:space="0" w:color="auto"/>
            </w:tcBorders>
            <w:vAlign w:val="center"/>
            <w:hideMark/>
          </w:tcPr>
          <w:p>
            <w:pP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3 m</w:t>
            </w:r>
          </w:p>
        </w:tc>
        <w:tc>
          <w:tcPr>
            <w:tcW w:w="2268"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FRN and Fixed Rate Bonds</w:t>
            </w: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12.7%</w:t>
            </w:r>
          </w:p>
        </w:tc>
      </w:tr>
      <w:tr>
        <w:trPr>
          <w:trHeight w:val="459"/>
        </w:trPr>
        <w:tc>
          <w:tcPr>
            <w:tcW w:w="1262"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pPr>
              <w:jc w:val="center"/>
              <w:rPr>
                <w:noProof/>
                <w:color w:val="000000"/>
                <w:sz w:val="22"/>
                <w:szCs w:val="22"/>
              </w:rPr>
            </w:pPr>
            <w:r>
              <w:rPr>
                <w:noProof/>
                <w:color w:val="000000"/>
                <w:sz w:val="22"/>
                <w:szCs w:val="22"/>
              </w:rPr>
              <w:t>1-3</w:t>
            </w:r>
          </w:p>
          <w:p>
            <w:pPr>
              <w:jc w:val="center"/>
              <w:rPr>
                <w:noProof/>
                <w:color w:val="000000"/>
                <w:sz w:val="22"/>
                <w:szCs w:val="22"/>
              </w:rPr>
            </w:pPr>
            <w:r>
              <w:rPr>
                <w:noProof/>
                <w:color w:val="00000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sovereign</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pPr>
              <w:spacing w:after="240"/>
              <w:jc w:val="center"/>
              <w:rPr>
                <w:noProof/>
                <w:color w:val="000000"/>
                <w:sz w:val="22"/>
                <w:szCs w:val="22"/>
              </w:rPr>
            </w:pPr>
            <w:r>
              <w:rPr>
                <w:noProof/>
                <w:color w:val="000000"/>
                <w:sz w:val="22"/>
                <w:szCs w:val="22"/>
              </w:rPr>
              <w:t>Fixed</w:t>
            </w:r>
            <w:r>
              <w:rPr>
                <w:noProof/>
                <w:color w:val="000000"/>
                <w:sz w:val="22"/>
                <w:szCs w:val="22"/>
              </w:rPr>
              <w:br/>
              <w:t>Rate</w:t>
            </w:r>
            <w:r>
              <w:rPr>
                <w:noProof/>
                <w:color w:val="000000"/>
                <w:sz w:val="22"/>
                <w:szCs w:val="22"/>
              </w:rPr>
              <w:br/>
              <w:t>Bonds</w:t>
            </w:r>
          </w:p>
          <w:p>
            <w:pPr>
              <w:spacing w:after="240"/>
              <w:jc w:val="center"/>
              <w:rPr>
                <w:noProof/>
                <w:color w:val="000000"/>
                <w:sz w:val="22"/>
                <w:szCs w:val="22"/>
              </w:rPr>
            </w:pPr>
          </w:p>
          <w:p>
            <w:pPr>
              <w:spacing w:after="240"/>
              <w:jc w:val="center"/>
              <w:rPr>
                <w:noProof/>
                <w:color w:val="000000"/>
                <w:sz w:val="22"/>
                <w:szCs w:val="22"/>
              </w:rPr>
            </w:pPr>
            <w:r>
              <w:rPr>
                <w:noProof/>
                <w:color w:val="000000"/>
                <w:sz w:val="22"/>
                <w:szCs w:val="22"/>
              </w:rPr>
              <w:br/>
            </w: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15.0%</w:t>
            </w:r>
          </w:p>
        </w:tc>
      </w:tr>
      <w:tr>
        <w:trPr>
          <w:trHeight w:val="448"/>
        </w:trPr>
        <w:tc>
          <w:tcPr>
            <w:tcW w:w="1262" w:type="dxa"/>
            <w:gridSpan w:val="2"/>
            <w:vMerge/>
            <w:tcBorders>
              <w:top w:val="nil"/>
              <w:left w:val="single" w:sz="4" w:space="0" w:color="auto"/>
              <w:bottom w:val="single" w:sz="4" w:space="0" w:color="auto"/>
              <w:right w:val="single" w:sz="4" w:space="0" w:color="auto"/>
            </w:tcBorders>
            <w:vAlign w:val="center"/>
            <w:hideMark/>
          </w:tcPr>
          <w:p>
            <w:pP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covered bonds</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9.2%</w:t>
            </w:r>
          </w:p>
        </w:tc>
      </w:tr>
      <w:tr>
        <w:trPr>
          <w:trHeight w:val="403"/>
        </w:trPr>
        <w:tc>
          <w:tcPr>
            <w:tcW w:w="1262"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pPr>
              <w:jc w:val="center"/>
              <w:rPr>
                <w:noProof/>
                <w:color w:val="000000"/>
                <w:sz w:val="22"/>
                <w:szCs w:val="22"/>
              </w:rPr>
            </w:pPr>
            <w:r>
              <w:rPr>
                <w:noProof/>
                <w:color w:val="000000"/>
                <w:sz w:val="22"/>
                <w:szCs w:val="22"/>
              </w:rPr>
              <w:t xml:space="preserve"> 3-5</w:t>
            </w:r>
          </w:p>
          <w:p>
            <w:pPr>
              <w:jc w:val="cente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sovereign</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16.6%</w:t>
            </w:r>
          </w:p>
        </w:tc>
      </w:tr>
      <w:tr>
        <w:trPr>
          <w:trHeight w:val="409"/>
        </w:trPr>
        <w:tc>
          <w:tcPr>
            <w:tcW w:w="1262" w:type="dxa"/>
            <w:gridSpan w:val="2"/>
            <w:vMerge/>
            <w:tcBorders>
              <w:top w:val="nil"/>
              <w:left w:val="single" w:sz="4" w:space="0" w:color="auto"/>
              <w:bottom w:val="single" w:sz="4" w:space="0" w:color="auto"/>
              <w:right w:val="single" w:sz="4" w:space="0" w:color="auto"/>
            </w:tcBorders>
            <w:vAlign w:val="center"/>
            <w:hideMark/>
          </w:tcPr>
          <w:p>
            <w:pP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covered bonds</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17.8%</w:t>
            </w:r>
          </w:p>
        </w:tc>
      </w:tr>
      <w:tr>
        <w:trPr>
          <w:trHeight w:val="415"/>
        </w:trPr>
        <w:tc>
          <w:tcPr>
            <w:tcW w:w="1262"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pPr>
              <w:jc w:val="center"/>
              <w:rPr>
                <w:noProof/>
                <w:color w:val="000000"/>
                <w:sz w:val="22"/>
                <w:szCs w:val="22"/>
              </w:rPr>
            </w:pPr>
            <w:r>
              <w:rPr>
                <w:noProof/>
                <w:color w:val="000000"/>
                <w:sz w:val="22"/>
                <w:szCs w:val="22"/>
              </w:rPr>
              <w:t xml:space="preserve"> 5-7</w:t>
            </w:r>
          </w:p>
          <w:p>
            <w:pPr>
              <w:jc w:val="cente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sovereign</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11.9%</w:t>
            </w:r>
          </w:p>
        </w:tc>
      </w:tr>
      <w:tr>
        <w:trPr>
          <w:trHeight w:val="421"/>
        </w:trPr>
        <w:tc>
          <w:tcPr>
            <w:tcW w:w="1262" w:type="dxa"/>
            <w:gridSpan w:val="2"/>
            <w:vMerge/>
            <w:tcBorders>
              <w:top w:val="nil"/>
              <w:left w:val="single" w:sz="4" w:space="0" w:color="auto"/>
              <w:bottom w:val="single" w:sz="4" w:space="0" w:color="auto"/>
              <w:right w:val="single" w:sz="4" w:space="0" w:color="auto"/>
            </w:tcBorders>
            <w:vAlign w:val="center"/>
            <w:hideMark/>
          </w:tcPr>
          <w:p>
            <w:pP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covered bonds</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5.5%</w:t>
            </w:r>
          </w:p>
        </w:tc>
      </w:tr>
      <w:tr>
        <w:trPr>
          <w:trHeight w:val="413"/>
        </w:trPr>
        <w:tc>
          <w:tcPr>
            <w:tcW w:w="1262"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pPr>
              <w:jc w:val="center"/>
              <w:rPr>
                <w:noProof/>
                <w:color w:val="000000"/>
                <w:sz w:val="22"/>
                <w:szCs w:val="22"/>
              </w:rPr>
            </w:pPr>
            <w:r>
              <w:rPr>
                <w:noProof/>
                <w:color w:val="000000"/>
                <w:sz w:val="22"/>
                <w:szCs w:val="22"/>
              </w:rPr>
              <w:t xml:space="preserve"> 7-10</w:t>
            </w:r>
          </w:p>
          <w:p>
            <w:pPr>
              <w:jc w:val="cente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sovereign</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0.6%</w:t>
            </w:r>
          </w:p>
        </w:tc>
      </w:tr>
      <w:tr>
        <w:trPr>
          <w:trHeight w:val="419"/>
        </w:trPr>
        <w:tc>
          <w:tcPr>
            <w:tcW w:w="1262" w:type="dxa"/>
            <w:gridSpan w:val="2"/>
            <w:vMerge/>
            <w:tcBorders>
              <w:top w:val="nil"/>
              <w:left w:val="single" w:sz="4" w:space="0" w:color="auto"/>
              <w:bottom w:val="single" w:sz="4" w:space="0" w:color="auto"/>
              <w:right w:val="single" w:sz="4" w:space="0" w:color="auto"/>
            </w:tcBorders>
            <w:vAlign w:val="center"/>
            <w:hideMark/>
          </w:tcPr>
          <w:p>
            <w:pP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covered bonds</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0.6%</w:t>
            </w:r>
          </w:p>
        </w:tc>
      </w:tr>
      <w:tr>
        <w:trPr>
          <w:trHeight w:val="878"/>
        </w:trPr>
        <w:tc>
          <w:tcPr>
            <w:tcW w:w="1262" w:type="dxa"/>
            <w:gridSpan w:val="2"/>
            <w:tcBorders>
              <w:top w:val="nil"/>
              <w:left w:val="single" w:sz="4" w:space="0" w:color="auto"/>
              <w:bottom w:val="single" w:sz="4" w:space="0" w:color="auto"/>
              <w:right w:val="single" w:sz="4" w:space="0" w:color="auto"/>
            </w:tcBorders>
            <w:shd w:val="clear" w:color="auto" w:fill="auto"/>
            <w:noWrap/>
            <w:vAlign w:val="bottom"/>
            <w:hideMark/>
          </w:tcPr>
          <w:p>
            <w:pPr>
              <w:jc w:val="center"/>
              <w:rPr>
                <w:b/>
                <w:bCs/>
                <w:noProof/>
                <w:color w:val="000000"/>
                <w:sz w:val="22"/>
                <w:szCs w:val="22"/>
              </w:rPr>
            </w:pPr>
          </w:p>
          <w:p>
            <w:pPr>
              <w:jc w:val="center"/>
              <w:rPr>
                <w:b/>
                <w:bCs/>
                <w:noProof/>
                <w:color w:val="000000"/>
                <w:sz w:val="22"/>
                <w:szCs w:val="22"/>
              </w:rPr>
            </w:pPr>
            <w:r>
              <w:rPr>
                <w:b/>
                <w:bCs/>
                <w:noProof/>
                <w:color w:val="000000"/>
                <w:sz w:val="22"/>
                <w:szCs w:val="22"/>
              </w:rPr>
              <w:t>Total</w:t>
            </w:r>
          </w:p>
          <w:p>
            <w:pPr>
              <w:jc w:val="center"/>
              <w:rPr>
                <w:b/>
                <w:bCs/>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b/>
                <w:bCs/>
                <w:noProof/>
                <w:color w:val="000000"/>
                <w:sz w:val="22"/>
                <w:szCs w:val="22"/>
              </w:rPr>
            </w:pPr>
          </w:p>
        </w:tc>
        <w:tc>
          <w:tcPr>
            <w:tcW w:w="2268" w:type="dxa"/>
            <w:gridSpan w:val="2"/>
            <w:tcBorders>
              <w:top w:val="nil"/>
              <w:left w:val="nil"/>
              <w:bottom w:val="single" w:sz="4" w:space="0" w:color="auto"/>
              <w:right w:val="single" w:sz="4" w:space="0" w:color="auto"/>
            </w:tcBorders>
            <w:shd w:val="clear" w:color="auto" w:fill="auto"/>
            <w:noWrap/>
            <w:vAlign w:val="bottom"/>
            <w:hideMark/>
          </w:tcPr>
          <w:p>
            <w:pPr>
              <w:jc w:val="center"/>
              <w:rPr>
                <w:b/>
                <w:bCs/>
                <w:noProof/>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pPr>
              <w:jc w:val="center"/>
              <w:rPr>
                <w:b/>
                <w:bCs/>
                <w:noProof/>
                <w:sz w:val="22"/>
                <w:szCs w:val="22"/>
              </w:rPr>
            </w:pPr>
          </w:p>
          <w:p>
            <w:pPr>
              <w:jc w:val="center"/>
              <w:rPr>
                <w:b/>
                <w:bCs/>
                <w:noProof/>
                <w:sz w:val="22"/>
                <w:szCs w:val="22"/>
              </w:rPr>
            </w:pPr>
            <w:r>
              <w:rPr>
                <w:b/>
                <w:bCs/>
                <w:noProof/>
                <w:sz w:val="22"/>
                <w:szCs w:val="22"/>
              </w:rPr>
              <w:t>100.00%</w:t>
            </w:r>
          </w:p>
          <w:p>
            <w:pPr>
              <w:jc w:val="center"/>
              <w:rPr>
                <w:b/>
                <w:bCs/>
                <w:noProof/>
                <w:sz w:val="22"/>
                <w:szCs w:val="22"/>
              </w:rPr>
            </w:pPr>
          </w:p>
        </w:tc>
      </w:tr>
      <w:tr>
        <w:trPr>
          <w:trHeight w:val="85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Bucket (years)</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Performance Benchmark Sector</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Instrument</w:t>
            </w:r>
          </w:p>
        </w:tc>
        <w:tc>
          <w:tcPr>
            <w:tcW w:w="2948" w:type="dxa"/>
            <w:gridSpan w:val="2"/>
            <w:tcBorders>
              <w:top w:val="single" w:sz="4" w:space="0" w:color="auto"/>
              <w:left w:val="nil"/>
              <w:bottom w:val="single" w:sz="4" w:space="0" w:color="auto"/>
              <w:right w:val="single" w:sz="4" w:space="0" w:color="auto"/>
            </w:tcBorders>
            <w:shd w:val="clear" w:color="auto" w:fill="auto"/>
            <w:vAlign w:val="center"/>
            <w:hideMark/>
          </w:tcPr>
          <w:p>
            <w:pPr>
              <w:jc w:val="center"/>
              <w:rPr>
                <w:b/>
                <w:bCs/>
                <w:noProof/>
                <w:color w:val="000000"/>
                <w:sz w:val="22"/>
                <w:szCs w:val="22"/>
              </w:rPr>
            </w:pPr>
            <w:r>
              <w:rPr>
                <w:b/>
                <w:bCs/>
                <w:noProof/>
                <w:color w:val="000000"/>
                <w:sz w:val="22"/>
                <w:szCs w:val="22"/>
              </w:rPr>
              <w:t>Average Clean Market Value Composition of 2017</w:t>
            </w:r>
          </w:p>
        </w:tc>
      </w:tr>
      <w:tr>
        <w:trPr>
          <w:trHeight w:val="432"/>
        </w:trPr>
        <w:tc>
          <w:tcPr>
            <w:tcW w:w="1149" w:type="dxa"/>
            <w:vMerge w:val="restart"/>
            <w:tcBorders>
              <w:top w:val="nil"/>
              <w:left w:val="single" w:sz="4" w:space="0" w:color="auto"/>
              <w:bottom w:val="single" w:sz="4" w:space="0" w:color="auto"/>
              <w:right w:val="single" w:sz="4" w:space="0" w:color="auto"/>
            </w:tcBorders>
            <w:shd w:val="clear" w:color="auto" w:fill="auto"/>
            <w:vAlign w:val="bottom"/>
            <w:hideMark/>
          </w:tcPr>
          <w:p>
            <w:pPr>
              <w:spacing w:after="240"/>
              <w:jc w:val="center"/>
              <w:rPr>
                <w:noProof/>
                <w:color w:val="000000"/>
                <w:sz w:val="22"/>
                <w:szCs w:val="22"/>
              </w:rPr>
            </w:pPr>
            <w:r>
              <w:rPr>
                <w:noProof/>
                <w:color w:val="000000"/>
                <w:sz w:val="22"/>
                <w:szCs w:val="22"/>
              </w:rPr>
              <w:t xml:space="preserve"> 0-1</w:t>
            </w: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1 m</w:t>
            </w:r>
          </w:p>
        </w:tc>
        <w:tc>
          <w:tcPr>
            <w:tcW w:w="2268"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Money Market</w:t>
            </w:r>
          </w:p>
        </w:tc>
        <w:tc>
          <w:tcPr>
            <w:tcW w:w="2948"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10.1%</w:t>
            </w:r>
          </w:p>
        </w:tc>
      </w:tr>
      <w:tr>
        <w:trPr>
          <w:trHeight w:val="300"/>
        </w:trPr>
        <w:tc>
          <w:tcPr>
            <w:tcW w:w="1149" w:type="dxa"/>
            <w:vMerge/>
            <w:tcBorders>
              <w:top w:val="nil"/>
              <w:left w:val="single" w:sz="4" w:space="0" w:color="auto"/>
              <w:bottom w:val="single" w:sz="4" w:space="0" w:color="auto"/>
              <w:right w:val="single" w:sz="4" w:space="0" w:color="auto"/>
            </w:tcBorders>
            <w:vAlign w:val="center"/>
            <w:hideMark/>
          </w:tcPr>
          <w:p>
            <w:pP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3 m</w:t>
            </w:r>
          </w:p>
        </w:tc>
        <w:tc>
          <w:tcPr>
            <w:tcW w:w="2268"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FRN and Fixed Rate Bonds</w:t>
            </w:r>
          </w:p>
        </w:tc>
        <w:tc>
          <w:tcPr>
            <w:tcW w:w="2948"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12.7%</w:t>
            </w:r>
          </w:p>
        </w:tc>
      </w:tr>
      <w:tr>
        <w:trPr>
          <w:trHeight w:val="459"/>
        </w:trPr>
        <w:tc>
          <w:tcPr>
            <w:tcW w:w="1149" w:type="dxa"/>
            <w:vMerge w:val="restart"/>
            <w:tcBorders>
              <w:top w:val="nil"/>
              <w:left w:val="single" w:sz="4" w:space="0" w:color="auto"/>
              <w:bottom w:val="single" w:sz="4" w:space="0" w:color="auto"/>
              <w:right w:val="single" w:sz="4" w:space="0" w:color="auto"/>
            </w:tcBorders>
            <w:shd w:val="clear" w:color="auto" w:fill="auto"/>
            <w:vAlign w:val="bottom"/>
            <w:hideMark/>
          </w:tcPr>
          <w:p>
            <w:pPr>
              <w:jc w:val="center"/>
              <w:rPr>
                <w:noProof/>
                <w:color w:val="000000"/>
                <w:sz w:val="22"/>
                <w:szCs w:val="22"/>
              </w:rPr>
            </w:pPr>
            <w:r>
              <w:rPr>
                <w:noProof/>
                <w:color w:val="000000"/>
                <w:sz w:val="22"/>
                <w:szCs w:val="22"/>
              </w:rPr>
              <w:t>1-3</w:t>
            </w:r>
          </w:p>
          <w:p>
            <w:pPr>
              <w:jc w:val="center"/>
              <w:rPr>
                <w:noProof/>
                <w:color w:val="000000"/>
                <w:sz w:val="22"/>
                <w:szCs w:val="22"/>
              </w:rPr>
            </w:pPr>
            <w:r>
              <w:rPr>
                <w:noProof/>
                <w:color w:val="000000"/>
                <w:sz w:val="22"/>
                <w:szCs w:val="22"/>
              </w:rPr>
              <w:t xml:space="preserve"> </w:t>
            </w: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sovereign</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pPr>
              <w:spacing w:after="240"/>
              <w:jc w:val="center"/>
              <w:rPr>
                <w:noProof/>
                <w:color w:val="000000"/>
                <w:sz w:val="22"/>
                <w:szCs w:val="22"/>
              </w:rPr>
            </w:pPr>
            <w:r>
              <w:rPr>
                <w:noProof/>
                <w:color w:val="000000"/>
                <w:sz w:val="22"/>
                <w:szCs w:val="22"/>
              </w:rPr>
              <w:t>Fixed</w:t>
            </w:r>
            <w:r>
              <w:rPr>
                <w:noProof/>
                <w:color w:val="000000"/>
                <w:sz w:val="22"/>
                <w:szCs w:val="22"/>
              </w:rPr>
              <w:br/>
              <w:t>Rate</w:t>
            </w:r>
            <w:r>
              <w:rPr>
                <w:noProof/>
                <w:color w:val="000000"/>
                <w:sz w:val="22"/>
                <w:szCs w:val="22"/>
              </w:rPr>
              <w:br/>
              <w:t>Bonds</w:t>
            </w:r>
          </w:p>
          <w:p>
            <w:pPr>
              <w:spacing w:after="240"/>
              <w:jc w:val="center"/>
              <w:rPr>
                <w:noProof/>
                <w:color w:val="000000"/>
                <w:sz w:val="22"/>
                <w:szCs w:val="22"/>
              </w:rPr>
            </w:pPr>
          </w:p>
          <w:p>
            <w:pPr>
              <w:spacing w:after="240"/>
              <w:jc w:val="center"/>
              <w:rPr>
                <w:noProof/>
                <w:color w:val="000000"/>
                <w:sz w:val="22"/>
                <w:szCs w:val="22"/>
              </w:rPr>
            </w:pPr>
            <w:r>
              <w:rPr>
                <w:noProof/>
                <w:color w:val="000000"/>
                <w:sz w:val="22"/>
                <w:szCs w:val="22"/>
              </w:rPr>
              <w:br/>
            </w:r>
          </w:p>
        </w:tc>
        <w:tc>
          <w:tcPr>
            <w:tcW w:w="2948"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15.0%</w:t>
            </w:r>
          </w:p>
        </w:tc>
      </w:tr>
      <w:tr>
        <w:trPr>
          <w:trHeight w:val="448"/>
        </w:trPr>
        <w:tc>
          <w:tcPr>
            <w:tcW w:w="1149" w:type="dxa"/>
            <w:vMerge/>
            <w:tcBorders>
              <w:top w:val="nil"/>
              <w:left w:val="single" w:sz="4" w:space="0" w:color="auto"/>
              <w:bottom w:val="single" w:sz="4" w:space="0" w:color="auto"/>
              <w:right w:val="single" w:sz="4" w:space="0" w:color="auto"/>
            </w:tcBorders>
            <w:vAlign w:val="center"/>
            <w:hideMark/>
          </w:tcPr>
          <w:p>
            <w:pP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covered bonds</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948"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9.2%</w:t>
            </w:r>
          </w:p>
        </w:tc>
      </w:tr>
      <w:tr>
        <w:trPr>
          <w:trHeight w:val="403"/>
        </w:trPr>
        <w:tc>
          <w:tcPr>
            <w:tcW w:w="1149" w:type="dxa"/>
            <w:vMerge w:val="restart"/>
            <w:tcBorders>
              <w:top w:val="nil"/>
              <w:left w:val="single" w:sz="4" w:space="0" w:color="auto"/>
              <w:bottom w:val="single" w:sz="4" w:space="0" w:color="auto"/>
              <w:right w:val="single" w:sz="4" w:space="0" w:color="auto"/>
            </w:tcBorders>
            <w:shd w:val="clear" w:color="auto" w:fill="auto"/>
            <w:vAlign w:val="bottom"/>
            <w:hideMark/>
          </w:tcPr>
          <w:p>
            <w:pPr>
              <w:jc w:val="center"/>
              <w:rPr>
                <w:noProof/>
                <w:color w:val="000000"/>
                <w:sz w:val="22"/>
                <w:szCs w:val="22"/>
              </w:rPr>
            </w:pPr>
            <w:r>
              <w:rPr>
                <w:noProof/>
                <w:color w:val="000000"/>
                <w:sz w:val="22"/>
                <w:szCs w:val="22"/>
              </w:rPr>
              <w:t xml:space="preserve"> 3-5</w:t>
            </w:r>
          </w:p>
          <w:p>
            <w:pPr>
              <w:jc w:val="cente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sovereign</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948"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16.6%</w:t>
            </w:r>
          </w:p>
        </w:tc>
      </w:tr>
      <w:tr>
        <w:trPr>
          <w:trHeight w:val="409"/>
        </w:trPr>
        <w:tc>
          <w:tcPr>
            <w:tcW w:w="1149" w:type="dxa"/>
            <w:vMerge/>
            <w:tcBorders>
              <w:top w:val="nil"/>
              <w:left w:val="single" w:sz="4" w:space="0" w:color="auto"/>
              <w:bottom w:val="single" w:sz="4" w:space="0" w:color="auto"/>
              <w:right w:val="single" w:sz="4" w:space="0" w:color="auto"/>
            </w:tcBorders>
            <w:vAlign w:val="center"/>
            <w:hideMark/>
          </w:tcPr>
          <w:p>
            <w:pP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covered bonds</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948"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17.8%</w:t>
            </w:r>
          </w:p>
        </w:tc>
      </w:tr>
      <w:tr>
        <w:trPr>
          <w:trHeight w:val="415"/>
        </w:trPr>
        <w:tc>
          <w:tcPr>
            <w:tcW w:w="1149" w:type="dxa"/>
            <w:vMerge w:val="restart"/>
            <w:tcBorders>
              <w:top w:val="nil"/>
              <w:left w:val="single" w:sz="4" w:space="0" w:color="auto"/>
              <w:bottom w:val="single" w:sz="4" w:space="0" w:color="auto"/>
              <w:right w:val="single" w:sz="4" w:space="0" w:color="auto"/>
            </w:tcBorders>
            <w:shd w:val="clear" w:color="auto" w:fill="auto"/>
            <w:vAlign w:val="bottom"/>
            <w:hideMark/>
          </w:tcPr>
          <w:p>
            <w:pPr>
              <w:jc w:val="center"/>
              <w:rPr>
                <w:noProof/>
                <w:color w:val="000000"/>
                <w:sz w:val="22"/>
                <w:szCs w:val="22"/>
              </w:rPr>
            </w:pPr>
            <w:r>
              <w:rPr>
                <w:noProof/>
                <w:color w:val="000000"/>
                <w:sz w:val="22"/>
                <w:szCs w:val="22"/>
              </w:rPr>
              <w:t xml:space="preserve"> 5-7</w:t>
            </w:r>
          </w:p>
          <w:p>
            <w:pPr>
              <w:jc w:val="cente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sovereign</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948"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11.9%</w:t>
            </w:r>
          </w:p>
        </w:tc>
      </w:tr>
      <w:tr>
        <w:trPr>
          <w:trHeight w:val="421"/>
        </w:trPr>
        <w:tc>
          <w:tcPr>
            <w:tcW w:w="1149" w:type="dxa"/>
            <w:vMerge/>
            <w:tcBorders>
              <w:top w:val="nil"/>
              <w:left w:val="single" w:sz="4" w:space="0" w:color="auto"/>
              <w:bottom w:val="single" w:sz="4" w:space="0" w:color="auto"/>
              <w:right w:val="single" w:sz="4" w:space="0" w:color="auto"/>
            </w:tcBorders>
            <w:vAlign w:val="center"/>
            <w:hideMark/>
          </w:tcPr>
          <w:p>
            <w:pP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covered bonds</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948"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5.5%</w:t>
            </w:r>
          </w:p>
        </w:tc>
      </w:tr>
      <w:tr>
        <w:trPr>
          <w:trHeight w:val="413"/>
        </w:trPr>
        <w:tc>
          <w:tcPr>
            <w:tcW w:w="1149" w:type="dxa"/>
            <w:vMerge w:val="restart"/>
            <w:tcBorders>
              <w:top w:val="nil"/>
              <w:left w:val="single" w:sz="4" w:space="0" w:color="auto"/>
              <w:bottom w:val="single" w:sz="4" w:space="0" w:color="auto"/>
              <w:right w:val="single" w:sz="4" w:space="0" w:color="auto"/>
            </w:tcBorders>
            <w:shd w:val="clear" w:color="auto" w:fill="auto"/>
            <w:vAlign w:val="bottom"/>
            <w:hideMark/>
          </w:tcPr>
          <w:p>
            <w:pPr>
              <w:jc w:val="center"/>
              <w:rPr>
                <w:noProof/>
                <w:color w:val="000000"/>
                <w:sz w:val="22"/>
                <w:szCs w:val="22"/>
              </w:rPr>
            </w:pPr>
            <w:r>
              <w:rPr>
                <w:noProof/>
                <w:color w:val="000000"/>
                <w:sz w:val="22"/>
                <w:szCs w:val="22"/>
              </w:rPr>
              <w:t xml:space="preserve"> 7-10</w:t>
            </w:r>
          </w:p>
          <w:p>
            <w:pPr>
              <w:jc w:val="cente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sovereign</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948"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0.6%</w:t>
            </w:r>
          </w:p>
        </w:tc>
      </w:tr>
      <w:tr>
        <w:trPr>
          <w:trHeight w:val="419"/>
        </w:trPr>
        <w:tc>
          <w:tcPr>
            <w:tcW w:w="1149" w:type="dxa"/>
            <w:vMerge/>
            <w:tcBorders>
              <w:top w:val="nil"/>
              <w:left w:val="single" w:sz="4" w:space="0" w:color="auto"/>
              <w:bottom w:val="single" w:sz="4" w:space="0" w:color="auto"/>
              <w:right w:val="single" w:sz="4" w:space="0" w:color="auto"/>
            </w:tcBorders>
            <w:vAlign w:val="center"/>
            <w:hideMark/>
          </w:tcPr>
          <w:p>
            <w:pPr>
              <w:rPr>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color w:val="000000"/>
                <w:sz w:val="22"/>
                <w:szCs w:val="22"/>
              </w:rPr>
              <w:t>covered bonds</w:t>
            </w:r>
          </w:p>
        </w:tc>
        <w:tc>
          <w:tcPr>
            <w:tcW w:w="2268" w:type="dxa"/>
            <w:gridSpan w:val="2"/>
            <w:vMerge/>
            <w:tcBorders>
              <w:top w:val="nil"/>
              <w:left w:val="single" w:sz="4" w:space="0" w:color="auto"/>
              <w:bottom w:val="single" w:sz="4" w:space="0" w:color="auto"/>
              <w:right w:val="single" w:sz="4" w:space="0" w:color="auto"/>
            </w:tcBorders>
            <w:vAlign w:val="center"/>
            <w:hideMark/>
          </w:tcPr>
          <w:p>
            <w:pPr>
              <w:jc w:val="center"/>
              <w:rPr>
                <w:noProof/>
                <w:color w:val="000000"/>
                <w:sz w:val="22"/>
                <w:szCs w:val="22"/>
              </w:rPr>
            </w:pPr>
          </w:p>
        </w:tc>
        <w:tc>
          <w:tcPr>
            <w:tcW w:w="2948" w:type="dxa"/>
            <w:gridSpan w:val="2"/>
            <w:tcBorders>
              <w:top w:val="nil"/>
              <w:left w:val="nil"/>
              <w:bottom w:val="single" w:sz="4" w:space="0" w:color="auto"/>
              <w:right w:val="single" w:sz="4" w:space="0" w:color="auto"/>
            </w:tcBorders>
            <w:shd w:val="clear" w:color="auto" w:fill="auto"/>
            <w:noWrap/>
            <w:vAlign w:val="bottom"/>
            <w:hideMark/>
          </w:tcPr>
          <w:p>
            <w:pPr>
              <w:jc w:val="center"/>
              <w:rPr>
                <w:noProof/>
                <w:color w:val="000000"/>
                <w:sz w:val="22"/>
                <w:szCs w:val="22"/>
              </w:rPr>
            </w:pPr>
            <w:r>
              <w:rPr>
                <w:noProof/>
                <w:sz w:val="22"/>
                <w:szCs w:val="22"/>
              </w:rPr>
              <w:t>0.6%</w:t>
            </w:r>
          </w:p>
        </w:tc>
      </w:tr>
      <w:tr>
        <w:trPr>
          <w:trHeight w:val="397"/>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pPr>
              <w:jc w:val="center"/>
              <w:rPr>
                <w:b/>
                <w:bCs/>
                <w:noProof/>
                <w:color w:val="000000"/>
                <w:sz w:val="22"/>
                <w:szCs w:val="22"/>
              </w:rPr>
            </w:pPr>
          </w:p>
          <w:p>
            <w:pPr>
              <w:jc w:val="center"/>
              <w:rPr>
                <w:b/>
                <w:bCs/>
                <w:noProof/>
                <w:color w:val="000000"/>
                <w:sz w:val="22"/>
                <w:szCs w:val="22"/>
              </w:rPr>
            </w:pPr>
            <w:r>
              <w:rPr>
                <w:b/>
                <w:bCs/>
                <w:noProof/>
                <w:color w:val="000000"/>
                <w:sz w:val="22"/>
                <w:szCs w:val="22"/>
              </w:rPr>
              <w:t>Total</w:t>
            </w:r>
          </w:p>
          <w:p>
            <w:pPr>
              <w:jc w:val="center"/>
              <w:rPr>
                <w:b/>
                <w:bCs/>
                <w:noProof/>
                <w:color w:val="000000"/>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hideMark/>
          </w:tcPr>
          <w:p>
            <w:pPr>
              <w:jc w:val="center"/>
              <w:rPr>
                <w:b/>
                <w:bCs/>
                <w:noProof/>
                <w:color w:val="000000"/>
                <w:sz w:val="22"/>
                <w:szCs w:val="22"/>
              </w:rPr>
            </w:pPr>
          </w:p>
        </w:tc>
        <w:tc>
          <w:tcPr>
            <w:tcW w:w="2268" w:type="dxa"/>
            <w:gridSpan w:val="2"/>
            <w:tcBorders>
              <w:top w:val="nil"/>
              <w:left w:val="nil"/>
              <w:bottom w:val="single" w:sz="4" w:space="0" w:color="auto"/>
              <w:right w:val="single" w:sz="4" w:space="0" w:color="auto"/>
            </w:tcBorders>
            <w:shd w:val="clear" w:color="auto" w:fill="auto"/>
            <w:noWrap/>
            <w:vAlign w:val="bottom"/>
            <w:hideMark/>
          </w:tcPr>
          <w:p>
            <w:pPr>
              <w:jc w:val="center"/>
              <w:rPr>
                <w:b/>
                <w:bCs/>
                <w:noProof/>
                <w:color w:val="000000"/>
                <w:sz w:val="22"/>
                <w:szCs w:val="22"/>
              </w:rPr>
            </w:pPr>
          </w:p>
        </w:tc>
        <w:tc>
          <w:tcPr>
            <w:tcW w:w="2948" w:type="dxa"/>
            <w:gridSpan w:val="2"/>
            <w:tcBorders>
              <w:top w:val="nil"/>
              <w:left w:val="nil"/>
              <w:bottom w:val="single" w:sz="4" w:space="0" w:color="auto"/>
              <w:right w:val="single" w:sz="4" w:space="0" w:color="auto"/>
            </w:tcBorders>
            <w:shd w:val="clear" w:color="auto" w:fill="auto"/>
            <w:noWrap/>
            <w:vAlign w:val="bottom"/>
            <w:hideMark/>
          </w:tcPr>
          <w:p>
            <w:pPr>
              <w:jc w:val="center"/>
              <w:rPr>
                <w:b/>
                <w:bCs/>
                <w:noProof/>
                <w:sz w:val="22"/>
                <w:szCs w:val="22"/>
              </w:rPr>
            </w:pPr>
            <w:r>
              <w:rPr>
                <w:b/>
                <w:bCs/>
                <w:noProof/>
                <w:sz w:val="22"/>
                <w:szCs w:val="22"/>
              </w:rPr>
              <w:t>100.00%</w:t>
            </w:r>
          </w:p>
          <w:p>
            <w:pPr>
              <w:jc w:val="center"/>
              <w:rPr>
                <w:b/>
                <w:bCs/>
                <w:noProof/>
                <w:sz w:val="22"/>
                <w:szCs w:val="22"/>
              </w:rPr>
            </w:pPr>
          </w:p>
        </w:tc>
      </w:tr>
    </w:tbl>
    <w:p>
      <w:pPr>
        <w:ind w:left="1418"/>
        <w:jc w:val="both"/>
        <w:rPr>
          <w:noProof/>
          <w:sz w:val="22"/>
          <w:szCs w:val="22"/>
          <w:highlight w:val="green"/>
        </w:rPr>
      </w:pPr>
    </w:p>
    <w:p>
      <w:pPr>
        <w:pStyle w:val="ManualHeading3"/>
        <w:rPr>
          <w:noProof/>
        </w:rPr>
      </w:pPr>
      <w:r>
        <w:rPr>
          <w:noProof/>
          <w:szCs w:val="22"/>
          <w:highlight w:val="red"/>
        </w:rPr>
        <w:br w:type="page"/>
      </w:r>
      <w:bookmarkStart w:id="51" w:name="_Toc322447901"/>
      <w:bookmarkStart w:id="52" w:name="_Toc449626279"/>
      <w:bookmarkStart w:id="53" w:name="_Toc478663480"/>
      <w:r>
        <w:rPr>
          <w:noProof/>
        </w:rPr>
        <w:t>2.4.2.</w:t>
      </w:r>
      <w:r>
        <w:rPr>
          <w:noProof/>
        </w:rPr>
        <w:tab/>
        <w:t>Performance</w:t>
      </w:r>
      <w:bookmarkEnd w:id="51"/>
      <w:bookmarkEnd w:id="52"/>
      <w:bookmarkEnd w:id="53"/>
    </w:p>
    <w:p>
      <w:pPr>
        <w:spacing w:before="120" w:after="120"/>
        <w:jc w:val="both"/>
        <w:rPr>
          <w:noProof/>
        </w:rPr>
      </w:pPr>
      <w:r>
        <w:rPr>
          <w:noProof/>
        </w:rPr>
        <w:t>The performance of the Fund portfolio was monitored on a marked-to-market basis. During 2017, the portfolio delivered a 0.1624% MTM yearly return, outperforming its benchmark by +6.58 bps. The evolution of the portfolio return and excess return vis-à-vis its benchmark is presented in the following table:</w:t>
      </w:r>
    </w:p>
    <w:tbl>
      <w:tblPr>
        <w:tblW w:w="9087" w:type="dxa"/>
        <w:tblInd w:w="93" w:type="dxa"/>
        <w:tblLayout w:type="fixed"/>
        <w:tblLook w:val="04A0" w:firstRow="1" w:lastRow="0" w:firstColumn="1" w:lastColumn="0" w:noHBand="0" w:noVBand="1"/>
      </w:tblPr>
      <w:tblGrid>
        <w:gridCol w:w="1291"/>
        <w:gridCol w:w="1701"/>
        <w:gridCol w:w="1559"/>
        <w:gridCol w:w="1418"/>
        <w:gridCol w:w="283"/>
        <w:gridCol w:w="1663"/>
        <w:gridCol w:w="1172"/>
      </w:tblGrid>
      <w:tr>
        <w:trPr>
          <w:trHeight w:val="279"/>
        </w:trPr>
        <w:tc>
          <w:tcPr>
            <w:tcW w:w="1291" w:type="dxa"/>
            <w:tcBorders>
              <w:top w:val="nil"/>
              <w:left w:val="nil"/>
              <w:bottom w:val="nil"/>
              <w:right w:val="nil"/>
            </w:tcBorders>
            <w:shd w:val="clear" w:color="auto" w:fill="auto"/>
            <w:vAlign w:val="center"/>
            <w:hideMark/>
          </w:tcPr>
          <w:p>
            <w:pPr>
              <w:jc w:val="both"/>
              <w:rPr>
                <w:noProof/>
                <w:sz w:val="19"/>
                <w:szCs w:val="19"/>
              </w:rPr>
            </w:pPr>
          </w:p>
        </w:tc>
        <w:tc>
          <w:tcPr>
            <w:tcW w:w="467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pPr>
              <w:jc w:val="center"/>
              <w:rPr>
                <w:b/>
                <w:bCs/>
                <w:noProof/>
                <w:sz w:val="19"/>
                <w:szCs w:val="19"/>
              </w:rPr>
            </w:pPr>
            <w:r>
              <w:rPr>
                <w:b/>
                <w:bCs/>
                <w:noProof/>
                <w:sz w:val="19"/>
                <w:szCs w:val="19"/>
              </w:rPr>
              <w:t>Portfolio</w:t>
            </w:r>
          </w:p>
        </w:tc>
        <w:tc>
          <w:tcPr>
            <w:tcW w:w="283" w:type="dxa"/>
            <w:tcBorders>
              <w:top w:val="nil"/>
              <w:left w:val="nil"/>
              <w:bottom w:val="nil"/>
              <w:right w:val="nil"/>
            </w:tcBorders>
            <w:shd w:val="clear" w:color="auto" w:fill="auto"/>
            <w:vAlign w:val="center"/>
            <w:hideMark/>
          </w:tcPr>
          <w:p>
            <w:pPr>
              <w:jc w:val="center"/>
              <w:rPr>
                <w:b/>
                <w:bCs/>
                <w:noProof/>
                <w:sz w:val="19"/>
                <w:szCs w:val="19"/>
              </w:rPr>
            </w:pPr>
            <w:r>
              <w:rPr>
                <w:b/>
                <w:bCs/>
                <w:noProof/>
                <w:sz w:val="19"/>
                <w:szCs w:val="19"/>
              </w:rPr>
              <w:t> </w:t>
            </w:r>
          </w:p>
        </w:tc>
        <w:tc>
          <w:tcPr>
            <w:tcW w:w="28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jc w:val="center"/>
              <w:rPr>
                <w:b/>
                <w:bCs/>
                <w:noProof/>
                <w:sz w:val="19"/>
                <w:szCs w:val="19"/>
              </w:rPr>
            </w:pPr>
            <w:r>
              <w:rPr>
                <w:b/>
                <w:bCs/>
                <w:noProof/>
                <w:sz w:val="19"/>
                <w:szCs w:val="19"/>
              </w:rPr>
              <w:t>Out-performance</w:t>
            </w:r>
          </w:p>
        </w:tc>
      </w:tr>
      <w:tr>
        <w:trPr>
          <w:trHeight w:val="965"/>
        </w:trPr>
        <w:tc>
          <w:tcPr>
            <w:tcW w:w="1291" w:type="dxa"/>
            <w:tcBorders>
              <w:top w:val="nil"/>
              <w:left w:val="nil"/>
              <w:bottom w:val="nil"/>
              <w:right w:val="nil"/>
            </w:tcBorders>
            <w:shd w:val="clear" w:color="auto" w:fill="auto"/>
            <w:vAlign w:val="center"/>
            <w:hideMark/>
          </w:tcPr>
          <w:p>
            <w:pPr>
              <w:jc w:val="center"/>
              <w:rPr>
                <w:noProof/>
                <w:sz w:val="20"/>
                <w:szCs w:val="20"/>
              </w:rPr>
            </w:pPr>
          </w:p>
        </w:tc>
        <w:tc>
          <w:tcPr>
            <w:tcW w:w="1701" w:type="dxa"/>
            <w:tcBorders>
              <w:top w:val="single" w:sz="8" w:space="0" w:color="auto"/>
              <w:left w:val="single" w:sz="8" w:space="0" w:color="auto"/>
              <w:bottom w:val="single" w:sz="8" w:space="0" w:color="auto"/>
              <w:right w:val="nil"/>
            </w:tcBorders>
            <w:shd w:val="clear" w:color="auto" w:fill="auto"/>
            <w:vAlign w:val="center"/>
            <w:hideMark/>
          </w:tcPr>
          <w:p>
            <w:pPr>
              <w:jc w:val="center"/>
              <w:rPr>
                <w:noProof/>
                <w:sz w:val="20"/>
                <w:szCs w:val="20"/>
              </w:rPr>
            </w:pPr>
            <w:r>
              <w:rPr>
                <w:noProof/>
                <w:sz w:val="20"/>
                <w:szCs w:val="20"/>
              </w:rPr>
              <w:t>Market Value (including accrued interest)</w:t>
            </w:r>
          </w:p>
        </w:tc>
        <w:tc>
          <w:tcPr>
            <w:tcW w:w="1559" w:type="dxa"/>
            <w:tcBorders>
              <w:top w:val="single" w:sz="8" w:space="0" w:color="auto"/>
              <w:left w:val="single" w:sz="8" w:space="0" w:color="000000"/>
              <w:bottom w:val="single" w:sz="8" w:space="0" w:color="auto"/>
              <w:right w:val="nil"/>
            </w:tcBorders>
            <w:shd w:val="clear" w:color="auto" w:fill="auto"/>
            <w:vAlign w:val="center"/>
            <w:hideMark/>
          </w:tcPr>
          <w:p>
            <w:pPr>
              <w:jc w:val="center"/>
              <w:rPr>
                <w:noProof/>
                <w:sz w:val="20"/>
                <w:szCs w:val="20"/>
              </w:rPr>
            </w:pPr>
            <w:r>
              <w:rPr>
                <w:noProof/>
                <w:sz w:val="20"/>
                <w:szCs w:val="20"/>
              </w:rPr>
              <w:t>Monthly  return (absolute return in %)</w:t>
            </w:r>
          </w:p>
        </w:tc>
        <w:tc>
          <w:tcPr>
            <w:tcW w:w="1418" w:type="dxa"/>
            <w:tcBorders>
              <w:top w:val="single" w:sz="8" w:space="0" w:color="auto"/>
              <w:left w:val="single" w:sz="8" w:space="0" w:color="000000"/>
              <w:bottom w:val="single" w:sz="8" w:space="0" w:color="auto"/>
              <w:right w:val="single" w:sz="8" w:space="0" w:color="auto"/>
            </w:tcBorders>
            <w:shd w:val="clear" w:color="auto" w:fill="auto"/>
            <w:vAlign w:val="center"/>
            <w:hideMark/>
          </w:tcPr>
          <w:p>
            <w:pPr>
              <w:jc w:val="center"/>
              <w:rPr>
                <w:noProof/>
                <w:sz w:val="20"/>
                <w:szCs w:val="20"/>
              </w:rPr>
            </w:pPr>
            <w:r>
              <w:rPr>
                <w:noProof/>
                <w:sz w:val="20"/>
                <w:szCs w:val="20"/>
              </w:rPr>
              <w:t>YTD  return (absolute return in %)</w:t>
            </w:r>
          </w:p>
        </w:tc>
        <w:tc>
          <w:tcPr>
            <w:tcW w:w="283" w:type="dxa"/>
            <w:tcBorders>
              <w:top w:val="nil"/>
              <w:left w:val="nil"/>
              <w:bottom w:val="nil"/>
              <w:right w:val="single" w:sz="4" w:space="0" w:color="auto"/>
            </w:tcBorders>
            <w:shd w:val="clear" w:color="auto" w:fill="auto"/>
            <w:vAlign w:val="center"/>
            <w:hideMark/>
          </w:tcPr>
          <w:p>
            <w:pPr>
              <w:jc w:val="center"/>
              <w:rPr>
                <w:noProof/>
                <w:sz w:val="20"/>
                <w:szCs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20"/>
                <w:szCs w:val="20"/>
              </w:rPr>
            </w:pPr>
            <w:r>
              <w:rPr>
                <w:noProof/>
                <w:sz w:val="20"/>
                <w:szCs w:val="20"/>
              </w:rPr>
              <w:t>Monthly</w:t>
            </w:r>
            <w:r>
              <w:rPr>
                <w:noProof/>
                <w:sz w:val="20"/>
                <w:szCs w:val="20"/>
              </w:rPr>
              <w:br/>
              <w:t>Excess Return compared to benchmark (in%)</w:t>
            </w:r>
          </w:p>
        </w:tc>
        <w:tc>
          <w:tcPr>
            <w:tcW w:w="1172" w:type="dxa"/>
            <w:tcBorders>
              <w:top w:val="single" w:sz="8" w:space="0" w:color="auto"/>
              <w:left w:val="single" w:sz="4" w:space="0" w:color="auto"/>
              <w:bottom w:val="single" w:sz="8" w:space="0" w:color="auto"/>
              <w:right w:val="single" w:sz="8" w:space="0" w:color="auto"/>
            </w:tcBorders>
            <w:shd w:val="clear" w:color="auto" w:fill="auto"/>
            <w:vAlign w:val="center"/>
            <w:hideMark/>
          </w:tcPr>
          <w:p>
            <w:pPr>
              <w:rPr>
                <w:noProof/>
                <w:sz w:val="20"/>
                <w:szCs w:val="20"/>
              </w:rPr>
            </w:pPr>
            <w:r>
              <w:rPr>
                <w:noProof/>
                <w:sz w:val="20"/>
                <w:szCs w:val="20"/>
              </w:rPr>
              <w:t>YTD</w:t>
            </w:r>
            <w:r>
              <w:rPr>
                <w:noProof/>
                <w:sz w:val="20"/>
                <w:szCs w:val="20"/>
              </w:rPr>
              <w:br/>
              <w:t>Excess Return (in%)</w:t>
            </w:r>
          </w:p>
        </w:tc>
      </w:tr>
      <w:tr>
        <w:trPr>
          <w:trHeight w:val="340"/>
        </w:trPr>
        <w:tc>
          <w:tcPr>
            <w:tcW w:w="1291" w:type="dxa"/>
            <w:tcBorders>
              <w:top w:val="single" w:sz="8" w:space="0" w:color="auto"/>
              <w:left w:val="single" w:sz="8" w:space="0" w:color="auto"/>
              <w:bottom w:val="nil"/>
              <w:right w:val="single" w:sz="8" w:space="0" w:color="auto"/>
            </w:tcBorders>
            <w:shd w:val="clear" w:color="auto" w:fill="auto"/>
            <w:noWrap/>
            <w:vAlign w:val="center"/>
            <w:hideMark/>
          </w:tcPr>
          <w:p>
            <w:pPr>
              <w:spacing w:before="120" w:after="120"/>
              <w:jc w:val="center"/>
              <w:rPr>
                <w:b/>
                <w:bCs/>
                <w:noProof/>
                <w:color w:val="000000"/>
                <w:sz w:val="18"/>
                <w:szCs w:val="18"/>
                <w:lang w:eastAsia="en-US"/>
              </w:rPr>
            </w:pPr>
            <w:r>
              <w:rPr>
                <w:b/>
                <w:bCs/>
                <w:noProof/>
                <w:color w:val="000000"/>
                <w:sz w:val="18"/>
                <w:szCs w:val="18"/>
                <w:lang w:eastAsia="en-US"/>
              </w:rPr>
              <w:t>31/01/2017</w:t>
            </w:r>
          </w:p>
        </w:tc>
        <w:tc>
          <w:tcPr>
            <w:tcW w:w="1701" w:type="dxa"/>
            <w:tcBorders>
              <w:top w:val="nil"/>
              <w:left w:val="nil"/>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2,256,052,132</w:t>
            </w:r>
          </w:p>
        </w:tc>
        <w:tc>
          <w:tcPr>
            <w:tcW w:w="1559"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0.4309 </w:t>
            </w:r>
          </w:p>
        </w:tc>
        <w:tc>
          <w:tcPr>
            <w:tcW w:w="1418"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0.4309 </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18"/>
                <w:szCs w:val="18"/>
                <w:lang w:eastAsia="en-US"/>
              </w:rPr>
            </w:pPr>
            <w:r>
              <w:rPr>
                <w:noProof/>
                <w:color w:val="000000"/>
                <w:sz w:val="18"/>
                <w:szCs w:val="18"/>
                <w:lang w:eastAsia="en-US"/>
              </w:rPr>
              <w:t> </w:t>
            </w:r>
          </w:p>
        </w:tc>
        <w:tc>
          <w:tcPr>
            <w:tcW w:w="1663" w:type="dxa"/>
            <w:tcBorders>
              <w:top w:val="single" w:sz="4" w:space="0" w:color="auto"/>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0.075 </w:t>
            </w:r>
          </w:p>
        </w:tc>
        <w:tc>
          <w:tcPr>
            <w:tcW w:w="1172" w:type="dxa"/>
            <w:tcBorders>
              <w:top w:val="nil"/>
              <w:left w:val="single" w:sz="8" w:space="0" w:color="auto"/>
              <w:bottom w:val="single" w:sz="8" w:space="0" w:color="000000"/>
              <w:right w:val="single" w:sz="8" w:space="0" w:color="auto"/>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0.075 </w:t>
            </w:r>
          </w:p>
        </w:tc>
      </w:tr>
      <w:tr>
        <w:trPr>
          <w:trHeight w:val="340"/>
        </w:trPr>
        <w:tc>
          <w:tcPr>
            <w:tcW w:w="12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120" w:after="120"/>
              <w:jc w:val="center"/>
              <w:rPr>
                <w:b/>
                <w:bCs/>
                <w:noProof/>
                <w:color w:val="000000"/>
                <w:sz w:val="18"/>
                <w:szCs w:val="18"/>
                <w:lang w:eastAsia="en-US"/>
              </w:rPr>
            </w:pPr>
            <w:r>
              <w:rPr>
                <w:b/>
                <w:bCs/>
                <w:noProof/>
                <w:color w:val="000000"/>
                <w:sz w:val="18"/>
                <w:szCs w:val="18"/>
                <w:lang w:eastAsia="en-US"/>
              </w:rPr>
              <w:t>28/02/2017</w:t>
            </w:r>
          </w:p>
        </w:tc>
        <w:tc>
          <w:tcPr>
            <w:tcW w:w="1701" w:type="dxa"/>
            <w:tcBorders>
              <w:top w:val="nil"/>
              <w:left w:val="nil"/>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2,504,096,537</w:t>
            </w:r>
          </w:p>
        </w:tc>
        <w:tc>
          <w:tcPr>
            <w:tcW w:w="1559"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0.4676 </w:t>
            </w:r>
          </w:p>
        </w:tc>
        <w:tc>
          <w:tcPr>
            <w:tcW w:w="1418"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0.0347 </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18"/>
                <w:szCs w:val="18"/>
                <w:lang w:eastAsia="en-US"/>
              </w:rPr>
            </w:pPr>
            <w:r>
              <w:rPr>
                <w:noProof/>
                <w:color w:val="000000"/>
                <w:sz w:val="18"/>
                <w:szCs w:val="18"/>
                <w:lang w:eastAsia="en-US"/>
              </w:rPr>
              <w:t> </w:t>
            </w:r>
          </w:p>
        </w:tc>
        <w:tc>
          <w:tcPr>
            <w:tcW w:w="1663"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0.070 </w:t>
            </w:r>
          </w:p>
        </w:tc>
        <w:tc>
          <w:tcPr>
            <w:tcW w:w="1172" w:type="dxa"/>
            <w:tcBorders>
              <w:top w:val="nil"/>
              <w:left w:val="single" w:sz="8" w:space="0" w:color="auto"/>
              <w:bottom w:val="single" w:sz="8" w:space="0" w:color="000000"/>
              <w:right w:val="single" w:sz="8" w:space="0" w:color="auto"/>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0.145 </w:t>
            </w:r>
          </w:p>
        </w:tc>
      </w:tr>
      <w:tr>
        <w:trPr>
          <w:trHeight w:val="359"/>
        </w:trPr>
        <w:tc>
          <w:tcPr>
            <w:tcW w:w="1291" w:type="dxa"/>
            <w:tcBorders>
              <w:top w:val="nil"/>
              <w:left w:val="single" w:sz="8" w:space="0" w:color="auto"/>
              <w:bottom w:val="nil"/>
              <w:right w:val="single" w:sz="8" w:space="0" w:color="auto"/>
            </w:tcBorders>
            <w:shd w:val="clear" w:color="auto" w:fill="auto"/>
            <w:noWrap/>
            <w:vAlign w:val="center"/>
            <w:hideMark/>
          </w:tcPr>
          <w:p>
            <w:pPr>
              <w:spacing w:before="120" w:after="120"/>
              <w:jc w:val="center"/>
              <w:rPr>
                <w:b/>
                <w:bCs/>
                <w:noProof/>
                <w:color w:val="000000"/>
                <w:sz w:val="18"/>
                <w:szCs w:val="18"/>
                <w:lang w:eastAsia="en-US"/>
              </w:rPr>
            </w:pPr>
            <w:r>
              <w:rPr>
                <w:b/>
                <w:bCs/>
                <w:noProof/>
                <w:color w:val="000000"/>
                <w:sz w:val="18"/>
                <w:szCs w:val="18"/>
                <w:lang w:eastAsia="en-US"/>
              </w:rPr>
              <w:t>31/03/2017</w:t>
            </w:r>
          </w:p>
        </w:tc>
        <w:tc>
          <w:tcPr>
            <w:tcW w:w="1701" w:type="dxa"/>
            <w:tcBorders>
              <w:top w:val="nil"/>
              <w:left w:val="nil"/>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2,490,779,669</w:t>
            </w:r>
          </w:p>
        </w:tc>
        <w:tc>
          <w:tcPr>
            <w:tcW w:w="1559"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0.2334 </w:t>
            </w:r>
          </w:p>
        </w:tc>
        <w:tc>
          <w:tcPr>
            <w:tcW w:w="1418"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0.1987 </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18"/>
                <w:szCs w:val="18"/>
                <w:lang w:eastAsia="en-US"/>
              </w:rPr>
            </w:pPr>
            <w:r>
              <w:rPr>
                <w:noProof/>
                <w:color w:val="000000"/>
                <w:sz w:val="18"/>
                <w:szCs w:val="18"/>
                <w:lang w:eastAsia="en-US"/>
              </w:rPr>
              <w:t> </w:t>
            </w:r>
          </w:p>
        </w:tc>
        <w:tc>
          <w:tcPr>
            <w:tcW w:w="1663"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0.020 </w:t>
            </w:r>
          </w:p>
        </w:tc>
        <w:tc>
          <w:tcPr>
            <w:tcW w:w="1172" w:type="dxa"/>
            <w:tcBorders>
              <w:top w:val="nil"/>
              <w:left w:val="single" w:sz="8" w:space="0" w:color="auto"/>
              <w:bottom w:val="single" w:sz="8" w:space="0" w:color="000000"/>
              <w:right w:val="single" w:sz="8" w:space="0" w:color="auto"/>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0.124 </w:t>
            </w:r>
          </w:p>
        </w:tc>
      </w:tr>
      <w:tr>
        <w:trPr>
          <w:trHeight w:val="295"/>
        </w:trPr>
        <w:tc>
          <w:tcPr>
            <w:tcW w:w="12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120" w:after="120"/>
              <w:jc w:val="center"/>
              <w:rPr>
                <w:b/>
                <w:bCs/>
                <w:noProof/>
                <w:color w:val="000000"/>
                <w:sz w:val="18"/>
                <w:szCs w:val="18"/>
                <w:lang w:eastAsia="en-US"/>
              </w:rPr>
            </w:pPr>
            <w:r>
              <w:rPr>
                <w:b/>
                <w:bCs/>
                <w:noProof/>
                <w:color w:val="000000"/>
                <w:sz w:val="18"/>
                <w:szCs w:val="18"/>
                <w:lang w:eastAsia="en-US"/>
              </w:rPr>
              <w:t>30/04/2017</w:t>
            </w:r>
          </w:p>
        </w:tc>
        <w:tc>
          <w:tcPr>
            <w:tcW w:w="1701" w:type="dxa"/>
            <w:tcBorders>
              <w:top w:val="nil"/>
              <w:left w:val="nil"/>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2,492,814,246</w:t>
            </w:r>
          </w:p>
        </w:tc>
        <w:tc>
          <w:tcPr>
            <w:tcW w:w="1559"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0.1708 </w:t>
            </w:r>
          </w:p>
        </w:tc>
        <w:tc>
          <w:tcPr>
            <w:tcW w:w="1418"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0.0283 </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18"/>
                <w:szCs w:val="18"/>
                <w:lang w:eastAsia="en-US"/>
              </w:rPr>
            </w:pPr>
            <w:r>
              <w:rPr>
                <w:noProof/>
                <w:color w:val="000000"/>
                <w:sz w:val="18"/>
                <w:szCs w:val="18"/>
                <w:lang w:eastAsia="en-US"/>
              </w:rPr>
              <w:t> </w:t>
            </w:r>
          </w:p>
        </w:tc>
        <w:tc>
          <w:tcPr>
            <w:tcW w:w="1663"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0.015 </w:t>
            </w:r>
          </w:p>
        </w:tc>
        <w:tc>
          <w:tcPr>
            <w:tcW w:w="1172" w:type="dxa"/>
            <w:tcBorders>
              <w:top w:val="nil"/>
              <w:left w:val="single" w:sz="8" w:space="0" w:color="auto"/>
              <w:bottom w:val="single" w:sz="8" w:space="0" w:color="000000"/>
              <w:right w:val="single" w:sz="8" w:space="0" w:color="auto"/>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0.110 </w:t>
            </w:r>
          </w:p>
        </w:tc>
      </w:tr>
      <w:tr>
        <w:trPr>
          <w:trHeight w:val="340"/>
        </w:trPr>
        <w:tc>
          <w:tcPr>
            <w:tcW w:w="1291" w:type="dxa"/>
            <w:tcBorders>
              <w:top w:val="nil"/>
              <w:left w:val="single" w:sz="8" w:space="0" w:color="auto"/>
              <w:bottom w:val="nil"/>
              <w:right w:val="single" w:sz="8" w:space="0" w:color="auto"/>
            </w:tcBorders>
            <w:shd w:val="clear" w:color="auto" w:fill="auto"/>
            <w:noWrap/>
            <w:vAlign w:val="center"/>
            <w:hideMark/>
          </w:tcPr>
          <w:p>
            <w:pPr>
              <w:spacing w:before="120" w:after="120"/>
              <w:jc w:val="center"/>
              <w:rPr>
                <w:b/>
                <w:bCs/>
                <w:noProof/>
                <w:color w:val="000000"/>
                <w:sz w:val="18"/>
                <w:szCs w:val="18"/>
                <w:lang w:eastAsia="en-US"/>
              </w:rPr>
            </w:pPr>
            <w:r>
              <w:rPr>
                <w:b/>
                <w:bCs/>
                <w:noProof/>
                <w:color w:val="000000"/>
                <w:sz w:val="18"/>
                <w:szCs w:val="18"/>
                <w:lang w:eastAsia="en-US"/>
              </w:rPr>
              <w:t>31/05/2017</w:t>
            </w:r>
          </w:p>
        </w:tc>
        <w:tc>
          <w:tcPr>
            <w:tcW w:w="1701" w:type="dxa"/>
            <w:tcBorders>
              <w:top w:val="nil"/>
              <w:left w:val="nil"/>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2,497,402,625</w:t>
            </w:r>
          </w:p>
        </w:tc>
        <w:tc>
          <w:tcPr>
            <w:tcW w:w="1559"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0.1841 </w:t>
            </w:r>
          </w:p>
        </w:tc>
        <w:tc>
          <w:tcPr>
            <w:tcW w:w="1418"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0.1558 </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18"/>
                <w:szCs w:val="18"/>
                <w:lang w:eastAsia="en-US"/>
              </w:rPr>
            </w:pPr>
            <w:r>
              <w:rPr>
                <w:noProof/>
                <w:color w:val="000000"/>
                <w:sz w:val="18"/>
                <w:szCs w:val="18"/>
                <w:lang w:eastAsia="en-US"/>
              </w:rPr>
              <w:t> </w:t>
            </w:r>
          </w:p>
        </w:tc>
        <w:tc>
          <w:tcPr>
            <w:tcW w:w="1663"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0.018 </w:t>
            </w:r>
          </w:p>
        </w:tc>
        <w:tc>
          <w:tcPr>
            <w:tcW w:w="1172" w:type="dxa"/>
            <w:tcBorders>
              <w:top w:val="nil"/>
              <w:left w:val="single" w:sz="8" w:space="0" w:color="auto"/>
              <w:bottom w:val="single" w:sz="8" w:space="0" w:color="000000"/>
              <w:right w:val="single" w:sz="8" w:space="0" w:color="auto"/>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0.093 </w:t>
            </w:r>
          </w:p>
        </w:tc>
      </w:tr>
      <w:tr>
        <w:trPr>
          <w:trHeight w:val="340"/>
        </w:trPr>
        <w:tc>
          <w:tcPr>
            <w:tcW w:w="12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120" w:after="120"/>
              <w:jc w:val="center"/>
              <w:rPr>
                <w:b/>
                <w:bCs/>
                <w:noProof/>
                <w:color w:val="000000"/>
                <w:sz w:val="18"/>
                <w:szCs w:val="18"/>
                <w:lang w:eastAsia="en-US"/>
              </w:rPr>
            </w:pPr>
            <w:r>
              <w:rPr>
                <w:b/>
                <w:bCs/>
                <w:noProof/>
                <w:color w:val="000000"/>
                <w:sz w:val="18"/>
                <w:szCs w:val="18"/>
                <w:lang w:eastAsia="en-US"/>
              </w:rPr>
              <w:t>30/06/2017</w:t>
            </w:r>
          </w:p>
        </w:tc>
        <w:tc>
          <w:tcPr>
            <w:tcW w:w="1701" w:type="dxa"/>
            <w:tcBorders>
              <w:top w:val="nil"/>
              <w:left w:val="nil"/>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2,483,160,630</w:t>
            </w:r>
          </w:p>
        </w:tc>
        <w:tc>
          <w:tcPr>
            <w:tcW w:w="1559"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0.3682 </w:t>
            </w:r>
          </w:p>
        </w:tc>
        <w:tc>
          <w:tcPr>
            <w:tcW w:w="1418"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0.2130 </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18"/>
                <w:szCs w:val="18"/>
                <w:lang w:eastAsia="en-US"/>
              </w:rPr>
            </w:pPr>
            <w:r>
              <w:rPr>
                <w:noProof/>
                <w:color w:val="000000"/>
                <w:sz w:val="18"/>
                <w:szCs w:val="18"/>
                <w:lang w:eastAsia="en-US"/>
              </w:rPr>
              <w:t> </w:t>
            </w:r>
          </w:p>
        </w:tc>
        <w:tc>
          <w:tcPr>
            <w:tcW w:w="1663"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0.049 </w:t>
            </w:r>
          </w:p>
        </w:tc>
        <w:tc>
          <w:tcPr>
            <w:tcW w:w="1172" w:type="dxa"/>
            <w:tcBorders>
              <w:top w:val="nil"/>
              <w:left w:val="single" w:sz="8" w:space="0" w:color="auto"/>
              <w:bottom w:val="single" w:sz="8" w:space="0" w:color="000000"/>
              <w:right w:val="single" w:sz="8" w:space="0" w:color="auto"/>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0.043 </w:t>
            </w:r>
          </w:p>
        </w:tc>
      </w:tr>
      <w:tr>
        <w:trPr>
          <w:trHeight w:val="340"/>
        </w:trPr>
        <w:tc>
          <w:tcPr>
            <w:tcW w:w="1291" w:type="dxa"/>
            <w:tcBorders>
              <w:top w:val="nil"/>
              <w:left w:val="single" w:sz="8" w:space="0" w:color="auto"/>
              <w:bottom w:val="nil"/>
              <w:right w:val="single" w:sz="8" w:space="0" w:color="auto"/>
            </w:tcBorders>
            <w:shd w:val="clear" w:color="auto" w:fill="auto"/>
            <w:noWrap/>
            <w:vAlign w:val="center"/>
            <w:hideMark/>
          </w:tcPr>
          <w:p>
            <w:pPr>
              <w:spacing w:before="120" w:after="120"/>
              <w:jc w:val="center"/>
              <w:rPr>
                <w:b/>
                <w:bCs/>
                <w:noProof/>
                <w:color w:val="000000"/>
                <w:sz w:val="18"/>
                <w:szCs w:val="18"/>
                <w:lang w:eastAsia="en-US"/>
              </w:rPr>
            </w:pPr>
            <w:r>
              <w:rPr>
                <w:b/>
                <w:bCs/>
                <w:noProof/>
                <w:color w:val="000000"/>
                <w:sz w:val="18"/>
                <w:szCs w:val="18"/>
                <w:lang w:eastAsia="en-US"/>
              </w:rPr>
              <w:t>31/07/2017</w:t>
            </w:r>
          </w:p>
        </w:tc>
        <w:tc>
          <w:tcPr>
            <w:tcW w:w="1701" w:type="dxa"/>
            <w:tcBorders>
              <w:top w:val="nil"/>
              <w:left w:val="nil"/>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2,473,463,181</w:t>
            </w:r>
          </w:p>
        </w:tc>
        <w:tc>
          <w:tcPr>
            <w:tcW w:w="1559"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0.1561 </w:t>
            </w:r>
          </w:p>
        </w:tc>
        <w:tc>
          <w:tcPr>
            <w:tcW w:w="1418"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0.0572 </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18"/>
                <w:szCs w:val="18"/>
                <w:lang w:eastAsia="en-US"/>
              </w:rPr>
            </w:pPr>
            <w:r>
              <w:rPr>
                <w:noProof/>
                <w:color w:val="000000"/>
                <w:sz w:val="18"/>
                <w:szCs w:val="18"/>
                <w:lang w:eastAsia="en-US"/>
              </w:rPr>
              <w:t> </w:t>
            </w:r>
          </w:p>
        </w:tc>
        <w:tc>
          <w:tcPr>
            <w:tcW w:w="1663"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0.043 </w:t>
            </w:r>
          </w:p>
        </w:tc>
        <w:tc>
          <w:tcPr>
            <w:tcW w:w="1172" w:type="dxa"/>
            <w:tcBorders>
              <w:top w:val="nil"/>
              <w:left w:val="single" w:sz="8" w:space="0" w:color="auto"/>
              <w:bottom w:val="single" w:sz="8" w:space="0" w:color="000000"/>
              <w:right w:val="single" w:sz="8" w:space="0" w:color="auto"/>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0.087 </w:t>
            </w:r>
          </w:p>
        </w:tc>
      </w:tr>
      <w:tr>
        <w:trPr>
          <w:trHeight w:val="340"/>
        </w:trPr>
        <w:tc>
          <w:tcPr>
            <w:tcW w:w="12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120" w:after="120"/>
              <w:jc w:val="center"/>
              <w:rPr>
                <w:b/>
                <w:bCs/>
                <w:noProof/>
                <w:color w:val="000000"/>
                <w:sz w:val="18"/>
                <w:szCs w:val="18"/>
                <w:lang w:eastAsia="en-US"/>
              </w:rPr>
            </w:pPr>
            <w:r>
              <w:rPr>
                <w:b/>
                <w:bCs/>
                <w:noProof/>
                <w:color w:val="000000"/>
                <w:sz w:val="18"/>
                <w:szCs w:val="18"/>
                <w:lang w:eastAsia="en-US"/>
              </w:rPr>
              <w:t>31/08/2017</w:t>
            </w:r>
          </w:p>
        </w:tc>
        <w:tc>
          <w:tcPr>
            <w:tcW w:w="1701" w:type="dxa"/>
            <w:tcBorders>
              <w:top w:val="nil"/>
              <w:left w:val="nil"/>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2,478,851,565</w:t>
            </w:r>
          </w:p>
        </w:tc>
        <w:tc>
          <w:tcPr>
            <w:tcW w:w="1559"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0.3471 </w:t>
            </w:r>
          </w:p>
        </w:tc>
        <w:tc>
          <w:tcPr>
            <w:tcW w:w="1418"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0.2897 </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18"/>
                <w:szCs w:val="18"/>
                <w:lang w:eastAsia="en-US"/>
              </w:rPr>
            </w:pPr>
            <w:r>
              <w:rPr>
                <w:noProof/>
                <w:color w:val="000000"/>
                <w:sz w:val="18"/>
                <w:szCs w:val="18"/>
                <w:lang w:eastAsia="en-US"/>
              </w:rPr>
              <w:t> </w:t>
            </w:r>
          </w:p>
        </w:tc>
        <w:tc>
          <w:tcPr>
            <w:tcW w:w="1663"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0.021 </w:t>
            </w:r>
          </w:p>
        </w:tc>
        <w:tc>
          <w:tcPr>
            <w:tcW w:w="1172" w:type="dxa"/>
            <w:tcBorders>
              <w:top w:val="nil"/>
              <w:left w:val="single" w:sz="8" w:space="0" w:color="auto"/>
              <w:bottom w:val="single" w:sz="8" w:space="0" w:color="000000"/>
              <w:right w:val="single" w:sz="8" w:space="0" w:color="auto"/>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0.108 </w:t>
            </w:r>
          </w:p>
        </w:tc>
      </w:tr>
      <w:tr>
        <w:trPr>
          <w:trHeight w:val="340"/>
        </w:trPr>
        <w:tc>
          <w:tcPr>
            <w:tcW w:w="1291" w:type="dxa"/>
            <w:tcBorders>
              <w:top w:val="nil"/>
              <w:left w:val="single" w:sz="8" w:space="0" w:color="auto"/>
              <w:bottom w:val="nil"/>
              <w:right w:val="single" w:sz="8" w:space="0" w:color="auto"/>
            </w:tcBorders>
            <w:shd w:val="clear" w:color="auto" w:fill="auto"/>
            <w:noWrap/>
            <w:vAlign w:val="center"/>
            <w:hideMark/>
          </w:tcPr>
          <w:p>
            <w:pPr>
              <w:spacing w:before="120" w:after="120"/>
              <w:jc w:val="center"/>
              <w:rPr>
                <w:b/>
                <w:bCs/>
                <w:noProof/>
                <w:color w:val="000000"/>
                <w:sz w:val="18"/>
                <w:szCs w:val="18"/>
                <w:lang w:eastAsia="en-US"/>
              </w:rPr>
            </w:pPr>
            <w:r>
              <w:rPr>
                <w:b/>
                <w:bCs/>
                <w:noProof/>
                <w:color w:val="000000"/>
                <w:sz w:val="18"/>
                <w:szCs w:val="18"/>
                <w:lang w:eastAsia="en-US"/>
              </w:rPr>
              <w:t>30/09/2017</w:t>
            </w:r>
          </w:p>
        </w:tc>
        <w:tc>
          <w:tcPr>
            <w:tcW w:w="1701" w:type="dxa"/>
            <w:tcBorders>
              <w:top w:val="nil"/>
              <w:left w:val="nil"/>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2,475,735,267</w:t>
            </w:r>
          </w:p>
        </w:tc>
        <w:tc>
          <w:tcPr>
            <w:tcW w:w="1559"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0.1255 </w:t>
            </w:r>
          </w:p>
        </w:tc>
        <w:tc>
          <w:tcPr>
            <w:tcW w:w="1418"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0.1638 </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18"/>
                <w:szCs w:val="18"/>
                <w:lang w:eastAsia="en-US"/>
              </w:rPr>
            </w:pPr>
            <w:r>
              <w:rPr>
                <w:noProof/>
                <w:color w:val="000000"/>
                <w:sz w:val="18"/>
                <w:szCs w:val="18"/>
                <w:lang w:eastAsia="en-US"/>
              </w:rPr>
              <w:t> </w:t>
            </w:r>
          </w:p>
        </w:tc>
        <w:tc>
          <w:tcPr>
            <w:tcW w:w="1663"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0.014 </w:t>
            </w:r>
          </w:p>
        </w:tc>
        <w:tc>
          <w:tcPr>
            <w:tcW w:w="1172" w:type="dxa"/>
            <w:tcBorders>
              <w:top w:val="nil"/>
              <w:left w:val="single" w:sz="8" w:space="0" w:color="auto"/>
              <w:bottom w:val="single" w:sz="8" w:space="0" w:color="000000"/>
              <w:right w:val="single" w:sz="8" w:space="0" w:color="auto"/>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0.093 </w:t>
            </w:r>
          </w:p>
        </w:tc>
      </w:tr>
      <w:tr>
        <w:trPr>
          <w:trHeight w:val="340"/>
        </w:trPr>
        <w:tc>
          <w:tcPr>
            <w:tcW w:w="12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120" w:after="120"/>
              <w:jc w:val="center"/>
              <w:rPr>
                <w:b/>
                <w:bCs/>
                <w:noProof/>
                <w:color w:val="000000"/>
                <w:sz w:val="18"/>
                <w:szCs w:val="18"/>
                <w:lang w:eastAsia="en-US"/>
              </w:rPr>
            </w:pPr>
            <w:r>
              <w:rPr>
                <w:b/>
                <w:bCs/>
                <w:noProof/>
                <w:color w:val="000000"/>
                <w:sz w:val="18"/>
                <w:szCs w:val="18"/>
                <w:lang w:eastAsia="en-US"/>
              </w:rPr>
              <w:t>31/10/2017</w:t>
            </w:r>
          </w:p>
        </w:tc>
        <w:tc>
          <w:tcPr>
            <w:tcW w:w="1701" w:type="dxa"/>
            <w:tcBorders>
              <w:top w:val="nil"/>
              <w:left w:val="nil"/>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2,473,044,097</w:t>
            </w:r>
          </w:p>
        </w:tc>
        <w:tc>
          <w:tcPr>
            <w:tcW w:w="1559"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0.2649 </w:t>
            </w:r>
          </w:p>
        </w:tc>
        <w:tc>
          <w:tcPr>
            <w:tcW w:w="1418"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0.4292 </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18"/>
                <w:szCs w:val="18"/>
                <w:lang w:eastAsia="en-US"/>
              </w:rPr>
            </w:pPr>
            <w:r>
              <w:rPr>
                <w:noProof/>
                <w:color w:val="000000"/>
                <w:sz w:val="18"/>
                <w:szCs w:val="18"/>
                <w:lang w:eastAsia="en-US"/>
              </w:rPr>
              <w:t> </w:t>
            </w:r>
          </w:p>
        </w:tc>
        <w:tc>
          <w:tcPr>
            <w:tcW w:w="1663"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0.015 </w:t>
            </w:r>
          </w:p>
        </w:tc>
        <w:tc>
          <w:tcPr>
            <w:tcW w:w="1172" w:type="dxa"/>
            <w:tcBorders>
              <w:top w:val="nil"/>
              <w:left w:val="single" w:sz="8" w:space="0" w:color="auto"/>
              <w:bottom w:val="single" w:sz="8" w:space="0" w:color="000000"/>
              <w:right w:val="single" w:sz="8" w:space="0" w:color="auto"/>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0.079 </w:t>
            </w:r>
          </w:p>
        </w:tc>
      </w:tr>
      <w:tr>
        <w:trPr>
          <w:trHeight w:val="313"/>
        </w:trPr>
        <w:tc>
          <w:tcPr>
            <w:tcW w:w="1291" w:type="dxa"/>
            <w:tcBorders>
              <w:top w:val="nil"/>
              <w:left w:val="single" w:sz="8" w:space="0" w:color="auto"/>
              <w:bottom w:val="nil"/>
              <w:right w:val="single" w:sz="8" w:space="0" w:color="auto"/>
            </w:tcBorders>
            <w:shd w:val="clear" w:color="auto" w:fill="auto"/>
            <w:noWrap/>
            <w:vAlign w:val="center"/>
            <w:hideMark/>
          </w:tcPr>
          <w:p>
            <w:pPr>
              <w:spacing w:before="120" w:after="120"/>
              <w:jc w:val="center"/>
              <w:rPr>
                <w:b/>
                <w:bCs/>
                <w:noProof/>
                <w:color w:val="000000"/>
                <w:sz w:val="18"/>
                <w:szCs w:val="18"/>
                <w:lang w:eastAsia="en-US"/>
              </w:rPr>
            </w:pPr>
            <w:r>
              <w:rPr>
                <w:b/>
                <w:bCs/>
                <w:noProof/>
                <w:color w:val="000000"/>
                <w:sz w:val="18"/>
                <w:szCs w:val="18"/>
                <w:lang w:eastAsia="en-US"/>
              </w:rPr>
              <w:t>30/11/2017</w:t>
            </w:r>
          </w:p>
        </w:tc>
        <w:tc>
          <w:tcPr>
            <w:tcW w:w="1701" w:type="dxa"/>
            <w:tcBorders>
              <w:top w:val="nil"/>
              <w:left w:val="nil"/>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2,467,766,938</w:t>
            </w:r>
          </w:p>
        </w:tc>
        <w:tc>
          <w:tcPr>
            <w:tcW w:w="1559"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0.0630 </w:t>
            </w:r>
          </w:p>
        </w:tc>
        <w:tc>
          <w:tcPr>
            <w:tcW w:w="1418"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0.3660 </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18"/>
                <w:szCs w:val="18"/>
                <w:lang w:eastAsia="en-US"/>
              </w:rPr>
            </w:pPr>
            <w:r>
              <w:rPr>
                <w:noProof/>
                <w:color w:val="000000"/>
                <w:sz w:val="18"/>
                <w:szCs w:val="18"/>
                <w:lang w:eastAsia="en-US"/>
              </w:rPr>
              <w:t> </w:t>
            </w:r>
          </w:p>
        </w:tc>
        <w:tc>
          <w:tcPr>
            <w:tcW w:w="1663"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0.065 </w:t>
            </w:r>
          </w:p>
        </w:tc>
        <w:tc>
          <w:tcPr>
            <w:tcW w:w="1172" w:type="dxa"/>
            <w:tcBorders>
              <w:top w:val="nil"/>
              <w:left w:val="single" w:sz="8" w:space="0" w:color="auto"/>
              <w:bottom w:val="single" w:sz="8" w:space="0" w:color="000000"/>
              <w:right w:val="single" w:sz="8" w:space="0" w:color="auto"/>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0.014 </w:t>
            </w:r>
          </w:p>
        </w:tc>
      </w:tr>
      <w:tr>
        <w:trPr>
          <w:trHeight w:val="340"/>
        </w:trPr>
        <w:tc>
          <w:tcPr>
            <w:tcW w:w="12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120" w:after="120"/>
              <w:jc w:val="center"/>
              <w:rPr>
                <w:b/>
                <w:bCs/>
                <w:noProof/>
                <w:color w:val="000000"/>
                <w:sz w:val="18"/>
                <w:szCs w:val="18"/>
                <w:lang w:eastAsia="en-US"/>
              </w:rPr>
            </w:pPr>
            <w:r>
              <w:rPr>
                <w:b/>
                <w:bCs/>
                <w:noProof/>
                <w:color w:val="000000"/>
                <w:sz w:val="18"/>
                <w:szCs w:val="18"/>
                <w:lang w:eastAsia="en-US"/>
              </w:rPr>
              <w:t>31/12/2017</w:t>
            </w:r>
          </w:p>
        </w:tc>
        <w:tc>
          <w:tcPr>
            <w:tcW w:w="1701" w:type="dxa"/>
            <w:tcBorders>
              <w:top w:val="nil"/>
              <w:left w:val="nil"/>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2,423,114,280</w:t>
            </w:r>
          </w:p>
        </w:tc>
        <w:tc>
          <w:tcPr>
            <w:tcW w:w="1559"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0.2028 </w:t>
            </w:r>
          </w:p>
        </w:tc>
        <w:tc>
          <w:tcPr>
            <w:tcW w:w="1418"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0.1624 </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18"/>
                <w:szCs w:val="18"/>
                <w:lang w:eastAsia="en-US"/>
              </w:rPr>
            </w:pPr>
            <w:r>
              <w:rPr>
                <w:noProof/>
                <w:color w:val="000000"/>
                <w:sz w:val="18"/>
                <w:szCs w:val="18"/>
                <w:lang w:eastAsia="en-US"/>
              </w:rPr>
              <w:t> </w:t>
            </w:r>
          </w:p>
        </w:tc>
        <w:tc>
          <w:tcPr>
            <w:tcW w:w="1663" w:type="dxa"/>
            <w:tcBorders>
              <w:top w:val="nil"/>
              <w:left w:val="single" w:sz="8" w:space="0" w:color="000000"/>
              <w:bottom w:val="single" w:sz="8" w:space="0" w:color="000000"/>
              <w:right w:val="nil"/>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0.052 </w:t>
            </w:r>
          </w:p>
        </w:tc>
        <w:tc>
          <w:tcPr>
            <w:tcW w:w="1172" w:type="dxa"/>
            <w:tcBorders>
              <w:top w:val="nil"/>
              <w:left w:val="single" w:sz="8" w:space="0" w:color="auto"/>
              <w:bottom w:val="single" w:sz="8" w:space="0" w:color="auto"/>
              <w:right w:val="single" w:sz="8" w:space="0" w:color="auto"/>
            </w:tcBorders>
            <w:shd w:val="clear" w:color="auto" w:fill="auto"/>
            <w:vAlign w:val="center"/>
            <w:hideMark/>
          </w:tcPr>
          <w:p>
            <w:pPr>
              <w:spacing w:before="120" w:after="120"/>
              <w:jc w:val="center"/>
              <w:rPr>
                <w:noProof/>
                <w:color w:val="000000"/>
                <w:sz w:val="18"/>
                <w:szCs w:val="18"/>
                <w:lang w:eastAsia="en-US"/>
              </w:rPr>
            </w:pPr>
            <w:r>
              <w:rPr>
                <w:noProof/>
                <w:color w:val="000000"/>
                <w:sz w:val="18"/>
                <w:szCs w:val="18"/>
                <w:lang w:eastAsia="en-US"/>
              </w:rPr>
              <w:t xml:space="preserve">         0.066 </w:t>
            </w:r>
          </w:p>
        </w:tc>
      </w:tr>
    </w:tbl>
    <w:p>
      <w:pPr>
        <w:tabs>
          <w:tab w:val="left" w:pos="360"/>
          <w:tab w:val="left" w:pos="1418"/>
        </w:tabs>
        <w:ind w:left="1418" w:hanging="1418"/>
        <w:jc w:val="both"/>
        <w:rPr>
          <w:noProof/>
          <w:sz w:val="22"/>
          <w:szCs w:val="22"/>
          <w:highlight w:val="green"/>
          <w:lang w:eastAsia="en-US"/>
        </w:rPr>
      </w:pPr>
    </w:p>
    <w:p>
      <w:pPr>
        <w:pStyle w:val="ManualHeading3"/>
        <w:rPr>
          <w:noProof/>
        </w:rPr>
      </w:pPr>
      <w:bookmarkStart w:id="54" w:name="_Toc449626280"/>
      <w:bookmarkStart w:id="55" w:name="_Toc478663481"/>
      <w:r>
        <w:rPr>
          <w:noProof/>
        </w:rPr>
        <w:t>2.4.3.</w:t>
      </w:r>
      <w:r>
        <w:rPr>
          <w:noProof/>
        </w:rPr>
        <w:tab/>
        <w:t>Interest rate risk</w:t>
      </w:r>
      <w:bookmarkEnd w:id="54"/>
      <w:bookmarkEnd w:id="55"/>
    </w:p>
    <w:p>
      <w:pPr>
        <w:jc w:val="both"/>
        <w:rPr>
          <w:noProof/>
        </w:rPr>
      </w:pPr>
      <w:r>
        <w:rPr>
          <w:noProof/>
        </w:rPr>
        <w:t>The interest rate risk sensitivity of the MTM value of the portfolio mainly stems from its fixed rate exposure. A 1bp increase of interest rates reduces the value of the portfolio by EUR 710,141 of which EUR 704,382 is related to the fixed rate bond exposure. The global modified duration of the fund decreased during 2017 and stood at 2.93 years as of 31 December 2017, compared to 3.59 years as of 31 December 2016.</w:t>
      </w:r>
      <w:r>
        <w:rPr>
          <w:noProof/>
        </w:rPr>
        <w:br w:type="page"/>
      </w:r>
    </w:p>
    <w:p>
      <w:pPr>
        <w:jc w:val="both"/>
        <w:rPr>
          <w:noProof/>
          <w:sz w:val="22"/>
          <w:szCs w:val="22"/>
          <w:highlight w:val="green"/>
        </w:rPr>
      </w:pPr>
    </w:p>
    <w:tbl>
      <w:tblPr>
        <w:tblW w:w="9087" w:type="dxa"/>
        <w:tblInd w:w="93" w:type="dxa"/>
        <w:tblLayout w:type="fixed"/>
        <w:tblLook w:val="04A0" w:firstRow="1" w:lastRow="0" w:firstColumn="1" w:lastColumn="0" w:noHBand="0" w:noVBand="1"/>
      </w:tblPr>
      <w:tblGrid>
        <w:gridCol w:w="2441"/>
        <w:gridCol w:w="2819"/>
        <w:gridCol w:w="1843"/>
        <w:gridCol w:w="1984"/>
      </w:tblGrid>
      <w:tr>
        <w:trPr>
          <w:trHeight w:val="630"/>
        </w:trPr>
        <w:tc>
          <w:tcPr>
            <w:tcW w:w="2441" w:type="dxa"/>
            <w:tcBorders>
              <w:top w:val="single" w:sz="8" w:space="0" w:color="000000"/>
              <w:left w:val="single" w:sz="8" w:space="0" w:color="000000"/>
              <w:bottom w:val="single" w:sz="8" w:space="0" w:color="000000"/>
              <w:right w:val="single" w:sz="8" w:space="0" w:color="000000"/>
            </w:tcBorders>
            <w:shd w:val="clear" w:color="000000" w:fill="auto"/>
            <w:vAlign w:val="center"/>
            <w:hideMark/>
          </w:tcPr>
          <w:p>
            <w:pPr>
              <w:jc w:val="center"/>
              <w:rPr>
                <w:b/>
                <w:bCs/>
                <w:noProof/>
                <w:color w:val="000000"/>
                <w:sz w:val="20"/>
                <w:szCs w:val="20"/>
              </w:rPr>
            </w:pPr>
            <w:r>
              <w:rPr>
                <w:rFonts w:cs="Arial"/>
                <w:b/>
                <w:bCs/>
                <w:noProof/>
                <w:color w:val="000000"/>
                <w:sz w:val="20"/>
                <w:szCs w:val="20"/>
              </w:rPr>
              <w:t>GF Sub- Portfolios</w:t>
            </w:r>
          </w:p>
        </w:tc>
        <w:tc>
          <w:tcPr>
            <w:tcW w:w="2819" w:type="dxa"/>
            <w:tcBorders>
              <w:top w:val="single" w:sz="8" w:space="0" w:color="000000"/>
              <w:left w:val="nil"/>
              <w:bottom w:val="single" w:sz="8" w:space="0" w:color="000000"/>
              <w:right w:val="single" w:sz="8" w:space="0" w:color="000000"/>
            </w:tcBorders>
            <w:shd w:val="clear" w:color="000000" w:fill="auto"/>
            <w:vAlign w:val="center"/>
            <w:hideMark/>
          </w:tcPr>
          <w:p>
            <w:pPr>
              <w:jc w:val="center"/>
              <w:rPr>
                <w:b/>
                <w:bCs/>
                <w:noProof/>
                <w:color w:val="000000"/>
                <w:sz w:val="20"/>
                <w:szCs w:val="20"/>
              </w:rPr>
            </w:pPr>
            <w:r>
              <w:rPr>
                <w:rFonts w:cs="Arial"/>
                <w:b/>
                <w:bCs/>
                <w:noProof/>
                <w:color w:val="000000"/>
                <w:sz w:val="20"/>
                <w:szCs w:val="20"/>
              </w:rPr>
              <w:t>Market Value (excluding accrued interest)</w:t>
            </w:r>
          </w:p>
        </w:tc>
        <w:tc>
          <w:tcPr>
            <w:tcW w:w="1843" w:type="dxa"/>
            <w:tcBorders>
              <w:top w:val="single" w:sz="8" w:space="0" w:color="000000"/>
              <w:left w:val="nil"/>
              <w:bottom w:val="single" w:sz="8" w:space="0" w:color="000000"/>
              <w:right w:val="single" w:sz="8" w:space="0" w:color="000000"/>
            </w:tcBorders>
            <w:shd w:val="clear" w:color="000000" w:fill="auto"/>
            <w:vAlign w:val="center"/>
            <w:hideMark/>
          </w:tcPr>
          <w:p>
            <w:pPr>
              <w:jc w:val="center"/>
              <w:rPr>
                <w:b/>
                <w:bCs/>
                <w:noProof/>
                <w:color w:val="000000"/>
                <w:sz w:val="20"/>
                <w:szCs w:val="20"/>
              </w:rPr>
            </w:pPr>
            <w:r>
              <w:rPr>
                <w:rFonts w:cs="Arial"/>
                <w:b/>
                <w:bCs/>
                <w:noProof/>
                <w:color w:val="000000"/>
                <w:sz w:val="20"/>
                <w:szCs w:val="20"/>
              </w:rPr>
              <w:t>Modified Duration (Years)</w:t>
            </w:r>
          </w:p>
        </w:tc>
        <w:tc>
          <w:tcPr>
            <w:tcW w:w="1984" w:type="dxa"/>
            <w:tcBorders>
              <w:top w:val="single" w:sz="8" w:space="0" w:color="000000"/>
              <w:left w:val="nil"/>
              <w:bottom w:val="single" w:sz="8" w:space="0" w:color="000000"/>
              <w:right w:val="single" w:sz="8" w:space="0" w:color="000000"/>
            </w:tcBorders>
            <w:shd w:val="clear" w:color="000000" w:fill="auto"/>
            <w:vAlign w:val="center"/>
            <w:hideMark/>
          </w:tcPr>
          <w:p>
            <w:pPr>
              <w:jc w:val="center"/>
              <w:rPr>
                <w:rFonts w:cs="Arial"/>
                <w:b/>
                <w:bCs/>
                <w:noProof/>
                <w:color w:val="000000"/>
                <w:sz w:val="20"/>
                <w:szCs w:val="20"/>
              </w:rPr>
            </w:pPr>
            <w:r>
              <w:rPr>
                <w:rFonts w:cs="Arial"/>
                <w:b/>
                <w:bCs/>
                <w:noProof/>
                <w:color w:val="000000"/>
                <w:sz w:val="20"/>
                <w:szCs w:val="20"/>
              </w:rPr>
              <w:t>Interest Rate Exposure (+/-1bp)</w:t>
            </w:r>
          </w:p>
        </w:tc>
      </w:tr>
      <w:tr>
        <w:trPr>
          <w:trHeight w:val="495"/>
        </w:trPr>
        <w:tc>
          <w:tcPr>
            <w:tcW w:w="2441" w:type="dxa"/>
            <w:tcBorders>
              <w:top w:val="single" w:sz="8" w:space="0" w:color="000000"/>
              <w:left w:val="single" w:sz="8" w:space="0" w:color="000000"/>
              <w:bottom w:val="single" w:sz="8" w:space="0" w:color="000000"/>
              <w:right w:val="nil"/>
            </w:tcBorders>
            <w:shd w:val="clear" w:color="auto" w:fill="auto"/>
            <w:vAlign w:val="center"/>
            <w:hideMark/>
          </w:tcPr>
          <w:p>
            <w:pPr>
              <w:jc w:val="center"/>
              <w:rPr>
                <w:bCs/>
                <w:noProof/>
                <w:color w:val="000000"/>
                <w:sz w:val="20"/>
                <w:szCs w:val="20"/>
              </w:rPr>
            </w:pPr>
            <w:r>
              <w:rPr>
                <w:rFonts w:cs="Arial"/>
                <w:bCs/>
                <w:noProof/>
                <w:color w:val="000000"/>
                <w:sz w:val="20"/>
                <w:szCs w:val="20"/>
              </w:rPr>
              <w:t>Floating Rate Notes</w:t>
            </w:r>
          </w:p>
        </w:tc>
        <w:tc>
          <w:tcPr>
            <w:tcW w:w="2819" w:type="dxa"/>
            <w:tcBorders>
              <w:top w:val="single" w:sz="8" w:space="0" w:color="000000"/>
              <w:left w:val="single" w:sz="8" w:space="0" w:color="000000"/>
              <w:bottom w:val="single" w:sz="8" w:space="0" w:color="000000"/>
              <w:right w:val="nil"/>
            </w:tcBorders>
            <w:shd w:val="clear" w:color="auto" w:fill="auto"/>
            <w:hideMark/>
          </w:tcPr>
          <w:p>
            <w:pPr>
              <w:jc w:val="center"/>
              <w:rPr>
                <w:noProof/>
                <w:sz w:val="20"/>
                <w:szCs w:val="20"/>
              </w:rPr>
            </w:pPr>
            <w:r>
              <w:rPr>
                <w:noProof/>
                <w:sz w:val="20"/>
                <w:szCs w:val="20"/>
              </w:rPr>
              <w:t>258,350,975</w:t>
            </w:r>
          </w:p>
        </w:tc>
        <w:tc>
          <w:tcPr>
            <w:tcW w:w="1843" w:type="dxa"/>
            <w:tcBorders>
              <w:top w:val="single" w:sz="8" w:space="0" w:color="000000"/>
              <w:left w:val="single" w:sz="8" w:space="0" w:color="000000"/>
              <w:bottom w:val="single" w:sz="8" w:space="0" w:color="000000"/>
              <w:right w:val="nil"/>
            </w:tcBorders>
            <w:shd w:val="clear" w:color="auto" w:fill="auto"/>
            <w:hideMark/>
          </w:tcPr>
          <w:p>
            <w:pPr>
              <w:jc w:val="center"/>
              <w:rPr>
                <w:noProof/>
                <w:sz w:val="20"/>
                <w:szCs w:val="20"/>
              </w:rPr>
            </w:pPr>
            <w:r>
              <w:rPr>
                <w:noProof/>
                <w:sz w:val="20"/>
                <w:szCs w:val="20"/>
              </w:rPr>
              <w:t>0.167</w:t>
            </w:r>
          </w:p>
        </w:tc>
        <w:tc>
          <w:tcPr>
            <w:tcW w:w="1984" w:type="dxa"/>
            <w:tcBorders>
              <w:top w:val="single" w:sz="8" w:space="0" w:color="000000"/>
              <w:left w:val="single" w:sz="8" w:space="0" w:color="000000"/>
              <w:bottom w:val="single" w:sz="8" w:space="0" w:color="000000"/>
              <w:right w:val="single" w:sz="8" w:space="0" w:color="000000"/>
            </w:tcBorders>
            <w:shd w:val="clear" w:color="auto" w:fill="auto"/>
            <w:hideMark/>
          </w:tcPr>
          <w:p>
            <w:pPr>
              <w:jc w:val="center"/>
              <w:rPr>
                <w:noProof/>
                <w:sz w:val="20"/>
                <w:szCs w:val="20"/>
              </w:rPr>
            </w:pPr>
            <w:r>
              <w:rPr>
                <w:noProof/>
                <w:sz w:val="20"/>
                <w:szCs w:val="20"/>
              </w:rPr>
              <w:t>+/- 4,321</w:t>
            </w:r>
          </w:p>
        </w:tc>
      </w:tr>
      <w:tr>
        <w:trPr>
          <w:trHeight w:val="315"/>
        </w:trPr>
        <w:tc>
          <w:tcPr>
            <w:tcW w:w="2441" w:type="dxa"/>
            <w:tcBorders>
              <w:top w:val="nil"/>
              <w:left w:val="single" w:sz="8" w:space="0" w:color="000000"/>
              <w:bottom w:val="single" w:sz="8" w:space="0" w:color="000000"/>
              <w:right w:val="nil"/>
            </w:tcBorders>
            <w:shd w:val="clear" w:color="auto" w:fill="auto"/>
            <w:vAlign w:val="center"/>
            <w:hideMark/>
          </w:tcPr>
          <w:p>
            <w:pPr>
              <w:jc w:val="center"/>
              <w:rPr>
                <w:bCs/>
                <w:noProof/>
                <w:color w:val="000000"/>
                <w:sz w:val="20"/>
                <w:szCs w:val="20"/>
              </w:rPr>
            </w:pPr>
            <w:r>
              <w:rPr>
                <w:bCs/>
                <w:noProof/>
                <w:color w:val="000000"/>
                <w:sz w:val="20"/>
                <w:szCs w:val="20"/>
              </w:rPr>
              <w:t>Fixed Rate Bonds</w:t>
            </w:r>
          </w:p>
        </w:tc>
        <w:tc>
          <w:tcPr>
            <w:tcW w:w="2819" w:type="dxa"/>
            <w:tcBorders>
              <w:top w:val="nil"/>
              <w:left w:val="single" w:sz="8" w:space="0" w:color="000000"/>
              <w:bottom w:val="single" w:sz="8" w:space="0" w:color="000000"/>
              <w:right w:val="nil"/>
            </w:tcBorders>
            <w:shd w:val="clear" w:color="auto" w:fill="auto"/>
            <w:hideMark/>
          </w:tcPr>
          <w:p>
            <w:pPr>
              <w:jc w:val="center"/>
              <w:rPr>
                <w:noProof/>
                <w:color w:val="000000"/>
                <w:sz w:val="20"/>
                <w:szCs w:val="20"/>
              </w:rPr>
            </w:pPr>
            <w:r>
              <w:rPr>
                <w:noProof/>
                <w:sz w:val="20"/>
                <w:szCs w:val="20"/>
              </w:rPr>
              <w:t>1,906,116,860</w:t>
            </w:r>
          </w:p>
        </w:tc>
        <w:tc>
          <w:tcPr>
            <w:tcW w:w="1843" w:type="dxa"/>
            <w:tcBorders>
              <w:top w:val="nil"/>
              <w:left w:val="single" w:sz="8" w:space="0" w:color="000000"/>
              <w:bottom w:val="single" w:sz="8" w:space="0" w:color="000000"/>
              <w:right w:val="nil"/>
            </w:tcBorders>
            <w:shd w:val="clear" w:color="auto" w:fill="auto"/>
            <w:hideMark/>
          </w:tcPr>
          <w:p>
            <w:pPr>
              <w:jc w:val="center"/>
              <w:rPr>
                <w:noProof/>
                <w:color w:val="000000"/>
                <w:sz w:val="20"/>
                <w:szCs w:val="20"/>
              </w:rPr>
            </w:pPr>
            <w:r>
              <w:rPr>
                <w:noProof/>
                <w:sz w:val="20"/>
                <w:szCs w:val="20"/>
              </w:rPr>
              <w:t>3.668</w:t>
            </w:r>
          </w:p>
        </w:tc>
        <w:tc>
          <w:tcPr>
            <w:tcW w:w="1984" w:type="dxa"/>
            <w:tcBorders>
              <w:top w:val="nil"/>
              <w:left w:val="single" w:sz="8" w:space="0" w:color="000000"/>
              <w:bottom w:val="single" w:sz="8" w:space="0" w:color="000000"/>
              <w:right w:val="single" w:sz="8" w:space="0" w:color="000000"/>
            </w:tcBorders>
            <w:shd w:val="clear" w:color="auto" w:fill="auto"/>
            <w:hideMark/>
          </w:tcPr>
          <w:p>
            <w:pPr>
              <w:jc w:val="center"/>
              <w:rPr>
                <w:rFonts w:cs="Arial"/>
                <w:bCs/>
                <w:noProof/>
                <w:color w:val="000000"/>
                <w:sz w:val="20"/>
                <w:szCs w:val="20"/>
              </w:rPr>
            </w:pPr>
            <w:r>
              <w:rPr>
                <w:noProof/>
                <w:sz w:val="20"/>
                <w:szCs w:val="20"/>
              </w:rPr>
              <w:t>+/- 704,382</w:t>
            </w:r>
          </w:p>
        </w:tc>
      </w:tr>
      <w:tr>
        <w:trPr>
          <w:trHeight w:val="495"/>
        </w:trPr>
        <w:tc>
          <w:tcPr>
            <w:tcW w:w="2441" w:type="dxa"/>
            <w:tcBorders>
              <w:top w:val="nil"/>
              <w:left w:val="single" w:sz="8" w:space="0" w:color="000000"/>
              <w:bottom w:val="single" w:sz="8" w:space="0" w:color="000000"/>
              <w:right w:val="nil"/>
            </w:tcBorders>
            <w:shd w:val="clear" w:color="auto" w:fill="auto"/>
            <w:vAlign w:val="center"/>
            <w:hideMark/>
          </w:tcPr>
          <w:p>
            <w:pPr>
              <w:jc w:val="center"/>
              <w:rPr>
                <w:bCs/>
                <w:noProof/>
                <w:color w:val="000000"/>
                <w:sz w:val="20"/>
                <w:szCs w:val="20"/>
              </w:rPr>
            </w:pPr>
            <w:r>
              <w:rPr>
                <w:bCs/>
                <w:noProof/>
                <w:color w:val="000000"/>
                <w:sz w:val="20"/>
                <w:szCs w:val="20"/>
              </w:rPr>
              <w:t>Money Market Instruments</w:t>
            </w:r>
          </w:p>
        </w:tc>
        <w:tc>
          <w:tcPr>
            <w:tcW w:w="2819" w:type="dxa"/>
            <w:tcBorders>
              <w:top w:val="nil"/>
              <w:left w:val="single" w:sz="8" w:space="0" w:color="000000"/>
              <w:bottom w:val="single" w:sz="8" w:space="0" w:color="000000"/>
              <w:right w:val="nil"/>
            </w:tcBorders>
            <w:shd w:val="clear" w:color="auto" w:fill="auto"/>
            <w:hideMark/>
          </w:tcPr>
          <w:p>
            <w:pPr>
              <w:jc w:val="center"/>
              <w:rPr>
                <w:noProof/>
                <w:color w:val="000000"/>
                <w:sz w:val="20"/>
                <w:szCs w:val="20"/>
              </w:rPr>
            </w:pPr>
            <w:r>
              <w:rPr>
                <w:noProof/>
                <w:sz w:val="20"/>
                <w:szCs w:val="20"/>
              </w:rPr>
              <w:t>198,611,645</w:t>
            </w:r>
          </w:p>
        </w:tc>
        <w:tc>
          <w:tcPr>
            <w:tcW w:w="1843" w:type="dxa"/>
            <w:tcBorders>
              <w:top w:val="nil"/>
              <w:left w:val="single" w:sz="8" w:space="0" w:color="000000"/>
              <w:bottom w:val="single" w:sz="8" w:space="0" w:color="000000"/>
              <w:right w:val="nil"/>
            </w:tcBorders>
            <w:shd w:val="clear" w:color="auto" w:fill="auto"/>
            <w:hideMark/>
          </w:tcPr>
          <w:p>
            <w:pPr>
              <w:jc w:val="center"/>
              <w:rPr>
                <w:noProof/>
                <w:color w:val="000000"/>
                <w:sz w:val="20"/>
                <w:szCs w:val="20"/>
              </w:rPr>
            </w:pPr>
            <w:r>
              <w:rPr>
                <w:noProof/>
                <w:sz w:val="20"/>
                <w:szCs w:val="20"/>
              </w:rPr>
              <w:t>0.073</w:t>
            </w:r>
          </w:p>
        </w:tc>
        <w:tc>
          <w:tcPr>
            <w:tcW w:w="1984" w:type="dxa"/>
            <w:tcBorders>
              <w:top w:val="nil"/>
              <w:left w:val="single" w:sz="8" w:space="0" w:color="000000"/>
              <w:bottom w:val="single" w:sz="8" w:space="0" w:color="000000"/>
              <w:right w:val="single" w:sz="8" w:space="0" w:color="000000"/>
            </w:tcBorders>
            <w:shd w:val="clear" w:color="auto" w:fill="auto"/>
            <w:hideMark/>
          </w:tcPr>
          <w:p>
            <w:pPr>
              <w:jc w:val="center"/>
              <w:rPr>
                <w:rFonts w:cs="Arial"/>
                <w:bCs/>
                <w:noProof/>
                <w:color w:val="000000"/>
                <w:sz w:val="20"/>
                <w:szCs w:val="20"/>
              </w:rPr>
            </w:pPr>
            <w:r>
              <w:rPr>
                <w:noProof/>
                <w:sz w:val="20"/>
                <w:szCs w:val="20"/>
              </w:rPr>
              <w:t>+/- 1,438</w:t>
            </w:r>
          </w:p>
        </w:tc>
      </w:tr>
      <w:tr>
        <w:trPr>
          <w:trHeight w:val="315"/>
        </w:trPr>
        <w:tc>
          <w:tcPr>
            <w:tcW w:w="2441" w:type="dxa"/>
            <w:tcBorders>
              <w:top w:val="nil"/>
              <w:left w:val="single" w:sz="8" w:space="0" w:color="000000"/>
              <w:bottom w:val="single" w:sz="8" w:space="0" w:color="000000"/>
              <w:right w:val="nil"/>
            </w:tcBorders>
            <w:shd w:val="clear" w:color="auto" w:fill="auto"/>
            <w:vAlign w:val="center"/>
            <w:hideMark/>
          </w:tcPr>
          <w:p>
            <w:pPr>
              <w:jc w:val="center"/>
              <w:rPr>
                <w:bCs/>
                <w:noProof/>
                <w:color w:val="000000"/>
                <w:sz w:val="20"/>
                <w:szCs w:val="20"/>
              </w:rPr>
            </w:pPr>
            <w:r>
              <w:rPr>
                <w:bCs/>
                <w:noProof/>
                <w:color w:val="000000"/>
                <w:sz w:val="20"/>
                <w:szCs w:val="20"/>
              </w:rPr>
              <w:t>Cash account</w:t>
            </w:r>
          </w:p>
        </w:tc>
        <w:tc>
          <w:tcPr>
            <w:tcW w:w="2819" w:type="dxa"/>
            <w:tcBorders>
              <w:top w:val="nil"/>
              <w:left w:val="single" w:sz="8" w:space="0" w:color="000000"/>
              <w:bottom w:val="single" w:sz="8" w:space="0" w:color="000000"/>
              <w:right w:val="nil"/>
            </w:tcBorders>
            <w:shd w:val="clear" w:color="auto" w:fill="auto"/>
            <w:hideMark/>
          </w:tcPr>
          <w:p>
            <w:pPr>
              <w:jc w:val="center"/>
              <w:rPr>
                <w:noProof/>
                <w:color w:val="000000"/>
                <w:sz w:val="20"/>
                <w:szCs w:val="20"/>
                <w:u w:val="single"/>
              </w:rPr>
            </w:pPr>
            <w:r>
              <w:rPr>
                <w:noProof/>
                <w:sz w:val="20"/>
                <w:szCs w:val="20"/>
              </w:rPr>
              <w:t>45,569,131</w:t>
            </w:r>
          </w:p>
        </w:tc>
        <w:tc>
          <w:tcPr>
            <w:tcW w:w="1843" w:type="dxa"/>
            <w:tcBorders>
              <w:top w:val="nil"/>
              <w:left w:val="single" w:sz="8" w:space="0" w:color="000000"/>
              <w:bottom w:val="single" w:sz="8" w:space="0" w:color="000000"/>
              <w:right w:val="nil"/>
            </w:tcBorders>
            <w:shd w:val="clear" w:color="auto" w:fill="auto"/>
            <w:hideMark/>
          </w:tcPr>
          <w:p>
            <w:pPr>
              <w:jc w:val="center"/>
              <w:rPr>
                <w:noProof/>
                <w:color w:val="000000"/>
                <w:sz w:val="20"/>
                <w:szCs w:val="20"/>
              </w:rPr>
            </w:pPr>
          </w:p>
        </w:tc>
        <w:tc>
          <w:tcPr>
            <w:tcW w:w="1984" w:type="dxa"/>
            <w:tcBorders>
              <w:top w:val="nil"/>
              <w:left w:val="single" w:sz="8" w:space="0" w:color="000000"/>
              <w:bottom w:val="single" w:sz="8" w:space="0" w:color="000000"/>
              <w:right w:val="single" w:sz="8" w:space="0" w:color="000000"/>
            </w:tcBorders>
            <w:shd w:val="clear" w:color="auto" w:fill="auto"/>
            <w:hideMark/>
          </w:tcPr>
          <w:p>
            <w:pPr>
              <w:jc w:val="center"/>
              <w:rPr>
                <w:rFonts w:cs="Arial"/>
                <w:bCs/>
                <w:noProof/>
                <w:color w:val="000000"/>
                <w:sz w:val="20"/>
                <w:szCs w:val="20"/>
              </w:rPr>
            </w:pPr>
          </w:p>
        </w:tc>
      </w:tr>
      <w:tr>
        <w:trPr>
          <w:trHeight w:val="315"/>
        </w:trPr>
        <w:tc>
          <w:tcPr>
            <w:tcW w:w="2441" w:type="dxa"/>
            <w:tcBorders>
              <w:top w:val="single" w:sz="8" w:space="0" w:color="000000"/>
              <w:left w:val="single" w:sz="8" w:space="0" w:color="000000"/>
              <w:bottom w:val="single" w:sz="8" w:space="0" w:color="000000"/>
              <w:right w:val="nil"/>
            </w:tcBorders>
            <w:shd w:val="clear" w:color="000000" w:fill="auto"/>
            <w:vAlign w:val="center"/>
            <w:hideMark/>
          </w:tcPr>
          <w:p>
            <w:pPr>
              <w:jc w:val="center"/>
              <w:rPr>
                <w:rFonts w:cs="Arial"/>
                <w:b/>
                <w:bCs/>
                <w:noProof/>
                <w:color w:val="000000"/>
                <w:sz w:val="22"/>
                <w:szCs w:val="22"/>
              </w:rPr>
            </w:pPr>
          </w:p>
          <w:p>
            <w:pPr>
              <w:jc w:val="center"/>
              <w:rPr>
                <w:rFonts w:cs="Arial"/>
                <w:b/>
                <w:bCs/>
                <w:noProof/>
                <w:color w:val="000000"/>
                <w:sz w:val="22"/>
                <w:szCs w:val="22"/>
              </w:rPr>
            </w:pPr>
            <w:r>
              <w:rPr>
                <w:rFonts w:cs="Arial"/>
                <w:b/>
                <w:bCs/>
                <w:noProof/>
                <w:color w:val="000000"/>
                <w:sz w:val="22"/>
                <w:szCs w:val="22"/>
              </w:rPr>
              <w:t>Total GF</w:t>
            </w:r>
          </w:p>
          <w:p>
            <w:pPr>
              <w:jc w:val="center"/>
              <w:rPr>
                <w:b/>
                <w:bCs/>
                <w:noProof/>
                <w:color w:val="000000"/>
                <w:sz w:val="22"/>
                <w:szCs w:val="22"/>
              </w:rPr>
            </w:pPr>
          </w:p>
        </w:tc>
        <w:tc>
          <w:tcPr>
            <w:tcW w:w="2819" w:type="dxa"/>
            <w:tcBorders>
              <w:top w:val="single" w:sz="8" w:space="0" w:color="000000"/>
              <w:left w:val="single" w:sz="8" w:space="0" w:color="000000"/>
              <w:bottom w:val="single" w:sz="8" w:space="0" w:color="000000"/>
              <w:right w:val="nil"/>
            </w:tcBorders>
            <w:shd w:val="clear" w:color="000000" w:fill="auto"/>
            <w:hideMark/>
          </w:tcPr>
          <w:p>
            <w:pPr>
              <w:jc w:val="center"/>
              <w:rPr>
                <w:b/>
                <w:noProof/>
                <w:sz w:val="20"/>
                <w:szCs w:val="20"/>
              </w:rPr>
            </w:pPr>
          </w:p>
          <w:p>
            <w:pPr>
              <w:jc w:val="center"/>
              <w:rPr>
                <w:b/>
                <w:noProof/>
                <w:sz w:val="20"/>
                <w:szCs w:val="20"/>
              </w:rPr>
            </w:pPr>
            <w:r>
              <w:rPr>
                <w:b/>
                <w:noProof/>
                <w:sz w:val="20"/>
                <w:szCs w:val="20"/>
              </w:rPr>
              <w:t>2,408,648,611</w:t>
            </w:r>
          </w:p>
        </w:tc>
        <w:tc>
          <w:tcPr>
            <w:tcW w:w="1843" w:type="dxa"/>
            <w:tcBorders>
              <w:top w:val="single" w:sz="8" w:space="0" w:color="000000"/>
              <w:left w:val="single" w:sz="8" w:space="0" w:color="000000"/>
              <w:bottom w:val="single" w:sz="8" w:space="0" w:color="000000"/>
              <w:right w:val="nil"/>
            </w:tcBorders>
            <w:shd w:val="clear" w:color="000000" w:fill="auto"/>
            <w:hideMark/>
          </w:tcPr>
          <w:p>
            <w:pPr>
              <w:jc w:val="center"/>
              <w:rPr>
                <w:b/>
                <w:noProof/>
                <w:sz w:val="20"/>
                <w:szCs w:val="20"/>
              </w:rPr>
            </w:pPr>
          </w:p>
          <w:p>
            <w:pPr>
              <w:jc w:val="center"/>
              <w:rPr>
                <w:b/>
                <w:noProof/>
                <w:color w:val="000000"/>
                <w:sz w:val="20"/>
                <w:szCs w:val="20"/>
              </w:rPr>
            </w:pPr>
            <w:r>
              <w:rPr>
                <w:b/>
                <w:noProof/>
                <w:sz w:val="20"/>
                <w:szCs w:val="20"/>
              </w:rPr>
              <w:t>2.930</w:t>
            </w:r>
          </w:p>
        </w:tc>
        <w:tc>
          <w:tcPr>
            <w:tcW w:w="1984" w:type="dxa"/>
            <w:tcBorders>
              <w:top w:val="single" w:sz="8" w:space="0" w:color="000000"/>
              <w:left w:val="single" w:sz="8" w:space="0" w:color="000000"/>
              <w:bottom w:val="single" w:sz="8" w:space="0" w:color="000000"/>
              <w:right w:val="single" w:sz="8" w:space="0" w:color="000000"/>
            </w:tcBorders>
            <w:shd w:val="clear" w:color="000000" w:fill="auto"/>
            <w:hideMark/>
          </w:tcPr>
          <w:p>
            <w:pPr>
              <w:jc w:val="center"/>
              <w:rPr>
                <w:b/>
                <w:noProof/>
                <w:sz w:val="20"/>
                <w:szCs w:val="20"/>
              </w:rPr>
            </w:pPr>
          </w:p>
          <w:p>
            <w:pPr>
              <w:jc w:val="center"/>
              <w:rPr>
                <w:rFonts w:cs="Arial"/>
                <w:b/>
                <w:bCs/>
                <w:noProof/>
                <w:color w:val="000000"/>
                <w:sz w:val="20"/>
                <w:szCs w:val="20"/>
              </w:rPr>
            </w:pPr>
            <w:r>
              <w:rPr>
                <w:b/>
                <w:noProof/>
                <w:sz w:val="20"/>
                <w:szCs w:val="20"/>
              </w:rPr>
              <w:t>+/- 710,141</w:t>
            </w:r>
          </w:p>
        </w:tc>
      </w:tr>
      <w:tr>
        <w:trPr>
          <w:trHeight w:val="630"/>
        </w:trPr>
        <w:tc>
          <w:tcPr>
            <w:tcW w:w="2441" w:type="dxa"/>
            <w:tcBorders>
              <w:top w:val="single" w:sz="8" w:space="0" w:color="000000"/>
              <w:left w:val="single" w:sz="8" w:space="0" w:color="000000"/>
              <w:bottom w:val="single" w:sz="8" w:space="0" w:color="000000"/>
              <w:right w:val="single" w:sz="8" w:space="0" w:color="000000"/>
            </w:tcBorders>
            <w:shd w:val="clear" w:color="000000" w:fill="auto"/>
            <w:vAlign w:val="center"/>
            <w:hideMark/>
          </w:tcPr>
          <w:p>
            <w:pPr>
              <w:jc w:val="center"/>
              <w:rPr>
                <w:b/>
                <w:bCs/>
                <w:noProof/>
                <w:color w:val="000000"/>
                <w:sz w:val="20"/>
                <w:szCs w:val="20"/>
              </w:rPr>
            </w:pPr>
            <w:bookmarkStart w:id="56" w:name="RANGE!B3:H21"/>
            <w:bookmarkStart w:id="57" w:name="Interest_rate_risk_positions_2007"/>
            <w:bookmarkEnd w:id="56"/>
            <w:bookmarkEnd w:id="57"/>
            <w:r>
              <w:rPr>
                <w:rFonts w:cs="Arial"/>
                <w:b/>
                <w:bCs/>
                <w:noProof/>
                <w:color w:val="000000"/>
                <w:sz w:val="20"/>
                <w:szCs w:val="20"/>
              </w:rPr>
              <w:t>GF Sub- Portfolios</w:t>
            </w:r>
          </w:p>
        </w:tc>
        <w:tc>
          <w:tcPr>
            <w:tcW w:w="2819" w:type="dxa"/>
            <w:tcBorders>
              <w:top w:val="single" w:sz="8" w:space="0" w:color="000000"/>
              <w:left w:val="nil"/>
              <w:bottom w:val="single" w:sz="8" w:space="0" w:color="000000"/>
              <w:right w:val="single" w:sz="8" w:space="0" w:color="000000"/>
            </w:tcBorders>
            <w:shd w:val="clear" w:color="000000" w:fill="auto"/>
            <w:vAlign w:val="center"/>
            <w:hideMark/>
          </w:tcPr>
          <w:p>
            <w:pPr>
              <w:jc w:val="center"/>
              <w:rPr>
                <w:b/>
                <w:bCs/>
                <w:noProof/>
                <w:color w:val="000000"/>
                <w:sz w:val="20"/>
                <w:szCs w:val="20"/>
              </w:rPr>
            </w:pPr>
            <w:r>
              <w:rPr>
                <w:rFonts w:cs="Arial"/>
                <w:b/>
                <w:bCs/>
                <w:noProof/>
                <w:color w:val="000000"/>
                <w:sz w:val="20"/>
                <w:szCs w:val="20"/>
              </w:rPr>
              <w:t>Market Value (excluding accrued interest)</w:t>
            </w:r>
          </w:p>
        </w:tc>
        <w:tc>
          <w:tcPr>
            <w:tcW w:w="1843" w:type="dxa"/>
            <w:tcBorders>
              <w:top w:val="single" w:sz="8" w:space="0" w:color="000000"/>
              <w:left w:val="nil"/>
              <w:bottom w:val="single" w:sz="8" w:space="0" w:color="000000"/>
              <w:right w:val="single" w:sz="8" w:space="0" w:color="000000"/>
            </w:tcBorders>
            <w:shd w:val="clear" w:color="000000" w:fill="auto"/>
            <w:vAlign w:val="center"/>
            <w:hideMark/>
          </w:tcPr>
          <w:p>
            <w:pPr>
              <w:jc w:val="center"/>
              <w:rPr>
                <w:b/>
                <w:bCs/>
                <w:noProof/>
                <w:color w:val="000000"/>
                <w:sz w:val="20"/>
                <w:szCs w:val="20"/>
              </w:rPr>
            </w:pPr>
            <w:r>
              <w:rPr>
                <w:rFonts w:cs="Arial"/>
                <w:b/>
                <w:bCs/>
                <w:noProof/>
                <w:color w:val="000000"/>
                <w:sz w:val="20"/>
                <w:szCs w:val="20"/>
              </w:rPr>
              <w:t>Modified Duration (Years)</w:t>
            </w:r>
          </w:p>
        </w:tc>
        <w:tc>
          <w:tcPr>
            <w:tcW w:w="1984" w:type="dxa"/>
            <w:tcBorders>
              <w:top w:val="single" w:sz="8" w:space="0" w:color="000000"/>
              <w:left w:val="nil"/>
              <w:bottom w:val="single" w:sz="8" w:space="0" w:color="000000"/>
              <w:right w:val="single" w:sz="8" w:space="0" w:color="000000"/>
            </w:tcBorders>
            <w:shd w:val="clear" w:color="000000" w:fill="auto"/>
            <w:vAlign w:val="center"/>
            <w:hideMark/>
          </w:tcPr>
          <w:p>
            <w:pPr>
              <w:jc w:val="center"/>
              <w:rPr>
                <w:rFonts w:cs="Arial"/>
                <w:b/>
                <w:bCs/>
                <w:noProof/>
                <w:color w:val="000000"/>
                <w:sz w:val="20"/>
                <w:szCs w:val="20"/>
              </w:rPr>
            </w:pPr>
            <w:r>
              <w:rPr>
                <w:rFonts w:cs="Arial"/>
                <w:b/>
                <w:bCs/>
                <w:noProof/>
                <w:color w:val="000000"/>
                <w:sz w:val="20"/>
                <w:szCs w:val="20"/>
              </w:rPr>
              <w:t>Interest Rate Exposure (+/-1bp)</w:t>
            </w:r>
          </w:p>
        </w:tc>
      </w:tr>
      <w:tr>
        <w:trPr>
          <w:trHeight w:val="495"/>
        </w:trPr>
        <w:tc>
          <w:tcPr>
            <w:tcW w:w="2441" w:type="dxa"/>
            <w:tcBorders>
              <w:top w:val="single" w:sz="8" w:space="0" w:color="000000"/>
              <w:left w:val="single" w:sz="8" w:space="0" w:color="000000"/>
              <w:bottom w:val="single" w:sz="8" w:space="0" w:color="000000"/>
              <w:right w:val="nil"/>
            </w:tcBorders>
            <w:shd w:val="clear" w:color="auto" w:fill="auto"/>
            <w:vAlign w:val="center"/>
            <w:hideMark/>
          </w:tcPr>
          <w:p>
            <w:pPr>
              <w:jc w:val="center"/>
              <w:rPr>
                <w:bCs/>
                <w:noProof/>
                <w:color w:val="000000"/>
                <w:sz w:val="20"/>
                <w:szCs w:val="20"/>
              </w:rPr>
            </w:pPr>
            <w:r>
              <w:rPr>
                <w:rFonts w:cs="Arial"/>
                <w:bCs/>
                <w:noProof/>
                <w:color w:val="000000"/>
                <w:sz w:val="20"/>
                <w:szCs w:val="20"/>
              </w:rPr>
              <w:t>Floating Rate Notes</w:t>
            </w:r>
          </w:p>
        </w:tc>
        <w:tc>
          <w:tcPr>
            <w:tcW w:w="2819" w:type="dxa"/>
            <w:tcBorders>
              <w:top w:val="single" w:sz="8" w:space="0" w:color="000000"/>
              <w:left w:val="single" w:sz="8" w:space="0" w:color="000000"/>
              <w:bottom w:val="single" w:sz="8" w:space="0" w:color="000000"/>
              <w:right w:val="nil"/>
            </w:tcBorders>
            <w:shd w:val="clear" w:color="auto" w:fill="auto"/>
            <w:hideMark/>
          </w:tcPr>
          <w:p>
            <w:pPr>
              <w:jc w:val="center"/>
              <w:rPr>
                <w:noProof/>
                <w:sz w:val="20"/>
                <w:szCs w:val="20"/>
              </w:rPr>
            </w:pPr>
            <w:r>
              <w:rPr>
                <w:noProof/>
                <w:sz w:val="20"/>
                <w:szCs w:val="20"/>
              </w:rPr>
              <w:t>258,350,975</w:t>
            </w:r>
          </w:p>
        </w:tc>
        <w:tc>
          <w:tcPr>
            <w:tcW w:w="1843" w:type="dxa"/>
            <w:tcBorders>
              <w:top w:val="single" w:sz="8" w:space="0" w:color="000000"/>
              <w:left w:val="single" w:sz="8" w:space="0" w:color="000000"/>
              <w:bottom w:val="single" w:sz="8" w:space="0" w:color="000000"/>
              <w:right w:val="nil"/>
            </w:tcBorders>
            <w:shd w:val="clear" w:color="auto" w:fill="auto"/>
            <w:hideMark/>
          </w:tcPr>
          <w:p>
            <w:pPr>
              <w:jc w:val="center"/>
              <w:rPr>
                <w:noProof/>
                <w:sz w:val="20"/>
                <w:szCs w:val="20"/>
              </w:rPr>
            </w:pPr>
            <w:r>
              <w:rPr>
                <w:noProof/>
                <w:sz w:val="20"/>
                <w:szCs w:val="20"/>
              </w:rPr>
              <w:t>0.167</w:t>
            </w:r>
          </w:p>
        </w:tc>
        <w:tc>
          <w:tcPr>
            <w:tcW w:w="1984" w:type="dxa"/>
            <w:tcBorders>
              <w:top w:val="single" w:sz="8" w:space="0" w:color="000000"/>
              <w:left w:val="single" w:sz="8" w:space="0" w:color="000000"/>
              <w:bottom w:val="single" w:sz="8" w:space="0" w:color="000000"/>
              <w:right w:val="single" w:sz="8" w:space="0" w:color="000000"/>
            </w:tcBorders>
            <w:shd w:val="clear" w:color="auto" w:fill="auto"/>
            <w:hideMark/>
          </w:tcPr>
          <w:p>
            <w:pPr>
              <w:jc w:val="center"/>
              <w:rPr>
                <w:noProof/>
                <w:sz w:val="20"/>
                <w:szCs w:val="20"/>
              </w:rPr>
            </w:pPr>
            <w:r>
              <w:rPr>
                <w:noProof/>
                <w:sz w:val="20"/>
                <w:szCs w:val="20"/>
              </w:rPr>
              <w:t>+/- 4,321</w:t>
            </w:r>
          </w:p>
        </w:tc>
      </w:tr>
      <w:tr>
        <w:trPr>
          <w:trHeight w:val="315"/>
        </w:trPr>
        <w:tc>
          <w:tcPr>
            <w:tcW w:w="2441" w:type="dxa"/>
            <w:tcBorders>
              <w:top w:val="nil"/>
              <w:left w:val="single" w:sz="8" w:space="0" w:color="000000"/>
              <w:bottom w:val="single" w:sz="8" w:space="0" w:color="000000"/>
              <w:right w:val="nil"/>
            </w:tcBorders>
            <w:shd w:val="clear" w:color="auto" w:fill="auto"/>
            <w:vAlign w:val="center"/>
            <w:hideMark/>
          </w:tcPr>
          <w:p>
            <w:pPr>
              <w:jc w:val="center"/>
              <w:rPr>
                <w:bCs/>
                <w:noProof/>
                <w:color w:val="000000"/>
                <w:sz w:val="20"/>
                <w:szCs w:val="20"/>
              </w:rPr>
            </w:pPr>
            <w:r>
              <w:rPr>
                <w:bCs/>
                <w:noProof/>
                <w:color w:val="000000"/>
                <w:sz w:val="20"/>
                <w:szCs w:val="20"/>
              </w:rPr>
              <w:t>Fixed Rate Bonds</w:t>
            </w:r>
          </w:p>
        </w:tc>
        <w:tc>
          <w:tcPr>
            <w:tcW w:w="2819" w:type="dxa"/>
            <w:tcBorders>
              <w:top w:val="nil"/>
              <w:left w:val="single" w:sz="8" w:space="0" w:color="000000"/>
              <w:bottom w:val="single" w:sz="8" w:space="0" w:color="000000"/>
              <w:right w:val="nil"/>
            </w:tcBorders>
            <w:shd w:val="clear" w:color="auto" w:fill="auto"/>
            <w:hideMark/>
          </w:tcPr>
          <w:p>
            <w:pPr>
              <w:jc w:val="center"/>
              <w:rPr>
                <w:noProof/>
                <w:color w:val="000000"/>
                <w:sz w:val="20"/>
                <w:szCs w:val="20"/>
              </w:rPr>
            </w:pPr>
            <w:r>
              <w:rPr>
                <w:noProof/>
                <w:sz w:val="20"/>
                <w:szCs w:val="20"/>
              </w:rPr>
              <w:t>1,906,116,860</w:t>
            </w:r>
          </w:p>
        </w:tc>
        <w:tc>
          <w:tcPr>
            <w:tcW w:w="1843" w:type="dxa"/>
            <w:tcBorders>
              <w:top w:val="nil"/>
              <w:left w:val="single" w:sz="8" w:space="0" w:color="000000"/>
              <w:bottom w:val="single" w:sz="8" w:space="0" w:color="000000"/>
              <w:right w:val="nil"/>
            </w:tcBorders>
            <w:shd w:val="clear" w:color="auto" w:fill="auto"/>
            <w:hideMark/>
          </w:tcPr>
          <w:p>
            <w:pPr>
              <w:jc w:val="center"/>
              <w:rPr>
                <w:noProof/>
                <w:color w:val="000000"/>
                <w:sz w:val="20"/>
                <w:szCs w:val="20"/>
              </w:rPr>
            </w:pPr>
            <w:r>
              <w:rPr>
                <w:noProof/>
                <w:sz w:val="20"/>
                <w:szCs w:val="20"/>
              </w:rPr>
              <w:t>3.668</w:t>
            </w:r>
          </w:p>
        </w:tc>
        <w:tc>
          <w:tcPr>
            <w:tcW w:w="1984" w:type="dxa"/>
            <w:tcBorders>
              <w:top w:val="nil"/>
              <w:left w:val="single" w:sz="8" w:space="0" w:color="000000"/>
              <w:bottom w:val="single" w:sz="8" w:space="0" w:color="000000"/>
              <w:right w:val="single" w:sz="8" w:space="0" w:color="000000"/>
            </w:tcBorders>
            <w:shd w:val="clear" w:color="auto" w:fill="auto"/>
            <w:hideMark/>
          </w:tcPr>
          <w:p>
            <w:pPr>
              <w:jc w:val="center"/>
              <w:rPr>
                <w:rFonts w:cs="Arial"/>
                <w:bCs/>
                <w:noProof/>
                <w:color w:val="000000"/>
                <w:sz w:val="20"/>
                <w:szCs w:val="20"/>
              </w:rPr>
            </w:pPr>
            <w:r>
              <w:rPr>
                <w:noProof/>
                <w:sz w:val="20"/>
                <w:szCs w:val="20"/>
              </w:rPr>
              <w:t>+/- 704,382</w:t>
            </w:r>
          </w:p>
        </w:tc>
      </w:tr>
      <w:tr>
        <w:trPr>
          <w:trHeight w:val="495"/>
        </w:trPr>
        <w:tc>
          <w:tcPr>
            <w:tcW w:w="2441" w:type="dxa"/>
            <w:tcBorders>
              <w:top w:val="nil"/>
              <w:left w:val="single" w:sz="8" w:space="0" w:color="000000"/>
              <w:bottom w:val="single" w:sz="8" w:space="0" w:color="000000"/>
              <w:right w:val="nil"/>
            </w:tcBorders>
            <w:shd w:val="clear" w:color="auto" w:fill="auto"/>
            <w:vAlign w:val="center"/>
            <w:hideMark/>
          </w:tcPr>
          <w:p>
            <w:pPr>
              <w:jc w:val="center"/>
              <w:rPr>
                <w:bCs/>
                <w:noProof/>
                <w:color w:val="000000"/>
                <w:sz w:val="20"/>
                <w:szCs w:val="20"/>
              </w:rPr>
            </w:pPr>
            <w:r>
              <w:rPr>
                <w:bCs/>
                <w:noProof/>
                <w:color w:val="000000"/>
                <w:sz w:val="20"/>
                <w:szCs w:val="20"/>
              </w:rPr>
              <w:t>Money Market Instruments</w:t>
            </w:r>
          </w:p>
        </w:tc>
        <w:tc>
          <w:tcPr>
            <w:tcW w:w="2819" w:type="dxa"/>
            <w:tcBorders>
              <w:top w:val="nil"/>
              <w:left w:val="single" w:sz="8" w:space="0" w:color="000000"/>
              <w:bottom w:val="single" w:sz="8" w:space="0" w:color="000000"/>
              <w:right w:val="nil"/>
            </w:tcBorders>
            <w:shd w:val="clear" w:color="auto" w:fill="auto"/>
            <w:hideMark/>
          </w:tcPr>
          <w:p>
            <w:pPr>
              <w:jc w:val="center"/>
              <w:rPr>
                <w:noProof/>
                <w:color w:val="000000"/>
                <w:sz w:val="20"/>
                <w:szCs w:val="20"/>
              </w:rPr>
            </w:pPr>
            <w:r>
              <w:rPr>
                <w:noProof/>
                <w:sz w:val="20"/>
                <w:szCs w:val="20"/>
              </w:rPr>
              <w:t>198,611,645</w:t>
            </w:r>
          </w:p>
        </w:tc>
        <w:tc>
          <w:tcPr>
            <w:tcW w:w="1843" w:type="dxa"/>
            <w:tcBorders>
              <w:top w:val="nil"/>
              <w:left w:val="single" w:sz="8" w:space="0" w:color="000000"/>
              <w:bottom w:val="single" w:sz="8" w:space="0" w:color="000000"/>
              <w:right w:val="nil"/>
            </w:tcBorders>
            <w:shd w:val="clear" w:color="auto" w:fill="auto"/>
            <w:hideMark/>
          </w:tcPr>
          <w:p>
            <w:pPr>
              <w:jc w:val="center"/>
              <w:rPr>
                <w:noProof/>
                <w:color w:val="000000"/>
                <w:sz w:val="20"/>
                <w:szCs w:val="20"/>
              </w:rPr>
            </w:pPr>
            <w:r>
              <w:rPr>
                <w:noProof/>
                <w:sz w:val="20"/>
                <w:szCs w:val="20"/>
              </w:rPr>
              <w:t>0.073</w:t>
            </w:r>
          </w:p>
        </w:tc>
        <w:tc>
          <w:tcPr>
            <w:tcW w:w="1984" w:type="dxa"/>
            <w:tcBorders>
              <w:top w:val="nil"/>
              <w:left w:val="single" w:sz="8" w:space="0" w:color="000000"/>
              <w:bottom w:val="single" w:sz="8" w:space="0" w:color="000000"/>
              <w:right w:val="single" w:sz="8" w:space="0" w:color="000000"/>
            </w:tcBorders>
            <w:shd w:val="clear" w:color="auto" w:fill="auto"/>
            <w:hideMark/>
          </w:tcPr>
          <w:p>
            <w:pPr>
              <w:jc w:val="center"/>
              <w:rPr>
                <w:rFonts w:cs="Arial"/>
                <w:bCs/>
                <w:noProof/>
                <w:color w:val="000000"/>
                <w:sz w:val="20"/>
                <w:szCs w:val="20"/>
              </w:rPr>
            </w:pPr>
            <w:r>
              <w:rPr>
                <w:noProof/>
                <w:sz w:val="20"/>
                <w:szCs w:val="20"/>
              </w:rPr>
              <w:t>+/- 1,438</w:t>
            </w:r>
          </w:p>
        </w:tc>
      </w:tr>
      <w:tr>
        <w:trPr>
          <w:trHeight w:val="315"/>
        </w:trPr>
        <w:tc>
          <w:tcPr>
            <w:tcW w:w="2441" w:type="dxa"/>
            <w:tcBorders>
              <w:top w:val="nil"/>
              <w:left w:val="single" w:sz="8" w:space="0" w:color="000000"/>
              <w:bottom w:val="single" w:sz="8" w:space="0" w:color="000000"/>
              <w:right w:val="nil"/>
            </w:tcBorders>
            <w:shd w:val="clear" w:color="auto" w:fill="auto"/>
            <w:vAlign w:val="center"/>
            <w:hideMark/>
          </w:tcPr>
          <w:p>
            <w:pPr>
              <w:jc w:val="center"/>
              <w:rPr>
                <w:bCs/>
                <w:noProof/>
                <w:color w:val="000000"/>
                <w:sz w:val="20"/>
                <w:szCs w:val="20"/>
              </w:rPr>
            </w:pPr>
            <w:r>
              <w:rPr>
                <w:bCs/>
                <w:noProof/>
                <w:color w:val="000000"/>
                <w:sz w:val="20"/>
                <w:szCs w:val="20"/>
              </w:rPr>
              <w:t>Cash account</w:t>
            </w:r>
          </w:p>
        </w:tc>
        <w:tc>
          <w:tcPr>
            <w:tcW w:w="2819" w:type="dxa"/>
            <w:tcBorders>
              <w:top w:val="nil"/>
              <w:left w:val="single" w:sz="8" w:space="0" w:color="000000"/>
              <w:bottom w:val="single" w:sz="8" w:space="0" w:color="000000"/>
              <w:right w:val="nil"/>
            </w:tcBorders>
            <w:shd w:val="clear" w:color="auto" w:fill="auto"/>
            <w:hideMark/>
          </w:tcPr>
          <w:p>
            <w:pPr>
              <w:jc w:val="center"/>
              <w:rPr>
                <w:noProof/>
                <w:color w:val="000000"/>
                <w:sz w:val="20"/>
                <w:szCs w:val="20"/>
                <w:u w:val="single"/>
              </w:rPr>
            </w:pPr>
            <w:r>
              <w:rPr>
                <w:noProof/>
                <w:sz w:val="20"/>
                <w:szCs w:val="20"/>
              </w:rPr>
              <w:t>45,569,131</w:t>
            </w:r>
          </w:p>
        </w:tc>
        <w:tc>
          <w:tcPr>
            <w:tcW w:w="1843" w:type="dxa"/>
            <w:tcBorders>
              <w:top w:val="nil"/>
              <w:left w:val="single" w:sz="8" w:space="0" w:color="000000"/>
              <w:bottom w:val="single" w:sz="8" w:space="0" w:color="000000"/>
              <w:right w:val="nil"/>
            </w:tcBorders>
            <w:shd w:val="clear" w:color="auto" w:fill="auto"/>
            <w:hideMark/>
          </w:tcPr>
          <w:p>
            <w:pPr>
              <w:jc w:val="center"/>
              <w:rPr>
                <w:noProof/>
                <w:color w:val="000000"/>
                <w:sz w:val="20"/>
                <w:szCs w:val="20"/>
              </w:rPr>
            </w:pPr>
          </w:p>
        </w:tc>
        <w:tc>
          <w:tcPr>
            <w:tcW w:w="1984" w:type="dxa"/>
            <w:tcBorders>
              <w:top w:val="nil"/>
              <w:left w:val="single" w:sz="8" w:space="0" w:color="000000"/>
              <w:bottom w:val="single" w:sz="8" w:space="0" w:color="000000"/>
              <w:right w:val="single" w:sz="8" w:space="0" w:color="000000"/>
            </w:tcBorders>
            <w:shd w:val="clear" w:color="auto" w:fill="auto"/>
            <w:hideMark/>
          </w:tcPr>
          <w:p>
            <w:pPr>
              <w:jc w:val="center"/>
              <w:rPr>
                <w:rFonts w:cs="Arial"/>
                <w:bCs/>
                <w:noProof/>
                <w:color w:val="000000"/>
                <w:sz w:val="20"/>
                <w:szCs w:val="20"/>
              </w:rPr>
            </w:pPr>
          </w:p>
        </w:tc>
      </w:tr>
      <w:tr>
        <w:trPr>
          <w:trHeight w:val="315"/>
        </w:trPr>
        <w:tc>
          <w:tcPr>
            <w:tcW w:w="2441" w:type="dxa"/>
            <w:tcBorders>
              <w:top w:val="single" w:sz="8" w:space="0" w:color="000000"/>
              <w:left w:val="single" w:sz="8" w:space="0" w:color="000000"/>
              <w:bottom w:val="single" w:sz="8" w:space="0" w:color="000000"/>
              <w:right w:val="nil"/>
            </w:tcBorders>
            <w:shd w:val="clear" w:color="000000" w:fill="auto"/>
            <w:vAlign w:val="center"/>
            <w:hideMark/>
          </w:tcPr>
          <w:p>
            <w:pPr>
              <w:jc w:val="center"/>
              <w:rPr>
                <w:rFonts w:cs="Arial"/>
                <w:b/>
                <w:bCs/>
                <w:noProof/>
                <w:color w:val="000000"/>
                <w:sz w:val="22"/>
                <w:szCs w:val="22"/>
              </w:rPr>
            </w:pPr>
          </w:p>
          <w:p>
            <w:pPr>
              <w:jc w:val="center"/>
              <w:rPr>
                <w:rFonts w:cs="Arial"/>
                <w:b/>
                <w:bCs/>
                <w:noProof/>
                <w:color w:val="000000"/>
                <w:sz w:val="22"/>
                <w:szCs w:val="22"/>
              </w:rPr>
            </w:pPr>
            <w:r>
              <w:rPr>
                <w:rFonts w:cs="Arial"/>
                <w:b/>
                <w:bCs/>
                <w:noProof/>
                <w:color w:val="000000"/>
                <w:sz w:val="22"/>
                <w:szCs w:val="22"/>
              </w:rPr>
              <w:t>Total GF</w:t>
            </w:r>
          </w:p>
          <w:p>
            <w:pPr>
              <w:jc w:val="center"/>
              <w:rPr>
                <w:b/>
                <w:bCs/>
                <w:noProof/>
                <w:color w:val="000000"/>
                <w:sz w:val="22"/>
                <w:szCs w:val="22"/>
              </w:rPr>
            </w:pPr>
          </w:p>
        </w:tc>
        <w:tc>
          <w:tcPr>
            <w:tcW w:w="2819" w:type="dxa"/>
            <w:tcBorders>
              <w:top w:val="single" w:sz="8" w:space="0" w:color="000000"/>
              <w:left w:val="single" w:sz="8" w:space="0" w:color="000000"/>
              <w:bottom w:val="single" w:sz="8" w:space="0" w:color="000000"/>
              <w:right w:val="nil"/>
            </w:tcBorders>
            <w:shd w:val="clear" w:color="000000" w:fill="auto"/>
            <w:hideMark/>
          </w:tcPr>
          <w:p>
            <w:pPr>
              <w:jc w:val="center"/>
              <w:rPr>
                <w:b/>
                <w:noProof/>
                <w:sz w:val="20"/>
                <w:szCs w:val="20"/>
              </w:rPr>
            </w:pPr>
          </w:p>
          <w:p>
            <w:pPr>
              <w:jc w:val="center"/>
              <w:rPr>
                <w:b/>
                <w:noProof/>
                <w:sz w:val="20"/>
                <w:szCs w:val="20"/>
              </w:rPr>
            </w:pPr>
            <w:r>
              <w:rPr>
                <w:b/>
                <w:noProof/>
                <w:sz w:val="20"/>
                <w:szCs w:val="20"/>
              </w:rPr>
              <w:t>2,408,648,611</w:t>
            </w:r>
          </w:p>
          <w:p>
            <w:pPr>
              <w:jc w:val="center"/>
              <w:rPr>
                <w:b/>
                <w:noProof/>
                <w:sz w:val="20"/>
                <w:szCs w:val="20"/>
              </w:rPr>
            </w:pPr>
          </w:p>
        </w:tc>
        <w:tc>
          <w:tcPr>
            <w:tcW w:w="1843" w:type="dxa"/>
            <w:tcBorders>
              <w:top w:val="single" w:sz="8" w:space="0" w:color="000000"/>
              <w:left w:val="single" w:sz="8" w:space="0" w:color="000000"/>
              <w:bottom w:val="single" w:sz="8" w:space="0" w:color="000000"/>
              <w:right w:val="nil"/>
            </w:tcBorders>
            <w:shd w:val="clear" w:color="000000" w:fill="auto"/>
            <w:hideMark/>
          </w:tcPr>
          <w:p>
            <w:pPr>
              <w:jc w:val="center"/>
              <w:rPr>
                <w:b/>
                <w:noProof/>
                <w:sz w:val="20"/>
                <w:szCs w:val="20"/>
              </w:rPr>
            </w:pPr>
          </w:p>
          <w:p>
            <w:pPr>
              <w:jc w:val="center"/>
              <w:rPr>
                <w:b/>
                <w:noProof/>
                <w:sz w:val="20"/>
                <w:szCs w:val="20"/>
              </w:rPr>
            </w:pPr>
            <w:r>
              <w:rPr>
                <w:b/>
                <w:noProof/>
                <w:sz w:val="20"/>
                <w:szCs w:val="20"/>
              </w:rPr>
              <w:t>2.930</w:t>
            </w:r>
          </w:p>
          <w:p>
            <w:pPr>
              <w:jc w:val="center"/>
              <w:rPr>
                <w:b/>
                <w:noProof/>
                <w:color w:val="000000"/>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000000" w:fill="auto"/>
            <w:hideMark/>
          </w:tcPr>
          <w:p>
            <w:pPr>
              <w:jc w:val="center"/>
              <w:rPr>
                <w:b/>
                <w:noProof/>
                <w:sz w:val="20"/>
                <w:szCs w:val="20"/>
              </w:rPr>
            </w:pPr>
          </w:p>
          <w:p>
            <w:pPr>
              <w:jc w:val="center"/>
              <w:rPr>
                <w:rFonts w:cs="Arial"/>
                <w:b/>
                <w:bCs/>
                <w:noProof/>
                <w:color w:val="000000"/>
                <w:sz w:val="20"/>
                <w:szCs w:val="20"/>
              </w:rPr>
            </w:pPr>
            <w:r>
              <w:rPr>
                <w:b/>
                <w:noProof/>
                <w:sz w:val="20"/>
                <w:szCs w:val="20"/>
              </w:rPr>
              <w:t>+/- 710,141</w:t>
            </w:r>
          </w:p>
        </w:tc>
      </w:tr>
    </w:tbl>
    <w:p>
      <w:pPr>
        <w:pStyle w:val="ManualHeading3"/>
        <w:rPr>
          <w:bCs/>
          <w:noProof/>
        </w:rPr>
      </w:pPr>
      <w:r>
        <w:rPr>
          <w:noProof/>
        </w:rPr>
        <w:br w:type="page"/>
      </w:r>
      <w:r>
        <w:rPr>
          <w:noProof/>
        </w:rPr>
        <w:tab/>
      </w:r>
    </w:p>
    <w:p>
      <w:pPr>
        <w:pStyle w:val="ManualHeading1"/>
        <w:rPr>
          <w:noProof/>
        </w:rPr>
      </w:pPr>
      <w:bookmarkStart w:id="58" w:name="_Toc478663482"/>
      <w:r>
        <w:rPr>
          <w:noProof/>
        </w:rPr>
        <w:t>3.</w:t>
      </w:r>
      <w:r>
        <w:rPr>
          <w:noProof/>
        </w:rPr>
        <w:tab/>
        <w:t xml:space="preserve">Guarantee Fund Financial Statements as at 31 December </w:t>
      </w:r>
      <w:bookmarkEnd w:id="58"/>
      <w:r>
        <w:rPr>
          <w:noProof/>
        </w:rPr>
        <w:t>2017</w:t>
      </w:r>
    </w:p>
    <w:p>
      <w:pPr>
        <w:rPr>
          <w:b/>
          <w:noProof/>
          <w:szCs w:val="22"/>
          <w:u w:val="single"/>
        </w:rPr>
      </w:pPr>
      <w:bookmarkStart w:id="59" w:name="_Toc448929176"/>
      <w:bookmarkEnd w:id="59"/>
    </w:p>
    <w:p>
      <w:pPr>
        <w:rPr>
          <w:noProof/>
          <w:sz w:val="20"/>
        </w:rPr>
      </w:pPr>
    </w:p>
    <w:p>
      <w:pPr>
        <w:rPr>
          <w:noProof/>
          <w:sz w:val="20"/>
        </w:rPr>
      </w:pPr>
    </w:p>
    <w:p>
      <w:pPr>
        <w:rPr>
          <w:noProof/>
          <w:sz w:val="20"/>
        </w:rPr>
      </w:pPr>
    </w:p>
    <w:p>
      <w:pPr>
        <w:rPr>
          <w:noProof/>
          <w:sz w:val="20"/>
        </w:rPr>
      </w:pPr>
    </w:p>
    <w:p>
      <w:pPr>
        <w:jc w:val="center"/>
        <w:rPr>
          <w:noProof/>
          <w:spacing w:val="80"/>
          <w:sz w:val="20"/>
        </w:rPr>
      </w:pPr>
    </w:p>
    <w:p>
      <w:pPr>
        <w:jc w:val="center"/>
        <w:rPr>
          <w:noProof/>
          <w:spacing w:val="80"/>
          <w:sz w:val="20"/>
        </w:rPr>
      </w:pPr>
    </w:p>
    <w:p>
      <w:pPr>
        <w:spacing w:before="240" w:after="120"/>
        <w:jc w:val="center"/>
        <w:rPr>
          <w:b/>
          <w:noProof/>
          <w:szCs w:val="22"/>
        </w:rPr>
      </w:pPr>
      <w:r>
        <w:rPr>
          <w:b/>
          <w:noProof/>
          <w:szCs w:val="22"/>
        </w:rPr>
        <w:t>GUARANTEE FUND</w:t>
      </w:r>
    </w:p>
    <w:p>
      <w:pPr>
        <w:spacing w:before="240" w:after="120"/>
        <w:jc w:val="center"/>
        <w:rPr>
          <w:b/>
          <w:noProof/>
          <w:szCs w:val="22"/>
        </w:rPr>
      </w:pPr>
      <w:r>
        <w:rPr>
          <w:b/>
          <w:noProof/>
          <w:szCs w:val="22"/>
        </w:rPr>
        <w:t>FINANCIAL STATEMENTS</w:t>
      </w:r>
    </w:p>
    <w:p>
      <w:pPr>
        <w:spacing w:before="240" w:after="120"/>
        <w:jc w:val="center"/>
        <w:rPr>
          <w:b/>
          <w:noProof/>
          <w:szCs w:val="22"/>
        </w:rPr>
      </w:pPr>
      <w:r>
        <w:rPr>
          <w:b/>
          <w:noProof/>
          <w:szCs w:val="22"/>
        </w:rPr>
        <w:t>AS AT 31 DECEMBER 2017</w:t>
      </w:r>
    </w:p>
    <w:p>
      <w:pPr>
        <w:rPr>
          <w:noProof/>
          <w:szCs w:val="22"/>
        </w:rPr>
      </w:pPr>
    </w:p>
    <w:p>
      <w:pPr>
        <w:jc w:val="center"/>
        <w:rPr>
          <w:noProof/>
          <w:szCs w:val="22"/>
        </w:rPr>
      </w:pPr>
      <w:r>
        <w:rPr>
          <w:noProof/>
          <w:szCs w:val="22"/>
          <w:u w:val="single"/>
        </w:rPr>
        <w:t>                                                                                </w:t>
      </w:r>
    </w:p>
    <w:p>
      <w:pPr>
        <w:rPr>
          <w:noProof/>
          <w:szCs w:val="22"/>
        </w:rPr>
      </w:pPr>
    </w:p>
    <w:p>
      <w:pPr>
        <w:rPr>
          <w:noProof/>
          <w:szCs w:val="22"/>
        </w:rPr>
      </w:pPr>
    </w:p>
    <w:p>
      <w:pPr>
        <w:ind w:left="2880"/>
        <w:rPr>
          <w:bCs/>
          <w:noProof/>
          <w:szCs w:val="22"/>
        </w:rPr>
      </w:pPr>
    </w:p>
    <w:p>
      <w:pPr>
        <w:numPr>
          <w:ilvl w:val="0"/>
          <w:numId w:val="30"/>
        </w:numPr>
        <w:tabs>
          <w:tab w:val="num" w:pos="3060"/>
        </w:tabs>
        <w:spacing w:before="120" w:after="120" w:line="240" w:lineRule="atLeast"/>
        <w:rPr>
          <w:bCs/>
          <w:noProof/>
          <w:szCs w:val="22"/>
        </w:rPr>
      </w:pPr>
      <w:r>
        <w:rPr>
          <w:bCs/>
          <w:noProof/>
          <w:szCs w:val="22"/>
        </w:rPr>
        <w:t>Balance sheet</w:t>
      </w:r>
    </w:p>
    <w:p>
      <w:pPr>
        <w:numPr>
          <w:ilvl w:val="0"/>
          <w:numId w:val="30"/>
        </w:numPr>
        <w:tabs>
          <w:tab w:val="num" w:pos="3060"/>
        </w:tabs>
        <w:spacing w:before="120" w:after="120" w:line="240" w:lineRule="atLeast"/>
        <w:rPr>
          <w:bCs/>
          <w:noProof/>
          <w:szCs w:val="22"/>
        </w:rPr>
      </w:pPr>
      <w:r>
        <w:rPr>
          <w:bCs/>
          <w:noProof/>
          <w:szCs w:val="22"/>
        </w:rPr>
        <w:t>Statement of financial performance</w:t>
      </w:r>
    </w:p>
    <w:p>
      <w:pPr>
        <w:numPr>
          <w:ilvl w:val="0"/>
          <w:numId w:val="30"/>
        </w:numPr>
        <w:tabs>
          <w:tab w:val="num" w:pos="3060"/>
        </w:tabs>
        <w:spacing w:before="120" w:after="120" w:line="240" w:lineRule="atLeast"/>
        <w:rPr>
          <w:bCs/>
          <w:noProof/>
          <w:szCs w:val="22"/>
        </w:rPr>
      </w:pPr>
      <w:r>
        <w:rPr>
          <w:bCs/>
          <w:noProof/>
          <w:szCs w:val="22"/>
        </w:rPr>
        <w:t>Statement of changes in net assets</w:t>
      </w:r>
    </w:p>
    <w:p>
      <w:pPr>
        <w:numPr>
          <w:ilvl w:val="0"/>
          <w:numId w:val="30"/>
        </w:numPr>
        <w:tabs>
          <w:tab w:val="num" w:pos="3060"/>
        </w:tabs>
        <w:spacing w:before="120" w:after="120" w:line="240" w:lineRule="atLeast"/>
        <w:rPr>
          <w:bCs/>
          <w:noProof/>
          <w:szCs w:val="22"/>
        </w:rPr>
      </w:pPr>
      <w:r>
        <w:rPr>
          <w:bCs/>
          <w:noProof/>
          <w:szCs w:val="22"/>
        </w:rPr>
        <w:t>Cash flow statement</w:t>
      </w:r>
    </w:p>
    <w:p>
      <w:pPr>
        <w:numPr>
          <w:ilvl w:val="0"/>
          <w:numId w:val="30"/>
        </w:numPr>
        <w:tabs>
          <w:tab w:val="num" w:pos="3060"/>
        </w:tabs>
        <w:spacing w:before="120" w:after="120" w:line="240" w:lineRule="atLeast"/>
        <w:rPr>
          <w:bCs/>
          <w:noProof/>
          <w:szCs w:val="22"/>
        </w:rPr>
      </w:pPr>
      <w:r>
        <w:rPr>
          <w:bCs/>
          <w:noProof/>
          <w:szCs w:val="22"/>
        </w:rPr>
        <w:t>Notes to the financial statements</w:t>
      </w:r>
    </w:p>
    <w:p>
      <w:pPr>
        <w:tabs>
          <w:tab w:val="num" w:pos="2127"/>
        </w:tabs>
        <w:ind w:left="2127"/>
        <w:rPr>
          <w:bCs/>
          <w:noProof/>
          <w:szCs w:val="22"/>
        </w:rPr>
      </w:pPr>
    </w:p>
    <w:p>
      <w:pPr>
        <w:tabs>
          <w:tab w:val="num" w:pos="2127"/>
        </w:tabs>
        <w:ind w:left="2127"/>
        <w:rPr>
          <w:bCs/>
          <w:noProof/>
          <w:szCs w:val="22"/>
        </w:rPr>
      </w:pPr>
    </w:p>
    <w:p>
      <w:pPr>
        <w:tabs>
          <w:tab w:val="num" w:pos="2127"/>
        </w:tabs>
        <w:ind w:left="2127"/>
        <w:rPr>
          <w:bCs/>
          <w:noProof/>
          <w:szCs w:val="22"/>
        </w:rPr>
      </w:pPr>
    </w:p>
    <w:p>
      <w:pPr>
        <w:tabs>
          <w:tab w:val="num" w:pos="2127"/>
        </w:tabs>
        <w:ind w:left="2127"/>
        <w:rPr>
          <w:bCs/>
          <w:noProof/>
          <w:szCs w:val="22"/>
        </w:rPr>
      </w:pPr>
    </w:p>
    <w:p>
      <w:pPr>
        <w:tabs>
          <w:tab w:val="num" w:pos="2127"/>
        </w:tabs>
        <w:ind w:left="2127"/>
        <w:rPr>
          <w:bCs/>
          <w:noProof/>
          <w:szCs w:val="22"/>
        </w:rPr>
      </w:pPr>
    </w:p>
    <w:p>
      <w:pPr>
        <w:tabs>
          <w:tab w:val="num" w:pos="2127"/>
        </w:tabs>
        <w:ind w:left="2127"/>
        <w:rPr>
          <w:bCs/>
          <w:noProof/>
          <w:szCs w:val="22"/>
        </w:rPr>
      </w:pPr>
    </w:p>
    <w:p>
      <w:pPr>
        <w:tabs>
          <w:tab w:val="num" w:pos="2127"/>
        </w:tabs>
        <w:ind w:left="2127"/>
        <w:rPr>
          <w:bCs/>
          <w:noProof/>
          <w:szCs w:val="22"/>
        </w:rPr>
      </w:pPr>
    </w:p>
    <w:p>
      <w:pPr>
        <w:tabs>
          <w:tab w:val="num" w:pos="2127"/>
        </w:tabs>
        <w:ind w:left="2127"/>
        <w:rPr>
          <w:bCs/>
          <w:noProof/>
          <w:szCs w:val="22"/>
        </w:rPr>
      </w:pPr>
    </w:p>
    <w:p>
      <w:pPr>
        <w:tabs>
          <w:tab w:val="num" w:pos="2127"/>
        </w:tabs>
        <w:ind w:left="2127"/>
        <w:rPr>
          <w:bCs/>
          <w:noProof/>
          <w:szCs w:val="22"/>
        </w:rPr>
      </w:pPr>
    </w:p>
    <w:p>
      <w:pPr>
        <w:tabs>
          <w:tab w:val="num" w:pos="2127"/>
        </w:tabs>
        <w:rPr>
          <w:bCs/>
          <w:noProof/>
          <w:szCs w:val="22"/>
        </w:rPr>
      </w:pPr>
    </w:p>
    <w:p>
      <w:pPr>
        <w:tabs>
          <w:tab w:val="num" w:pos="2127"/>
        </w:tabs>
        <w:ind w:left="2127"/>
        <w:rPr>
          <w:bCs/>
          <w:noProof/>
          <w:szCs w:val="22"/>
        </w:rPr>
      </w:pPr>
    </w:p>
    <w:p>
      <w:pPr>
        <w:tabs>
          <w:tab w:val="num" w:pos="2127"/>
        </w:tabs>
        <w:rPr>
          <w:bCs/>
          <w:noProof/>
          <w:szCs w:val="22"/>
        </w:rPr>
      </w:pPr>
    </w:p>
    <w:p>
      <w:pPr>
        <w:tabs>
          <w:tab w:val="num" w:pos="2127"/>
        </w:tabs>
        <w:rPr>
          <w:bCs/>
          <w:noProof/>
          <w:szCs w:val="22"/>
        </w:rPr>
      </w:pPr>
    </w:p>
    <w:p>
      <w:pPr>
        <w:tabs>
          <w:tab w:val="num" w:pos="2127"/>
        </w:tabs>
        <w:ind w:left="2127"/>
        <w:rPr>
          <w:bCs/>
          <w:noProof/>
          <w:szCs w:val="22"/>
        </w:rPr>
      </w:pPr>
    </w:p>
    <w:p>
      <w:pPr>
        <w:pageBreakBefore/>
        <w:pBdr>
          <w:top w:val="nil"/>
          <w:left w:val="nil"/>
          <w:bottom w:val="nil"/>
          <w:right w:val="nil"/>
          <w:between w:val="nil"/>
          <w:bar w:val="nil"/>
        </w:pBdr>
        <w:spacing w:after="120"/>
        <w:jc w:val="center"/>
        <w:rPr>
          <w:b/>
          <w:bCs/>
          <w:noProof/>
          <w:szCs w:val="22"/>
          <w:bdr w:val="nil"/>
        </w:rPr>
      </w:pPr>
      <w:r>
        <w:rPr>
          <w:b/>
          <w:bCs/>
          <w:noProof/>
          <w:szCs w:val="22"/>
          <w:bdr w:val="nil"/>
        </w:rPr>
        <w:t xml:space="preserve">Balance sheet </w:t>
      </w:r>
    </w:p>
    <w:p>
      <w:pPr>
        <w:pBdr>
          <w:top w:val="nil"/>
          <w:left w:val="nil"/>
          <w:bottom w:val="nil"/>
          <w:right w:val="nil"/>
          <w:between w:val="nil"/>
          <w:bar w:val="nil"/>
        </w:pBdr>
        <w:jc w:val="center"/>
        <w:rPr>
          <w:bCs/>
          <w:noProof/>
          <w:szCs w:val="22"/>
          <w:bdr w:val="nil"/>
        </w:rPr>
      </w:pPr>
      <w:r>
        <w:rPr>
          <w:bCs/>
          <w:noProof/>
          <w:szCs w:val="22"/>
          <w:bdr w:val="nil"/>
        </w:rPr>
        <w:t>as at 31 December 2017</w:t>
      </w:r>
    </w:p>
    <w:p>
      <w:pPr>
        <w:pBdr>
          <w:top w:val="nil"/>
          <w:left w:val="nil"/>
          <w:bottom w:val="nil"/>
          <w:right w:val="nil"/>
          <w:between w:val="nil"/>
          <w:bar w:val="nil"/>
        </w:pBdr>
        <w:spacing w:after="120"/>
        <w:jc w:val="center"/>
        <w:rPr>
          <w:bCs/>
          <w:noProof/>
          <w:szCs w:val="22"/>
          <w:bdr w:val="nil"/>
        </w:rPr>
      </w:pPr>
      <w:r>
        <w:rPr>
          <w:bCs/>
          <w:noProof/>
          <w:szCs w:val="22"/>
          <w:bdr w:val="nil"/>
        </w:rPr>
        <w:t>(in EUR)</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75"/>
        <w:gridCol w:w="900"/>
        <w:gridCol w:w="1800"/>
        <w:gridCol w:w="1800"/>
      </w:tblGrid>
      <w:tr>
        <w:trPr>
          <w:trHeight w:val="24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ASSETS</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b/>
                <w:noProof/>
                <w:color w:val="000000"/>
                <w:sz w:val="18"/>
              </w:rPr>
            </w:pPr>
            <w:r>
              <w:rPr>
                <w:b/>
                <w:noProof/>
                <w:color w:val="000000"/>
                <w:sz w:val="18"/>
              </w:rPr>
              <w:t>Notes</w:t>
            </w: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18"/>
              </w:rPr>
            </w:pPr>
            <w:r>
              <w:rPr>
                <w:b/>
                <w:noProof/>
                <w:color w:val="000000"/>
                <w:sz w:val="18"/>
              </w:rPr>
              <w:t>31.12.2017</w:t>
            </w: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18"/>
              </w:rPr>
            </w:pPr>
            <w:r>
              <w:rPr>
                <w:b/>
                <w:noProof/>
                <w:color w:val="000000"/>
                <w:sz w:val="18"/>
              </w:rPr>
              <w:t>31.12.2016</w:t>
            </w:r>
          </w:p>
        </w:tc>
      </w:tr>
      <w:tr>
        <w:trPr>
          <w:trHeight w:hRule="exact" w:val="27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NON-CURRENT ASSETS</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r>
      <w:tr>
        <w:trPr>
          <w:trHeight w:val="27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Available for Sale portfolio</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r>
              <w:rPr>
                <w:noProof/>
                <w:color w:val="000000"/>
                <w:sz w:val="18"/>
              </w:rPr>
              <w:t>5</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r>
      <w:tr>
        <w:trPr>
          <w:trHeight w:val="270"/>
        </w:trPr>
        <w:tc>
          <w:tcPr>
            <w:tcW w:w="5475"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18"/>
              </w:rPr>
            </w:pPr>
            <w:r>
              <w:rPr>
                <w:noProof/>
                <w:color w:val="000000"/>
                <w:sz w:val="18"/>
              </w:rPr>
              <w:t>Bond portfolio – cost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2,082,107,277.55</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1,925,695,346.90</w:t>
            </w:r>
          </w:p>
        </w:tc>
      </w:tr>
      <w:tr>
        <w:trPr>
          <w:trHeight w:val="270"/>
        </w:trPr>
        <w:tc>
          <w:tcPr>
            <w:tcW w:w="5475"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18"/>
              </w:rPr>
            </w:pPr>
            <w:r>
              <w:rPr>
                <w:noProof/>
                <w:color w:val="000000"/>
                <w:sz w:val="18"/>
              </w:rPr>
              <w:t>Bond portfolio – actuarial difference</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-26,519,432.19</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-14,941,415.17</w:t>
            </w:r>
          </w:p>
        </w:tc>
      </w:tr>
      <w:tr>
        <w:trPr>
          <w:trHeight w:val="270"/>
        </w:trPr>
        <w:tc>
          <w:tcPr>
            <w:tcW w:w="5475"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18"/>
              </w:rPr>
            </w:pPr>
            <w:r>
              <w:rPr>
                <w:noProof/>
                <w:color w:val="000000"/>
                <w:sz w:val="18"/>
              </w:rPr>
              <w:t>Bond portfolio – adjustment to fair value</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22,382,639.48</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35,210,126.78</w:t>
            </w:r>
          </w:p>
        </w:tc>
      </w:tr>
      <w:tr>
        <w:trPr>
          <w:trHeight w:val="270"/>
        </w:trPr>
        <w:tc>
          <w:tcPr>
            <w:tcW w:w="54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18"/>
                <w:lang w:val="fr-BE"/>
              </w:rPr>
            </w:pPr>
            <w:r>
              <w:rPr>
                <w:b/>
                <w:noProof/>
                <w:color w:val="000000"/>
                <w:sz w:val="18"/>
                <w:lang w:val="fr-BE"/>
              </w:rPr>
              <w:t>Total Available for Sale Portfolio</w:t>
            </w:r>
          </w:p>
        </w:tc>
        <w:tc>
          <w:tcPr>
            <w:tcW w:w="9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center"/>
              <w:rPr>
                <w:noProof/>
                <w:color w:val="000000"/>
                <w:sz w:val="18"/>
                <w:lang w:val="fr-BE"/>
              </w:rPr>
            </w:pPr>
          </w:p>
        </w:tc>
        <w:tc>
          <w:tcPr>
            <w:tcW w:w="1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2,077,970,484.84</w:t>
            </w:r>
          </w:p>
        </w:tc>
        <w:tc>
          <w:tcPr>
            <w:tcW w:w="1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1,945,964,058.51</w:t>
            </w:r>
          </w:p>
        </w:tc>
      </w:tr>
      <w:tr>
        <w:trPr>
          <w:trHeight w:val="270"/>
        </w:trPr>
        <w:tc>
          <w:tcPr>
            <w:tcW w:w="54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TOTAL NON-CURRENT ASSETS</w:t>
            </w:r>
          </w:p>
        </w:tc>
        <w:tc>
          <w:tcPr>
            <w:tcW w:w="9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jc w:val="center"/>
              <w:rPr>
                <w:noProof/>
                <w:color w:val="000000"/>
                <w:sz w:val="18"/>
              </w:rPr>
            </w:pP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2,077,970,484.84</w:t>
            </w: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1,945,964,058.51</w:t>
            </w:r>
          </w:p>
        </w:tc>
      </w:tr>
      <w:tr>
        <w:trPr>
          <w:trHeight w:val="270"/>
        </w:trPr>
        <w:tc>
          <w:tcPr>
            <w:tcW w:w="54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CURRENT ASSETS</w:t>
            </w:r>
          </w:p>
        </w:tc>
        <w:tc>
          <w:tcPr>
            <w:tcW w:w="90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b/>
                <w:noProof/>
                <w:color w:val="000000"/>
                <w:sz w:val="18"/>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b/>
                <w:noProof/>
                <w:color w:val="000000"/>
                <w:sz w:val="18"/>
              </w:rPr>
            </w:pPr>
          </w:p>
        </w:tc>
      </w:tr>
      <w:tr>
        <w:trPr>
          <w:trHeight w:val="27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Available for Sale portfolio</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r>
              <w:rPr>
                <w:noProof/>
                <w:color w:val="000000"/>
                <w:sz w:val="18"/>
              </w:rPr>
              <w:t>5</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r>
      <w:tr>
        <w:trPr>
          <w:trHeight w:val="270"/>
        </w:trPr>
        <w:tc>
          <w:tcPr>
            <w:tcW w:w="5475"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18"/>
              </w:rPr>
            </w:pPr>
            <w:r>
              <w:rPr>
                <w:noProof/>
                <w:color w:val="000000"/>
                <w:sz w:val="18"/>
              </w:rPr>
              <w:t>Bond portfolio – cost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106,392,110.10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107,179,405.97</w:t>
            </w:r>
          </w:p>
        </w:tc>
      </w:tr>
      <w:tr>
        <w:trPr>
          <w:trHeight w:val="270"/>
        </w:trPr>
        <w:tc>
          <w:tcPr>
            <w:tcW w:w="5475"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18"/>
              </w:rPr>
            </w:pPr>
            <w:r>
              <w:rPr>
                <w:noProof/>
                <w:color w:val="000000"/>
                <w:sz w:val="18"/>
              </w:rPr>
              <w:t>Bond portfolio – actuarial difference</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-201,075.31</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-166,591.12</w:t>
            </w:r>
          </w:p>
        </w:tc>
      </w:tr>
      <w:tr>
        <w:trPr>
          <w:trHeight w:val="270"/>
        </w:trPr>
        <w:tc>
          <w:tcPr>
            <w:tcW w:w="5475"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18"/>
              </w:rPr>
            </w:pPr>
            <w:r>
              <w:rPr>
                <w:noProof/>
                <w:color w:val="000000"/>
                <w:sz w:val="18"/>
              </w:rPr>
              <w:t>Bond portfolio – adjustment to fair value</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317,415.21</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283,519.70</w:t>
            </w:r>
          </w:p>
        </w:tc>
      </w:tr>
      <w:tr>
        <w:trPr>
          <w:trHeight w:val="270"/>
        </w:trPr>
        <w:tc>
          <w:tcPr>
            <w:tcW w:w="5475"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18"/>
              </w:rPr>
            </w:pPr>
            <w:r>
              <w:rPr>
                <w:noProof/>
                <w:color w:val="000000"/>
                <w:sz w:val="18"/>
              </w:rPr>
              <w:t>Bond portfolio – accrued interest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14,263,342.00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15,390,711.64</w:t>
            </w:r>
          </w:p>
        </w:tc>
      </w:tr>
      <w:tr>
        <w:trPr>
          <w:trHeight w:val="27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lang w:val="fr-BE"/>
              </w:rPr>
            </w:pPr>
            <w:r>
              <w:rPr>
                <w:b/>
                <w:noProof/>
                <w:color w:val="000000"/>
                <w:sz w:val="18"/>
                <w:lang w:val="fr-BE"/>
              </w:rPr>
              <w:t>Total Available for Sale portfolio</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lang w:val="fr-BE"/>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120,771,792.00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122,687,046.19</w:t>
            </w:r>
          </w:p>
        </w:tc>
      </w:tr>
      <w:tr>
        <w:trPr>
          <w:trHeight w:val="27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Short-term receivables</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b/>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b/>
                <w:noProof/>
                <w:color w:val="000000"/>
                <w:sz w:val="18"/>
              </w:rPr>
            </w:pPr>
          </w:p>
        </w:tc>
      </w:tr>
      <w:tr>
        <w:trPr>
          <w:trHeight w:val="270"/>
        </w:trPr>
        <w:tc>
          <w:tcPr>
            <w:tcW w:w="5475"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18"/>
              </w:rPr>
            </w:pPr>
            <w:r>
              <w:rPr>
                <w:noProof/>
                <w:color w:val="000000"/>
                <w:sz w:val="18"/>
              </w:rPr>
              <w:t>Contributions receivable</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r>
              <w:rPr>
                <w:noProof/>
                <w:color w:val="000000"/>
                <w:sz w:val="18"/>
              </w:rPr>
              <w:t>7</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137,800,722.00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240,540,250.00</w:t>
            </w:r>
          </w:p>
        </w:tc>
      </w:tr>
      <w:tr>
        <w:trPr>
          <w:trHeight w:val="270"/>
        </w:trPr>
        <w:tc>
          <w:tcPr>
            <w:tcW w:w="5475"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18"/>
              </w:rPr>
            </w:pPr>
            <w:r>
              <w:rPr>
                <w:noProof/>
                <w:color w:val="000000"/>
                <w:sz w:val="18"/>
              </w:rPr>
              <w:t>Guarantee recoveries receivable</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r>
              <w:rPr>
                <w:noProof/>
                <w:color w:val="000000"/>
                <w:sz w:val="18"/>
              </w:rPr>
              <w:t>7</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136,092.88</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0.00</w:t>
            </w:r>
          </w:p>
        </w:tc>
      </w:tr>
      <w:tr>
        <w:trPr>
          <w:trHeight w:val="27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Total short-term receivables</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137,936,814.88</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240,540,250.00</w:t>
            </w:r>
          </w:p>
        </w:tc>
      </w:tr>
      <w:tr>
        <w:trPr>
          <w:trHeight w:val="270"/>
        </w:trPr>
        <w:tc>
          <w:tcPr>
            <w:tcW w:w="5475" w:type="dxa"/>
            <w:tcBorders>
              <w:top w:val="nil"/>
              <w:left w:val="nil"/>
              <w:bottom w:val="nil"/>
              <w:right w:val="nil"/>
              <w:tl2br w:val="nil"/>
              <w:tr2bl w:val="nil"/>
            </w:tcBorders>
            <w:shd w:val="clear" w:color="auto" w:fill="auto"/>
            <w:tcMar>
              <w:left w:w="40" w:type="dxa"/>
              <w:right w:w="40" w:type="dxa"/>
            </w:tcMar>
            <w:vAlign w:val="center"/>
          </w:tcPr>
          <w:p>
            <w:pPr>
              <w:rPr>
                <w:b/>
                <w:noProof/>
                <w:color w:val="000000"/>
                <w:sz w:val="18"/>
              </w:rPr>
            </w:pPr>
            <w:r>
              <w:rPr>
                <w:b/>
                <w:noProof/>
                <w:color w:val="000000"/>
                <w:sz w:val="18"/>
              </w:rPr>
              <w:t>Cash and cash equivalents</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r>
              <w:rPr>
                <w:noProof/>
                <w:color w:val="000000"/>
                <w:sz w:val="18"/>
              </w:rPr>
              <w:t>6</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r>
      <w:tr>
        <w:trPr>
          <w:trHeight w:val="270"/>
        </w:trPr>
        <w:tc>
          <w:tcPr>
            <w:tcW w:w="5475"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18"/>
              </w:rPr>
            </w:pPr>
            <w:r>
              <w:rPr>
                <w:noProof/>
                <w:color w:val="000000"/>
                <w:sz w:val="18"/>
              </w:rPr>
              <w:t>Current accounts</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45,569,131.18</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45,431,503.50</w:t>
            </w:r>
          </w:p>
        </w:tc>
      </w:tr>
      <w:tr>
        <w:trPr>
          <w:trHeight w:val="270"/>
        </w:trPr>
        <w:tc>
          <w:tcPr>
            <w:tcW w:w="5475"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18"/>
              </w:rPr>
            </w:pPr>
            <w:r>
              <w:rPr>
                <w:noProof/>
                <w:color w:val="000000"/>
                <w:sz w:val="18"/>
              </w:rPr>
              <w:t xml:space="preserve">Short-term deposits – nominal </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178,600,000.00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151,500,000.00</w:t>
            </w:r>
          </w:p>
        </w:tc>
      </w:tr>
      <w:tr>
        <w:trPr>
          <w:trHeight w:val="270"/>
        </w:trPr>
        <w:tc>
          <w:tcPr>
            <w:tcW w:w="5475"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18"/>
              </w:rPr>
            </w:pPr>
            <w:r>
              <w:rPr>
                <w:noProof/>
                <w:color w:val="000000"/>
                <w:sz w:val="18"/>
              </w:rPr>
              <w:t>Short-term deposits - accrued interest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-86,378.27</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-69,805.06</w:t>
            </w:r>
          </w:p>
        </w:tc>
      </w:tr>
      <w:tr>
        <w:trPr>
          <w:trHeight w:val="270"/>
        </w:trPr>
        <w:tc>
          <w:tcPr>
            <w:tcW w:w="54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Total cash and cash equivalents</w:t>
            </w:r>
          </w:p>
        </w:tc>
        <w:tc>
          <w:tcPr>
            <w:tcW w:w="9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center"/>
              <w:rPr>
                <w:noProof/>
                <w:color w:val="000000"/>
                <w:sz w:val="18"/>
              </w:rPr>
            </w:pPr>
          </w:p>
        </w:tc>
        <w:tc>
          <w:tcPr>
            <w:tcW w:w="1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224,082,752.91</w:t>
            </w:r>
          </w:p>
        </w:tc>
        <w:tc>
          <w:tcPr>
            <w:tcW w:w="1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196,861,698.44</w:t>
            </w:r>
          </w:p>
        </w:tc>
      </w:tr>
      <w:tr>
        <w:trPr>
          <w:trHeight w:hRule="exact" w:val="270"/>
        </w:trPr>
        <w:tc>
          <w:tcPr>
            <w:tcW w:w="54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TOTAL CURRENT ASSETS</w:t>
            </w:r>
          </w:p>
        </w:tc>
        <w:tc>
          <w:tcPr>
            <w:tcW w:w="9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482,791,359.79</w:t>
            </w: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560,088,994.63</w:t>
            </w:r>
          </w:p>
        </w:tc>
      </w:tr>
      <w:tr>
        <w:trPr>
          <w:trHeight w:hRule="exact" w:val="270"/>
        </w:trPr>
        <w:tc>
          <w:tcPr>
            <w:tcW w:w="5475"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rPr>
                <w:b/>
                <w:noProof/>
                <w:color w:val="000000"/>
                <w:sz w:val="18"/>
              </w:rPr>
            </w:pPr>
            <w:r>
              <w:rPr>
                <w:b/>
                <w:noProof/>
                <w:color w:val="000000"/>
                <w:sz w:val="18"/>
              </w:rPr>
              <w:t>TOTAL ASSETS</w:t>
            </w:r>
          </w:p>
        </w:tc>
        <w:tc>
          <w:tcPr>
            <w:tcW w:w="900"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jc w:val="center"/>
              <w:rPr>
                <w:b/>
                <w:noProof/>
                <w:color w:val="000000"/>
                <w:sz w:val="18"/>
              </w:rPr>
            </w:pPr>
          </w:p>
        </w:tc>
        <w:tc>
          <w:tcPr>
            <w:tcW w:w="1800"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jc w:val="right"/>
              <w:rPr>
                <w:b/>
                <w:noProof/>
                <w:color w:val="000000"/>
                <w:sz w:val="18"/>
              </w:rPr>
            </w:pPr>
            <w:r>
              <w:rPr>
                <w:b/>
                <w:noProof/>
                <w:color w:val="000000"/>
                <w:sz w:val="18"/>
              </w:rPr>
              <w:t>2,560,761,844.63</w:t>
            </w:r>
          </w:p>
        </w:tc>
        <w:tc>
          <w:tcPr>
            <w:tcW w:w="1800"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jc w:val="right"/>
              <w:rPr>
                <w:b/>
                <w:noProof/>
                <w:color w:val="000000"/>
                <w:sz w:val="18"/>
              </w:rPr>
            </w:pPr>
            <w:r>
              <w:rPr>
                <w:b/>
                <w:noProof/>
                <w:color w:val="000000"/>
                <w:sz w:val="18"/>
              </w:rPr>
              <w:t>2,506,053,053.14</w:t>
            </w:r>
          </w:p>
        </w:tc>
      </w:tr>
      <w:tr>
        <w:trPr>
          <w:trHeight w:hRule="exact" w:val="240"/>
        </w:trPr>
        <w:tc>
          <w:tcPr>
            <w:tcW w:w="54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noProof/>
                <w:color w:val="000000"/>
                <w:sz w:val="18"/>
              </w:rPr>
            </w:pP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r>
      <w:tr>
        <w:trPr>
          <w:trHeight w:val="27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NET ASSETS AND LIABILITIES</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b/>
                <w:noProof/>
                <w:color w:val="000000"/>
                <w:sz w:val="18"/>
              </w:rPr>
            </w:pPr>
            <w:r>
              <w:rPr>
                <w:b/>
                <w:noProof/>
                <w:color w:val="000000"/>
                <w:sz w:val="18"/>
              </w:rPr>
              <w:t>Notes</w:t>
            </w: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18"/>
              </w:rPr>
            </w:pPr>
            <w:r>
              <w:rPr>
                <w:b/>
                <w:noProof/>
                <w:color w:val="000000"/>
                <w:sz w:val="18"/>
              </w:rPr>
              <w:t>31.12.2017</w:t>
            </w: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18"/>
              </w:rPr>
            </w:pPr>
            <w:r>
              <w:rPr>
                <w:b/>
                <w:noProof/>
                <w:color w:val="000000"/>
                <w:sz w:val="18"/>
              </w:rPr>
              <w:t>31.12.2016</w:t>
            </w:r>
          </w:p>
        </w:tc>
      </w:tr>
      <w:tr>
        <w:trPr>
          <w:trHeight w:hRule="exact" w:val="27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NET ASSETS</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r>
      <w:tr>
        <w:trPr>
          <w:trHeight w:val="27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 xml:space="preserve">Contributions </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r>
              <w:rPr>
                <w:noProof/>
                <w:color w:val="000000"/>
                <w:sz w:val="18"/>
              </w:rPr>
              <w:t>7</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r>
      <w:tr>
        <w:trPr>
          <w:trHeight w:hRule="exact" w:val="270"/>
        </w:trPr>
        <w:tc>
          <w:tcPr>
            <w:tcW w:w="5475"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18"/>
              </w:rPr>
            </w:pPr>
            <w:r>
              <w:rPr>
                <w:noProof/>
                <w:color w:val="000000"/>
                <w:sz w:val="18"/>
              </w:rPr>
              <w:t>Net contributions paid in</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1,412,959,199.11</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1,258,843,554.67</w:t>
            </w:r>
          </w:p>
        </w:tc>
      </w:tr>
      <w:tr>
        <w:trPr>
          <w:trHeight w:hRule="exact" w:val="270"/>
        </w:trPr>
        <w:tc>
          <w:tcPr>
            <w:tcW w:w="5475"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18"/>
              </w:rPr>
            </w:pPr>
            <w:r>
              <w:rPr>
                <w:noProof/>
                <w:color w:val="000000"/>
                <w:sz w:val="18"/>
              </w:rPr>
              <w:t>Contributions allocated but not yet paid in</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137,800,722.00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240,540,250.00</w:t>
            </w:r>
          </w:p>
        </w:tc>
      </w:tr>
      <w:tr>
        <w:trPr>
          <w:trHeight w:hRule="exact" w:val="270"/>
        </w:trPr>
        <w:tc>
          <w:tcPr>
            <w:tcW w:w="5475"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18"/>
              </w:rPr>
            </w:pPr>
            <w:r>
              <w:rPr>
                <w:noProof/>
                <w:color w:val="000000"/>
                <w:sz w:val="18"/>
              </w:rPr>
              <w:t>Recovery of historically called amount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136,092.88</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0.00</w:t>
            </w:r>
          </w:p>
        </w:tc>
      </w:tr>
      <w:tr>
        <w:trPr>
          <w:trHeight w:hRule="exact" w:val="27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Reserves</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r>
      <w:tr>
        <w:trPr>
          <w:trHeight w:hRule="exact" w:val="270"/>
        </w:trPr>
        <w:tc>
          <w:tcPr>
            <w:tcW w:w="5475"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18"/>
              </w:rPr>
            </w:pPr>
            <w:r>
              <w:rPr>
                <w:noProof/>
                <w:color w:val="000000"/>
                <w:sz w:val="18"/>
              </w:rPr>
              <w:t>Fair value reserve</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22,700,054.69</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35,493,646.48</w:t>
            </w:r>
          </w:p>
        </w:tc>
      </w:tr>
      <w:tr>
        <w:trPr>
          <w:trHeight w:hRule="exact" w:val="27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Accumulated surplus</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970,244,126.84</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940,394,573.31</w:t>
            </w:r>
          </w:p>
        </w:tc>
      </w:tr>
      <w:tr>
        <w:trPr>
          <w:trHeight w:hRule="exact" w:val="270"/>
        </w:trPr>
        <w:tc>
          <w:tcPr>
            <w:tcW w:w="54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Economic result of the year</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15,966,869.93</w:t>
            </w:r>
          </w:p>
        </w:tc>
        <w:tc>
          <w:tcPr>
            <w:tcW w:w="1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29,849,553.53</w:t>
            </w:r>
          </w:p>
        </w:tc>
      </w:tr>
      <w:tr>
        <w:trPr>
          <w:trHeight w:hRule="exact" w:val="270"/>
        </w:trPr>
        <w:tc>
          <w:tcPr>
            <w:tcW w:w="54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TOTAL NET ASSETS</w:t>
            </w:r>
          </w:p>
        </w:tc>
        <w:tc>
          <w:tcPr>
            <w:tcW w:w="9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2,559,807,065.45</w:t>
            </w: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2,505,121,577.99</w:t>
            </w:r>
          </w:p>
        </w:tc>
      </w:tr>
      <w:tr>
        <w:trPr>
          <w:trHeight w:hRule="exact" w:val="270"/>
        </w:trPr>
        <w:tc>
          <w:tcPr>
            <w:tcW w:w="54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LIABILITIES</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b/>
                <w:noProof/>
                <w:color w:val="000000"/>
                <w:sz w:val="18"/>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b/>
                <w:noProof/>
                <w:color w:val="000000"/>
                <w:sz w:val="18"/>
              </w:rPr>
            </w:pPr>
          </w:p>
        </w:tc>
      </w:tr>
      <w:tr>
        <w:trPr>
          <w:trHeight w:val="27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CURRENT LIABILITIES</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r>
      <w:tr>
        <w:trPr>
          <w:trHeight w:hRule="exact" w:val="270"/>
        </w:trPr>
        <w:tc>
          <w:tcPr>
            <w:tcW w:w="5475" w:type="dxa"/>
            <w:tcBorders>
              <w:top w:val="nil"/>
              <w:left w:val="nil"/>
              <w:bottom w:val="single" w:sz="4" w:space="0" w:color="000000"/>
              <w:right w:val="nil"/>
              <w:tl2br w:val="nil"/>
              <w:tr2bl w:val="nil"/>
            </w:tcBorders>
            <w:shd w:val="clear" w:color="auto" w:fill="auto"/>
            <w:noWrap/>
            <w:tcMar>
              <w:left w:w="175" w:type="dxa"/>
              <w:right w:w="40" w:type="dxa"/>
            </w:tcMar>
            <w:vAlign w:val="center"/>
          </w:tcPr>
          <w:p>
            <w:pPr>
              <w:rPr>
                <w:noProof/>
                <w:color w:val="000000"/>
                <w:sz w:val="18"/>
              </w:rPr>
            </w:pPr>
            <w:r>
              <w:rPr>
                <w:noProof/>
                <w:color w:val="000000"/>
                <w:sz w:val="18"/>
              </w:rPr>
              <w:t>Other payables</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center"/>
              <w:rPr>
                <w:noProof/>
                <w:color w:val="000000"/>
                <w:sz w:val="18"/>
              </w:rPr>
            </w:pPr>
            <w:r>
              <w:rPr>
                <w:noProof/>
                <w:color w:val="000000"/>
                <w:sz w:val="18"/>
              </w:rPr>
              <w:t>8</w:t>
            </w:r>
          </w:p>
        </w:tc>
        <w:tc>
          <w:tcPr>
            <w:tcW w:w="1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954,779.18</w:t>
            </w:r>
          </w:p>
        </w:tc>
        <w:tc>
          <w:tcPr>
            <w:tcW w:w="1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931,475.15</w:t>
            </w:r>
          </w:p>
        </w:tc>
      </w:tr>
      <w:tr>
        <w:trPr>
          <w:trHeight w:hRule="exact" w:val="300"/>
        </w:trPr>
        <w:tc>
          <w:tcPr>
            <w:tcW w:w="54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TOTAL CURRENT LIABILITIES</w:t>
            </w:r>
          </w:p>
        </w:tc>
        <w:tc>
          <w:tcPr>
            <w:tcW w:w="9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954,779.18</w:t>
            </w: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931,475.15</w:t>
            </w:r>
          </w:p>
        </w:tc>
      </w:tr>
      <w:tr>
        <w:trPr>
          <w:trHeight w:hRule="exact" w:val="300"/>
        </w:trPr>
        <w:tc>
          <w:tcPr>
            <w:tcW w:w="5475"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rPr>
                <w:b/>
                <w:noProof/>
                <w:color w:val="000000"/>
                <w:sz w:val="18"/>
              </w:rPr>
            </w:pPr>
            <w:r>
              <w:rPr>
                <w:b/>
                <w:noProof/>
                <w:color w:val="000000"/>
                <w:sz w:val="18"/>
              </w:rPr>
              <w:t>TOTAL NET ASSETS AND LIABILITIES</w:t>
            </w:r>
          </w:p>
        </w:tc>
        <w:tc>
          <w:tcPr>
            <w:tcW w:w="900"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jc w:val="center"/>
              <w:rPr>
                <w:noProof/>
                <w:color w:val="000000"/>
                <w:sz w:val="18"/>
              </w:rPr>
            </w:pPr>
          </w:p>
        </w:tc>
        <w:tc>
          <w:tcPr>
            <w:tcW w:w="1800"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jc w:val="right"/>
              <w:rPr>
                <w:b/>
                <w:noProof/>
                <w:color w:val="000000"/>
                <w:sz w:val="18"/>
              </w:rPr>
            </w:pPr>
            <w:r>
              <w:rPr>
                <w:b/>
                <w:noProof/>
                <w:color w:val="000000"/>
                <w:sz w:val="18"/>
              </w:rPr>
              <w:t>2,560,761,844.63</w:t>
            </w:r>
          </w:p>
        </w:tc>
        <w:tc>
          <w:tcPr>
            <w:tcW w:w="1800"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jc w:val="right"/>
              <w:rPr>
                <w:b/>
                <w:noProof/>
                <w:color w:val="000000"/>
                <w:sz w:val="18"/>
              </w:rPr>
            </w:pPr>
            <w:r>
              <w:rPr>
                <w:b/>
                <w:noProof/>
                <w:color w:val="000000"/>
                <w:sz w:val="18"/>
              </w:rPr>
              <w:t>2,506,053,053.14</w:t>
            </w:r>
          </w:p>
        </w:tc>
      </w:tr>
    </w:tbl>
    <w:p>
      <w:pPr>
        <w:pageBreakBefore/>
        <w:pBdr>
          <w:top w:val="nil"/>
          <w:left w:val="nil"/>
          <w:bottom w:val="nil"/>
          <w:right w:val="nil"/>
          <w:between w:val="nil"/>
          <w:bar w:val="nil"/>
        </w:pBdr>
        <w:spacing w:before="120" w:after="120"/>
        <w:ind w:left="-284"/>
        <w:jc w:val="center"/>
        <w:rPr>
          <w:b/>
          <w:bCs/>
          <w:noProof/>
          <w:szCs w:val="22"/>
          <w:bdr w:val="nil"/>
        </w:rPr>
      </w:pPr>
      <w:r>
        <w:rPr>
          <w:b/>
          <w:bCs/>
          <w:noProof/>
          <w:szCs w:val="22"/>
          <w:bdr w:val="nil"/>
        </w:rPr>
        <w:t>Statement of financial performance</w:t>
      </w:r>
    </w:p>
    <w:p>
      <w:pPr>
        <w:pBdr>
          <w:top w:val="nil"/>
          <w:left w:val="nil"/>
          <w:bottom w:val="nil"/>
          <w:right w:val="nil"/>
          <w:between w:val="nil"/>
          <w:bar w:val="nil"/>
        </w:pBdr>
        <w:spacing w:before="120"/>
        <w:ind w:left="-284"/>
        <w:jc w:val="center"/>
        <w:rPr>
          <w:bCs/>
          <w:noProof/>
          <w:szCs w:val="22"/>
          <w:bdr w:val="nil"/>
        </w:rPr>
      </w:pPr>
      <w:r>
        <w:rPr>
          <w:bCs/>
          <w:noProof/>
          <w:szCs w:val="22"/>
          <w:bdr w:val="nil"/>
        </w:rPr>
        <w:t>For the year ended 31 December 2017</w:t>
      </w:r>
    </w:p>
    <w:p>
      <w:pPr>
        <w:pBdr>
          <w:top w:val="nil"/>
          <w:left w:val="nil"/>
          <w:bottom w:val="nil"/>
          <w:right w:val="nil"/>
          <w:between w:val="nil"/>
          <w:bar w:val="nil"/>
        </w:pBdr>
        <w:ind w:left="-284"/>
        <w:jc w:val="center"/>
        <w:rPr>
          <w:bCs/>
          <w:noProof/>
          <w:szCs w:val="22"/>
          <w:bdr w:val="nil"/>
        </w:rPr>
      </w:pPr>
      <w:r>
        <w:rPr>
          <w:bCs/>
          <w:noProof/>
          <w:szCs w:val="22"/>
          <w:bdr w:val="nil"/>
        </w:rPr>
        <w:t>(in EUR)</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75"/>
        <w:gridCol w:w="900"/>
        <w:gridCol w:w="1800"/>
        <w:gridCol w:w="1800"/>
      </w:tblGrid>
      <w:tr>
        <w:trPr>
          <w:trHeight w:val="48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18"/>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b/>
                <w:noProof/>
                <w:color w:val="000000"/>
                <w:sz w:val="18"/>
              </w:rPr>
            </w:pP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18"/>
              </w:rPr>
            </w:pPr>
            <w:r>
              <w:rPr>
                <w:b/>
                <w:noProof/>
                <w:color w:val="000000"/>
                <w:sz w:val="18"/>
              </w:rPr>
              <w:t>From 01.01.2017</w:t>
            </w:r>
            <w:r>
              <w:rPr>
                <w:b/>
                <w:noProof/>
                <w:color w:val="000000"/>
                <w:sz w:val="18"/>
              </w:rPr>
              <w:br/>
              <w:t>to 31.12.2017</w:t>
            </w: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18"/>
              </w:rPr>
            </w:pPr>
            <w:r>
              <w:rPr>
                <w:b/>
                <w:noProof/>
                <w:color w:val="000000"/>
                <w:sz w:val="18"/>
              </w:rPr>
              <w:t>From 01.01.2016</w:t>
            </w:r>
            <w:r>
              <w:rPr>
                <w:b/>
                <w:noProof/>
                <w:color w:val="000000"/>
                <w:sz w:val="18"/>
              </w:rPr>
              <w:br/>
              <w:t>to 31.12.2016</w:t>
            </w: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rPr>
            </w:pP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18"/>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rPr>
            </w:pP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Expenses from operating activities</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-1,103,635.38</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-1,074,112.12</w:t>
            </w: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i/>
                <w:noProof/>
                <w:color w:val="000000"/>
                <w:sz w:val="18"/>
              </w:rPr>
            </w:pPr>
            <w:r>
              <w:rPr>
                <w:i/>
                <w:noProof/>
                <w:color w:val="000000"/>
                <w:sz w:val="18"/>
              </w:rPr>
              <w:t xml:space="preserve">      Management fees</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18"/>
              </w:rPr>
            </w:pPr>
            <w:r>
              <w:rPr>
                <w:i/>
                <w:noProof/>
                <w:color w:val="000000"/>
                <w:sz w:val="18"/>
              </w:rPr>
              <w:t>-915,279.18</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18"/>
              </w:rPr>
            </w:pPr>
            <w:r>
              <w:rPr>
                <w:i/>
                <w:noProof/>
                <w:color w:val="000000"/>
                <w:sz w:val="18"/>
              </w:rPr>
              <w:t>-891,975.15</w:t>
            </w: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i/>
                <w:noProof/>
                <w:color w:val="000000"/>
                <w:sz w:val="18"/>
              </w:rPr>
            </w:pPr>
            <w:r>
              <w:rPr>
                <w:b/>
                <w:i/>
                <w:noProof/>
                <w:color w:val="000000"/>
                <w:sz w:val="18"/>
              </w:rPr>
              <w:t xml:space="preserve">      </w:t>
            </w:r>
            <w:r>
              <w:rPr>
                <w:i/>
                <w:noProof/>
                <w:color w:val="000000"/>
                <w:sz w:val="18"/>
              </w:rPr>
              <w:t>Audit fees</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18"/>
              </w:rPr>
            </w:pPr>
            <w:r>
              <w:rPr>
                <w:i/>
                <w:noProof/>
                <w:color w:val="000000"/>
                <w:sz w:val="18"/>
              </w:rPr>
              <w:t>-39,500.00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18"/>
              </w:rPr>
            </w:pPr>
            <w:r>
              <w:rPr>
                <w:i/>
                <w:noProof/>
                <w:color w:val="000000"/>
                <w:sz w:val="18"/>
              </w:rPr>
              <w:t>-39,500.00</w:t>
            </w: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i/>
                <w:noProof/>
                <w:color w:val="000000"/>
                <w:sz w:val="18"/>
              </w:rPr>
            </w:pPr>
            <w:r>
              <w:rPr>
                <w:i/>
                <w:noProof/>
                <w:color w:val="000000"/>
                <w:sz w:val="18"/>
              </w:rPr>
              <w:t xml:space="preserve">      Bank fees</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18"/>
              </w:rPr>
            </w:pPr>
            <w:r>
              <w:rPr>
                <w:i/>
                <w:noProof/>
                <w:color w:val="000000"/>
                <w:sz w:val="18"/>
              </w:rPr>
              <w:t>-148,856.20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18"/>
              </w:rPr>
            </w:pPr>
            <w:r>
              <w:rPr>
                <w:i/>
                <w:noProof/>
                <w:color w:val="000000"/>
                <w:sz w:val="18"/>
              </w:rPr>
              <w:t>-142,636.97</w:t>
            </w:r>
          </w:p>
        </w:tc>
      </w:tr>
      <w:tr>
        <w:trPr>
          <w:trHeight w:hRule="exact" w:val="300"/>
        </w:trPr>
        <w:tc>
          <w:tcPr>
            <w:tcW w:w="54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18"/>
              </w:rPr>
            </w:pP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18"/>
              </w:rPr>
            </w:pPr>
          </w:p>
        </w:tc>
        <w:tc>
          <w:tcPr>
            <w:tcW w:w="1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18"/>
              </w:rPr>
            </w:pPr>
          </w:p>
        </w:tc>
      </w:tr>
      <w:tr>
        <w:trPr>
          <w:trHeight w:hRule="exact" w:val="300"/>
        </w:trPr>
        <w:tc>
          <w:tcPr>
            <w:tcW w:w="54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Result from operating activities</w:t>
            </w:r>
          </w:p>
        </w:tc>
        <w:tc>
          <w:tcPr>
            <w:tcW w:w="9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-1,103,635.38</w:t>
            </w: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-1,074,112.12</w:t>
            </w:r>
          </w:p>
        </w:tc>
      </w:tr>
      <w:tr>
        <w:trPr>
          <w:trHeight w:hRule="exact" w:val="300"/>
        </w:trPr>
        <w:tc>
          <w:tcPr>
            <w:tcW w:w="54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b/>
                <w:noProof/>
                <w:color w:val="000000"/>
                <w:sz w:val="18"/>
              </w:rPr>
            </w:pP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Financial revenue</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18"/>
              </w:rPr>
            </w:pPr>
            <w:r>
              <w:rPr>
                <w:noProof/>
                <w:color w:val="000000"/>
                <w:sz w:val="18"/>
              </w:rPr>
              <w:t>Interest income</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8,763,127.37</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14,387,844.82</w:t>
            </w: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i/>
                <w:noProof/>
                <w:color w:val="000000"/>
                <w:sz w:val="18"/>
              </w:rPr>
            </w:pPr>
            <w:r>
              <w:rPr>
                <w:i/>
                <w:noProof/>
                <w:color w:val="000000"/>
                <w:sz w:val="18"/>
              </w:rPr>
              <w:t xml:space="preserve">      Cash and cash equivalents</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18"/>
              </w:rPr>
            </w:pPr>
            <w:r>
              <w:rPr>
                <w:i/>
                <w:noProof/>
                <w:color w:val="000000"/>
                <w:sz w:val="18"/>
              </w:rPr>
              <w:t>2,414.67</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18"/>
              </w:rPr>
            </w:pPr>
            <w:r>
              <w:rPr>
                <w:i/>
                <w:noProof/>
                <w:color w:val="000000"/>
                <w:sz w:val="18"/>
              </w:rPr>
              <w:t>831.14</w:t>
            </w: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i/>
                <w:noProof/>
                <w:color w:val="000000"/>
                <w:sz w:val="18"/>
              </w:rPr>
            </w:pPr>
            <w:r>
              <w:rPr>
                <w:i/>
                <w:noProof/>
                <w:color w:val="000000"/>
                <w:sz w:val="18"/>
              </w:rPr>
              <w:t xml:space="preserve">      Bond portfolio</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18"/>
              </w:rPr>
            </w:pPr>
            <w:r>
              <w:rPr>
                <w:i/>
                <w:noProof/>
                <w:color w:val="000000"/>
                <w:sz w:val="18"/>
              </w:rPr>
              <w:t>8,760,712.70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18"/>
              </w:rPr>
            </w:pPr>
            <w:r>
              <w:rPr>
                <w:i/>
                <w:noProof/>
                <w:color w:val="000000"/>
                <w:sz w:val="18"/>
              </w:rPr>
              <w:t>14,387,013.68</w:t>
            </w: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18"/>
              </w:rPr>
            </w:pPr>
            <w:r>
              <w:rPr>
                <w:noProof/>
                <w:color w:val="000000"/>
                <w:sz w:val="18"/>
              </w:rPr>
              <w:t>Realised gain on sale of Bond portfolio</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9,195,734.53</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16,756,863.88</w:t>
            </w: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18"/>
              </w:rPr>
            </w:pPr>
            <w:r>
              <w:rPr>
                <w:noProof/>
                <w:color w:val="000000"/>
                <w:sz w:val="18"/>
              </w:rPr>
              <w:t>Income from securities lending activity</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100,034.32</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119,696.45</w:t>
            </w: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rPr>
            </w:pP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Financial expenses</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18"/>
              </w:rPr>
            </w:pPr>
            <w:r>
              <w:rPr>
                <w:noProof/>
                <w:color w:val="000000"/>
                <w:sz w:val="18"/>
              </w:rPr>
              <w:t>Interest expense</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-961,138.17</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-340,739.50</w:t>
            </w: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i/>
                <w:noProof/>
                <w:color w:val="000000"/>
                <w:sz w:val="18"/>
              </w:rPr>
            </w:pPr>
            <w:r>
              <w:rPr>
                <w:i/>
                <w:noProof/>
                <w:color w:val="000000"/>
                <w:sz w:val="18"/>
              </w:rPr>
              <w:t xml:space="preserve">       Cash and cash equivalents</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18"/>
              </w:rPr>
            </w:pPr>
            <w:r>
              <w:rPr>
                <w:i/>
                <w:noProof/>
                <w:color w:val="000000"/>
                <w:sz w:val="18"/>
              </w:rPr>
              <w:t>-961,138.17</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18"/>
              </w:rPr>
            </w:pPr>
            <w:r>
              <w:rPr>
                <w:i/>
                <w:noProof/>
                <w:color w:val="000000"/>
                <w:sz w:val="18"/>
              </w:rPr>
              <w:t>-340,739.50</w:t>
            </w: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18"/>
              </w:rPr>
            </w:pPr>
            <w:r>
              <w:rPr>
                <w:noProof/>
                <w:color w:val="000000"/>
                <w:sz w:val="18"/>
              </w:rPr>
              <w:t>Realised loss on sale of Bond portfolio</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-27,252.74</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0.00</w:t>
            </w:r>
          </w:p>
        </w:tc>
      </w:tr>
      <w:tr>
        <w:trPr>
          <w:trHeight w:hRule="exact" w:val="300"/>
        </w:trPr>
        <w:tc>
          <w:tcPr>
            <w:tcW w:w="54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18"/>
              </w:rPr>
            </w:pP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center"/>
              <w:rPr>
                <w:b/>
                <w:noProof/>
                <w:color w:val="000000"/>
                <w:sz w:val="18"/>
              </w:rPr>
            </w:pPr>
          </w:p>
        </w:tc>
        <w:tc>
          <w:tcPr>
            <w:tcW w:w="1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p>
        </w:tc>
        <w:tc>
          <w:tcPr>
            <w:tcW w:w="1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p>
        </w:tc>
      </w:tr>
      <w:tr>
        <w:trPr>
          <w:trHeight w:hRule="exact" w:val="300"/>
        </w:trPr>
        <w:tc>
          <w:tcPr>
            <w:tcW w:w="54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Result from non-operating activities</w:t>
            </w:r>
          </w:p>
        </w:tc>
        <w:tc>
          <w:tcPr>
            <w:tcW w:w="9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center"/>
              <w:rPr>
                <w:b/>
                <w:noProof/>
                <w:color w:val="000000"/>
                <w:sz w:val="18"/>
              </w:rPr>
            </w:pP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17,070,505.31</w:t>
            </w: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30,923,665.65</w:t>
            </w:r>
          </w:p>
        </w:tc>
      </w:tr>
      <w:tr>
        <w:trPr>
          <w:trHeight w:hRule="exact" w:val="300"/>
        </w:trPr>
        <w:tc>
          <w:tcPr>
            <w:tcW w:w="54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18"/>
              </w:rPr>
            </w:pPr>
          </w:p>
        </w:tc>
        <w:tc>
          <w:tcPr>
            <w:tcW w:w="9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center"/>
              <w:rPr>
                <w:b/>
                <w:noProof/>
                <w:color w:val="000000"/>
                <w:sz w:val="18"/>
              </w:rPr>
            </w:pP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p>
        </w:tc>
      </w:tr>
      <w:tr>
        <w:trPr>
          <w:trHeight w:hRule="exact" w:val="300"/>
        </w:trPr>
        <w:tc>
          <w:tcPr>
            <w:tcW w:w="54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18"/>
              </w:rPr>
            </w:pPr>
            <w:r>
              <w:rPr>
                <w:b/>
                <w:noProof/>
                <w:color w:val="000000"/>
                <w:sz w:val="18"/>
              </w:rPr>
              <w:t>ECONOMIC RESULT OF THE YEAR </w:t>
            </w:r>
          </w:p>
        </w:tc>
        <w:tc>
          <w:tcPr>
            <w:tcW w:w="9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center"/>
              <w:rPr>
                <w:b/>
                <w:noProof/>
                <w:color w:val="000000"/>
                <w:sz w:val="18"/>
              </w:rPr>
            </w:pPr>
          </w:p>
        </w:tc>
        <w:tc>
          <w:tcPr>
            <w:tcW w:w="18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18"/>
              </w:rPr>
            </w:pPr>
            <w:r>
              <w:rPr>
                <w:b/>
                <w:noProof/>
                <w:color w:val="000000"/>
                <w:sz w:val="18"/>
              </w:rPr>
              <w:t>15,966,869.93</w:t>
            </w:r>
          </w:p>
        </w:tc>
        <w:tc>
          <w:tcPr>
            <w:tcW w:w="18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18"/>
              </w:rPr>
            </w:pPr>
            <w:r>
              <w:rPr>
                <w:b/>
                <w:noProof/>
                <w:color w:val="000000"/>
                <w:sz w:val="18"/>
              </w:rPr>
              <w:t>29,849,553.53</w:t>
            </w:r>
          </w:p>
        </w:tc>
      </w:tr>
      <w:tr>
        <w:trPr>
          <w:trHeight w:hRule="exact" w:val="300"/>
        </w:trPr>
        <w:tc>
          <w:tcPr>
            <w:tcW w:w="54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b/>
                <w:noProof/>
                <w:color w:val="000000"/>
                <w:sz w:val="18"/>
              </w:rPr>
            </w:pP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Items directly recognised in net assets</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18"/>
              </w:rPr>
            </w:pPr>
            <w:r>
              <w:rPr>
                <w:noProof/>
                <w:color w:val="000000"/>
                <w:sz w:val="18"/>
              </w:rPr>
              <w:t>Net change in fair value of Bond portfolio</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-11,916,684.46</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15,957,105.74</w:t>
            </w:r>
          </w:p>
        </w:tc>
      </w:tr>
      <w:tr>
        <w:trPr>
          <w:trHeight w:hRule="exact" w:val="300"/>
        </w:trPr>
        <w:tc>
          <w:tcPr>
            <w:tcW w:w="54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18"/>
              </w:rPr>
            </w:pPr>
            <w:r>
              <w:rPr>
                <w:noProof/>
                <w:color w:val="000000"/>
                <w:sz w:val="18"/>
              </w:rPr>
              <w:t>Net amount transferred to statement of financial performance</w:t>
            </w: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center"/>
              <w:rPr>
                <w:noProof/>
                <w:color w:val="000000"/>
                <w:sz w:val="18"/>
              </w:rPr>
            </w:pPr>
          </w:p>
        </w:tc>
        <w:tc>
          <w:tcPr>
            <w:tcW w:w="1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-876,907.33</w:t>
            </w:r>
          </w:p>
        </w:tc>
        <w:tc>
          <w:tcPr>
            <w:tcW w:w="1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18"/>
              </w:rPr>
            </w:pPr>
            <w:r>
              <w:rPr>
                <w:noProof/>
                <w:color w:val="000000"/>
                <w:sz w:val="18"/>
              </w:rPr>
              <w:t>-12,586,847.05</w:t>
            </w:r>
          </w:p>
        </w:tc>
      </w:tr>
      <w:tr>
        <w:trPr>
          <w:trHeight w:hRule="exact" w:val="300"/>
        </w:trPr>
        <w:tc>
          <w:tcPr>
            <w:tcW w:w="54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NET RESULT RECOGNISED IN NET ASSETS</w:t>
            </w:r>
          </w:p>
        </w:tc>
        <w:tc>
          <w:tcPr>
            <w:tcW w:w="9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center"/>
              <w:rPr>
                <w:b/>
                <w:noProof/>
                <w:color w:val="000000"/>
                <w:sz w:val="18"/>
              </w:rPr>
            </w:pP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-12,793,591.79</w:t>
            </w: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3,370,258.69</w:t>
            </w:r>
          </w:p>
        </w:tc>
      </w:tr>
    </w:tbl>
    <w:p>
      <w:pPr>
        <w:rPr>
          <w:noProof/>
        </w:rPr>
        <w:sectPr>
          <w:headerReference w:type="even" r:id="rId32"/>
          <w:headerReference w:type="default" r:id="rId33"/>
          <w:footerReference w:type="even" r:id="rId34"/>
          <w:footerReference w:type="default" r:id="rId35"/>
          <w:headerReference w:type="first" r:id="rId36"/>
          <w:footerReference w:type="first" r:id="rId37"/>
          <w:pgSz w:w="12240" w:h="15840"/>
          <w:pgMar w:top="1200" w:right="1440" w:bottom="1440" w:left="1800" w:header="454" w:footer="170" w:gutter="0"/>
          <w:pgBorders>
            <w:top w:val="nil"/>
            <w:left w:val="nil"/>
            <w:bottom w:val="nil"/>
            <w:right w:val="nil"/>
          </w:pgBorders>
          <w:cols w:space="720"/>
          <w:docGrid w:linePitch="326"/>
        </w:sectPr>
      </w:pPr>
    </w:p>
    <w:p>
      <w:pPr>
        <w:pageBreakBefore/>
        <w:pBdr>
          <w:top w:val="nil"/>
          <w:left w:val="nil"/>
          <w:bottom w:val="nil"/>
          <w:right w:val="nil"/>
          <w:between w:val="nil"/>
          <w:bar w:val="nil"/>
        </w:pBdr>
        <w:jc w:val="center"/>
        <w:rPr>
          <w:b/>
          <w:bCs/>
          <w:noProof/>
          <w:szCs w:val="22"/>
          <w:bdr w:val="nil"/>
        </w:rPr>
      </w:pPr>
      <w:r>
        <w:rPr>
          <w:b/>
          <w:bCs/>
          <w:noProof/>
          <w:szCs w:val="22"/>
          <w:bdr w:val="nil"/>
        </w:rPr>
        <w:t>Statement of changes in net assets</w:t>
      </w:r>
    </w:p>
    <w:p>
      <w:pPr>
        <w:pBdr>
          <w:top w:val="nil"/>
          <w:left w:val="nil"/>
          <w:bottom w:val="nil"/>
          <w:right w:val="nil"/>
          <w:between w:val="nil"/>
          <w:bar w:val="nil"/>
        </w:pBdr>
        <w:spacing w:before="120"/>
        <w:jc w:val="center"/>
        <w:rPr>
          <w:noProof/>
          <w:szCs w:val="22"/>
          <w:bdr w:val="nil"/>
        </w:rPr>
      </w:pPr>
      <w:r>
        <w:rPr>
          <w:noProof/>
          <w:szCs w:val="22"/>
          <w:bdr w:val="nil"/>
        </w:rPr>
        <w:t>For the year ended 31 December 2017</w:t>
      </w:r>
    </w:p>
    <w:p>
      <w:pPr>
        <w:pBdr>
          <w:top w:val="nil"/>
          <w:left w:val="nil"/>
          <w:bottom w:val="nil"/>
          <w:right w:val="nil"/>
          <w:between w:val="nil"/>
          <w:bar w:val="nil"/>
        </w:pBdr>
        <w:jc w:val="center"/>
        <w:rPr>
          <w:noProof/>
          <w:szCs w:val="22"/>
          <w:bdr w:val="nil"/>
        </w:rPr>
      </w:pPr>
      <w:r>
        <w:rPr>
          <w:noProof/>
          <w:szCs w:val="22"/>
          <w:bdr w:val="nil"/>
        </w:rPr>
        <w:t>(in EUR)</w:t>
      </w: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00"/>
        <w:gridCol w:w="600"/>
        <w:gridCol w:w="1620"/>
        <w:gridCol w:w="1620"/>
        <w:gridCol w:w="1620"/>
        <w:gridCol w:w="1620"/>
        <w:gridCol w:w="1575"/>
      </w:tblGrid>
      <w:tr>
        <w:trPr>
          <w:trHeight w:val="690"/>
        </w:trPr>
        <w:tc>
          <w:tcPr>
            <w:tcW w:w="5400"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18"/>
              </w:rPr>
            </w:pPr>
          </w:p>
        </w:tc>
        <w:tc>
          <w:tcPr>
            <w:tcW w:w="600" w:type="dxa"/>
            <w:tcBorders>
              <w:top w:val="nil"/>
              <w:left w:val="nil"/>
              <w:bottom w:val="single" w:sz="4" w:space="0" w:color="000000"/>
              <w:right w:val="nil"/>
              <w:tl2br w:val="nil"/>
              <w:tr2bl w:val="nil"/>
            </w:tcBorders>
            <w:shd w:val="clear" w:color="auto" w:fill="auto"/>
            <w:tcMar>
              <w:left w:w="40" w:type="dxa"/>
              <w:right w:w="40" w:type="dxa"/>
            </w:tcMar>
            <w:vAlign w:val="bottom"/>
          </w:tcPr>
          <w:p>
            <w:pPr>
              <w:jc w:val="center"/>
              <w:rPr>
                <w:b/>
                <w:noProof/>
                <w:color w:val="000000"/>
                <w:sz w:val="18"/>
              </w:rPr>
            </w:pPr>
          </w:p>
        </w:tc>
        <w:tc>
          <w:tcPr>
            <w:tcW w:w="1620" w:type="dxa"/>
            <w:tcBorders>
              <w:top w:val="nil"/>
              <w:left w:val="nil"/>
              <w:bottom w:val="single" w:sz="4" w:space="0" w:color="000000"/>
              <w:right w:val="nil"/>
              <w:tl2br w:val="nil"/>
              <w:tr2bl w:val="nil"/>
            </w:tcBorders>
            <w:shd w:val="clear" w:color="auto" w:fill="auto"/>
            <w:tcMar>
              <w:left w:w="40" w:type="dxa"/>
              <w:right w:w="40" w:type="dxa"/>
            </w:tcMar>
            <w:vAlign w:val="bottom"/>
          </w:tcPr>
          <w:p>
            <w:pPr>
              <w:jc w:val="right"/>
              <w:rPr>
                <w:b/>
                <w:noProof/>
                <w:color w:val="000000"/>
                <w:sz w:val="18"/>
              </w:rPr>
            </w:pPr>
            <w:r>
              <w:rPr>
                <w:b/>
                <w:noProof/>
                <w:color w:val="000000"/>
                <w:sz w:val="18"/>
              </w:rPr>
              <w:t>Contributions</w:t>
            </w:r>
          </w:p>
        </w:tc>
        <w:tc>
          <w:tcPr>
            <w:tcW w:w="1620" w:type="dxa"/>
            <w:tcBorders>
              <w:top w:val="nil"/>
              <w:left w:val="nil"/>
              <w:bottom w:val="single" w:sz="4" w:space="0" w:color="000000"/>
              <w:right w:val="nil"/>
              <w:tl2br w:val="nil"/>
              <w:tr2bl w:val="nil"/>
            </w:tcBorders>
            <w:shd w:val="clear" w:color="auto" w:fill="auto"/>
            <w:tcMar>
              <w:left w:w="40" w:type="dxa"/>
              <w:right w:w="40" w:type="dxa"/>
            </w:tcMar>
            <w:vAlign w:val="bottom"/>
          </w:tcPr>
          <w:p>
            <w:pPr>
              <w:jc w:val="right"/>
              <w:rPr>
                <w:b/>
                <w:noProof/>
                <w:color w:val="000000"/>
                <w:sz w:val="18"/>
              </w:rPr>
            </w:pPr>
            <w:r>
              <w:rPr>
                <w:b/>
                <w:noProof/>
                <w:color w:val="000000"/>
                <w:sz w:val="18"/>
              </w:rPr>
              <w:t>Fair value              reserve</w:t>
            </w:r>
          </w:p>
        </w:tc>
        <w:tc>
          <w:tcPr>
            <w:tcW w:w="1620" w:type="dxa"/>
            <w:tcBorders>
              <w:top w:val="nil"/>
              <w:left w:val="nil"/>
              <w:bottom w:val="single" w:sz="4" w:space="0" w:color="000000"/>
              <w:right w:val="nil"/>
              <w:tl2br w:val="nil"/>
              <w:tr2bl w:val="nil"/>
            </w:tcBorders>
            <w:shd w:val="clear" w:color="auto" w:fill="auto"/>
            <w:tcMar>
              <w:left w:w="40" w:type="dxa"/>
              <w:right w:w="40" w:type="dxa"/>
            </w:tcMar>
            <w:vAlign w:val="bottom"/>
          </w:tcPr>
          <w:p>
            <w:pPr>
              <w:jc w:val="right"/>
              <w:rPr>
                <w:b/>
                <w:noProof/>
                <w:color w:val="000000"/>
                <w:sz w:val="18"/>
              </w:rPr>
            </w:pPr>
            <w:r>
              <w:rPr>
                <w:b/>
                <w:noProof/>
                <w:color w:val="000000"/>
                <w:sz w:val="18"/>
              </w:rPr>
              <w:t>Accumulated surplus</w:t>
            </w:r>
          </w:p>
        </w:tc>
        <w:tc>
          <w:tcPr>
            <w:tcW w:w="1620" w:type="dxa"/>
            <w:tcBorders>
              <w:top w:val="nil"/>
              <w:left w:val="nil"/>
              <w:bottom w:val="single" w:sz="4" w:space="0" w:color="000000"/>
              <w:right w:val="nil"/>
              <w:tl2br w:val="nil"/>
              <w:tr2bl w:val="nil"/>
            </w:tcBorders>
            <w:shd w:val="clear" w:color="auto" w:fill="auto"/>
            <w:tcMar>
              <w:left w:w="40" w:type="dxa"/>
              <w:right w:w="40" w:type="dxa"/>
            </w:tcMar>
            <w:vAlign w:val="bottom"/>
          </w:tcPr>
          <w:p>
            <w:pPr>
              <w:jc w:val="right"/>
              <w:rPr>
                <w:b/>
                <w:noProof/>
                <w:color w:val="000000"/>
                <w:sz w:val="18"/>
              </w:rPr>
            </w:pPr>
            <w:r>
              <w:rPr>
                <w:b/>
                <w:noProof/>
                <w:color w:val="000000"/>
                <w:sz w:val="18"/>
              </w:rPr>
              <w:t>Economic result of the year</w:t>
            </w:r>
          </w:p>
        </w:tc>
        <w:tc>
          <w:tcPr>
            <w:tcW w:w="1575" w:type="dxa"/>
            <w:tcBorders>
              <w:top w:val="nil"/>
              <w:left w:val="nil"/>
              <w:bottom w:val="single" w:sz="4" w:space="0" w:color="000000"/>
              <w:right w:val="nil"/>
              <w:tl2br w:val="nil"/>
              <w:tr2bl w:val="nil"/>
            </w:tcBorders>
            <w:shd w:val="clear" w:color="auto" w:fill="auto"/>
            <w:tcMar>
              <w:left w:w="40" w:type="dxa"/>
              <w:right w:w="40" w:type="dxa"/>
            </w:tcMar>
            <w:vAlign w:val="bottom"/>
          </w:tcPr>
          <w:p>
            <w:pPr>
              <w:jc w:val="right"/>
              <w:rPr>
                <w:b/>
                <w:noProof/>
                <w:color w:val="000000"/>
                <w:sz w:val="18"/>
              </w:rPr>
            </w:pPr>
            <w:r>
              <w:rPr>
                <w:b/>
                <w:noProof/>
                <w:color w:val="000000"/>
                <w:sz w:val="18"/>
              </w:rPr>
              <w:t>Total net assets</w:t>
            </w:r>
          </w:p>
        </w:tc>
      </w:tr>
      <w:tr>
        <w:trPr>
          <w:trHeight w:val="300"/>
        </w:trPr>
        <w:tc>
          <w:tcPr>
            <w:tcW w:w="54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18"/>
              </w:rPr>
            </w:pPr>
            <w:r>
              <w:rPr>
                <w:b/>
                <w:noProof/>
                <w:color w:val="000000"/>
                <w:sz w:val="18"/>
              </w:rPr>
              <w:t>Balance as at 01.01.2016</w:t>
            </w:r>
          </w:p>
        </w:tc>
        <w:tc>
          <w:tcPr>
            <w:tcW w:w="6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18"/>
              </w:rPr>
            </w:pPr>
          </w:p>
        </w:tc>
        <w:tc>
          <w:tcPr>
            <w:tcW w:w="16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1,347,541,789.28</w:t>
            </w:r>
          </w:p>
        </w:tc>
        <w:tc>
          <w:tcPr>
            <w:tcW w:w="16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32,123,387.79</w:t>
            </w:r>
          </w:p>
        </w:tc>
        <w:tc>
          <w:tcPr>
            <w:tcW w:w="16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908,051,618.54</w:t>
            </w:r>
          </w:p>
        </w:tc>
        <w:tc>
          <w:tcPr>
            <w:tcW w:w="16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32,342,954.77</w:t>
            </w:r>
          </w:p>
        </w:tc>
        <w:tc>
          <w:tcPr>
            <w:tcW w:w="15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18"/>
              </w:rPr>
            </w:pPr>
            <w:r>
              <w:rPr>
                <w:b/>
                <w:noProof/>
                <w:color w:val="000000"/>
                <w:sz w:val="18"/>
              </w:rPr>
              <w:t>2,320,059,750.38</w:t>
            </w:r>
          </w:p>
        </w:tc>
      </w:tr>
      <w:tr>
        <w:trPr>
          <w:trHeight w:val="300"/>
        </w:trPr>
        <w:tc>
          <w:tcPr>
            <w:tcW w:w="54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noProof/>
                <w:color w:val="000000"/>
                <w:sz w:val="18"/>
              </w:rPr>
            </w:pPr>
            <w:r>
              <w:rPr>
                <w:noProof/>
                <w:color w:val="000000"/>
                <w:sz w:val="18"/>
              </w:rPr>
              <w:t>Contributions from the European Commission allocated but not yet paid</w:t>
            </w:r>
          </w:p>
        </w:tc>
        <w:tc>
          <w:tcPr>
            <w:tcW w:w="60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r>
              <w:rPr>
                <w:noProof/>
                <w:color w:val="000000"/>
                <w:sz w:val="18"/>
              </w:rPr>
              <w:t>7</w:t>
            </w:r>
          </w:p>
        </w:tc>
        <w:tc>
          <w:tcPr>
            <w:tcW w:w="162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240,540,250.00</w:t>
            </w:r>
          </w:p>
        </w:tc>
        <w:tc>
          <w:tcPr>
            <w:tcW w:w="162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5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240,540,250.00</w:t>
            </w:r>
          </w:p>
        </w:tc>
      </w:tr>
      <w:tr>
        <w:trPr>
          <w:trHeight w:val="300"/>
        </w:trPr>
        <w:tc>
          <w:tcPr>
            <w:tcW w:w="54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Contributions paid to the EIB as guarantee call</w:t>
            </w:r>
          </w:p>
        </w:tc>
        <w:tc>
          <w:tcPr>
            <w:tcW w:w="6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r>
              <w:rPr>
                <w:noProof/>
                <w:color w:val="000000"/>
                <w:sz w:val="18"/>
              </w:rPr>
              <w:t>7</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 xml:space="preserve">-110,828,866.39 </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575" w:type="dxa"/>
            <w:tcBorders>
              <w:top w:val="nil"/>
              <w:left w:val="nil"/>
              <w:bottom w:val="nil"/>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 xml:space="preserve">-110,828,866.39 </w:t>
            </w:r>
          </w:p>
        </w:tc>
      </w:tr>
      <w:tr>
        <w:trPr>
          <w:trHeight w:val="300"/>
        </w:trPr>
        <w:tc>
          <w:tcPr>
            <w:tcW w:w="54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Change of contributions payable as guarantee call</w:t>
            </w:r>
          </w:p>
        </w:tc>
        <w:tc>
          <w:tcPr>
            <w:tcW w:w="6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r>
              <w:rPr>
                <w:noProof/>
                <w:color w:val="000000"/>
                <w:sz w:val="18"/>
              </w:rPr>
              <w:t>7</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22,130,631.78</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575" w:type="dxa"/>
            <w:tcBorders>
              <w:top w:val="nil"/>
              <w:left w:val="nil"/>
              <w:bottom w:val="nil"/>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22,130,631.78</w:t>
            </w:r>
          </w:p>
        </w:tc>
      </w:tr>
      <w:tr>
        <w:trPr>
          <w:trHeight w:val="300"/>
        </w:trPr>
        <w:tc>
          <w:tcPr>
            <w:tcW w:w="54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Change of fair value reserve</w:t>
            </w:r>
          </w:p>
        </w:tc>
        <w:tc>
          <w:tcPr>
            <w:tcW w:w="6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r>
              <w:rPr>
                <w:noProof/>
                <w:color w:val="000000"/>
                <w:sz w:val="18"/>
              </w:rPr>
              <w:t>5</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3,370,258.69</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575" w:type="dxa"/>
            <w:tcBorders>
              <w:top w:val="nil"/>
              <w:left w:val="nil"/>
              <w:bottom w:val="nil"/>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3,370,258.69</w:t>
            </w:r>
          </w:p>
        </w:tc>
      </w:tr>
      <w:tr>
        <w:trPr>
          <w:trHeight w:val="300"/>
        </w:trPr>
        <w:tc>
          <w:tcPr>
            <w:tcW w:w="54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Allocation of the Economic result of the year 2015</w:t>
            </w:r>
          </w:p>
        </w:tc>
        <w:tc>
          <w:tcPr>
            <w:tcW w:w="6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32,342,954.77</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 xml:space="preserve">-32,342,954.77 </w:t>
            </w:r>
          </w:p>
        </w:tc>
        <w:tc>
          <w:tcPr>
            <w:tcW w:w="1575" w:type="dxa"/>
            <w:tcBorders>
              <w:top w:val="nil"/>
              <w:left w:val="nil"/>
              <w:bottom w:val="nil"/>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0.00</w:t>
            </w:r>
          </w:p>
        </w:tc>
      </w:tr>
      <w:tr>
        <w:trPr>
          <w:trHeight w:val="300"/>
        </w:trPr>
        <w:tc>
          <w:tcPr>
            <w:tcW w:w="5400" w:type="dxa"/>
            <w:tcBorders>
              <w:top w:val="nil"/>
              <w:left w:val="nil"/>
              <w:bottom w:val="single" w:sz="4" w:space="0" w:color="000000"/>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Economic result of the year 2016</w:t>
            </w:r>
          </w:p>
        </w:tc>
        <w:tc>
          <w:tcPr>
            <w:tcW w:w="6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18"/>
              </w:rPr>
            </w:pPr>
          </w:p>
        </w:tc>
        <w:tc>
          <w:tcPr>
            <w:tcW w:w="162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29,849,553.53</w:t>
            </w:r>
          </w:p>
        </w:tc>
        <w:tc>
          <w:tcPr>
            <w:tcW w:w="15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18"/>
              </w:rPr>
            </w:pPr>
            <w:r>
              <w:rPr>
                <w:b/>
                <w:noProof/>
                <w:color w:val="000000"/>
                <w:sz w:val="18"/>
              </w:rPr>
              <w:t>29,849,553.53</w:t>
            </w:r>
          </w:p>
        </w:tc>
      </w:tr>
      <w:tr>
        <w:trPr>
          <w:trHeight w:val="300"/>
        </w:trPr>
        <w:tc>
          <w:tcPr>
            <w:tcW w:w="54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18"/>
              </w:rPr>
            </w:pPr>
            <w:r>
              <w:rPr>
                <w:b/>
                <w:noProof/>
                <w:color w:val="000000"/>
                <w:sz w:val="18"/>
              </w:rPr>
              <w:t>Balance as at 31.12.2016</w:t>
            </w:r>
          </w:p>
        </w:tc>
        <w:tc>
          <w:tcPr>
            <w:tcW w:w="6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18"/>
              </w:rPr>
            </w:pPr>
          </w:p>
        </w:tc>
        <w:tc>
          <w:tcPr>
            <w:tcW w:w="162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18"/>
              </w:rPr>
            </w:pPr>
            <w:r>
              <w:rPr>
                <w:b/>
                <w:noProof/>
                <w:color w:val="000000"/>
                <w:sz w:val="18"/>
              </w:rPr>
              <w:t>1,499,383,804.67</w:t>
            </w:r>
          </w:p>
        </w:tc>
        <w:tc>
          <w:tcPr>
            <w:tcW w:w="162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18"/>
              </w:rPr>
            </w:pPr>
            <w:r>
              <w:rPr>
                <w:b/>
                <w:noProof/>
                <w:color w:val="000000"/>
                <w:sz w:val="18"/>
              </w:rPr>
              <w:t>35,493,646.48</w:t>
            </w:r>
          </w:p>
        </w:tc>
        <w:tc>
          <w:tcPr>
            <w:tcW w:w="162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18"/>
              </w:rPr>
            </w:pPr>
            <w:r>
              <w:rPr>
                <w:b/>
                <w:noProof/>
                <w:color w:val="000000"/>
                <w:sz w:val="18"/>
              </w:rPr>
              <w:t>940,394,573.31</w:t>
            </w:r>
          </w:p>
        </w:tc>
        <w:tc>
          <w:tcPr>
            <w:tcW w:w="162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18"/>
              </w:rPr>
            </w:pPr>
            <w:r>
              <w:rPr>
                <w:b/>
                <w:noProof/>
                <w:color w:val="000000"/>
                <w:sz w:val="18"/>
              </w:rPr>
              <w:t>29,849,553.53</w:t>
            </w:r>
          </w:p>
        </w:tc>
        <w:tc>
          <w:tcPr>
            <w:tcW w:w="15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18"/>
              </w:rPr>
            </w:pPr>
            <w:r>
              <w:rPr>
                <w:b/>
                <w:noProof/>
                <w:color w:val="000000"/>
                <w:sz w:val="18"/>
              </w:rPr>
              <w:t>2,505,121,577.99</w:t>
            </w:r>
          </w:p>
        </w:tc>
      </w:tr>
      <w:tr>
        <w:trPr>
          <w:trHeight w:val="300"/>
        </w:trPr>
        <w:tc>
          <w:tcPr>
            <w:tcW w:w="54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noProof/>
                <w:color w:val="000000"/>
                <w:sz w:val="18"/>
              </w:rPr>
            </w:pPr>
            <w:r>
              <w:rPr>
                <w:noProof/>
                <w:color w:val="000000"/>
                <w:sz w:val="18"/>
              </w:rPr>
              <w:t>Contributions from the European Commission allocated but not yet paid</w:t>
            </w:r>
          </w:p>
        </w:tc>
        <w:tc>
          <w:tcPr>
            <w:tcW w:w="60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r>
              <w:rPr>
                <w:noProof/>
                <w:color w:val="000000"/>
                <w:sz w:val="18"/>
              </w:rPr>
              <w:t>7</w:t>
            </w:r>
          </w:p>
        </w:tc>
        <w:tc>
          <w:tcPr>
            <w:tcW w:w="162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137,800,722.00</w:t>
            </w:r>
          </w:p>
        </w:tc>
        <w:tc>
          <w:tcPr>
            <w:tcW w:w="162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575"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b/>
                <w:noProof/>
                <w:color w:val="000000"/>
                <w:sz w:val="18"/>
              </w:rPr>
            </w:pPr>
            <w:r>
              <w:rPr>
                <w:b/>
                <w:noProof/>
                <w:color w:val="000000"/>
                <w:sz w:val="18"/>
              </w:rPr>
              <w:t>137,800,722.00</w:t>
            </w:r>
          </w:p>
        </w:tc>
      </w:tr>
      <w:tr>
        <w:trPr>
          <w:trHeight w:val="300"/>
        </w:trPr>
        <w:tc>
          <w:tcPr>
            <w:tcW w:w="54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Recovery of historically called amount</w:t>
            </w:r>
          </w:p>
        </w:tc>
        <w:tc>
          <w:tcPr>
            <w:tcW w:w="6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r>
              <w:rPr>
                <w:noProof/>
                <w:color w:val="000000"/>
                <w:sz w:val="18"/>
              </w:rPr>
              <w:t>7</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136,092.88</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5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8"/>
              </w:rPr>
            </w:pPr>
            <w:r>
              <w:rPr>
                <w:b/>
                <w:noProof/>
                <w:color w:val="000000"/>
                <w:sz w:val="18"/>
              </w:rPr>
              <w:t>136,092.88</w:t>
            </w:r>
          </w:p>
        </w:tc>
      </w:tr>
      <w:tr>
        <w:trPr>
          <w:trHeight w:val="300"/>
        </w:trPr>
        <w:tc>
          <w:tcPr>
            <w:tcW w:w="54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Contributions paid to the EIB as guarantee call</w:t>
            </w:r>
          </w:p>
        </w:tc>
        <w:tc>
          <w:tcPr>
            <w:tcW w:w="6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r>
              <w:rPr>
                <w:noProof/>
                <w:color w:val="000000"/>
                <w:sz w:val="18"/>
              </w:rPr>
              <w:t>7</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 xml:space="preserve">-86,424,605.56 </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5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8"/>
              </w:rPr>
            </w:pPr>
            <w:r>
              <w:rPr>
                <w:b/>
                <w:noProof/>
                <w:color w:val="000000"/>
                <w:sz w:val="18"/>
              </w:rPr>
              <w:t xml:space="preserve">-86,424,605.56 </w:t>
            </w:r>
          </w:p>
        </w:tc>
      </w:tr>
      <w:tr>
        <w:trPr>
          <w:trHeight w:val="300"/>
        </w:trPr>
        <w:tc>
          <w:tcPr>
            <w:tcW w:w="54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Change of fair value reserve</w:t>
            </w:r>
          </w:p>
        </w:tc>
        <w:tc>
          <w:tcPr>
            <w:tcW w:w="6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r>
              <w:rPr>
                <w:noProof/>
                <w:color w:val="000000"/>
                <w:sz w:val="18"/>
              </w:rPr>
              <w:t>5</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 xml:space="preserve">-12,793,591.79 </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5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8"/>
              </w:rPr>
            </w:pPr>
            <w:r>
              <w:rPr>
                <w:b/>
                <w:noProof/>
                <w:color w:val="000000"/>
                <w:sz w:val="18"/>
              </w:rPr>
              <w:t xml:space="preserve">-12,793,591.79 </w:t>
            </w:r>
          </w:p>
        </w:tc>
      </w:tr>
      <w:tr>
        <w:trPr>
          <w:trHeight w:val="300"/>
        </w:trPr>
        <w:tc>
          <w:tcPr>
            <w:tcW w:w="54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Allocation of the Economic result of the year 2016</w:t>
            </w:r>
          </w:p>
        </w:tc>
        <w:tc>
          <w:tcPr>
            <w:tcW w:w="6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29,849,553.53</w:t>
            </w:r>
          </w:p>
        </w:tc>
        <w:tc>
          <w:tcPr>
            <w:tcW w:w="162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 xml:space="preserve">-29,849,553.53 </w:t>
            </w:r>
          </w:p>
        </w:tc>
        <w:tc>
          <w:tcPr>
            <w:tcW w:w="15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8"/>
              </w:rPr>
            </w:pPr>
            <w:r>
              <w:rPr>
                <w:b/>
                <w:noProof/>
                <w:color w:val="000000"/>
                <w:sz w:val="18"/>
              </w:rPr>
              <w:t>0.00</w:t>
            </w:r>
          </w:p>
        </w:tc>
      </w:tr>
      <w:tr>
        <w:trPr>
          <w:trHeight w:val="300"/>
        </w:trPr>
        <w:tc>
          <w:tcPr>
            <w:tcW w:w="5400" w:type="dxa"/>
            <w:tcBorders>
              <w:top w:val="nil"/>
              <w:left w:val="nil"/>
              <w:bottom w:val="single" w:sz="4" w:space="0" w:color="000000"/>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Economic result of the year 2017</w:t>
            </w:r>
          </w:p>
        </w:tc>
        <w:tc>
          <w:tcPr>
            <w:tcW w:w="600" w:type="dxa"/>
            <w:tcBorders>
              <w:top w:val="nil"/>
              <w:left w:val="nil"/>
              <w:bottom w:val="single" w:sz="4" w:space="0" w:color="000000"/>
              <w:right w:val="nil"/>
              <w:tl2br w:val="nil"/>
              <w:tr2bl w:val="nil"/>
            </w:tcBorders>
            <w:shd w:val="clear" w:color="auto" w:fill="auto"/>
            <w:tcMar>
              <w:left w:w="40" w:type="dxa"/>
              <w:right w:w="40" w:type="dxa"/>
            </w:tcMar>
            <w:vAlign w:val="center"/>
          </w:tcPr>
          <w:p>
            <w:pPr>
              <w:rPr>
                <w:noProof/>
                <w:color w:val="000000"/>
                <w:sz w:val="18"/>
              </w:rPr>
            </w:pPr>
          </w:p>
        </w:tc>
        <w:tc>
          <w:tcPr>
            <w:tcW w:w="162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0.00</w:t>
            </w:r>
          </w:p>
        </w:tc>
        <w:tc>
          <w:tcPr>
            <w:tcW w:w="162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15,966,869.93</w:t>
            </w:r>
          </w:p>
        </w:tc>
        <w:tc>
          <w:tcPr>
            <w:tcW w:w="15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18"/>
              </w:rPr>
            </w:pPr>
            <w:r>
              <w:rPr>
                <w:b/>
                <w:noProof/>
                <w:color w:val="000000"/>
                <w:sz w:val="18"/>
              </w:rPr>
              <w:t>15,966,869.93</w:t>
            </w:r>
          </w:p>
        </w:tc>
      </w:tr>
      <w:tr>
        <w:trPr>
          <w:trHeight w:val="300"/>
        </w:trPr>
        <w:tc>
          <w:tcPr>
            <w:tcW w:w="54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18"/>
              </w:rPr>
            </w:pPr>
            <w:r>
              <w:rPr>
                <w:b/>
                <w:noProof/>
                <w:color w:val="000000"/>
                <w:sz w:val="18"/>
              </w:rPr>
              <w:t>Balance as at 31.12.2017</w:t>
            </w:r>
          </w:p>
        </w:tc>
        <w:tc>
          <w:tcPr>
            <w:tcW w:w="6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18"/>
              </w:rPr>
            </w:pPr>
          </w:p>
        </w:tc>
        <w:tc>
          <w:tcPr>
            <w:tcW w:w="162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18"/>
              </w:rPr>
            </w:pPr>
            <w:r>
              <w:rPr>
                <w:b/>
                <w:noProof/>
                <w:color w:val="000000"/>
                <w:sz w:val="18"/>
              </w:rPr>
              <w:t>1,550,896,013.99</w:t>
            </w:r>
          </w:p>
        </w:tc>
        <w:tc>
          <w:tcPr>
            <w:tcW w:w="162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18"/>
              </w:rPr>
            </w:pPr>
            <w:r>
              <w:rPr>
                <w:b/>
                <w:noProof/>
                <w:color w:val="000000"/>
                <w:sz w:val="18"/>
              </w:rPr>
              <w:t>22,700,054.69</w:t>
            </w:r>
          </w:p>
        </w:tc>
        <w:tc>
          <w:tcPr>
            <w:tcW w:w="162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18"/>
              </w:rPr>
            </w:pPr>
            <w:r>
              <w:rPr>
                <w:b/>
                <w:noProof/>
                <w:color w:val="000000"/>
                <w:sz w:val="18"/>
              </w:rPr>
              <w:t>970,244,126.84</w:t>
            </w:r>
          </w:p>
        </w:tc>
        <w:tc>
          <w:tcPr>
            <w:tcW w:w="162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18"/>
              </w:rPr>
            </w:pPr>
            <w:r>
              <w:rPr>
                <w:b/>
                <w:noProof/>
                <w:color w:val="000000"/>
                <w:sz w:val="18"/>
              </w:rPr>
              <w:t>15,966,869.93</w:t>
            </w:r>
          </w:p>
        </w:tc>
        <w:tc>
          <w:tcPr>
            <w:tcW w:w="15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18"/>
              </w:rPr>
            </w:pPr>
            <w:r>
              <w:rPr>
                <w:b/>
                <w:noProof/>
                <w:color w:val="000000"/>
                <w:sz w:val="18"/>
              </w:rPr>
              <w:t>2,559,807,065.45</w:t>
            </w:r>
          </w:p>
        </w:tc>
      </w:tr>
    </w:tbl>
    <w:p>
      <w:pPr>
        <w:rPr>
          <w:noProof/>
        </w:rPr>
        <w:sectPr>
          <w:headerReference w:type="even" r:id="rId38"/>
          <w:headerReference w:type="default" r:id="rId39"/>
          <w:footerReference w:type="even" r:id="rId40"/>
          <w:footerReference w:type="default" r:id="rId41"/>
          <w:headerReference w:type="first" r:id="rId42"/>
          <w:footerReference w:type="first" r:id="rId43"/>
          <w:pgSz w:w="15840" w:h="12240" w:orient="landscape"/>
          <w:pgMar w:top="1418" w:right="765" w:bottom="1418" w:left="765" w:header="765" w:footer="425" w:gutter="0"/>
          <w:pgBorders>
            <w:top w:val="nil"/>
            <w:left w:val="nil"/>
            <w:bottom w:val="nil"/>
            <w:right w:val="nil"/>
          </w:pgBorders>
          <w:cols w:space="720"/>
          <w:docGrid w:linePitch="360"/>
        </w:sectPr>
      </w:pPr>
    </w:p>
    <w:p>
      <w:pPr>
        <w:pageBreakBefore/>
        <w:pBdr>
          <w:top w:val="nil"/>
          <w:left w:val="nil"/>
          <w:bottom w:val="nil"/>
          <w:right w:val="nil"/>
          <w:between w:val="nil"/>
          <w:bar w:val="nil"/>
        </w:pBdr>
        <w:ind w:left="142"/>
        <w:jc w:val="center"/>
        <w:rPr>
          <w:b/>
          <w:bCs/>
          <w:noProof/>
          <w:szCs w:val="22"/>
          <w:bdr w:val="nil"/>
        </w:rPr>
      </w:pPr>
      <w:r>
        <w:rPr>
          <w:b/>
          <w:bCs/>
          <w:noProof/>
          <w:szCs w:val="22"/>
          <w:bdr w:val="nil"/>
        </w:rPr>
        <w:t xml:space="preserve">Cash flow statement </w:t>
      </w:r>
    </w:p>
    <w:p>
      <w:pPr>
        <w:pBdr>
          <w:top w:val="nil"/>
          <w:left w:val="nil"/>
          <w:bottom w:val="nil"/>
          <w:right w:val="nil"/>
          <w:between w:val="nil"/>
          <w:bar w:val="nil"/>
        </w:pBdr>
        <w:spacing w:before="120"/>
        <w:ind w:left="142"/>
        <w:jc w:val="center"/>
        <w:rPr>
          <w:bCs/>
          <w:noProof/>
          <w:szCs w:val="22"/>
          <w:bdr w:val="nil"/>
        </w:rPr>
      </w:pPr>
      <w:r>
        <w:rPr>
          <w:bCs/>
          <w:noProof/>
          <w:szCs w:val="22"/>
          <w:bdr w:val="nil"/>
        </w:rPr>
        <w:t>For the year ended 31 December 2017</w:t>
      </w:r>
    </w:p>
    <w:p>
      <w:pPr>
        <w:pBdr>
          <w:top w:val="nil"/>
          <w:left w:val="nil"/>
          <w:bottom w:val="nil"/>
          <w:right w:val="nil"/>
          <w:between w:val="nil"/>
          <w:bar w:val="nil"/>
        </w:pBdr>
        <w:ind w:left="142"/>
        <w:jc w:val="center"/>
        <w:rPr>
          <w:bCs/>
          <w:noProof/>
          <w:szCs w:val="22"/>
          <w:bdr w:val="nil"/>
        </w:rPr>
      </w:pPr>
      <w:r>
        <w:rPr>
          <w:bCs/>
          <w:noProof/>
          <w:szCs w:val="22"/>
          <w:bdr w:val="nil"/>
        </w:rPr>
        <w:t>(in EUR)</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75"/>
        <w:gridCol w:w="900"/>
        <w:gridCol w:w="1800"/>
        <w:gridCol w:w="1800"/>
      </w:tblGrid>
      <w:tr>
        <w:trPr>
          <w:trHeight w:val="48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18"/>
              </w:rPr>
            </w:pP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b/>
                <w:noProof/>
                <w:color w:val="000000"/>
                <w:sz w:val="18"/>
              </w:rPr>
            </w:pPr>
            <w:r>
              <w:rPr>
                <w:b/>
                <w:noProof/>
                <w:color w:val="000000"/>
                <w:sz w:val="18"/>
              </w:rPr>
              <w:t>Notes</w:t>
            </w: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18"/>
              </w:rPr>
            </w:pPr>
            <w:r>
              <w:rPr>
                <w:b/>
                <w:noProof/>
                <w:color w:val="000000"/>
                <w:sz w:val="18"/>
              </w:rPr>
              <w:t>From 01.01.2017</w:t>
            </w:r>
            <w:r>
              <w:rPr>
                <w:b/>
                <w:noProof/>
                <w:color w:val="000000"/>
                <w:sz w:val="18"/>
              </w:rPr>
              <w:br/>
              <w:t>to 31.12.2017</w:t>
            </w: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18"/>
              </w:rPr>
            </w:pPr>
            <w:r>
              <w:rPr>
                <w:b/>
                <w:noProof/>
                <w:color w:val="000000"/>
                <w:sz w:val="18"/>
              </w:rPr>
              <w:t>From 01.01.2016</w:t>
            </w:r>
            <w:r>
              <w:rPr>
                <w:b/>
                <w:noProof/>
                <w:color w:val="000000"/>
                <w:sz w:val="18"/>
              </w:rPr>
              <w:br/>
              <w:t>to 31.12.2016</w:t>
            </w:r>
          </w:p>
        </w:tc>
      </w:tr>
      <w:tr>
        <w:trPr>
          <w:trHeight w:val="300"/>
        </w:trPr>
        <w:tc>
          <w:tcPr>
            <w:tcW w:w="5475"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18"/>
              </w:rPr>
            </w:pPr>
            <w:r>
              <w:rPr>
                <w:b/>
                <w:noProof/>
                <w:color w:val="000000"/>
                <w:sz w:val="18"/>
              </w:rPr>
              <w:t>Operating activities</w:t>
            </w:r>
          </w:p>
        </w:tc>
        <w:tc>
          <w:tcPr>
            <w:tcW w:w="900"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18"/>
              </w:rPr>
            </w:pPr>
          </w:p>
        </w:tc>
        <w:tc>
          <w:tcPr>
            <w:tcW w:w="18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rPr>
                <w:noProof/>
                <w:color w:val="000000"/>
                <w:sz w:val="18"/>
              </w:rPr>
            </w:pPr>
          </w:p>
        </w:tc>
        <w:tc>
          <w:tcPr>
            <w:tcW w:w="18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rPr>
                <w:noProof/>
                <w:color w:val="000000"/>
                <w:sz w:val="18"/>
              </w:rPr>
            </w:pPr>
          </w:p>
        </w:tc>
      </w:tr>
      <w:tr>
        <w:trPr>
          <w:trHeight w:val="300"/>
        </w:trPr>
        <w:tc>
          <w:tcPr>
            <w:tcW w:w="5475" w:type="dxa"/>
            <w:tcBorders>
              <w:top w:val="single" w:sz="4" w:space="0" w:color="000000"/>
              <w:left w:val="nil"/>
              <w:bottom w:val="nil"/>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 xml:space="preserve">     Treasury management fee paid during the year</w:t>
            </w:r>
          </w:p>
        </w:tc>
        <w:tc>
          <w:tcPr>
            <w:tcW w:w="900" w:type="dxa"/>
            <w:tcBorders>
              <w:top w:val="single" w:sz="4" w:space="0" w:color="000000"/>
              <w:left w:val="nil"/>
              <w:bottom w:val="nil"/>
              <w:right w:val="nil"/>
              <w:tl2br w:val="nil"/>
              <w:tr2bl w:val="nil"/>
            </w:tcBorders>
            <w:shd w:val="clear" w:color="auto" w:fill="auto"/>
            <w:tcMar>
              <w:left w:w="40" w:type="dxa"/>
              <w:right w:w="40" w:type="dxa"/>
            </w:tcMar>
            <w:vAlign w:val="center"/>
          </w:tcPr>
          <w:p>
            <w:pPr>
              <w:rPr>
                <w:noProof/>
                <w:color w:val="000000"/>
                <w:sz w:val="18"/>
              </w:rPr>
            </w:pPr>
          </w:p>
        </w:tc>
        <w:tc>
          <w:tcPr>
            <w:tcW w:w="180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-891,975.15</w:t>
            </w:r>
          </w:p>
        </w:tc>
        <w:tc>
          <w:tcPr>
            <w:tcW w:w="180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-861,227.98</w:t>
            </w:r>
          </w:p>
        </w:tc>
      </w:tr>
      <w:tr>
        <w:trPr>
          <w:trHeight w:val="300"/>
        </w:trPr>
        <w:tc>
          <w:tcPr>
            <w:tcW w:w="54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 xml:space="preserve">     Bank fees / audit fees paid during the year</w:t>
            </w:r>
          </w:p>
        </w:tc>
        <w:tc>
          <w:tcPr>
            <w:tcW w:w="9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-183,608.61</w:t>
            </w: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-182,136.97</w:t>
            </w:r>
          </w:p>
        </w:tc>
      </w:tr>
      <w:tr>
        <w:trPr>
          <w:trHeight w:val="300"/>
        </w:trPr>
        <w:tc>
          <w:tcPr>
            <w:tcW w:w="54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 xml:space="preserve">     Contributions paid  as guarantee call</w:t>
            </w:r>
          </w:p>
        </w:tc>
        <w:tc>
          <w:tcPr>
            <w:tcW w:w="9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-86,424,605.56</w:t>
            </w: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-110,828,866.39</w:t>
            </w:r>
          </w:p>
        </w:tc>
      </w:tr>
      <w:tr>
        <w:trPr>
          <w:trHeight w:val="300"/>
        </w:trPr>
        <w:tc>
          <w:tcPr>
            <w:tcW w:w="5475"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i/>
                <w:noProof/>
                <w:color w:val="000000"/>
                <w:sz w:val="18"/>
              </w:rPr>
            </w:pPr>
            <w:r>
              <w:rPr>
                <w:b/>
                <w:i/>
                <w:noProof/>
                <w:color w:val="000000"/>
                <w:sz w:val="18"/>
              </w:rPr>
              <w:t>Net cash flows used in operating activities</w:t>
            </w:r>
          </w:p>
        </w:tc>
        <w:tc>
          <w:tcPr>
            <w:tcW w:w="900"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i/>
                <w:noProof/>
                <w:color w:val="000000"/>
                <w:sz w:val="18"/>
              </w:rPr>
            </w:pP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i/>
                <w:noProof/>
                <w:color w:val="000000"/>
                <w:sz w:val="18"/>
              </w:rPr>
            </w:pPr>
            <w:r>
              <w:rPr>
                <w:b/>
                <w:i/>
                <w:noProof/>
                <w:color w:val="000000"/>
                <w:sz w:val="18"/>
              </w:rPr>
              <w:t>-87,500,189.32</w:t>
            </w: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i/>
                <w:noProof/>
                <w:color w:val="000000"/>
                <w:sz w:val="18"/>
              </w:rPr>
            </w:pPr>
            <w:r>
              <w:rPr>
                <w:b/>
                <w:i/>
                <w:noProof/>
                <w:color w:val="000000"/>
                <w:sz w:val="18"/>
              </w:rPr>
              <w:t>-111,872,231.34</w:t>
            </w:r>
          </w:p>
        </w:tc>
      </w:tr>
      <w:tr>
        <w:trPr>
          <w:trHeight w:val="300"/>
        </w:trPr>
        <w:tc>
          <w:tcPr>
            <w:tcW w:w="54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18"/>
              </w:rPr>
            </w:pPr>
            <w:r>
              <w:rPr>
                <w:b/>
                <w:noProof/>
                <w:color w:val="000000"/>
                <w:sz w:val="18"/>
              </w:rPr>
              <w:t>Investing activities</w:t>
            </w:r>
          </w:p>
        </w:tc>
        <w:tc>
          <w:tcPr>
            <w:tcW w:w="9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18"/>
              </w:rPr>
            </w:pPr>
          </w:p>
        </w:tc>
        <w:tc>
          <w:tcPr>
            <w:tcW w:w="18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rPr>
                <w:noProof/>
                <w:color w:val="000000"/>
                <w:sz w:val="18"/>
              </w:rPr>
            </w:pPr>
          </w:p>
        </w:tc>
        <w:tc>
          <w:tcPr>
            <w:tcW w:w="18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rPr>
                <w:noProof/>
                <w:color w:val="000000"/>
                <w:sz w:val="18"/>
              </w:rPr>
            </w:pPr>
          </w:p>
        </w:tc>
      </w:tr>
      <w:tr>
        <w:trPr>
          <w:trHeight w:val="300"/>
        </w:trPr>
        <w:tc>
          <w:tcPr>
            <w:tcW w:w="54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both"/>
              <w:rPr>
                <w:noProof/>
                <w:color w:val="000000"/>
                <w:sz w:val="18"/>
              </w:rPr>
            </w:pPr>
            <w:r>
              <w:rPr>
                <w:noProof/>
                <w:color w:val="000000"/>
                <w:sz w:val="18"/>
              </w:rPr>
              <w:t xml:space="preserve">     Net interest received on cash and cash equivalents</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both"/>
              <w:rPr>
                <w:noProof/>
                <w:color w:val="000000"/>
                <w:sz w:val="18"/>
              </w:rPr>
            </w:pPr>
          </w:p>
        </w:tc>
        <w:tc>
          <w:tcPr>
            <w:tcW w:w="180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-946,897.88</w:t>
            </w:r>
          </w:p>
        </w:tc>
        <w:tc>
          <w:tcPr>
            <w:tcW w:w="180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-272,404.49</w:t>
            </w:r>
          </w:p>
        </w:tc>
      </w:tr>
      <w:tr>
        <w:trPr>
          <w:trHeight w:val="300"/>
        </w:trPr>
        <w:tc>
          <w:tcPr>
            <w:tcW w:w="54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 xml:space="preserve">     Purchase of investments - Bond portfolio</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r>
              <w:rPr>
                <w:noProof/>
                <w:color w:val="000000"/>
                <w:sz w:val="18"/>
              </w:rPr>
              <w:t>5</w:t>
            </w: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-831,402,720.51</w:t>
            </w: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-991,735,364.00</w:t>
            </w:r>
          </w:p>
        </w:tc>
      </w:tr>
      <w:tr>
        <w:trPr>
          <w:trHeight w:val="300"/>
        </w:trPr>
        <w:tc>
          <w:tcPr>
            <w:tcW w:w="54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 xml:space="preserve">     Proceeds of investments - Bond portfolio</w:t>
            </w:r>
          </w:p>
        </w:tc>
        <w:tc>
          <w:tcPr>
            <w:tcW w:w="9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678,490,886.73</w:t>
            </w: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930,234,324.63</w:t>
            </w:r>
          </w:p>
        </w:tc>
      </w:tr>
      <w:tr>
        <w:trPr>
          <w:trHeight w:val="300"/>
        </w:trPr>
        <w:tc>
          <w:tcPr>
            <w:tcW w:w="54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 xml:space="preserve">     Interest received - Bond portfolio</w:t>
            </w:r>
          </w:p>
        </w:tc>
        <w:tc>
          <w:tcPr>
            <w:tcW w:w="9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27,956,264.34</w:t>
            </w: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29,390,127.26</w:t>
            </w:r>
          </w:p>
        </w:tc>
      </w:tr>
      <w:tr>
        <w:trPr>
          <w:trHeight w:val="300"/>
        </w:trPr>
        <w:tc>
          <w:tcPr>
            <w:tcW w:w="54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 xml:space="preserve">     Income from securities lending activity</w:t>
            </w:r>
          </w:p>
        </w:tc>
        <w:tc>
          <w:tcPr>
            <w:tcW w:w="9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100,034.32</w:t>
            </w: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119,696.45</w:t>
            </w:r>
          </w:p>
        </w:tc>
      </w:tr>
      <w:tr>
        <w:trPr>
          <w:trHeight w:val="300"/>
        </w:trPr>
        <w:tc>
          <w:tcPr>
            <w:tcW w:w="5475"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i/>
                <w:noProof/>
                <w:color w:val="000000"/>
                <w:sz w:val="18"/>
              </w:rPr>
            </w:pPr>
            <w:r>
              <w:rPr>
                <w:b/>
                <w:i/>
                <w:noProof/>
                <w:color w:val="000000"/>
                <w:sz w:val="18"/>
              </w:rPr>
              <w:t>Net cash flows used in investing activities</w:t>
            </w:r>
          </w:p>
        </w:tc>
        <w:tc>
          <w:tcPr>
            <w:tcW w:w="900"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i/>
                <w:noProof/>
                <w:color w:val="000000"/>
                <w:sz w:val="18"/>
              </w:rPr>
            </w:pP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i/>
                <w:noProof/>
                <w:color w:val="000000"/>
                <w:sz w:val="18"/>
              </w:rPr>
            </w:pPr>
            <w:r>
              <w:rPr>
                <w:b/>
                <w:i/>
                <w:noProof/>
                <w:color w:val="000000"/>
                <w:sz w:val="18"/>
              </w:rPr>
              <w:t>-125,802,433.00</w:t>
            </w: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i/>
                <w:noProof/>
                <w:color w:val="000000"/>
                <w:sz w:val="18"/>
              </w:rPr>
            </w:pPr>
            <w:r>
              <w:rPr>
                <w:b/>
                <w:i/>
                <w:noProof/>
                <w:color w:val="000000"/>
                <w:sz w:val="18"/>
              </w:rPr>
              <w:t>-32,263,620.15</w:t>
            </w:r>
          </w:p>
        </w:tc>
      </w:tr>
      <w:tr>
        <w:trPr>
          <w:trHeight w:val="300"/>
        </w:trPr>
        <w:tc>
          <w:tcPr>
            <w:tcW w:w="54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18"/>
              </w:rPr>
            </w:pPr>
            <w:r>
              <w:rPr>
                <w:b/>
                <w:noProof/>
                <w:color w:val="000000"/>
                <w:sz w:val="18"/>
              </w:rPr>
              <w:t>Financing activities</w:t>
            </w:r>
          </w:p>
        </w:tc>
        <w:tc>
          <w:tcPr>
            <w:tcW w:w="9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18"/>
              </w:rPr>
            </w:pP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i/>
                <w:noProof/>
                <w:color w:val="000000"/>
                <w:sz w:val="18"/>
              </w:rPr>
            </w:pP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i/>
                <w:noProof/>
                <w:color w:val="000000"/>
                <w:sz w:val="18"/>
              </w:rPr>
            </w:pPr>
          </w:p>
        </w:tc>
      </w:tr>
      <w:tr>
        <w:trPr>
          <w:trHeight w:val="300"/>
        </w:trPr>
        <w:tc>
          <w:tcPr>
            <w:tcW w:w="5475" w:type="dxa"/>
            <w:tcBorders>
              <w:top w:val="single" w:sz="4" w:space="0" w:color="000000"/>
              <w:left w:val="nil"/>
              <w:bottom w:val="nil"/>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 xml:space="preserve">      Contributions received from the European Commission </w:t>
            </w:r>
          </w:p>
        </w:tc>
        <w:tc>
          <w:tcPr>
            <w:tcW w:w="90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center"/>
              <w:rPr>
                <w:noProof/>
                <w:color w:val="000000"/>
                <w:sz w:val="18"/>
              </w:rPr>
            </w:pPr>
            <w:r>
              <w:rPr>
                <w:noProof/>
                <w:color w:val="000000"/>
                <w:sz w:val="18"/>
              </w:rPr>
              <w:t>7</w:t>
            </w:r>
          </w:p>
        </w:tc>
        <w:tc>
          <w:tcPr>
            <w:tcW w:w="180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240,540,250.00</w:t>
            </w:r>
          </w:p>
        </w:tc>
        <w:tc>
          <w:tcPr>
            <w:tcW w:w="180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257,121,792.00</w:t>
            </w:r>
          </w:p>
        </w:tc>
      </w:tr>
      <w:tr>
        <w:trPr>
          <w:trHeight w:val="300"/>
        </w:trPr>
        <w:tc>
          <w:tcPr>
            <w:tcW w:w="5475"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i/>
                <w:noProof/>
                <w:color w:val="000000"/>
                <w:sz w:val="18"/>
              </w:rPr>
            </w:pPr>
            <w:r>
              <w:rPr>
                <w:b/>
                <w:i/>
                <w:noProof/>
                <w:color w:val="000000"/>
                <w:sz w:val="18"/>
              </w:rPr>
              <w:t>Net cash flows from financing activities</w:t>
            </w:r>
          </w:p>
        </w:tc>
        <w:tc>
          <w:tcPr>
            <w:tcW w:w="900"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i/>
                <w:noProof/>
                <w:color w:val="000000"/>
                <w:sz w:val="18"/>
              </w:rPr>
            </w:pP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i/>
                <w:noProof/>
                <w:color w:val="000000"/>
                <w:sz w:val="18"/>
              </w:rPr>
            </w:pPr>
            <w:r>
              <w:rPr>
                <w:b/>
                <w:i/>
                <w:noProof/>
                <w:color w:val="000000"/>
                <w:sz w:val="18"/>
              </w:rPr>
              <w:t>240,540,250.00</w:t>
            </w: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i/>
                <w:noProof/>
                <w:color w:val="000000"/>
                <w:sz w:val="18"/>
              </w:rPr>
            </w:pPr>
            <w:r>
              <w:rPr>
                <w:b/>
                <w:i/>
                <w:noProof/>
                <w:color w:val="000000"/>
                <w:sz w:val="18"/>
              </w:rPr>
              <w:t>257,121,792.00</w:t>
            </w:r>
          </w:p>
        </w:tc>
      </w:tr>
      <w:tr>
        <w:trPr>
          <w:trHeight w:val="300"/>
        </w:trPr>
        <w:tc>
          <w:tcPr>
            <w:tcW w:w="54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rPr>
                <w:noProof/>
                <w:color w:val="000000"/>
                <w:sz w:val="18"/>
              </w:rPr>
            </w:pPr>
            <w:r>
              <w:rPr>
                <w:noProof/>
                <w:color w:val="000000"/>
                <w:sz w:val="18"/>
              </w:rPr>
              <w:t>Net increase in cash and cash equivalents</w:t>
            </w:r>
          </w:p>
        </w:tc>
        <w:tc>
          <w:tcPr>
            <w:tcW w:w="9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rPr>
                <w:noProof/>
                <w:color w:val="000000"/>
                <w:sz w:val="18"/>
              </w:rPr>
            </w:pPr>
          </w:p>
        </w:tc>
        <w:tc>
          <w:tcPr>
            <w:tcW w:w="18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noProof/>
                <w:color w:val="000000"/>
                <w:sz w:val="18"/>
              </w:rPr>
            </w:pPr>
            <w:r>
              <w:rPr>
                <w:noProof/>
                <w:color w:val="000000"/>
                <w:sz w:val="18"/>
              </w:rPr>
              <w:t>27,237,627.68</w:t>
            </w:r>
          </w:p>
        </w:tc>
        <w:tc>
          <w:tcPr>
            <w:tcW w:w="18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noProof/>
                <w:color w:val="000000"/>
                <w:sz w:val="18"/>
              </w:rPr>
            </w:pPr>
            <w:r>
              <w:rPr>
                <w:noProof/>
                <w:color w:val="000000"/>
                <w:sz w:val="18"/>
              </w:rPr>
              <w:t>112,985,940.51</w:t>
            </w:r>
          </w:p>
        </w:tc>
      </w:tr>
      <w:tr>
        <w:trPr>
          <w:trHeight w:val="300"/>
        </w:trPr>
        <w:tc>
          <w:tcPr>
            <w:tcW w:w="5475"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i/>
                <w:noProof/>
                <w:color w:val="000000"/>
                <w:sz w:val="18"/>
              </w:rPr>
            </w:pPr>
            <w:r>
              <w:rPr>
                <w:b/>
                <w:i/>
                <w:noProof/>
                <w:color w:val="000000"/>
                <w:sz w:val="18"/>
              </w:rPr>
              <w:t>Cash and cash equivalents at the beginning of the financial year</w:t>
            </w:r>
          </w:p>
        </w:tc>
        <w:tc>
          <w:tcPr>
            <w:tcW w:w="900"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i/>
                <w:noProof/>
                <w:color w:val="000000"/>
                <w:sz w:val="18"/>
              </w:rPr>
            </w:pP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i/>
                <w:noProof/>
                <w:color w:val="000000"/>
                <w:sz w:val="18"/>
              </w:rPr>
            </w:pPr>
            <w:r>
              <w:rPr>
                <w:b/>
                <w:i/>
                <w:noProof/>
                <w:color w:val="000000"/>
                <w:sz w:val="18"/>
              </w:rPr>
              <w:t>196,931,503.50</w:t>
            </w: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i/>
                <w:noProof/>
                <w:color w:val="000000"/>
                <w:sz w:val="18"/>
              </w:rPr>
            </w:pPr>
            <w:r>
              <w:rPr>
                <w:b/>
                <w:i/>
                <w:noProof/>
                <w:color w:val="000000"/>
                <w:sz w:val="18"/>
              </w:rPr>
              <w:t>83,945,562.99</w:t>
            </w:r>
          </w:p>
        </w:tc>
      </w:tr>
      <w:tr>
        <w:trPr>
          <w:trHeight w:val="300"/>
        </w:trPr>
        <w:tc>
          <w:tcPr>
            <w:tcW w:w="54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rPr>
                <w:b/>
                <w:i/>
                <w:noProof/>
                <w:color w:val="000000"/>
                <w:sz w:val="18"/>
              </w:rPr>
            </w:pPr>
            <w:r>
              <w:rPr>
                <w:b/>
                <w:i/>
                <w:noProof/>
                <w:color w:val="000000"/>
                <w:sz w:val="18"/>
              </w:rPr>
              <w:t>Cash and cash equivalents at the end of the financial year</w:t>
            </w:r>
          </w:p>
        </w:tc>
        <w:tc>
          <w:tcPr>
            <w:tcW w:w="9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rPr>
                <w:b/>
                <w:i/>
                <w:noProof/>
                <w:color w:val="000000"/>
                <w:sz w:val="18"/>
              </w:rPr>
            </w:pPr>
          </w:p>
        </w:tc>
        <w:tc>
          <w:tcPr>
            <w:tcW w:w="18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i/>
                <w:noProof/>
                <w:color w:val="000000"/>
                <w:sz w:val="18"/>
              </w:rPr>
            </w:pPr>
            <w:r>
              <w:rPr>
                <w:b/>
                <w:i/>
                <w:noProof/>
                <w:color w:val="000000"/>
                <w:sz w:val="18"/>
              </w:rPr>
              <w:t>224,169,131.18</w:t>
            </w:r>
          </w:p>
        </w:tc>
        <w:tc>
          <w:tcPr>
            <w:tcW w:w="18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i/>
                <w:noProof/>
                <w:color w:val="000000"/>
                <w:sz w:val="18"/>
              </w:rPr>
            </w:pPr>
            <w:r>
              <w:rPr>
                <w:b/>
                <w:i/>
                <w:noProof/>
                <w:color w:val="000000"/>
                <w:sz w:val="18"/>
              </w:rPr>
              <w:t>196,931,503.50</w:t>
            </w:r>
          </w:p>
        </w:tc>
      </w:tr>
      <w:tr>
        <w:trPr>
          <w:trHeight w:val="300"/>
        </w:trPr>
        <w:tc>
          <w:tcPr>
            <w:tcW w:w="5475" w:type="dxa"/>
            <w:tcBorders>
              <w:top w:val="single" w:sz="4" w:space="0" w:color="000000"/>
              <w:left w:val="nil"/>
              <w:bottom w:val="nil"/>
              <w:right w:val="nil"/>
              <w:tl2br w:val="nil"/>
              <w:tr2bl w:val="nil"/>
            </w:tcBorders>
            <w:shd w:val="clear" w:color="auto" w:fill="auto"/>
            <w:tcMar>
              <w:left w:w="40" w:type="dxa"/>
              <w:right w:w="40" w:type="dxa"/>
            </w:tcMar>
            <w:vAlign w:val="center"/>
          </w:tcPr>
          <w:p>
            <w:pPr>
              <w:rPr>
                <w:b/>
                <w:i/>
                <w:noProof/>
                <w:color w:val="000000"/>
                <w:sz w:val="18"/>
              </w:rPr>
            </w:pPr>
          </w:p>
        </w:tc>
        <w:tc>
          <w:tcPr>
            <w:tcW w:w="900" w:type="dxa"/>
            <w:tcBorders>
              <w:top w:val="single" w:sz="4" w:space="0" w:color="000000"/>
              <w:left w:val="nil"/>
              <w:bottom w:val="nil"/>
              <w:right w:val="nil"/>
              <w:tl2br w:val="nil"/>
              <w:tr2bl w:val="nil"/>
            </w:tcBorders>
            <w:shd w:val="clear" w:color="auto" w:fill="auto"/>
            <w:tcMar>
              <w:left w:w="40" w:type="dxa"/>
              <w:right w:w="40" w:type="dxa"/>
            </w:tcMar>
            <w:vAlign w:val="center"/>
          </w:tcPr>
          <w:p>
            <w:pPr>
              <w:rPr>
                <w:b/>
                <w:i/>
                <w:noProof/>
                <w:color w:val="000000"/>
                <w:sz w:val="18"/>
              </w:rPr>
            </w:pPr>
          </w:p>
        </w:tc>
        <w:tc>
          <w:tcPr>
            <w:tcW w:w="180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b/>
                <w:i/>
                <w:noProof/>
                <w:color w:val="000000"/>
                <w:sz w:val="18"/>
              </w:rPr>
            </w:pPr>
          </w:p>
        </w:tc>
        <w:tc>
          <w:tcPr>
            <w:tcW w:w="180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b/>
                <w:i/>
                <w:noProof/>
                <w:color w:val="000000"/>
                <w:sz w:val="18"/>
              </w:rPr>
            </w:pPr>
          </w:p>
        </w:tc>
      </w:tr>
      <w:tr>
        <w:trPr>
          <w:trHeight w:val="300"/>
        </w:trPr>
        <w:tc>
          <w:tcPr>
            <w:tcW w:w="5475" w:type="dxa"/>
            <w:tcBorders>
              <w:top w:val="nil"/>
              <w:left w:val="nil"/>
              <w:bottom w:val="nil"/>
              <w:right w:val="nil"/>
              <w:tl2br w:val="nil"/>
              <w:tr2bl w:val="nil"/>
            </w:tcBorders>
            <w:shd w:val="clear" w:color="auto" w:fill="auto"/>
            <w:tcMar>
              <w:left w:w="40" w:type="dxa"/>
              <w:right w:w="40" w:type="dxa"/>
            </w:tcMar>
            <w:vAlign w:val="center"/>
          </w:tcPr>
          <w:p>
            <w:pPr>
              <w:rPr>
                <w:b/>
                <w:i/>
                <w:noProof/>
                <w:color w:val="000000"/>
                <w:sz w:val="18"/>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rPr>
                <w:b/>
                <w:i/>
                <w:noProof/>
                <w:color w:val="000000"/>
                <w:sz w:val="18"/>
              </w:rPr>
            </w:pP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b/>
                <w:i/>
                <w:noProof/>
                <w:color w:val="000000"/>
                <w:sz w:val="18"/>
              </w:rPr>
            </w:pP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b/>
                <w:i/>
                <w:noProof/>
                <w:color w:val="000000"/>
                <w:sz w:val="18"/>
              </w:rPr>
            </w:pPr>
          </w:p>
        </w:tc>
      </w:tr>
      <w:tr>
        <w:trPr>
          <w:trHeight w:val="480"/>
        </w:trPr>
        <w:tc>
          <w:tcPr>
            <w:tcW w:w="5475" w:type="dxa"/>
            <w:tcBorders>
              <w:top w:val="nil"/>
              <w:left w:val="nil"/>
              <w:bottom w:val="nil"/>
              <w:right w:val="nil"/>
              <w:tl2br w:val="nil"/>
              <w:tr2bl w:val="nil"/>
            </w:tcBorders>
            <w:shd w:val="clear" w:color="auto" w:fill="auto"/>
            <w:tcMar>
              <w:left w:w="40" w:type="dxa"/>
              <w:right w:w="40" w:type="dxa"/>
            </w:tcMar>
            <w:vAlign w:val="center"/>
          </w:tcPr>
          <w:p>
            <w:pPr>
              <w:rPr>
                <w:b/>
                <w:noProof/>
                <w:color w:val="000000"/>
                <w:sz w:val="18"/>
              </w:rPr>
            </w:pPr>
            <w:r>
              <w:rPr>
                <w:b/>
                <w:noProof/>
                <w:color w:val="000000"/>
                <w:sz w:val="18"/>
              </w:rPr>
              <w:t>Cash and cash equivalents are composed of</w:t>
            </w:r>
            <w:r>
              <w:rPr>
                <w:b/>
                <w:noProof/>
                <w:color w:val="000000"/>
                <w:sz w:val="18"/>
              </w:rPr>
              <w:br/>
              <w:t>(excluding accrued interest):</w:t>
            </w:r>
          </w:p>
        </w:tc>
        <w:tc>
          <w:tcPr>
            <w:tcW w:w="900" w:type="dxa"/>
            <w:tcBorders>
              <w:top w:val="nil"/>
              <w:left w:val="nil"/>
              <w:bottom w:val="nil"/>
              <w:right w:val="nil"/>
              <w:tl2br w:val="nil"/>
              <w:tr2bl w:val="nil"/>
            </w:tcBorders>
            <w:shd w:val="clear" w:color="auto" w:fill="auto"/>
            <w:tcMar>
              <w:left w:w="40" w:type="dxa"/>
              <w:right w:w="40" w:type="dxa"/>
            </w:tcMar>
            <w:vAlign w:val="center"/>
          </w:tcPr>
          <w:p>
            <w:pPr>
              <w:rPr>
                <w:b/>
                <w:noProof/>
                <w:color w:val="000000"/>
                <w:sz w:val="18"/>
              </w:rPr>
            </w:pP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b/>
                <w:i/>
                <w:noProof/>
                <w:color w:val="000000"/>
                <w:sz w:val="18"/>
              </w:rPr>
            </w:pP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b/>
                <w:i/>
                <w:noProof/>
                <w:color w:val="000000"/>
                <w:sz w:val="18"/>
              </w:rPr>
            </w:pPr>
          </w:p>
        </w:tc>
      </w:tr>
      <w:tr>
        <w:trPr>
          <w:trHeight w:val="300"/>
        </w:trPr>
        <w:tc>
          <w:tcPr>
            <w:tcW w:w="5475" w:type="dxa"/>
            <w:tcBorders>
              <w:top w:val="nil"/>
              <w:left w:val="nil"/>
              <w:bottom w:val="nil"/>
              <w:right w:val="nil"/>
              <w:tl2br w:val="nil"/>
              <w:tr2bl w:val="nil"/>
            </w:tcBorders>
            <w:shd w:val="clear" w:color="auto" w:fill="auto"/>
            <w:tcMar>
              <w:left w:w="40" w:type="dxa"/>
              <w:right w:w="40" w:type="dxa"/>
            </w:tcMar>
            <w:vAlign w:val="center"/>
          </w:tcPr>
          <w:p>
            <w:pPr>
              <w:rPr>
                <w:b/>
                <w:noProof/>
                <w:color w:val="000000"/>
                <w:sz w:val="18"/>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rPr>
                <w:b/>
                <w:noProof/>
                <w:color w:val="000000"/>
                <w:sz w:val="18"/>
              </w:rPr>
            </w:pP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b/>
                <w:i/>
                <w:noProof/>
                <w:color w:val="000000"/>
                <w:sz w:val="18"/>
              </w:rPr>
            </w:pP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b/>
                <w:i/>
                <w:noProof/>
                <w:color w:val="000000"/>
                <w:sz w:val="18"/>
              </w:rPr>
            </w:pPr>
          </w:p>
        </w:tc>
      </w:tr>
      <w:tr>
        <w:trPr>
          <w:trHeight w:val="300"/>
        </w:trPr>
        <w:tc>
          <w:tcPr>
            <w:tcW w:w="54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Current accounts</w:t>
            </w:r>
          </w:p>
        </w:tc>
        <w:tc>
          <w:tcPr>
            <w:tcW w:w="9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45,569,131.18</w:t>
            </w: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45,431,503.50</w:t>
            </w:r>
          </w:p>
        </w:tc>
      </w:tr>
      <w:tr>
        <w:trPr>
          <w:trHeight w:val="300"/>
        </w:trPr>
        <w:tc>
          <w:tcPr>
            <w:tcW w:w="54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r>
              <w:rPr>
                <w:noProof/>
                <w:color w:val="000000"/>
                <w:sz w:val="18"/>
              </w:rPr>
              <w:t xml:space="preserve">Short-term deposits </w:t>
            </w:r>
          </w:p>
        </w:tc>
        <w:tc>
          <w:tcPr>
            <w:tcW w:w="9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18"/>
              </w:rPr>
            </w:pP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178,600,000.00</w:t>
            </w:r>
          </w:p>
        </w:tc>
        <w:tc>
          <w:tcPr>
            <w:tcW w:w="180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8"/>
              </w:rPr>
            </w:pPr>
            <w:r>
              <w:rPr>
                <w:noProof/>
                <w:color w:val="000000"/>
                <w:sz w:val="18"/>
              </w:rPr>
              <w:t>151,500,000.00</w:t>
            </w:r>
          </w:p>
        </w:tc>
      </w:tr>
      <w:tr>
        <w:trPr>
          <w:trHeight w:val="300"/>
        </w:trPr>
        <w:tc>
          <w:tcPr>
            <w:tcW w:w="54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18"/>
              </w:rPr>
            </w:pPr>
            <w:r>
              <w:rPr>
                <w:b/>
                <w:noProof/>
                <w:color w:val="000000"/>
                <w:sz w:val="18"/>
              </w:rPr>
              <w:t>Total cash and cash equivalents</w:t>
            </w:r>
          </w:p>
        </w:tc>
        <w:tc>
          <w:tcPr>
            <w:tcW w:w="9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18"/>
              </w:rPr>
            </w:pPr>
          </w:p>
        </w:tc>
        <w:tc>
          <w:tcPr>
            <w:tcW w:w="18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18"/>
              </w:rPr>
            </w:pPr>
            <w:r>
              <w:rPr>
                <w:b/>
                <w:noProof/>
                <w:color w:val="000000"/>
                <w:sz w:val="18"/>
              </w:rPr>
              <w:t>224,169,131.18</w:t>
            </w:r>
          </w:p>
        </w:tc>
        <w:tc>
          <w:tcPr>
            <w:tcW w:w="18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18"/>
              </w:rPr>
            </w:pPr>
            <w:r>
              <w:rPr>
                <w:b/>
                <w:noProof/>
                <w:color w:val="000000"/>
                <w:sz w:val="18"/>
              </w:rPr>
              <w:t>196,931,503.50</w:t>
            </w:r>
          </w:p>
        </w:tc>
      </w:tr>
    </w:tbl>
    <w:p>
      <w:pPr>
        <w:rPr>
          <w:noProof/>
        </w:rPr>
        <w:sectPr>
          <w:headerReference w:type="even" r:id="rId44"/>
          <w:headerReference w:type="default" r:id="rId45"/>
          <w:footerReference w:type="even" r:id="rId46"/>
          <w:footerReference w:type="default" r:id="rId47"/>
          <w:headerReference w:type="first" r:id="rId48"/>
          <w:footerReference w:type="first" r:id="rId49"/>
          <w:type w:val="continuous"/>
          <w:pgSz w:w="12240" w:h="15840"/>
          <w:pgMar w:top="765" w:right="1134" w:bottom="765" w:left="1134" w:header="709" w:footer="170" w:gutter="0"/>
          <w:pgBorders>
            <w:top w:val="nil"/>
            <w:left w:val="nil"/>
            <w:bottom w:val="nil"/>
            <w:right w:val="nil"/>
          </w:pgBorders>
          <w:cols w:space="720"/>
          <w:docGrid w:linePitch="360"/>
        </w:sectPr>
      </w:pPr>
    </w:p>
    <w:p>
      <w:pPr>
        <w:pStyle w:val="Normal0"/>
        <w:pageBreakBefore/>
        <w:jc w:val="both"/>
        <w:rPr>
          <w:rFonts w:ascii="Times New Roman" w:hAnsi="Times New Roman"/>
          <w:b/>
          <w:bCs/>
          <w:noProof/>
        </w:rPr>
      </w:pPr>
      <w:r>
        <w:rPr>
          <w:rFonts w:ascii="Times New Roman" w:hAnsi="Times New Roman"/>
          <w:b/>
          <w:bCs/>
          <w:noProof/>
        </w:rPr>
        <w:t>Notes to the financial statements as at 31 December 2017</w:t>
      </w:r>
    </w:p>
    <w:p>
      <w:pPr>
        <w:pStyle w:val="ManualHeading2"/>
        <w:rPr>
          <w:noProof/>
        </w:rPr>
      </w:pPr>
      <w:bookmarkStart w:id="60" w:name="_Toc478663483"/>
      <w:r>
        <w:rPr>
          <w:noProof/>
        </w:rPr>
        <w:t>3.1.</w:t>
      </w:r>
      <w:r>
        <w:rPr>
          <w:noProof/>
        </w:rPr>
        <w:tab/>
        <w:t>General disclosures</w:t>
      </w:r>
      <w:bookmarkEnd w:id="60"/>
    </w:p>
    <w:p>
      <w:pPr>
        <w:pStyle w:val="BodyText0"/>
        <w:rPr>
          <w:rFonts w:ascii="Times New Roman" w:hAnsi="Times New Roman"/>
          <w:noProof/>
          <w:sz w:val="24"/>
          <w:szCs w:val="24"/>
        </w:rPr>
      </w:pPr>
      <w:r>
        <w:rPr>
          <w:rFonts w:ascii="Times New Roman" w:hAnsi="Times New Roman"/>
          <w:noProof/>
          <w:sz w:val="24"/>
          <w:szCs w:val="24"/>
        </w:rPr>
        <w:t>The rules and principles for the management of the Guarantee Fund (the “Fund”) are laid out in the Agreement between the European Commission (the “EC”) and the European Investment Bank (the “EIB”) dated 25 November 1994 and the subsequent amendments to the Agreement dated 23 September 1996, 8 May 2002, 5 June 2002, 25 February 2008 and 9 November 2010 (the “Convention”).</w:t>
      </w:r>
    </w:p>
    <w:p>
      <w:pPr>
        <w:pStyle w:val="BodyText0"/>
        <w:spacing w:after="0"/>
        <w:rPr>
          <w:rFonts w:ascii="Times New Roman" w:hAnsi="Times New Roman"/>
          <w:noProof/>
          <w:sz w:val="24"/>
          <w:szCs w:val="24"/>
        </w:rPr>
      </w:pPr>
      <w:r>
        <w:rPr>
          <w:rFonts w:ascii="Times New Roman" w:hAnsi="Times New Roman"/>
          <w:noProof/>
          <w:sz w:val="24"/>
          <w:szCs w:val="24"/>
        </w:rPr>
        <w:t>The main principles of the Fund, as extracted directly from the Convention, are as follows:</w:t>
      </w:r>
    </w:p>
    <w:p>
      <w:pPr>
        <w:pStyle w:val="BodyText0"/>
        <w:numPr>
          <w:ilvl w:val="0"/>
          <w:numId w:val="31"/>
        </w:numPr>
        <w:ind w:left="714" w:hanging="357"/>
        <w:rPr>
          <w:rFonts w:ascii="Times New Roman" w:hAnsi="Times New Roman"/>
          <w:noProof/>
          <w:sz w:val="24"/>
          <w:szCs w:val="24"/>
        </w:rPr>
      </w:pPr>
      <w:r>
        <w:rPr>
          <w:rFonts w:ascii="Times New Roman" w:hAnsi="Times New Roman"/>
          <w:noProof/>
          <w:sz w:val="24"/>
          <w:szCs w:val="24"/>
        </w:rPr>
        <w:t>The Fund will operate in one single currency being Euro (EUR). It will exclusively invest in this currency in order to avoid any exchange rate risk.</w:t>
      </w:r>
    </w:p>
    <w:p>
      <w:pPr>
        <w:numPr>
          <w:ilvl w:val="0"/>
          <w:numId w:val="31"/>
        </w:numPr>
        <w:jc w:val="both"/>
        <w:rPr>
          <w:noProof/>
          <w:lang w:eastAsia="en-US"/>
        </w:rPr>
      </w:pPr>
      <w:r>
        <w:rPr>
          <w:noProof/>
          <w:lang w:eastAsia="en-US"/>
        </w:rPr>
        <w:t>The management of the Fund will be based upon the traditional rules of prudence relating to financial activities. Attention is given to control the risks and to ensure that the managed assets have a sufficient degree of liquidity and transferability while considering the Fund’s commitments.</w:t>
      </w:r>
    </w:p>
    <w:p>
      <w:pPr>
        <w:pStyle w:val="BodyText0"/>
        <w:rPr>
          <w:rFonts w:ascii="Times New Roman" w:hAnsi="Times New Roman"/>
          <w:noProof/>
          <w:sz w:val="24"/>
          <w:szCs w:val="24"/>
        </w:rPr>
      </w:pPr>
    </w:p>
    <w:p>
      <w:pPr>
        <w:pStyle w:val="BodyText0"/>
        <w:rPr>
          <w:rFonts w:ascii="Times New Roman" w:hAnsi="Times New Roman"/>
          <w:noProof/>
          <w:sz w:val="24"/>
          <w:szCs w:val="24"/>
          <w:lang w:eastAsia="en-GB"/>
        </w:rPr>
      </w:pPr>
      <w:r>
        <w:rPr>
          <w:rFonts w:ascii="Times New Roman" w:hAnsi="Times New Roman"/>
          <w:noProof/>
          <w:sz w:val="24"/>
          <w:szCs w:val="24"/>
          <w:lang w:eastAsia="en-GB"/>
        </w:rPr>
        <w:t>The present financial statements cover the period from 1 January 2017 to 31 December 2017.</w:t>
      </w:r>
    </w:p>
    <w:p>
      <w:pPr>
        <w:pStyle w:val="BodyText0"/>
        <w:rPr>
          <w:rFonts w:ascii="Times New Roman" w:hAnsi="Times New Roman"/>
          <w:noProof/>
          <w:sz w:val="22"/>
        </w:rPr>
      </w:pPr>
      <w:r>
        <w:rPr>
          <w:rFonts w:ascii="Times New Roman" w:hAnsi="Times New Roman"/>
          <w:noProof/>
          <w:sz w:val="24"/>
          <w:szCs w:val="24"/>
          <w:lang w:eastAsia="en-GB"/>
        </w:rPr>
        <w:t>EIB’s management has authorized the financial statements for issue on 26 March 2018.</w:t>
      </w:r>
    </w:p>
    <w:p>
      <w:pPr>
        <w:pStyle w:val="ManualHeading2"/>
        <w:rPr>
          <w:noProof/>
        </w:rPr>
      </w:pPr>
      <w:bookmarkStart w:id="61" w:name="_Toc478663484"/>
      <w:r>
        <w:rPr>
          <w:noProof/>
        </w:rPr>
        <w:t>3.2.</w:t>
      </w:r>
      <w:r>
        <w:rPr>
          <w:noProof/>
        </w:rPr>
        <w:tab/>
        <w:t>Significant accounting policies</w:t>
      </w:r>
      <w:bookmarkEnd w:id="61"/>
    </w:p>
    <w:p>
      <w:pPr>
        <w:pStyle w:val="ManualHeading3"/>
        <w:rPr>
          <w:noProof/>
        </w:rPr>
      </w:pPr>
      <w:bookmarkStart w:id="62" w:name="_Toc478663485"/>
      <w:r>
        <w:rPr>
          <w:noProof/>
        </w:rPr>
        <w:t>3.2.1.</w:t>
      </w:r>
      <w:r>
        <w:rPr>
          <w:noProof/>
        </w:rPr>
        <w:tab/>
        <w:t>Basis of preparation</w:t>
      </w:r>
      <w:bookmarkEnd w:id="62"/>
    </w:p>
    <w:p>
      <w:pPr>
        <w:pStyle w:val="BodyText1"/>
        <w:rPr>
          <w:rFonts w:ascii="Times New Roman" w:hAnsi="Times New Roman"/>
          <w:noProof/>
          <w:sz w:val="24"/>
          <w:szCs w:val="24"/>
        </w:rPr>
      </w:pPr>
      <w:r>
        <w:rPr>
          <w:rFonts w:ascii="Times New Roman" w:hAnsi="Times New Roman"/>
          <w:noProof/>
          <w:sz w:val="24"/>
          <w:szCs w:val="24"/>
        </w:rPr>
        <w:t xml:space="preserve">The Fund’s financial statements have been prepared in accordance with the accounting rules adopted by the Accounting Officer of the European Commission, in particular “Accounting rule 11 – Financial assets and liabilities” dated December 2004 and updated in October 2006, December 2009  and December 20112. </w:t>
      </w:r>
    </w:p>
    <w:p>
      <w:pPr>
        <w:pStyle w:val="BodyText1"/>
        <w:rPr>
          <w:rFonts w:ascii="Times New Roman" w:hAnsi="Times New Roman"/>
          <w:noProof/>
          <w:sz w:val="24"/>
          <w:szCs w:val="24"/>
        </w:rPr>
      </w:pPr>
      <w:r>
        <w:rPr>
          <w:rFonts w:ascii="Times New Roman" w:hAnsi="Times New Roman"/>
          <w:noProof/>
          <w:sz w:val="24"/>
          <w:szCs w:val="24"/>
        </w:rPr>
        <w:t xml:space="preserve">The financial statements have been prepared on a going concern basis, which assumes that the Fund will be able to meet the mandatory payments of the guarantees. </w:t>
      </w:r>
    </w:p>
    <w:p>
      <w:pPr>
        <w:pStyle w:val="BodyText1"/>
        <w:rPr>
          <w:rFonts w:ascii="Times New Roman" w:hAnsi="Times New Roman"/>
          <w:noProof/>
          <w:sz w:val="24"/>
          <w:szCs w:val="24"/>
        </w:rPr>
      </w:pPr>
      <w:r>
        <w:rPr>
          <w:rFonts w:ascii="Times New Roman" w:hAnsi="Times New Roman"/>
          <w:noProof/>
          <w:sz w:val="24"/>
          <w:szCs w:val="24"/>
        </w:rPr>
        <w:t xml:space="preserve">According to articles 3, 5 and 6 of Council Regulation (EC, Euratom) No 480/2009 of 25 May 2009 if, as a result of the activation of guarantees following one or more defaults, resources in the Fund fall below the set target amount of 9% of total outstanding capital liabilities arising from each operation, plus any unpaid interest, then the European Commission transfers to the Fund the difference between the target amount and the value of the Fund’s net assets at the previous year-end balance sheet date. </w:t>
      </w:r>
    </w:p>
    <w:p>
      <w:pPr>
        <w:pStyle w:val="BodyText1"/>
        <w:rPr>
          <w:rFonts w:ascii="Times New Roman" w:hAnsi="Times New Roman"/>
          <w:noProof/>
          <w:sz w:val="24"/>
          <w:szCs w:val="24"/>
        </w:rPr>
      </w:pPr>
      <w:r>
        <w:rPr>
          <w:rFonts w:ascii="Times New Roman" w:hAnsi="Times New Roman"/>
          <w:noProof/>
          <w:sz w:val="24"/>
          <w:szCs w:val="24"/>
        </w:rPr>
        <w:t xml:space="preserve">The amounts in the financial statements are not rounded except in the section financial risk management where the amounts are rounded to the nearest thousand EUR. </w:t>
      </w:r>
    </w:p>
    <w:p>
      <w:pPr>
        <w:pStyle w:val="ManualHeading3"/>
        <w:rPr>
          <w:noProof/>
        </w:rPr>
      </w:pPr>
      <w:r>
        <w:rPr>
          <w:noProof/>
        </w:rPr>
        <w:t>3.2.2.</w:t>
      </w:r>
      <w:r>
        <w:rPr>
          <w:noProof/>
        </w:rPr>
        <w:tab/>
      </w:r>
      <w:r>
        <w:rPr>
          <w:noProof/>
        </w:rPr>
        <w:tab/>
      </w:r>
      <w:bookmarkStart w:id="63" w:name="_Toc478663486"/>
      <w:r>
        <w:rPr>
          <w:noProof/>
        </w:rPr>
        <w:t>Changes in accounting policies</w:t>
      </w:r>
      <w:bookmarkEnd w:id="63"/>
    </w:p>
    <w:p>
      <w:pPr>
        <w:pStyle w:val="BodyText1"/>
        <w:rPr>
          <w:rFonts w:ascii="Times New Roman" w:hAnsi="Times New Roman"/>
          <w:noProof/>
          <w:sz w:val="24"/>
          <w:szCs w:val="24"/>
        </w:rPr>
      </w:pPr>
      <w:r>
        <w:rPr>
          <w:rFonts w:ascii="Times New Roman" w:hAnsi="Times New Roman"/>
          <w:noProof/>
          <w:sz w:val="24"/>
          <w:szCs w:val="24"/>
        </w:rPr>
        <w:t>The Fund has consistently applied to all periods the accounting policies set out in Note 2.4 presented in these financial statements.</w:t>
      </w:r>
    </w:p>
    <w:p>
      <w:pPr>
        <w:pStyle w:val="ManualHeading3"/>
        <w:rPr>
          <w:noProof/>
        </w:rPr>
      </w:pPr>
      <w:bookmarkStart w:id="64" w:name="_Toc478663487"/>
      <w:r>
        <w:rPr>
          <w:noProof/>
        </w:rPr>
        <w:t>3.2.3.</w:t>
      </w:r>
      <w:r>
        <w:rPr>
          <w:noProof/>
        </w:rPr>
        <w:tab/>
        <w:t>Significant accounting judgments and estimates</w:t>
      </w:r>
      <w:bookmarkEnd w:id="64"/>
    </w:p>
    <w:p>
      <w:pPr>
        <w:pStyle w:val="Normal1"/>
        <w:jc w:val="both"/>
        <w:rPr>
          <w:rFonts w:ascii="Times New Roman" w:hAnsi="Times New Roman"/>
          <w:noProof/>
          <w:sz w:val="24"/>
          <w:szCs w:val="24"/>
        </w:rPr>
      </w:pPr>
      <w:r>
        <w:rPr>
          <w:rFonts w:ascii="Times New Roman" w:hAnsi="Times New Roman"/>
          <w:noProof/>
          <w:sz w:val="24"/>
          <w:szCs w:val="24"/>
        </w:rPr>
        <w:t>The preparation of financial statements in conformity with the accounting rules adopted by the Accounting Officer of the European Commission requires the use of certain critical accounting estimates. It also requires the EIB Management to exercise its judgment in the process of applying the Fund’s accounting policies. The areas involving a higher degree of judgment or complexity, or areas where assumptions and estimates are significant to the financial statements are disclosed hereafter.</w:t>
      </w:r>
    </w:p>
    <w:p>
      <w:pPr>
        <w:pStyle w:val="NotesText0"/>
        <w:spacing w:after="120" w:line="10" w:lineRule="atLeast"/>
        <w:rPr>
          <w:rFonts w:ascii="Times New Roman" w:hAnsi="Times New Roman" w:cs="Times New Roman"/>
          <w:noProof/>
          <w:color w:val="auto"/>
          <w:sz w:val="24"/>
          <w:szCs w:val="24"/>
        </w:rPr>
      </w:pPr>
      <w:r>
        <w:rPr>
          <w:rFonts w:ascii="Times New Roman" w:hAnsi="Times New Roman" w:cs="Times New Roman"/>
          <w:noProof/>
          <w:color w:val="auto"/>
          <w:sz w:val="24"/>
          <w:szCs w:val="24"/>
        </w:rPr>
        <w:t>The most significant use of judgments and estimates are as follows:</w:t>
      </w:r>
    </w:p>
    <w:p>
      <w:pPr>
        <w:pStyle w:val="Normal1"/>
        <w:widowControl w:val="0"/>
        <w:autoSpaceDE w:val="0"/>
        <w:autoSpaceDN w:val="0"/>
        <w:adjustRightInd w:val="0"/>
        <w:spacing w:line="10" w:lineRule="atLeast"/>
        <w:ind w:left="851" w:hanging="851"/>
        <w:jc w:val="both"/>
        <w:rPr>
          <w:rFonts w:ascii="Times New Roman" w:hAnsi="Times New Roman"/>
          <w:b/>
          <w:noProof/>
          <w:sz w:val="24"/>
          <w:szCs w:val="24"/>
        </w:rPr>
      </w:pPr>
      <w:r>
        <w:rPr>
          <w:rFonts w:ascii="Times New Roman" w:hAnsi="Times New Roman"/>
          <w:b/>
          <w:noProof/>
          <w:sz w:val="24"/>
          <w:szCs w:val="24"/>
        </w:rPr>
        <w:t xml:space="preserve">Measurement of fair value of financial instruments </w:t>
      </w:r>
    </w:p>
    <w:p>
      <w:pPr>
        <w:pStyle w:val="Normal1"/>
        <w:widowControl w:val="0"/>
        <w:autoSpaceDE w:val="0"/>
        <w:autoSpaceDN w:val="0"/>
        <w:adjustRightInd w:val="0"/>
        <w:jc w:val="both"/>
        <w:rPr>
          <w:rFonts w:ascii="Times New Roman" w:hAnsi="Times New Roman"/>
          <w:noProof/>
          <w:sz w:val="24"/>
          <w:szCs w:val="24"/>
        </w:rPr>
      </w:pPr>
      <w:r>
        <w:rPr>
          <w:rFonts w:ascii="Times New Roman" w:hAnsi="Times New Roman"/>
          <w:noProof/>
          <w:sz w:val="24"/>
          <w:szCs w:val="24"/>
        </w:rPr>
        <w:t xml:space="preserve">The fair value of financial assets and financial liabilities that are traded in active markets is based on quoted market prices or broker price quotations. Where the fair values of financial assets and financial liabilities recorded on the balance sheet cannot be derived from active markets, they are determined using a variety of valuation techniques that include the use of mathematical models. The input to these models is taken from observable markets where possible, but where this is not feasible, a degree of judgment is required in establishing fair values. </w:t>
      </w:r>
    </w:p>
    <w:p>
      <w:pPr>
        <w:pStyle w:val="Normal1"/>
        <w:widowControl w:val="0"/>
        <w:autoSpaceDE w:val="0"/>
        <w:autoSpaceDN w:val="0"/>
        <w:adjustRightInd w:val="0"/>
        <w:jc w:val="both"/>
        <w:rPr>
          <w:rFonts w:ascii="Times New Roman" w:hAnsi="Times New Roman"/>
          <w:b/>
          <w:noProof/>
          <w:sz w:val="24"/>
          <w:szCs w:val="24"/>
        </w:rPr>
      </w:pPr>
      <w:r>
        <w:rPr>
          <w:rFonts w:ascii="Times New Roman" w:hAnsi="Times New Roman"/>
          <w:b/>
          <w:noProof/>
          <w:sz w:val="24"/>
          <w:szCs w:val="24"/>
        </w:rPr>
        <w:t xml:space="preserve">Impairment losses on financial instruments </w:t>
      </w:r>
    </w:p>
    <w:p>
      <w:pPr>
        <w:widowControl w:val="0"/>
        <w:autoSpaceDE w:val="0"/>
        <w:autoSpaceDN w:val="0"/>
        <w:adjustRightInd w:val="0"/>
        <w:spacing w:after="120" w:line="240" w:lineRule="atLeast"/>
        <w:jc w:val="both"/>
        <w:rPr>
          <w:noProof/>
          <w:lang w:eastAsia="en-US"/>
        </w:rPr>
      </w:pPr>
      <w:r>
        <w:rPr>
          <w:noProof/>
          <w:lang w:eastAsia="en-US"/>
        </w:rPr>
        <w:t>The Fund reviews its financial instruments at each reporting date to assess whether an allowance for impairment should be recorded in the statement of financial performance. In particular, judgment by EIB Management is required in the estimation of the amount and timing of future cash flows when determining the level of allowance required.</w:t>
      </w:r>
      <w:r>
        <w:rPr>
          <w:noProof/>
        </w:rPr>
        <w:t>.</w:t>
      </w:r>
    </w:p>
    <w:p>
      <w:pPr>
        <w:pStyle w:val="ManualHeading3"/>
        <w:rPr>
          <w:noProof/>
        </w:rPr>
      </w:pPr>
      <w:bookmarkStart w:id="65" w:name="_Toc478663488"/>
      <w:r>
        <w:rPr>
          <w:noProof/>
        </w:rPr>
        <w:t>3.2.4.</w:t>
      </w:r>
      <w:r>
        <w:rPr>
          <w:noProof/>
        </w:rPr>
        <w:tab/>
        <w:t>Summary of significant accounting policies</w:t>
      </w:r>
      <w:bookmarkEnd w:id="65"/>
    </w:p>
    <w:p>
      <w:pPr>
        <w:pStyle w:val="ManualHeading4"/>
        <w:rPr>
          <w:noProof/>
        </w:rPr>
      </w:pPr>
      <w:r>
        <w:rPr>
          <w:noProof/>
        </w:rPr>
        <w:t>3.2.4.1.</w:t>
      </w:r>
      <w:r>
        <w:rPr>
          <w:noProof/>
        </w:rPr>
        <w:tab/>
        <w:t>Foreign currency translation</w:t>
      </w:r>
    </w:p>
    <w:p>
      <w:pPr>
        <w:spacing w:after="120" w:line="240" w:lineRule="atLeast"/>
        <w:jc w:val="both"/>
        <w:rPr>
          <w:noProof/>
          <w:lang w:eastAsia="en-US"/>
        </w:rPr>
      </w:pPr>
      <w:r>
        <w:rPr>
          <w:noProof/>
          <w:lang w:eastAsia="en-US"/>
        </w:rPr>
        <w:t>The Fund uses the Euro (EUR) for presenting its financial statements, which is also the functional currency.</w:t>
      </w:r>
    </w:p>
    <w:p>
      <w:pPr>
        <w:spacing w:after="120" w:line="240" w:lineRule="atLeast"/>
        <w:jc w:val="both"/>
        <w:rPr>
          <w:noProof/>
          <w:lang w:eastAsia="en-US"/>
        </w:rPr>
      </w:pPr>
      <w:r>
        <w:rPr>
          <w:noProof/>
          <w:lang w:eastAsia="en-US"/>
        </w:rPr>
        <w:t xml:space="preserve">Foreign currency transactions are translated at the exchange rate prevailing on the date of the transaction. </w:t>
      </w:r>
    </w:p>
    <w:p>
      <w:pPr>
        <w:spacing w:after="120" w:line="240" w:lineRule="atLeast"/>
        <w:jc w:val="both"/>
        <w:rPr>
          <w:noProof/>
          <w:lang w:eastAsia="en-US"/>
        </w:rPr>
      </w:pPr>
      <w:r>
        <w:rPr>
          <w:noProof/>
          <w:lang w:eastAsia="en-US"/>
        </w:rPr>
        <w:t>Monetary assets and liabilities denominated in currencies other than Euro are translated into Euro at the exchange rate prevailing at the balance sheet date. The gain or loss arising from such translation is recorded in the statement of financial performance.</w:t>
      </w:r>
    </w:p>
    <w:p>
      <w:pPr>
        <w:spacing w:after="120" w:line="240" w:lineRule="atLeast"/>
        <w:jc w:val="both"/>
        <w:rPr>
          <w:noProof/>
          <w:lang w:eastAsia="en-US"/>
        </w:rPr>
      </w:pPr>
      <w:r>
        <w:rPr>
          <w:noProof/>
          <w:lang w:eastAsia="en-US"/>
        </w:rPr>
        <w:t>Non-monetary items that are measured in terms of historical cost in a foreign currency are translated using the exchange rates at the dates of the initial transactions. Non-monetary items measured at fair value in a foreign currency are translated using the exchange rates at the date when the fair value was determined.</w:t>
      </w:r>
    </w:p>
    <w:p>
      <w:pPr>
        <w:spacing w:after="120" w:line="240" w:lineRule="atLeast"/>
        <w:jc w:val="both"/>
        <w:rPr>
          <w:noProof/>
          <w:lang w:eastAsia="en-US"/>
        </w:rPr>
      </w:pPr>
      <w:r>
        <w:rPr>
          <w:noProof/>
          <w:lang w:eastAsia="en-US"/>
        </w:rPr>
        <w:t>Exchange differences on non-monetary assets are a component of the change in their fair value. Depending on the classification of a non-monetary financial asset, exchange differences are either recognised in the statement of financial performance or within the reserves.</w:t>
      </w:r>
    </w:p>
    <w:p>
      <w:pPr>
        <w:pStyle w:val="BodyText1"/>
        <w:rPr>
          <w:rFonts w:ascii="Times New Roman" w:hAnsi="Times New Roman"/>
          <w:noProof/>
          <w:sz w:val="24"/>
          <w:szCs w:val="24"/>
        </w:rPr>
      </w:pPr>
      <w:r>
        <w:rPr>
          <w:rFonts w:ascii="Times New Roman" w:hAnsi="Times New Roman"/>
          <w:noProof/>
          <w:sz w:val="24"/>
          <w:szCs w:val="24"/>
        </w:rPr>
        <w:t>Exchange differences arising on the settlement of transactions at rates different from those at the date of the transaction, and unrealised foreign exchange differences on unsettled foreign currency monetary assets and liabilities, are recognised in the statement of financial performance.</w:t>
      </w:r>
    </w:p>
    <w:p>
      <w:pPr>
        <w:pStyle w:val="ManualHeading4"/>
        <w:rPr>
          <w:noProof/>
        </w:rPr>
      </w:pPr>
      <w:r>
        <w:rPr>
          <w:noProof/>
        </w:rPr>
        <w:t>3.2.4.2.</w:t>
      </w:r>
      <w:r>
        <w:rPr>
          <w:noProof/>
        </w:rPr>
        <w:tab/>
        <w:t>Financial instruments</w:t>
      </w:r>
    </w:p>
    <w:p>
      <w:pPr>
        <w:pStyle w:val="BodyText1"/>
        <w:rPr>
          <w:rFonts w:ascii="Times New Roman" w:hAnsi="Times New Roman"/>
          <w:noProof/>
          <w:sz w:val="24"/>
          <w:szCs w:val="24"/>
        </w:rPr>
      </w:pPr>
      <w:r>
        <w:rPr>
          <w:rFonts w:ascii="Times New Roman" w:hAnsi="Times New Roman"/>
          <w:noProof/>
          <w:sz w:val="24"/>
          <w:szCs w:val="24"/>
        </w:rPr>
        <w:t>All financial assets are recognised in the balance sheet on trade date basis and measured according to their assigned category.</w:t>
      </w:r>
    </w:p>
    <w:p>
      <w:pPr>
        <w:pStyle w:val="Normal1"/>
        <w:spacing w:after="0" w:line="0" w:lineRule="atLeast"/>
        <w:jc w:val="both"/>
        <w:rPr>
          <w:rFonts w:ascii="Times New Roman" w:hAnsi="Times New Roman"/>
          <w:noProof/>
          <w:sz w:val="24"/>
          <w:szCs w:val="24"/>
        </w:rPr>
      </w:pPr>
    </w:p>
    <w:p>
      <w:pPr>
        <w:pStyle w:val="ManualHeading4"/>
        <w:rPr>
          <w:noProof/>
        </w:rPr>
      </w:pPr>
      <w:r>
        <w:rPr>
          <w:noProof/>
        </w:rPr>
        <w:t>(a)</w:t>
      </w:r>
      <w:r>
        <w:rPr>
          <w:noProof/>
        </w:rPr>
        <w:tab/>
        <w:t>Cash and cash equivalents</w:t>
      </w:r>
    </w:p>
    <w:p>
      <w:pPr>
        <w:pStyle w:val="BodyText1"/>
        <w:rPr>
          <w:rFonts w:ascii="Times New Roman" w:hAnsi="Times New Roman"/>
          <w:noProof/>
          <w:sz w:val="24"/>
          <w:szCs w:val="24"/>
        </w:rPr>
      </w:pPr>
      <w:r>
        <w:rPr>
          <w:rFonts w:ascii="Times New Roman" w:hAnsi="Times New Roman"/>
          <w:noProof/>
          <w:sz w:val="24"/>
          <w:szCs w:val="24"/>
        </w:rPr>
        <w:t>The Fund defines cash and cash equivalents as current accounts, commercial papers, treasury bills and short-term deposits with original maturity of three months or less.</w:t>
      </w:r>
    </w:p>
    <w:p>
      <w:pPr>
        <w:pStyle w:val="Normal1"/>
        <w:spacing w:after="0" w:line="240" w:lineRule="auto"/>
        <w:rPr>
          <w:rFonts w:ascii="Times New Roman" w:hAnsi="Times New Roman"/>
          <w:noProof/>
          <w:sz w:val="24"/>
          <w:szCs w:val="24"/>
        </w:rPr>
      </w:pPr>
    </w:p>
    <w:p>
      <w:pPr>
        <w:pStyle w:val="ManualHeading4"/>
        <w:rPr>
          <w:noProof/>
        </w:rPr>
      </w:pPr>
      <w:r>
        <w:rPr>
          <w:noProof/>
        </w:rPr>
        <w:t>(b)</w:t>
      </w:r>
      <w:r>
        <w:rPr>
          <w:noProof/>
        </w:rPr>
        <w:tab/>
        <w:t>Bond portfolio</w:t>
      </w:r>
    </w:p>
    <w:p>
      <w:pPr>
        <w:spacing w:after="120" w:line="240" w:lineRule="atLeast"/>
        <w:jc w:val="both"/>
        <w:rPr>
          <w:noProof/>
          <w:lang w:eastAsia="en-US"/>
        </w:rPr>
      </w:pPr>
      <w:r>
        <w:rPr>
          <w:noProof/>
          <w:lang w:eastAsia="en-US"/>
        </w:rPr>
        <w:t xml:space="preserve">The bond portfolio is composed of Euro-denominated securities. </w:t>
      </w:r>
    </w:p>
    <w:p>
      <w:pPr>
        <w:spacing w:after="120" w:line="240" w:lineRule="atLeast"/>
        <w:jc w:val="both"/>
        <w:rPr>
          <w:noProof/>
          <w:lang w:eastAsia="en-US"/>
        </w:rPr>
      </w:pPr>
      <w:r>
        <w:rPr>
          <w:noProof/>
          <w:lang w:eastAsia="en-US"/>
        </w:rPr>
        <w:t xml:space="preserve">These securities are classified as Available for Sale (AFS) according to the accounting rules adopted by the Accounting Officer of the European Commission and consequently, are carried out at their fair value through net assets. </w:t>
      </w:r>
    </w:p>
    <w:p>
      <w:pPr>
        <w:spacing w:after="120" w:line="240" w:lineRule="atLeast"/>
        <w:jc w:val="both"/>
        <w:rPr>
          <w:noProof/>
          <w:lang w:eastAsia="en-US"/>
        </w:rPr>
      </w:pPr>
      <w:r>
        <w:rPr>
          <w:noProof/>
          <w:lang w:val="en-US" w:eastAsia="en-US"/>
        </w:rPr>
        <w:t xml:space="preserve">In accordance with the </w:t>
      </w:r>
      <w:r>
        <w:rPr>
          <w:noProof/>
          <w:lang w:eastAsia="en-US"/>
        </w:rPr>
        <w:t>decision of the Accounting Officer of the Commission</w:t>
      </w:r>
      <w:r>
        <w:rPr>
          <w:rStyle w:val="FootnoteReference"/>
          <w:noProof/>
          <w:lang w:eastAsia="en-US"/>
        </w:rPr>
        <w:footnoteReference w:id="8"/>
      </w:r>
      <w:r>
        <w:rPr>
          <w:noProof/>
          <w:lang w:eastAsia="en-US"/>
        </w:rPr>
        <w:t xml:space="preserve"> concerning the “Presentation of the Guarantee Fund for external actions and other Available for Sale portfolios” on 31 January 2013, the Available for Sale financial instruments of the Fund’s Portfolio are categorised following the current/non-current distinction of Article 8.3 of the Accounting rule 1 according to their remaining contractual maturity at the balance sheet date. Available for Sale investments with a remaining maturity of less than a year and accrued interest with due date less than a year are presented in the balance sheet as current assets, while Available for Sale investments with a remaining maturity of more than a year are presented in the balance sheet as non-current assets.</w:t>
      </w:r>
    </w:p>
    <w:p>
      <w:pPr>
        <w:spacing w:after="120" w:line="240" w:lineRule="atLeast"/>
        <w:jc w:val="both"/>
        <w:rPr>
          <w:noProof/>
          <w:lang w:eastAsia="en-US"/>
        </w:rPr>
      </w:pPr>
      <w:r>
        <w:rPr>
          <w:noProof/>
          <w:lang w:eastAsia="en-US"/>
        </w:rPr>
        <w:t xml:space="preserve">Unrealised gains or losses are reported in reserves until such a security is sold, collected or otherwise disposed of, or until such a security is determined to be impaired. Impairment losses identified are recognised in the statement of financial performance for the year. </w:t>
      </w:r>
    </w:p>
    <w:p>
      <w:pPr>
        <w:spacing w:after="120" w:line="240" w:lineRule="atLeast"/>
        <w:jc w:val="both"/>
        <w:rPr>
          <w:noProof/>
          <w:lang w:eastAsia="en-US"/>
        </w:rPr>
      </w:pPr>
      <w:r>
        <w:rPr>
          <w:noProof/>
          <w:lang w:eastAsia="en-US"/>
        </w:rPr>
        <w:t xml:space="preserve">On disposal of an Available for Sale security, the accumulated unrealised gain or loss included in net assets is transferred to the statement of financial performance for the year. Interest income on Available for Sale securities is included in “interest income”. </w:t>
      </w:r>
    </w:p>
    <w:p>
      <w:pPr>
        <w:spacing w:after="120" w:line="240" w:lineRule="atLeast"/>
        <w:jc w:val="both"/>
        <w:rPr>
          <w:noProof/>
          <w:lang w:eastAsia="en-US"/>
        </w:rPr>
      </w:pPr>
      <w:r>
        <w:rPr>
          <w:noProof/>
          <w:lang w:eastAsia="en-US"/>
        </w:rPr>
        <w:t>The determination of fair values of Available for Sale investments is generally based on quoted market rates in active markets.</w:t>
      </w:r>
    </w:p>
    <w:p>
      <w:pPr>
        <w:spacing w:after="120" w:line="240" w:lineRule="atLeast"/>
        <w:jc w:val="both"/>
        <w:rPr>
          <w:noProof/>
          <w:lang w:eastAsia="en-US"/>
        </w:rPr>
      </w:pPr>
      <w:r>
        <w:rPr>
          <w:noProof/>
          <w:lang w:eastAsia="en-US"/>
        </w:rPr>
        <w:t>These securities are initially measured at their acquisition cost, being their fair value at this moment. The difference between the entry price and the redemption value, i.e. the premium/discount spread, is amortised over the remaining life of each of the securities using the effective interest rate method as specified under Accounting rule 11.</w:t>
      </w:r>
    </w:p>
    <w:p>
      <w:pPr>
        <w:spacing w:after="120" w:line="240" w:lineRule="atLeast"/>
        <w:jc w:val="both"/>
        <w:rPr>
          <w:noProof/>
          <w:lang w:eastAsia="en-US"/>
        </w:rPr>
      </w:pPr>
      <w:r>
        <w:rPr>
          <w:noProof/>
          <w:lang w:eastAsia="en-US"/>
        </w:rPr>
        <w:t xml:space="preserve">Securities are considered impaired if there is objective evidence of impairment as a result of one or more events that occurred after the initial recognition of the security (a “loss event”) and that loss event has an impact on the estimated future cash flows of the security that can be reliably estimated. </w:t>
      </w:r>
    </w:p>
    <w:p>
      <w:pPr>
        <w:spacing w:after="120" w:line="240" w:lineRule="atLeast"/>
        <w:jc w:val="both"/>
        <w:rPr>
          <w:noProof/>
          <w:lang w:eastAsia="en-US"/>
        </w:rPr>
      </w:pPr>
      <w:r>
        <w:rPr>
          <w:noProof/>
          <w:lang w:eastAsia="en-US"/>
        </w:rPr>
        <w:t xml:space="preserve">Evidence of impairment is mainly about significant financial difficulties of the issuer, e.g. a breach of contract, a restructuring of the debt of the issuer or a high probability of bankruptcy. It is important to stress that the disappearance of an active market because the entity’s financial instruments are no longer publicly traded is not evidence of impairment. A downgrade of an entity’s credit rating is not, in itself, evidence of impairment, although it may be evidence of impairment when considered with other available information. A decline in the fair value of a financial asset below its cost or amortised cost is not necessarily evidence of impairment. </w:t>
      </w:r>
    </w:p>
    <w:p>
      <w:pPr>
        <w:pStyle w:val="BodyText1"/>
        <w:rPr>
          <w:rFonts w:ascii="Times New Roman" w:hAnsi="Times New Roman"/>
          <w:noProof/>
          <w:sz w:val="24"/>
          <w:szCs w:val="24"/>
        </w:rPr>
      </w:pPr>
      <w:r>
        <w:rPr>
          <w:rFonts w:ascii="Times New Roman" w:hAnsi="Times New Roman"/>
          <w:noProof/>
          <w:sz w:val="24"/>
          <w:szCs w:val="24"/>
        </w:rPr>
        <w:t>If in a subsequent period, the fair value of a debt instrument classified as Available for Sale increases and the increase can be objectively related to an event occurring after the impairment loss was recognised in the statement of financial performance, the impairment loss shall be reversed, with the amount of the reversal recognised in the statement of financial performance.</w:t>
      </w:r>
    </w:p>
    <w:p>
      <w:pPr>
        <w:pStyle w:val="Normal1"/>
        <w:spacing w:after="0" w:line="240" w:lineRule="auto"/>
        <w:rPr>
          <w:rFonts w:ascii="Times New Roman" w:hAnsi="Times New Roman"/>
          <w:noProof/>
          <w:sz w:val="24"/>
          <w:szCs w:val="24"/>
        </w:rPr>
      </w:pPr>
    </w:p>
    <w:p>
      <w:pPr>
        <w:pStyle w:val="ManualHeading4"/>
        <w:rPr>
          <w:noProof/>
        </w:rPr>
      </w:pPr>
      <w:r>
        <w:rPr>
          <w:noProof/>
        </w:rPr>
        <w:t>(c)</w:t>
      </w:r>
      <w:r>
        <w:rPr>
          <w:noProof/>
        </w:rPr>
        <w:tab/>
        <w:t>Fair value of financial instruments</w:t>
      </w:r>
    </w:p>
    <w:p>
      <w:pPr>
        <w:pStyle w:val="ManualHeading4"/>
        <w:tabs>
          <w:tab w:val="clear" w:pos="850"/>
          <w:tab w:val="left" w:pos="0"/>
        </w:tabs>
        <w:ind w:left="0" w:firstLine="0"/>
        <w:rPr>
          <w:noProof/>
          <w:lang w:eastAsia="en-US"/>
        </w:rPr>
      </w:pPr>
      <w:r>
        <w:rPr>
          <w:noProof/>
          <w:lang w:eastAsia="en-US"/>
        </w:rPr>
        <w:t>Fair value is the amount for which an asset could be exchanged, or a liability settled, between knowledgeable, willing parties in an arm’s length transaction.</w:t>
      </w:r>
    </w:p>
    <w:p>
      <w:pPr>
        <w:pStyle w:val="ManualHeading4"/>
        <w:tabs>
          <w:tab w:val="clear" w:pos="850"/>
          <w:tab w:val="left" w:pos="0"/>
        </w:tabs>
        <w:ind w:left="0" w:firstLine="0"/>
        <w:rPr>
          <w:noProof/>
          <w:lang w:eastAsia="en-US"/>
        </w:rPr>
      </w:pPr>
      <w:r>
        <w:rPr>
          <w:noProof/>
          <w:lang w:eastAsia="en-US"/>
        </w:rPr>
        <w:t>When applicable, the EIB on behalf of the Fund measures the fair value of an instrument using the quoted price in an active market for that instrument. A market is regarded as active if transactions for the asset or liability take place with sufficient frequency and volume to provide pricing information on an on-going basis.</w:t>
      </w:r>
    </w:p>
    <w:p>
      <w:pPr>
        <w:pStyle w:val="ManualHeading4"/>
        <w:tabs>
          <w:tab w:val="clear" w:pos="850"/>
          <w:tab w:val="left" w:pos="0"/>
        </w:tabs>
        <w:ind w:left="0" w:firstLine="0"/>
        <w:rPr>
          <w:noProof/>
          <w:lang w:eastAsia="en-US"/>
        </w:rPr>
      </w:pPr>
      <w:r>
        <w:rPr>
          <w:noProof/>
          <w:lang w:eastAsia="en-US"/>
        </w:rPr>
        <w:t>Where the fair values of financial assets and financial liabilities recorded on the balance sheet cannot be derived from active markets, they are determined using a variety of valuation techniques that include the use of mathematical models. The input to these models is taken from observable markets where possible, but where this is not feasible, a degree of judgement is required in establishing fair values. The chosen valuation technique incorporates all the factors that market participants would take into account in pricing a transaction.</w:t>
      </w:r>
    </w:p>
    <w:p>
      <w:pPr>
        <w:pStyle w:val="ManualHeading4"/>
        <w:tabs>
          <w:tab w:val="clear" w:pos="850"/>
          <w:tab w:val="left" w:pos="0"/>
        </w:tabs>
        <w:ind w:left="0" w:firstLine="0"/>
        <w:rPr>
          <w:noProof/>
          <w:lang w:eastAsia="en-US"/>
        </w:rPr>
      </w:pPr>
      <w:r>
        <w:rPr>
          <w:noProof/>
          <w:lang w:eastAsia="en-US"/>
        </w:rPr>
        <w:t>The Fund measures fair values using the following fair value hierarchy that reflects the significance of the inputs used in making the measurements:</w:t>
      </w:r>
    </w:p>
    <w:p>
      <w:pPr>
        <w:pStyle w:val="ManualHeading4"/>
        <w:numPr>
          <w:ilvl w:val="0"/>
          <w:numId w:val="48"/>
        </w:numPr>
        <w:tabs>
          <w:tab w:val="clear" w:pos="850"/>
          <w:tab w:val="left" w:pos="0"/>
        </w:tabs>
        <w:rPr>
          <w:noProof/>
          <w:lang w:eastAsia="en-US"/>
        </w:rPr>
      </w:pPr>
      <w:r>
        <w:rPr>
          <w:noProof/>
          <w:lang w:eastAsia="en-US"/>
        </w:rPr>
        <w:t>Level 1: Quoted prices (unadjusted) in active markets for identical assets or liabilities;</w:t>
      </w:r>
    </w:p>
    <w:p>
      <w:pPr>
        <w:pStyle w:val="ManualHeading4"/>
        <w:numPr>
          <w:ilvl w:val="0"/>
          <w:numId w:val="48"/>
        </w:numPr>
        <w:tabs>
          <w:tab w:val="clear" w:pos="850"/>
          <w:tab w:val="left" w:pos="0"/>
        </w:tabs>
        <w:rPr>
          <w:noProof/>
          <w:lang w:eastAsia="en-US"/>
        </w:rPr>
      </w:pPr>
      <w:r>
        <w:rPr>
          <w:noProof/>
          <w:lang w:eastAsia="en-US"/>
        </w:rPr>
        <w:t>Level 2: Inputs other than quoted prices included within Level 1 that are observable for the asset or liability, either directly (i.e., as price) or indirectly (i.e., derived from prices);</w:t>
      </w:r>
    </w:p>
    <w:p>
      <w:pPr>
        <w:pStyle w:val="ManualHeading4"/>
        <w:numPr>
          <w:ilvl w:val="0"/>
          <w:numId w:val="48"/>
        </w:numPr>
        <w:tabs>
          <w:tab w:val="clear" w:pos="850"/>
          <w:tab w:val="left" w:pos="0"/>
        </w:tabs>
        <w:rPr>
          <w:noProof/>
          <w:lang w:eastAsia="en-US"/>
        </w:rPr>
      </w:pPr>
      <w:r>
        <w:rPr>
          <w:noProof/>
          <w:lang w:eastAsia="en-US"/>
        </w:rPr>
        <w:t>Level 3: Inputs for the asset or liability that are not based on observable market data (unobservable inputs).</w:t>
      </w:r>
    </w:p>
    <w:p>
      <w:pPr>
        <w:pStyle w:val="ManualHeading4"/>
        <w:tabs>
          <w:tab w:val="clear" w:pos="850"/>
          <w:tab w:val="left" w:pos="0"/>
        </w:tabs>
        <w:ind w:left="0" w:firstLine="0"/>
        <w:rPr>
          <w:noProof/>
          <w:lang w:eastAsia="en-US"/>
        </w:rPr>
      </w:pPr>
      <w:r>
        <w:rPr>
          <w:noProof/>
          <w:lang w:eastAsia="en-US"/>
        </w:rPr>
        <w:t>The Fund recognises transfers between levels of the fair value hierarchy as of the end of the reporting period during which the change has occurred.</w:t>
      </w:r>
    </w:p>
    <w:p>
      <w:pPr>
        <w:pStyle w:val="Normal1"/>
        <w:autoSpaceDE w:val="0"/>
        <w:autoSpaceDN w:val="0"/>
        <w:adjustRightInd w:val="0"/>
        <w:spacing w:before="120"/>
        <w:jc w:val="both"/>
        <w:rPr>
          <w:rFonts w:ascii="Times New Roman" w:hAnsi="Times New Roman"/>
          <w:noProof/>
          <w:sz w:val="24"/>
          <w:szCs w:val="24"/>
        </w:rPr>
      </w:pPr>
    </w:p>
    <w:p>
      <w:pPr>
        <w:pStyle w:val="ManualHeading4"/>
        <w:rPr>
          <w:noProof/>
        </w:rPr>
      </w:pPr>
      <w:r>
        <w:rPr>
          <w:noProof/>
        </w:rPr>
        <w:t>(d)</w:t>
      </w:r>
      <w:r>
        <w:rPr>
          <w:noProof/>
        </w:rPr>
        <w:tab/>
        <w:t>Impairment of financial assets</w:t>
      </w:r>
    </w:p>
    <w:p>
      <w:pPr>
        <w:pStyle w:val="ManualHeading4"/>
        <w:tabs>
          <w:tab w:val="clear" w:pos="850"/>
          <w:tab w:val="left" w:pos="0"/>
        </w:tabs>
        <w:ind w:left="0" w:firstLine="0"/>
        <w:rPr>
          <w:noProof/>
          <w:lang w:eastAsia="en-US"/>
        </w:rPr>
      </w:pPr>
      <w:r>
        <w:rPr>
          <w:noProof/>
          <w:lang w:eastAsia="en-US"/>
        </w:rPr>
        <w:t>The EIB assesses at each balance sheet date whether there is any objective evidence that a financial asset or a group of financial assets is impaired. A financial asset or a group of financial assets is deemed to be impaired if, and only if, there is objective evidence of impairment as a result of one or more events that has occurred after the initial recognition of the asset (an incurred “loss event”) and that loss event has an impact on the estimated future cash flows of the financial asset or the group of financial assets that can be reliably estimated. Evidence of impairment may include indications that the borrower or a group of borrowers is experiencing significant financial difficulty, default or delinquency in interest or principal payments, the probability that they will enter bankruptcy or other financial reorganisation and where observable data indicate that there is a measurable decrease in the estimated future cash flows, such as changes in arrears or economic conditions that correlate with defaults.</w:t>
      </w:r>
    </w:p>
    <w:p>
      <w:pPr>
        <w:pStyle w:val="Normal1"/>
        <w:widowControl w:val="0"/>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For the Available for Sale financial assets, an objective evidence would include a significant or prolonged decline in the fair value of the investment below its cost. Where there is evidence of impairment, the cumulative loss (measured as the difference between the acquisition cost net of any principal repayment and amortisation and the current fair value, less any impairment loss on that investment previously recognised in the statement of financial performance) is removed from net assets and recognised in the statement of financial performance. Impairment losses on Available for Sale financial assets are reversed through the statement of financial performance.</w:t>
      </w:r>
    </w:p>
    <w:p>
      <w:pPr>
        <w:pStyle w:val="Normal1"/>
        <w:widowControl w:val="0"/>
        <w:autoSpaceDE w:val="0"/>
        <w:autoSpaceDN w:val="0"/>
        <w:adjustRightInd w:val="0"/>
        <w:spacing w:after="0"/>
        <w:jc w:val="both"/>
        <w:rPr>
          <w:rFonts w:ascii="Times New Roman" w:hAnsi="Times New Roman"/>
          <w:noProof/>
          <w:sz w:val="24"/>
          <w:szCs w:val="24"/>
        </w:rPr>
      </w:pPr>
    </w:p>
    <w:p>
      <w:pPr>
        <w:pStyle w:val="ManualHeading4"/>
        <w:spacing w:after="240"/>
        <w:rPr>
          <w:noProof/>
        </w:rPr>
      </w:pPr>
      <w:r>
        <w:rPr>
          <w:noProof/>
        </w:rPr>
        <w:t>3.2.4.3.</w:t>
      </w:r>
      <w:r>
        <w:rPr>
          <w:noProof/>
        </w:rPr>
        <w:tab/>
        <w:t>Contributions</w:t>
      </w:r>
    </w:p>
    <w:p>
      <w:pPr>
        <w:spacing w:line="240" w:lineRule="atLeast"/>
        <w:jc w:val="both"/>
        <w:rPr>
          <w:noProof/>
          <w:lang w:eastAsia="en-US"/>
        </w:rPr>
      </w:pPr>
      <w:r>
        <w:rPr>
          <w:noProof/>
          <w:lang w:eastAsia="en-US"/>
        </w:rPr>
        <w:t>Contributions are increased by:</w:t>
      </w:r>
    </w:p>
    <w:p>
      <w:pPr>
        <w:numPr>
          <w:ilvl w:val="0"/>
          <w:numId w:val="32"/>
        </w:numPr>
        <w:spacing w:after="120" w:line="240" w:lineRule="atLeast"/>
        <w:jc w:val="both"/>
        <w:rPr>
          <w:noProof/>
          <w:lang w:eastAsia="en-US"/>
        </w:rPr>
      </w:pPr>
      <w:r>
        <w:rPr>
          <w:noProof/>
          <w:lang w:eastAsia="en-US"/>
        </w:rPr>
        <w:t>Payment allocations made to the Fund by the general budget of the European Union;</w:t>
      </w:r>
      <w:r>
        <w:rPr>
          <w:noProof/>
          <w:lang w:eastAsia="en-US"/>
        </w:rPr>
        <w:br/>
        <w:t>Guarantee recoveries received from EIB.</w:t>
      </w:r>
    </w:p>
    <w:p>
      <w:pPr>
        <w:spacing w:line="240" w:lineRule="atLeast"/>
        <w:jc w:val="both"/>
        <w:rPr>
          <w:noProof/>
          <w:lang w:eastAsia="en-US"/>
        </w:rPr>
      </w:pPr>
      <w:r>
        <w:rPr>
          <w:noProof/>
          <w:lang w:eastAsia="en-US"/>
        </w:rPr>
        <w:t>Contributions are decreased by:</w:t>
      </w:r>
    </w:p>
    <w:p>
      <w:pPr>
        <w:numPr>
          <w:ilvl w:val="0"/>
          <w:numId w:val="32"/>
        </w:numPr>
        <w:spacing w:after="120" w:line="240" w:lineRule="atLeast"/>
        <w:jc w:val="both"/>
        <w:rPr>
          <w:noProof/>
          <w:lang w:eastAsia="en-US"/>
        </w:rPr>
      </w:pPr>
      <w:r>
        <w:rPr>
          <w:noProof/>
          <w:lang w:eastAsia="en-US"/>
        </w:rPr>
        <w:t>Payment allocations to be made from the Fund to the general budget of the European Union;</w:t>
      </w:r>
      <w:r>
        <w:rPr>
          <w:noProof/>
          <w:lang w:eastAsia="en-US"/>
        </w:rPr>
        <w:br/>
        <w:t xml:space="preserve">Guarantee calls made by the EIB. </w:t>
      </w:r>
    </w:p>
    <w:p>
      <w:pPr>
        <w:spacing w:line="240" w:lineRule="atLeast"/>
        <w:jc w:val="both"/>
        <w:rPr>
          <w:noProof/>
          <w:lang w:eastAsia="en-US"/>
        </w:rPr>
      </w:pPr>
    </w:p>
    <w:p>
      <w:pPr>
        <w:spacing w:after="120" w:line="240" w:lineRule="atLeast"/>
        <w:jc w:val="both"/>
        <w:rPr>
          <w:bCs/>
          <w:noProof/>
          <w:lang w:val="en-US" w:eastAsia="en-US"/>
        </w:rPr>
      </w:pPr>
      <w:r>
        <w:rPr>
          <w:noProof/>
          <w:lang w:eastAsia="en-US"/>
        </w:rPr>
        <w:t>Contributions to be received</w:t>
      </w:r>
      <w:r>
        <w:rPr>
          <w:rStyle w:val="FootnoteReference"/>
          <w:noProof/>
          <w:lang w:eastAsia="en-US"/>
        </w:rPr>
        <w:footnoteReference w:id="9"/>
      </w:r>
      <w:r>
        <w:rPr>
          <w:noProof/>
          <w:lang w:eastAsia="en-US"/>
        </w:rPr>
        <w:t xml:space="preserve"> </w:t>
      </w:r>
      <w:r>
        <w:rPr>
          <w:bCs/>
          <w:noProof/>
          <w:lang w:val="en-US" w:eastAsia="en-US"/>
        </w:rPr>
        <w:t>from the general budget of the European Union, or to be paid back to the general budget of the European Union are recognized in the balance sheet on the date when they become due or owed according to articles 3, 4, 5 and 6 of the Council Regulation (EC, Euratom) No 480/2009 of 25 May 2009 establishing a Guarantee Fund for external actions (codified version). When it relates to articles 5 and 6 the contributions to be paid or received, based on the year end n-1 difference between the target amount and the value of the Fund’s net assets, are calculated and recorded at the beginning of the year n. When article 4 applies, the contribution to be paid back is calculated and recorded at the date of accession of the new Member State to the European Union.</w:t>
      </w:r>
    </w:p>
    <w:p>
      <w:pPr>
        <w:spacing w:after="120" w:line="240" w:lineRule="atLeast"/>
        <w:jc w:val="both"/>
        <w:rPr>
          <w:noProof/>
          <w:lang w:eastAsia="en-US"/>
        </w:rPr>
      </w:pPr>
      <w:r>
        <w:rPr>
          <w:noProof/>
          <w:lang w:eastAsia="en-US"/>
        </w:rPr>
        <w:t>Contributions to be paid to the EIB in the context of guarantee calls in line with the Recovery Agreement between the European Union and the EIB signed on 25 July 2014 in respect of loans and loan guarantees granted by the EIB for projects outside the European Union (“Recovery Agreement”) are derecognised from the balance sheet on the date when the guarantee call becomes due.</w:t>
      </w:r>
    </w:p>
    <w:p>
      <w:pPr>
        <w:spacing w:after="120" w:line="240" w:lineRule="atLeast"/>
        <w:jc w:val="both"/>
        <w:rPr>
          <w:noProof/>
          <w:lang w:eastAsia="en-US"/>
        </w:rPr>
      </w:pPr>
      <w:r>
        <w:rPr>
          <w:noProof/>
          <w:lang w:eastAsia="en-US"/>
        </w:rPr>
        <w:t>Guarantee recoveries paid from the EIB to the Fund in line with the Recovery Agreement are recognised in the balance sheet as contributions on the date when the guarantee recovery becomes due.</w:t>
      </w:r>
    </w:p>
    <w:p>
      <w:pPr>
        <w:pStyle w:val="BodyText1"/>
        <w:rPr>
          <w:rFonts w:ascii="Times New Roman" w:hAnsi="Times New Roman"/>
          <w:noProof/>
          <w:sz w:val="24"/>
          <w:szCs w:val="24"/>
        </w:rPr>
      </w:pPr>
    </w:p>
    <w:p>
      <w:pPr>
        <w:pStyle w:val="ManualHeading4"/>
        <w:rPr>
          <w:noProof/>
        </w:rPr>
      </w:pPr>
      <w:r>
        <w:rPr>
          <w:noProof/>
        </w:rPr>
        <w:t>3.2.4.4.</w:t>
      </w:r>
      <w:r>
        <w:rPr>
          <w:noProof/>
        </w:rPr>
        <w:tab/>
        <w:t>Interest income</w:t>
      </w:r>
    </w:p>
    <w:p>
      <w:pPr>
        <w:pStyle w:val="Normal1"/>
        <w:jc w:val="both"/>
        <w:rPr>
          <w:rFonts w:ascii="Times New Roman" w:hAnsi="Times New Roman"/>
          <w:noProof/>
          <w:sz w:val="24"/>
          <w:szCs w:val="24"/>
        </w:rPr>
      </w:pPr>
      <w:r>
        <w:rPr>
          <w:rFonts w:ascii="Times New Roman" w:hAnsi="Times New Roman"/>
          <w:noProof/>
          <w:sz w:val="24"/>
          <w:szCs w:val="24"/>
        </w:rPr>
        <w:t>Interest income covers interest earned on cash and cash equivalents and the Bond portfolio and is recorded in the statement of financial performance on an accrual basis.</w:t>
      </w:r>
    </w:p>
    <w:p>
      <w:pPr>
        <w:pStyle w:val="Normal1"/>
        <w:spacing w:after="0"/>
        <w:jc w:val="both"/>
        <w:rPr>
          <w:rFonts w:ascii="Times New Roman" w:hAnsi="Times New Roman"/>
          <w:noProof/>
          <w:sz w:val="24"/>
          <w:szCs w:val="24"/>
        </w:rPr>
      </w:pPr>
    </w:p>
    <w:p>
      <w:pPr>
        <w:pStyle w:val="ManualHeading4"/>
        <w:rPr>
          <w:noProof/>
        </w:rPr>
      </w:pPr>
      <w:r>
        <w:rPr>
          <w:noProof/>
        </w:rPr>
        <w:t>3.2.4.5.</w:t>
      </w:r>
      <w:r>
        <w:rPr>
          <w:noProof/>
        </w:rPr>
        <w:tab/>
        <w:t>Interest expense</w:t>
      </w:r>
    </w:p>
    <w:p>
      <w:pPr>
        <w:pStyle w:val="Normal1"/>
        <w:jc w:val="both"/>
        <w:rPr>
          <w:rFonts w:ascii="Times New Roman" w:hAnsi="Times New Roman"/>
          <w:noProof/>
          <w:sz w:val="24"/>
          <w:szCs w:val="24"/>
        </w:rPr>
      </w:pPr>
      <w:r>
        <w:rPr>
          <w:rFonts w:ascii="Times New Roman" w:hAnsi="Times New Roman"/>
          <w:noProof/>
          <w:sz w:val="24"/>
          <w:szCs w:val="24"/>
        </w:rPr>
        <w:t>Interest expense covers interest paid on cash and cash equivalents, due to negative interest rate, and is recorded in the statement of financial performance on an accrual basis.</w:t>
      </w:r>
    </w:p>
    <w:p>
      <w:pPr>
        <w:pStyle w:val="Normal1"/>
        <w:spacing w:after="0" w:line="0" w:lineRule="atLeast"/>
        <w:jc w:val="both"/>
        <w:rPr>
          <w:rFonts w:ascii="Times New Roman" w:hAnsi="Times New Roman"/>
          <w:noProof/>
          <w:sz w:val="24"/>
          <w:szCs w:val="24"/>
        </w:rPr>
      </w:pPr>
    </w:p>
    <w:p>
      <w:pPr>
        <w:pStyle w:val="ManualHeading4"/>
        <w:rPr>
          <w:noProof/>
        </w:rPr>
      </w:pPr>
      <w:r>
        <w:rPr>
          <w:noProof/>
        </w:rPr>
        <w:t>3.2.4.6.</w:t>
      </w:r>
      <w:r>
        <w:rPr>
          <w:noProof/>
        </w:rPr>
        <w:tab/>
        <w:t>Treasury management fees</w:t>
      </w:r>
    </w:p>
    <w:p>
      <w:pPr>
        <w:pStyle w:val="Normal1"/>
        <w:jc w:val="both"/>
        <w:rPr>
          <w:rFonts w:ascii="Times New Roman" w:hAnsi="Times New Roman"/>
          <w:bCs/>
          <w:noProof/>
          <w:sz w:val="24"/>
          <w:szCs w:val="24"/>
          <w:lang w:val="en-US"/>
        </w:rPr>
      </w:pPr>
      <w:r>
        <w:rPr>
          <w:rFonts w:ascii="Times New Roman" w:hAnsi="Times New Roman"/>
          <w:bCs/>
          <w:noProof/>
          <w:sz w:val="24"/>
          <w:szCs w:val="24"/>
          <w:lang w:val="en-US"/>
        </w:rPr>
        <w:t>According to the Convention, EIB shall receive a treasury management fee which is calculated on the basis of, in the case of securities, the average market value at the end of each month, and in the case of cash and money market deposits, the average nominal value at the end of each month.</w:t>
      </w:r>
    </w:p>
    <w:p>
      <w:pPr>
        <w:pStyle w:val="Normal1"/>
        <w:jc w:val="both"/>
        <w:rPr>
          <w:rFonts w:ascii="Times New Roman" w:hAnsi="Times New Roman"/>
          <w:bCs/>
          <w:noProof/>
          <w:sz w:val="24"/>
          <w:szCs w:val="24"/>
          <w:lang w:val="en-US"/>
        </w:rPr>
      </w:pPr>
      <w:r>
        <w:rPr>
          <w:rFonts w:ascii="Times New Roman" w:hAnsi="Times New Roman"/>
          <w:bCs/>
          <w:noProof/>
          <w:sz w:val="24"/>
          <w:szCs w:val="24"/>
          <w:lang w:val="en-US"/>
        </w:rPr>
        <w:t xml:space="preserve">Treasury management fees are recorded in the </w:t>
      </w:r>
      <w:r>
        <w:rPr>
          <w:rFonts w:ascii="Times New Roman" w:hAnsi="Times New Roman"/>
          <w:noProof/>
          <w:sz w:val="24"/>
          <w:szCs w:val="24"/>
        </w:rPr>
        <w:t xml:space="preserve">statement of financial performance </w:t>
      </w:r>
      <w:r>
        <w:rPr>
          <w:rFonts w:ascii="Times New Roman" w:hAnsi="Times New Roman"/>
          <w:bCs/>
          <w:noProof/>
          <w:sz w:val="24"/>
          <w:szCs w:val="24"/>
          <w:lang w:val="en-US"/>
        </w:rPr>
        <w:t>on an accrual basis.</w:t>
      </w:r>
    </w:p>
    <w:p>
      <w:pPr>
        <w:pStyle w:val="Normal1"/>
        <w:spacing w:after="0" w:line="0" w:lineRule="atLeast"/>
        <w:jc w:val="both"/>
        <w:rPr>
          <w:rFonts w:ascii="Times New Roman" w:hAnsi="Times New Roman"/>
          <w:noProof/>
          <w:sz w:val="24"/>
          <w:szCs w:val="24"/>
        </w:rPr>
      </w:pPr>
    </w:p>
    <w:p>
      <w:pPr>
        <w:pStyle w:val="ManualHeading4"/>
        <w:rPr>
          <w:noProof/>
        </w:rPr>
      </w:pPr>
      <w:r>
        <w:rPr>
          <w:noProof/>
        </w:rPr>
        <w:t>3.2.4.7.</w:t>
      </w:r>
      <w:r>
        <w:rPr>
          <w:noProof/>
        </w:rPr>
        <w:tab/>
        <w:t>Securities Lending Activity</w:t>
      </w:r>
    </w:p>
    <w:p>
      <w:pPr>
        <w:pStyle w:val="Normal1"/>
        <w:jc w:val="both"/>
        <w:rPr>
          <w:rFonts w:ascii="Times New Roman" w:hAnsi="Times New Roman"/>
          <w:bCs/>
          <w:noProof/>
          <w:sz w:val="24"/>
          <w:szCs w:val="24"/>
          <w:lang w:val="en-US"/>
        </w:rPr>
      </w:pPr>
      <w:r>
        <w:rPr>
          <w:rFonts w:ascii="Times New Roman" w:hAnsi="Times New Roman"/>
          <w:bCs/>
          <w:noProof/>
          <w:sz w:val="24"/>
          <w:szCs w:val="24"/>
          <w:lang w:val="en-US"/>
        </w:rPr>
        <w:t>In April 2008 the Fund entered into an automatic securities lending program with Euroclear Bank SA/NV to lend assets from its Bond portfolio. Within this securities lending program all bonds from the Bond portfolio are eligible to be lent out.</w:t>
      </w:r>
    </w:p>
    <w:p>
      <w:pPr>
        <w:pStyle w:val="Normal1"/>
        <w:jc w:val="both"/>
        <w:rPr>
          <w:rFonts w:ascii="Times New Roman" w:hAnsi="Times New Roman"/>
          <w:bCs/>
          <w:noProof/>
          <w:sz w:val="24"/>
          <w:szCs w:val="24"/>
          <w:lang w:val="en-US"/>
        </w:rPr>
      </w:pPr>
      <w:r>
        <w:rPr>
          <w:rFonts w:ascii="Times New Roman" w:hAnsi="Times New Roman"/>
          <w:bCs/>
          <w:noProof/>
          <w:sz w:val="24"/>
          <w:szCs w:val="24"/>
          <w:lang w:val="en-US"/>
        </w:rPr>
        <w:t>Securities lent within the automatic securities lending program are not derecognized from the Fund’s balance sheet as the control of the contractual rights that comprises these securities is still held by the Fund itself.</w:t>
      </w:r>
    </w:p>
    <w:p>
      <w:pPr>
        <w:pStyle w:val="Normal1"/>
        <w:jc w:val="both"/>
        <w:rPr>
          <w:rFonts w:ascii="Times New Roman" w:hAnsi="Times New Roman"/>
          <w:noProof/>
          <w:sz w:val="24"/>
          <w:szCs w:val="24"/>
        </w:rPr>
      </w:pPr>
      <w:r>
        <w:rPr>
          <w:rFonts w:ascii="Times New Roman" w:hAnsi="Times New Roman"/>
          <w:noProof/>
          <w:sz w:val="24"/>
          <w:szCs w:val="24"/>
        </w:rPr>
        <w:t>Income from securities lending activity is recorded in the statement of financial performance on an accrual basis.</w:t>
      </w:r>
    </w:p>
    <w:p>
      <w:pPr>
        <w:pStyle w:val="Normal1"/>
        <w:spacing w:after="0" w:line="0" w:lineRule="atLeast"/>
        <w:jc w:val="both"/>
        <w:rPr>
          <w:rFonts w:ascii="Times New Roman" w:hAnsi="Times New Roman"/>
          <w:noProof/>
          <w:sz w:val="24"/>
          <w:szCs w:val="24"/>
        </w:rPr>
      </w:pPr>
    </w:p>
    <w:p>
      <w:pPr>
        <w:pStyle w:val="ManualHeading3"/>
        <w:rPr>
          <w:noProof/>
        </w:rPr>
      </w:pPr>
      <w:bookmarkStart w:id="66" w:name="_Toc478663489"/>
      <w:r>
        <w:rPr>
          <w:noProof/>
        </w:rPr>
        <w:t>3.2.5.</w:t>
      </w:r>
      <w:r>
        <w:rPr>
          <w:noProof/>
        </w:rPr>
        <w:tab/>
        <w:t>Taxation</w:t>
      </w:r>
      <w:bookmarkEnd w:id="66"/>
    </w:p>
    <w:p>
      <w:pPr>
        <w:pStyle w:val="Normal1"/>
        <w:jc w:val="both"/>
        <w:rPr>
          <w:rFonts w:ascii="Times New Roman" w:hAnsi="Times New Roman"/>
          <w:bCs/>
          <w:noProof/>
          <w:sz w:val="24"/>
          <w:szCs w:val="24"/>
          <w:lang w:val="en-US"/>
        </w:rPr>
      </w:pPr>
      <w:r>
        <w:rPr>
          <w:rFonts w:ascii="Times New Roman" w:hAnsi="Times New Roman"/>
          <w:bCs/>
          <w:noProof/>
          <w:sz w:val="24"/>
          <w:szCs w:val="24"/>
          <w:lang w:val="en-US"/>
        </w:rPr>
        <w:t>The Protocol on the Privileges and Immunities of the European Union, appended to the treaty on the European Union and the treaty of the functioning of the European Union, stipulates that the assets, revenues and other property of the Institutions of the Union are exempt from all direct taxes.</w:t>
      </w:r>
    </w:p>
    <w:p>
      <w:pPr>
        <w:pStyle w:val="ManualHeading2"/>
        <w:rPr>
          <w:noProof/>
        </w:rPr>
      </w:pPr>
      <w:bookmarkStart w:id="67" w:name="_Toc449626527"/>
      <w:bookmarkStart w:id="68" w:name="_Toc449626300"/>
      <w:bookmarkStart w:id="69" w:name="_Toc449022475"/>
      <w:bookmarkStart w:id="70" w:name="_Toc448929174"/>
      <w:bookmarkStart w:id="71" w:name="_Toc478663490"/>
      <w:r>
        <w:rPr>
          <w:noProof/>
        </w:rPr>
        <w:t>3.3.</w:t>
      </w:r>
      <w:r>
        <w:rPr>
          <w:noProof/>
        </w:rPr>
        <w:tab/>
        <w:t>Financial Risk Management</w:t>
      </w:r>
      <w:bookmarkEnd w:id="67"/>
      <w:bookmarkEnd w:id="68"/>
      <w:bookmarkEnd w:id="69"/>
      <w:bookmarkEnd w:id="70"/>
      <w:bookmarkEnd w:id="71"/>
    </w:p>
    <w:p>
      <w:pPr>
        <w:tabs>
          <w:tab w:val="center" w:pos="4320"/>
          <w:tab w:val="right" w:pos="8640"/>
        </w:tabs>
        <w:spacing w:after="120" w:line="240" w:lineRule="atLeast"/>
        <w:jc w:val="both"/>
        <w:rPr>
          <w:noProof/>
        </w:rPr>
      </w:pPr>
      <w:r>
        <w:rPr>
          <w:noProof/>
        </w:rPr>
        <w:t>This note presents information about the Fund’s treasury portfolio exposure, its management and control of credit and financial risks, in particular the primary risks associated with its use of financial instruments. These are:</w:t>
      </w:r>
    </w:p>
    <w:p>
      <w:pPr>
        <w:numPr>
          <w:ilvl w:val="0"/>
          <w:numId w:val="42"/>
        </w:numPr>
        <w:spacing w:before="120" w:after="120" w:line="240" w:lineRule="atLeast"/>
        <w:ind w:left="714" w:hanging="357"/>
        <w:jc w:val="both"/>
        <w:rPr>
          <w:noProof/>
        </w:rPr>
      </w:pPr>
      <w:r>
        <w:rPr>
          <w:noProof/>
        </w:rPr>
        <w:t>credit risk – the risk of loss resulting from client or counterparty default and arising on credit exposure in all forms, including settlement risk;</w:t>
      </w:r>
    </w:p>
    <w:p>
      <w:pPr>
        <w:numPr>
          <w:ilvl w:val="0"/>
          <w:numId w:val="42"/>
        </w:numPr>
        <w:spacing w:before="120" w:after="120" w:line="240" w:lineRule="atLeast"/>
        <w:ind w:left="714" w:hanging="357"/>
        <w:jc w:val="both"/>
        <w:rPr>
          <w:noProof/>
        </w:rPr>
      </w:pPr>
      <w:r>
        <w:rPr>
          <w:noProof/>
        </w:rPr>
        <w:t>liquidity risk – the risk that an entity will encounter difficulty in meeting obligations associated with financial liabilities that are settled by delivering cash or another financial asset;</w:t>
      </w:r>
    </w:p>
    <w:p>
      <w:pPr>
        <w:numPr>
          <w:ilvl w:val="0"/>
          <w:numId w:val="42"/>
        </w:numPr>
        <w:spacing w:before="120" w:after="120" w:line="240" w:lineRule="atLeast"/>
        <w:ind w:left="714" w:hanging="357"/>
        <w:jc w:val="both"/>
        <w:rPr>
          <w:noProof/>
        </w:rPr>
      </w:pPr>
      <w:r>
        <w:rPr>
          <w:noProof/>
        </w:rPr>
        <w:t>market risk – exposure to observable market variables such as interest rates and foreign exchange rates.</w:t>
      </w:r>
    </w:p>
    <w:p>
      <w:pPr>
        <w:spacing w:line="0" w:lineRule="atLeast"/>
        <w:jc w:val="both"/>
        <w:rPr>
          <w:noProof/>
        </w:rPr>
      </w:pPr>
    </w:p>
    <w:p>
      <w:pPr>
        <w:pStyle w:val="ManualHeading3"/>
        <w:rPr>
          <w:noProof/>
        </w:rPr>
      </w:pPr>
      <w:bookmarkStart w:id="72" w:name="_Toc478663491"/>
      <w:r>
        <w:rPr>
          <w:noProof/>
        </w:rPr>
        <w:t>3.3.1.</w:t>
      </w:r>
      <w:r>
        <w:rPr>
          <w:noProof/>
        </w:rPr>
        <w:tab/>
        <w:t>Risk management organisation</w:t>
      </w:r>
      <w:bookmarkEnd w:id="72"/>
    </w:p>
    <w:p>
      <w:pPr>
        <w:tabs>
          <w:tab w:val="center" w:pos="4320"/>
          <w:tab w:val="right" w:pos="8640"/>
        </w:tabs>
        <w:spacing w:after="120" w:line="240" w:lineRule="atLeast"/>
        <w:jc w:val="both"/>
        <w:rPr>
          <w:noProof/>
        </w:rPr>
      </w:pPr>
      <w:r>
        <w:rPr>
          <w:noProof/>
        </w:rPr>
        <w:t xml:space="preserve">The Risk Management function of EIB ensures that the treasury portfolio is managed in line with the agreed asset management guidelines, especially in respect of the eligible investments, the maximum maturity, the interest rate risk and the credit risk exposure of the Fund’s treasury portfolio. In this respect quarterly reporting is also delivered to the EC concerning the risk and the performance of the Fund’s treasury portfolio. The reporting makes reference to breaches, if any, of the limits set out in the asset management guidelines and includes a comparison of the valuations of the portfolio to a performance index taken as benchmark. </w:t>
      </w:r>
    </w:p>
    <w:p>
      <w:pPr>
        <w:pStyle w:val="ManualHeading3"/>
        <w:rPr>
          <w:noProof/>
        </w:rPr>
      </w:pPr>
      <w:bookmarkStart w:id="73" w:name="_Toc478663492"/>
      <w:r>
        <w:rPr>
          <w:noProof/>
        </w:rPr>
        <w:t>3.3.2.</w:t>
      </w:r>
      <w:r>
        <w:rPr>
          <w:noProof/>
        </w:rPr>
        <w:tab/>
        <w:t>Credit Risk</w:t>
      </w:r>
      <w:bookmarkEnd w:id="73"/>
    </w:p>
    <w:p>
      <w:pPr>
        <w:tabs>
          <w:tab w:val="center" w:pos="4320"/>
          <w:tab w:val="right" w:pos="8640"/>
        </w:tabs>
        <w:spacing w:after="120" w:line="240" w:lineRule="atLeast"/>
        <w:jc w:val="both"/>
        <w:rPr>
          <w:noProof/>
          <w:bdr w:val="none" w:sz="0" w:space="0" w:color="auto" w:frame="1"/>
        </w:rPr>
      </w:pPr>
      <w:r>
        <w:rPr>
          <w:noProof/>
          <w:bdr w:val="none" w:sz="0" w:space="0" w:color="auto" w:frame="1"/>
        </w:rPr>
        <w:t>Credit risk is the potential loss that could result from client or counterparty default and arising on credit exposure in all forms, including settlement.</w:t>
      </w:r>
    </w:p>
    <w:p>
      <w:pPr>
        <w:pStyle w:val="Notes"/>
        <w:numPr>
          <w:ilvl w:val="0"/>
          <w:numId w:val="0"/>
        </w:numPr>
        <w:pBdr>
          <w:top w:val="nil"/>
          <w:left w:val="nil"/>
          <w:bottom w:val="nil"/>
          <w:right w:val="nil"/>
          <w:between w:val="nil"/>
          <w:bar w:val="nil"/>
        </w:pBdr>
        <w:spacing w:after="0" w:line="0" w:lineRule="atLeast"/>
        <w:ind w:left="432" w:hanging="432"/>
        <w:rPr>
          <w:rFonts w:ascii="Times New Roman" w:hAnsi="Times New Roman"/>
          <w:b w:val="0"/>
          <w:noProof/>
          <w:sz w:val="24"/>
          <w:szCs w:val="24"/>
          <w:bdr w:val="nil"/>
          <w:lang w:val="en-GB"/>
        </w:rPr>
      </w:pPr>
    </w:p>
    <w:p>
      <w:pPr>
        <w:pStyle w:val="ManualHeading4"/>
        <w:rPr>
          <w:noProof/>
        </w:rPr>
      </w:pPr>
      <w:r>
        <w:rPr>
          <w:noProof/>
        </w:rPr>
        <w:t>3.3.2.1.</w:t>
      </w:r>
      <w:r>
        <w:rPr>
          <w:noProof/>
        </w:rPr>
        <w:tab/>
        <w:t>Credit risk policy</w:t>
      </w:r>
    </w:p>
    <w:p>
      <w:pPr>
        <w:tabs>
          <w:tab w:val="center" w:pos="4320"/>
          <w:tab w:val="right" w:pos="8640"/>
        </w:tabs>
        <w:spacing w:after="120" w:line="240" w:lineRule="atLeast"/>
        <w:jc w:val="both"/>
        <w:rPr>
          <w:noProof/>
          <w:bdr w:val="none" w:sz="0" w:space="0" w:color="auto" w:frame="1"/>
        </w:rPr>
      </w:pPr>
      <w:r>
        <w:rPr>
          <w:noProof/>
          <w:bdr w:val="none" w:sz="0" w:space="0" w:color="auto" w:frame="1"/>
        </w:rPr>
        <w:t>The treasury portfolio’s agreed asset management guidelines and/or investment strategy define certain limits and restrictions in order to limit the exposure to credit risk of the treasury portfolio. The compliance with these limits is monitored by the Risk Management on a daily basis. Such limits and restrictions include eligibility criteria, absolute credit limits in nominal terms depending on issuer category, relative concentration limits depending on issuer category and concentration limits per issue.</w:t>
      </w:r>
    </w:p>
    <w:p>
      <w:pPr>
        <w:pStyle w:val="Notes"/>
        <w:numPr>
          <w:ilvl w:val="0"/>
          <w:numId w:val="0"/>
        </w:numPr>
        <w:pBdr>
          <w:top w:val="nil"/>
          <w:left w:val="nil"/>
          <w:bottom w:val="nil"/>
          <w:right w:val="nil"/>
          <w:between w:val="nil"/>
          <w:bar w:val="nil"/>
        </w:pBdr>
        <w:spacing w:after="0" w:line="0" w:lineRule="atLeast"/>
        <w:ind w:left="432"/>
        <w:rPr>
          <w:rFonts w:ascii="Times New Roman" w:hAnsi="Times New Roman"/>
          <w:b w:val="0"/>
          <w:noProof/>
          <w:sz w:val="24"/>
          <w:szCs w:val="24"/>
          <w:bdr w:val="nil"/>
          <w:lang w:val="en-GB"/>
        </w:rPr>
      </w:pPr>
      <w:r>
        <w:rPr>
          <w:rFonts w:ascii="Times New Roman" w:hAnsi="Times New Roman"/>
          <w:b w:val="0"/>
          <w:noProof/>
          <w:sz w:val="24"/>
          <w:szCs w:val="24"/>
          <w:bdr w:val="nil"/>
          <w:lang w:val="en-GB"/>
        </w:rPr>
        <w:br w:type="page"/>
      </w:r>
    </w:p>
    <w:p>
      <w:pPr>
        <w:pStyle w:val="ManualHeading4"/>
        <w:rPr>
          <w:noProof/>
        </w:rPr>
      </w:pPr>
      <w:r>
        <w:rPr>
          <w:noProof/>
        </w:rPr>
        <w:t>3.3.2.2.</w:t>
      </w:r>
      <w:r>
        <w:rPr>
          <w:noProof/>
        </w:rPr>
        <w:tab/>
        <w:t>Maximum exposure to credit risk without taking into account any collateral and other credit enhancements</w:t>
      </w:r>
    </w:p>
    <w:p>
      <w:pPr>
        <w:pStyle w:val="Notes"/>
        <w:numPr>
          <w:ilvl w:val="0"/>
          <w:numId w:val="0"/>
        </w:numPr>
        <w:pBdr>
          <w:top w:val="nil"/>
          <w:left w:val="nil"/>
          <w:bottom w:val="nil"/>
          <w:right w:val="nil"/>
          <w:between w:val="nil"/>
          <w:bar w:val="nil"/>
        </w:pBdr>
        <w:tabs>
          <w:tab w:val="clear" w:pos="4320"/>
          <w:tab w:val="clear" w:pos="8640"/>
          <w:tab w:val="right" w:pos="-2700"/>
        </w:tabs>
        <w:spacing w:before="120" w:line="240" w:lineRule="atLeast"/>
        <w:rPr>
          <w:rFonts w:ascii="Times New Roman" w:hAnsi="Times New Roman"/>
          <w:b w:val="0"/>
          <w:noProof/>
          <w:sz w:val="24"/>
          <w:szCs w:val="24"/>
          <w:bdr w:val="nil"/>
          <w:lang w:val="en-GB"/>
        </w:rPr>
      </w:pPr>
      <w:r>
        <w:rPr>
          <w:rFonts w:ascii="Times New Roman" w:hAnsi="Times New Roman"/>
          <w:b w:val="0"/>
          <w:noProof/>
          <w:sz w:val="24"/>
          <w:szCs w:val="24"/>
          <w:bdr w:val="nil"/>
          <w:lang w:val="en-GB"/>
        </w:rPr>
        <w:t>The following table shows the maximum exposure to credit risk for the components of the balance sheet (in EUR):</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25"/>
        <w:gridCol w:w="2175"/>
        <w:gridCol w:w="2175"/>
        <w:gridCol w:w="255"/>
      </w:tblGrid>
      <w:tr>
        <w:trPr>
          <w:trHeight w:val="255"/>
        </w:trPr>
        <w:tc>
          <w:tcPr>
            <w:tcW w:w="56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20"/>
                <w:szCs w:val="20"/>
                <w:lang w:eastAsia="en-US"/>
              </w:rPr>
            </w:pPr>
            <w:r>
              <w:rPr>
                <w:b/>
                <w:noProof/>
                <w:color w:val="000000"/>
                <w:sz w:val="20"/>
                <w:szCs w:val="20"/>
                <w:lang w:eastAsia="en-US"/>
              </w:rPr>
              <w:t xml:space="preserve">Maximum exposure </w:t>
            </w: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31.12.2017</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31.12.2016</w:t>
            </w:r>
          </w:p>
        </w:tc>
        <w:tc>
          <w:tcPr>
            <w:tcW w:w="25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20"/>
                <w:szCs w:val="20"/>
                <w:lang w:eastAsia="en-US"/>
              </w:rPr>
            </w:pPr>
          </w:p>
        </w:tc>
      </w:tr>
      <w:tr>
        <w:trPr>
          <w:trHeight w:val="255"/>
        </w:trPr>
        <w:tc>
          <w:tcPr>
            <w:tcW w:w="562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b/>
                <w:noProof/>
                <w:color w:val="000000"/>
                <w:sz w:val="20"/>
                <w:szCs w:val="20"/>
                <w:lang w:eastAsia="en-US"/>
              </w:rPr>
            </w:pPr>
            <w:r>
              <w:rPr>
                <w:b/>
                <w:noProof/>
                <w:color w:val="000000"/>
                <w:sz w:val="20"/>
                <w:szCs w:val="20"/>
                <w:lang w:eastAsia="en-US"/>
              </w:rPr>
              <w:t>ASSETS</w:t>
            </w:r>
          </w:p>
        </w:tc>
        <w:tc>
          <w:tcPr>
            <w:tcW w:w="21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b/>
                <w:noProof/>
                <w:color w:val="000000"/>
                <w:sz w:val="20"/>
                <w:szCs w:val="20"/>
                <w:lang w:eastAsia="en-US"/>
              </w:rPr>
            </w:pPr>
          </w:p>
        </w:tc>
        <w:tc>
          <w:tcPr>
            <w:tcW w:w="2175" w:type="dxa"/>
            <w:tcBorders>
              <w:top w:val="single" w:sz="4" w:space="0" w:color="000000"/>
              <w:left w:val="nil"/>
              <w:bottom w:val="nil"/>
              <w:right w:val="nil"/>
              <w:tl2br w:val="nil"/>
              <w:tr2bl w:val="nil"/>
            </w:tcBorders>
            <w:shd w:val="clear" w:color="auto" w:fill="auto"/>
            <w:tcMar>
              <w:left w:w="40" w:type="dxa"/>
              <w:right w:w="40" w:type="dxa"/>
            </w:tcMar>
            <w:vAlign w:val="center"/>
          </w:tcPr>
          <w:p>
            <w:pPr>
              <w:rPr>
                <w:b/>
                <w:noProof/>
                <w:color w:val="000000"/>
                <w:sz w:val="20"/>
                <w:szCs w:val="20"/>
                <w:lang w:eastAsia="en-US"/>
              </w:rPr>
            </w:pPr>
          </w:p>
        </w:tc>
        <w:tc>
          <w:tcPr>
            <w:tcW w:w="255" w:type="dxa"/>
            <w:tcBorders>
              <w:top w:val="nil"/>
              <w:left w:val="nil"/>
              <w:bottom w:val="nil"/>
              <w:right w:val="nil"/>
              <w:tl2br w:val="nil"/>
              <w:tr2bl w:val="nil"/>
            </w:tcBorders>
            <w:shd w:val="clear" w:color="auto" w:fill="auto"/>
            <w:tcMar>
              <w:left w:w="40" w:type="dxa"/>
              <w:right w:w="40" w:type="dxa"/>
            </w:tcMar>
            <w:vAlign w:val="center"/>
          </w:tcPr>
          <w:p>
            <w:pPr>
              <w:rPr>
                <w:b/>
                <w:noProof/>
                <w:color w:val="000000"/>
                <w:sz w:val="20"/>
                <w:szCs w:val="20"/>
                <w:lang w:eastAsia="en-US"/>
              </w:rPr>
            </w:pPr>
          </w:p>
        </w:tc>
      </w:tr>
      <w:tr>
        <w:trPr>
          <w:trHeight w:val="255"/>
        </w:trPr>
        <w:tc>
          <w:tcPr>
            <w:tcW w:w="56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Available for Sale portfolio</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r>
              <w:rPr>
                <w:noProof/>
                <w:color w:val="000000"/>
                <w:sz w:val="20"/>
                <w:szCs w:val="20"/>
                <w:lang w:eastAsia="en-US"/>
              </w:rPr>
              <w:t>2,198,742,276.84</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r>
              <w:rPr>
                <w:noProof/>
                <w:color w:val="000000"/>
                <w:sz w:val="20"/>
                <w:szCs w:val="20"/>
                <w:lang w:eastAsia="en-US"/>
              </w:rPr>
              <w:t>2,068,651,104.70</w:t>
            </w:r>
          </w:p>
        </w:tc>
        <w:tc>
          <w:tcPr>
            <w:tcW w:w="25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p>
        </w:tc>
      </w:tr>
      <w:tr>
        <w:trPr>
          <w:trHeight w:val="255"/>
        </w:trPr>
        <w:tc>
          <w:tcPr>
            <w:tcW w:w="56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Contributions receivable</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r>
              <w:rPr>
                <w:noProof/>
                <w:color w:val="000000"/>
                <w:sz w:val="20"/>
                <w:szCs w:val="20"/>
                <w:lang w:eastAsia="en-US"/>
              </w:rPr>
              <w:t>137,800,722.00</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r>
              <w:rPr>
                <w:noProof/>
                <w:color w:val="000000"/>
                <w:sz w:val="20"/>
                <w:szCs w:val="20"/>
                <w:lang w:eastAsia="en-US"/>
              </w:rPr>
              <w:t>240,540,250.00</w:t>
            </w:r>
          </w:p>
        </w:tc>
        <w:tc>
          <w:tcPr>
            <w:tcW w:w="25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p>
        </w:tc>
      </w:tr>
      <w:tr>
        <w:trPr>
          <w:trHeight w:val="255"/>
        </w:trPr>
        <w:tc>
          <w:tcPr>
            <w:tcW w:w="56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Guarantee recoveries receivable</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r>
              <w:rPr>
                <w:noProof/>
                <w:color w:val="000000"/>
                <w:sz w:val="20"/>
                <w:szCs w:val="20"/>
                <w:lang w:eastAsia="en-US"/>
              </w:rPr>
              <w:t>136,092.88</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r>
              <w:rPr>
                <w:noProof/>
                <w:color w:val="000000"/>
                <w:sz w:val="20"/>
                <w:szCs w:val="20"/>
                <w:lang w:eastAsia="en-US"/>
              </w:rPr>
              <w:t>0.00</w:t>
            </w:r>
          </w:p>
        </w:tc>
        <w:tc>
          <w:tcPr>
            <w:tcW w:w="25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szCs w:val="20"/>
                <w:lang w:eastAsia="en-US"/>
              </w:rPr>
            </w:pPr>
          </w:p>
        </w:tc>
      </w:tr>
      <w:tr>
        <w:trPr>
          <w:trHeight w:val="255"/>
        </w:trPr>
        <w:tc>
          <w:tcPr>
            <w:tcW w:w="56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Cash and cash equivalents</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r>
              <w:rPr>
                <w:noProof/>
                <w:color w:val="000000"/>
                <w:sz w:val="20"/>
                <w:szCs w:val="20"/>
                <w:lang w:eastAsia="en-US"/>
              </w:rPr>
              <w:t>224,082,752.91</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r>
              <w:rPr>
                <w:noProof/>
                <w:color w:val="000000"/>
                <w:sz w:val="20"/>
                <w:szCs w:val="20"/>
                <w:lang w:eastAsia="en-US"/>
              </w:rPr>
              <w:t>196,861,698.44</w:t>
            </w:r>
          </w:p>
        </w:tc>
        <w:tc>
          <w:tcPr>
            <w:tcW w:w="25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20"/>
                <w:szCs w:val="20"/>
                <w:lang w:eastAsia="en-US"/>
              </w:rPr>
            </w:pPr>
          </w:p>
        </w:tc>
      </w:tr>
      <w:tr>
        <w:trPr>
          <w:trHeight w:val="255"/>
        </w:trPr>
        <w:tc>
          <w:tcPr>
            <w:tcW w:w="5625"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rPr>
                <w:b/>
                <w:noProof/>
                <w:color w:val="000000"/>
                <w:sz w:val="20"/>
                <w:szCs w:val="20"/>
                <w:lang w:eastAsia="en-US"/>
              </w:rPr>
            </w:pPr>
            <w:r>
              <w:rPr>
                <w:b/>
                <w:noProof/>
                <w:color w:val="000000"/>
                <w:sz w:val="20"/>
                <w:szCs w:val="20"/>
                <w:lang w:eastAsia="en-US"/>
              </w:rPr>
              <w:t>Total assets</w:t>
            </w:r>
          </w:p>
        </w:tc>
        <w:tc>
          <w:tcPr>
            <w:tcW w:w="2175" w:type="dxa"/>
            <w:tcBorders>
              <w:top w:val="single" w:sz="4" w:space="0" w:color="000000"/>
              <w:left w:val="nil"/>
              <w:bottom w:val="single" w:sz="4" w:space="0" w:color="000000"/>
              <w:right w:val="nil"/>
              <w:tl2br w:val="nil"/>
              <w:tr2bl w:val="nil"/>
            </w:tcBorders>
            <w:shd w:val="clear" w:color="FFFFFF" w:fill="C0C0C0"/>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2,560,761,844.63</w:t>
            </w:r>
          </w:p>
        </w:tc>
        <w:tc>
          <w:tcPr>
            <w:tcW w:w="2175" w:type="dxa"/>
            <w:tcBorders>
              <w:top w:val="single" w:sz="4" w:space="0" w:color="000000"/>
              <w:left w:val="nil"/>
              <w:bottom w:val="single" w:sz="4" w:space="0" w:color="000000"/>
              <w:right w:val="nil"/>
              <w:tl2br w:val="nil"/>
              <w:tr2bl w:val="nil"/>
            </w:tcBorders>
            <w:shd w:val="clear" w:color="FFFFFF" w:fill="C0C0C0"/>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2,506,053,053.14</w:t>
            </w:r>
          </w:p>
        </w:tc>
        <w:tc>
          <w:tcPr>
            <w:tcW w:w="25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p>
        </w:tc>
      </w:tr>
      <w:tr>
        <w:trPr>
          <w:trHeight w:val="255"/>
        </w:trPr>
        <w:tc>
          <w:tcPr>
            <w:tcW w:w="56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0"/>
                <w:szCs w:val="20"/>
                <w:lang w:eastAsia="en-US"/>
              </w:rPr>
            </w:pPr>
          </w:p>
        </w:tc>
        <w:tc>
          <w:tcPr>
            <w:tcW w:w="21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p>
        </w:tc>
        <w:tc>
          <w:tcPr>
            <w:tcW w:w="21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p>
        </w:tc>
        <w:tc>
          <w:tcPr>
            <w:tcW w:w="25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20"/>
                <w:szCs w:val="20"/>
                <w:lang w:eastAsia="en-US"/>
              </w:rPr>
            </w:pPr>
          </w:p>
        </w:tc>
      </w:tr>
      <w:tr>
        <w:trPr>
          <w:trHeight w:val="255"/>
        </w:trPr>
        <w:tc>
          <w:tcPr>
            <w:tcW w:w="5625"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rPr>
                <w:b/>
                <w:noProof/>
                <w:color w:val="000000"/>
                <w:sz w:val="20"/>
                <w:szCs w:val="20"/>
                <w:lang w:eastAsia="en-US"/>
              </w:rPr>
            </w:pPr>
            <w:r>
              <w:rPr>
                <w:b/>
                <w:noProof/>
                <w:color w:val="000000"/>
                <w:sz w:val="20"/>
                <w:szCs w:val="20"/>
                <w:lang w:eastAsia="en-US"/>
              </w:rPr>
              <w:t>Total credit exposure</w:t>
            </w:r>
          </w:p>
        </w:tc>
        <w:tc>
          <w:tcPr>
            <w:tcW w:w="2175" w:type="dxa"/>
            <w:tcBorders>
              <w:top w:val="single" w:sz="4" w:space="0" w:color="000000"/>
              <w:left w:val="nil"/>
              <w:bottom w:val="single" w:sz="4" w:space="0" w:color="000000"/>
              <w:right w:val="nil"/>
              <w:tl2br w:val="nil"/>
              <w:tr2bl w:val="nil"/>
            </w:tcBorders>
            <w:shd w:val="clear" w:color="FFFFFF" w:fill="C0C0C0"/>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2,560,761,844.63</w:t>
            </w:r>
          </w:p>
        </w:tc>
        <w:tc>
          <w:tcPr>
            <w:tcW w:w="2175" w:type="dxa"/>
            <w:tcBorders>
              <w:top w:val="single" w:sz="4" w:space="0" w:color="000000"/>
              <w:left w:val="nil"/>
              <w:bottom w:val="single" w:sz="4" w:space="0" w:color="000000"/>
              <w:right w:val="nil"/>
              <w:tl2br w:val="nil"/>
              <w:tr2bl w:val="nil"/>
            </w:tcBorders>
            <w:shd w:val="clear" w:color="FFFFFF" w:fill="C0C0C0"/>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2,506,053,053.14</w:t>
            </w:r>
          </w:p>
        </w:tc>
        <w:tc>
          <w:tcPr>
            <w:tcW w:w="25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20"/>
                <w:szCs w:val="20"/>
                <w:lang w:eastAsia="en-US"/>
              </w:rPr>
            </w:pPr>
          </w:p>
        </w:tc>
      </w:tr>
    </w:tbl>
    <w:p>
      <w:pPr>
        <w:tabs>
          <w:tab w:val="left" w:pos="709"/>
        </w:tabs>
        <w:spacing w:before="120" w:after="120"/>
        <w:ind w:left="705" w:hanging="705"/>
        <w:jc w:val="both"/>
        <w:rPr>
          <w:b/>
          <w:noProof/>
          <w:szCs w:val="22"/>
          <w:bdr w:val="none" w:sz="0" w:space="0" w:color="auto" w:frame="1"/>
        </w:rPr>
      </w:pPr>
    </w:p>
    <w:p>
      <w:pPr>
        <w:pStyle w:val="ManualHeading4"/>
        <w:rPr>
          <w:noProof/>
        </w:rPr>
      </w:pPr>
      <w:r>
        <w:rPr>
          <w:noProof/>
        </w:rPr>
        <w:t>3.3.2.3.</w:t>
      </w:r>
      <w:r>
        <w:rPr>
          <w:noProof/>
        </w:rPr>
        <w:tab/>
        <w:t>Credit risk on cash and cash equivalents</w:t>
      </w:r>
    </w:p>
    <w:p>
      <w:pPr>
        <w:pStyle w:val="ManualHeading4"/>
        <w:rPr>
          <w:noProof/>
        </w:rPr>
      </w:pPr>
      <w:r>
        <w:rPr>
          <w:noProof/>
        </w:rPr>
        <w:t>(a)</w:t>
      </w:r>
      <w:r>
        <w:rPr>
          <w:noProof/>
        </w:rPr>
        <w:tab/>
        <w:t>Analysis of current accounts per profile of counterparties</w:t>
      </w:r>
    </w:p>
    <w:p>
      <w:pPr>
        <w:pStyle w:val="Notes"/>
        <w:numPr>
          <w:ilvl w:val="0"/>
          <w:numId w:val="0"/>
        </w:numPr>
        <w:pBdr>
          <w:top w:val="nil"/>
          <w:left w:val="nil"/>
          <w:bottom w:val="nil"/>
          <w:right w:val="nil"/>
          <w:between w:val="nil"/>
          <w:bar w:val="nil"/>
        </w:pBdr>
        <w:tabs>
          <w:tab w:val="clear" w:pos="4320"/>
          <w:tab w:val="clear" w:pos="8640"/>
          <w:tab w:val="right" w:pos="-2700"/>
        </w:tabs>
        <w:spacing w:line="240" w:lineRule="atLeast"/>
        <w:rPr>
          <w:rFonts w:ascii="Times New Roman" w:hAnsi="Times New Roman"/>
          <w:b w:val="0"/>
          <w:noProof/>
          <w:sz w:val="24"/>
          <w:szCs w:val="24"/>
          <w:bdr w:val="nil"/>
          <w:lang w:val="en-GB"/>
        </w:rPr>
      </w:pPr>
      <w:r>
        <w:rPr>
          <w:rFonts w:ascii="Times New Roman" w:hAnsi="Times New Roman"/>
          <w:b w:val="0"/>
          <w:noProof/>
          <w:sz w:val="24"/>
          <w:szCs w:val="24"/>
          <w:bdr w:val="nil"/>
          <w:lang w:val="en-GB"/>
        </w:rPr>
        <w:t>The following table shows the breakdown of current account balances per maximum long-term counterparty rating (based on the external long term ratings assigned by Fitch, Standard &amp; Poor’s and Moody’s) (in EUR):</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25"/>
        <w:gridCol w:w="2175"/>
        <w:gridCol w:w="2175"/>
      </w:tblGrid>
      <w:tr>
        <w:trPr>
          <w:trHeight w:val="330"/>
        </w:trPr>
        <w:tc>
          <w:tcPr>
            <w:tcW w:w="4125"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20"/>
              </w:rPr>
            </w:pPr>
            <w:r>
              <w:rPr>
                <w:b/>
                <w:noProof/>
                <w:color w:val="000000"/>
                <w:sz w:val="20"/>
              </w:rPr>
              <w:t>Rating</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31.12.2017</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31.12.2016</w:t>
            </w:r>
          </w:p>
        </w:tc>
      </w:tr>
      <w:tr>
        <w:trPr>
          <w:trHeight w:hRule="exact" w:val="330"/>
        </w:trPr>
        <w:tc>
          <w:tcPr>
            <w:tcW w:w="412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A1</w:t>
            </w:r>
          </w:p>
        </w:tc>
        <w:tc>
          <w:tcPr>
            <w:tcW w:w="21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45,568,040.56</w:t>
            </w:r>
          </w:p>
        </w:tc>
        <w:tc>
          <w:tcPr>
            <w:tcW w:w="21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45,424,684.55</w:t>
            </w:r>
          </w:p>
        </w:tc>
      </w:tr>
      <w:tr>
        <w:trPr>
          <w:trHeight w:hRule="exact" w:val="330"/>
        </w:trPr>
        <w:tc>
          <w:tcPr>
            <w:tcW w:w="41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Aa1</w:t>
            </w: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1,090.62</w:t>
            </w: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6,818.95</w:t>
            </w:r>
          </w:p>
        </w:tc>
      </w:tr>
      <w:tr>
        <w:trPr>
          <w:trHeight w:hRule="exact" w:val="330"/>
        </w:trPr>
        <w:tc>
          <w:tcPr>
            <w:tcW w:w="41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Total</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45,569,131.18</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45,431,503.50</w:t>
            </w:r>
          </w:p>
        </w:tc>
      </w:tr>
    </w:tbl>
    <w:p>
      <w:pPr>
        <w:pBdr>
          <w:top w:val="nil"/>
          <w:left w:val="nil"/>
          <w:bottom w:val="nil"/>
          <w:right w:val="nil"/>
          <w:between w:val="nil"/>
          <w:bar w:val="nil"/>
        </w:pBdr>
        <w:spacing w:before="120" w:after="120"/>
        <w:rPr>
          <w:b/>
          <w:iCs/>
          <w:noProof/>
          <w:szCs w:val="22"/>
          <w:bdr w:val="nil"/>
        </w:rPr>
      </w:pPr>
    </w:p>
    <w:p>
      <w:pPr>
        <w:pStyle w:val="Notes"/>
        <w:numPr>
          <w:ilvl w:val="0"/>
          <w:numId w:val="0"/>
        </w:numPr>
        <w:pBdr>
          <w:top w:val="nil"/>
          <w:left w:val="nil"/>
          <w:bottom w:val="nil"/>
          <w:right w:val="nil"/>
          <w:between w:val="nil"/>
          <w:bar w:val="nil"/>
        </w:pBdr>
        <w:tabs>
          <w:tab w:val="clear" w:pos="4320"/>
          <w:tab w:val="clear" w:pos="8640"/>
          <w:tab w:val="right" w:pos="-2700"/>
        </w:tabs>
        <w:spacing w:before="120" w:line="240" w:lineRule="atLeast"/>
        <w:rPr>
          <w:rFonts w:ascii="Times New Roman" w:hAnsi="Times New Roman"/>
          <w:b w:val="0"/>
          <w:noProof/>
          <w:sz w:val="24"/>
          <w:szCs w:val="24"/>
          <w:bdr w:val="nil"/>
          <w:lang w:val="en-GB"/>
        </w:rPr>
      </w:pPr>
      <w:r>
        <w:rPr>
          <w:rFonts w:ascii="Times New Roman" w:hAnsi="Times New Roman"/>
          <w:b w:val="0"/>
          <w:noProof/>
          <w:sz w:val="24"/>
          <w:szCs w:val="24"/>
          <w:bdr w:val="nil"/>
          <w:lang w:val="en-GB"/>
        </w:rPr>
        <w:t>All counterparties are maximum rated P-1 short-term (based on the external short term ratings assigned by Fitch, Standard &amp; Poor’s and Moody’s).</w:t>
      </w:r>
    </w:p>
    <w:p>
      <w:pPr>
        <w:pBdr>
          <w:top w:val="nil"/>
          <w:left w:val="nil"/>
          <w:bottom w:val="nil"/>
          <w:right w:val="nil"/>
          <w:between w:val="nil"/>
          <w:bar w:val="nil"/>
        </w:pBdr>
        <w:jc w:val="both"/>
        <w:rPr>
          <w:noProof/>
          <w:bdr w:val="nil"/>
        </w:rPr>
      </w:pPr>
      <w:r>
        <w:rPr>
          <w:noProof/>
          <w:bdr w:val="nil"/>
        </w:rPr>
        <w:t>The Fund has two current accounts opened with BNP Paribas Fortis and one current account opened with Euroclear Bank as follows (in EUR):</w:t>
      </w:r>
    </w:p>
    <w:p>
      <w:pPr>
        <w:pBdr>
          <w:top w:val="nil"/>
          <w:left w:val="nil"/>
          <w:bottom w:val="nil"/>
          <w:right w:val="nil"/>
          <w:between w:val="nil"/>
          <w:bar w:val="nil"/>
        </w:pBdr>
        <w:spacing w:before="120" w:line="0" w:lineRule="atLeast"/>
        <w:jc w:val="both"/>
        <w:rPr>
          <w:noProof/>
          <w:szCs w:val="22"/>
          <w:bdr w:val="nil"/>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25"/>
        <w:gridCol w:w="2175"/>
        <w:gridCol w:w="2175"/>
      </w:tblGrid>
      <w:tr>
        <w:trPr>
          <w:trHeight w:hRule="exact" w:val="330"/>
        </w:trPr>
        <w:tc>
          <w:tcPr>
            <w:tcW w:w="41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Current accounts</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31.12.2017</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31.12.2016</w:t>
            </w:r>
          </w:p>
        </w:tc>
      </w:tr>
      <w:tr>
        <w:trPr>
          <w:trHeight w:hRule="exact" w:val="330"/>
        </w:trPr>
        <w:tc>
          <w:tcPr>
            <w:tcW w:w="41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BNP Paribas Fortis transitory account</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6,239.06</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32,777.03</w:t>
            </w:r>
          </w:p>
        </w:tc>
      </w:tr>
      <w:tr>
        <w:trPr>
          <w:trHeight w:hRule="exact" w:val="330"/>
        </w:trPr>
        <w:tc>
          <w:tcPr>
            <w:tcW w:w="41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BNP Paribas Fortis current account</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45,561,801.50</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45,391,907.52</w:t>
            </w:r>
          </w:p>
        </w:tc>
      </w:tr>
      <w:tr>
        <w:trPr>
          <w:trHeight w:hRule="exact" w:val="330"/>
        </w:trPr>
        <w:tc>
          <w:tcPr>
            <w:tcW w:w="41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Euroclear Bank current account</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1,090.62</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6,818.95</w:t>
            </w:r>
          </w:p>
        </w:tc>
      </w:tr>
      <w:tr>
        <w:trPr>
          <w:trHeight w:hRule="exact" w:val="330"/>
        </w:trPr>
        <w:tc>
          <w:tcPr>
            <w:tcW w:w="41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Total</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45,569,131.18</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45,431,503.50</w:t>
            </w:r>
          </w:p>
        </w:tc>
      </w:tr>
    </w:tbl>
    <w:p>
      <w:pPr>
        <w:pBdr>
          <w:top w:val="nil"/>
          <w:left w:val="nil"/>
          <w:bottom w:val="nil"/>
          <w:right w:val="nil"/>
          <w:between w:val="nil"/>
          <w:bar w:val="nil"/>
        </w:pBdr>
        <w:tabs>
          <w:tab w:val="left" w:pos="709"/>
        </w:tabs>
        <w:jc w:val="both"/>
        <w:rPr>
          <w:noProof/>
          <w:bdr w:val="nil"/>
        </w:rPr>
      </w:pPr>
    </w:p>
    <w:p>
      <w:pPr>
        <w:pStyle w:val="ManualHeading4"/>
        <w:rPr>
          <w:noProof/>
        </w:rPr>
      </w:pPr>
      <w:r>
        <w:rPr>
          <w:noProof/>
        </w:rPr>
        <w:t>(b)</w:t>
      </w:r>
      <w:r>
        <w:rPr>
          <w:noProof/>
        </w:rPr>
        <w:tab/>
        <w:t>Analysis of short term deposits per profile of counterparties</w:t>
      </w:r>
    </w:p>
    <w:p>
      <w:pPr>
        <w:pBdr>
          <w:top w:val="nil"/>
          <w:left w:val="nil"/>
          <w:bottom w:val="nil"/>
          <w:right w:val="nil"/>
          <w:between w:val="nil"/>
          <w:bar w:val="nil"/>
        </w:pBdr>
        <w:spacing w:before="120"/>
        <w:jc w:val="both"/>
        <w:rPr>
          <w:noProof/>
          <w:bdr w:val="nil"/>
        </w:rPr>
      </w:pPr>
      <w:r>
        <w:rPr>
          <w:iCs/>
          <w:noProof/>
          <w:szCs w:val="22"/>
          <w:bdr w:val="nil"/>
        </w:rPr>
        <w:t xml:space="preserve">In accordance with the agreement between the European Commission and the EIB on the management of the Fund, all interbank investments should have a minimum issuer short-term rating from Moody’s or equivalent of P-1. </w:t>
      </w:r>
      <w:r>
        <w:rPr>
          <w:noProof/>
          <w:bdr w:val="nil"/>
        </w:rPr>
        <w:t xml:space="preserve">The following table shows the breakdown of short term deposits (excluding short-term deposits under settlement) per maximum counterparty long term rating (based on the external long term ratings assigned by Fitch, Standard &amp; Poor’s and Moody’s), the amounts presented include accrued interest </w:t>
      </w:r>
      <w:r>
        <w:rPr>
          <w:iCs/>
          <w:noProof/>
          <w:szCs w:val="22"/>
          <w:bdr w:val="nil"/>
        </w:rPr>
        <w:t>(in EUR)</w:t>
      </w:r>
      <w:r>
        <w:rPr>
          <w:noProof/>
          <w:bdr w:val="nil"/>
        </w:rPr>
        <w:t>:</w:t>
      </w:r>
    </w:p>
    <w:p>
      <w:pPr>
        <w:spacing w:before="120"/>
        <w:rPr>
          <w:noProof/>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75"/>
        <w:gridCol w:w="2250"/>
        <w:gridCol w:w="150"/>
        <w:gridCol w:w="1200"/>
        <w:gridCol w:w="2250"/>
        <w:gridCol w:w="150"/>
        <w:gridCol w:w="1200"/>
      </w:tblGrid>
      <w:tr>
        <w:trPr>
          <w:trHeight w:hRule="exact" w:val="255"/>
        </w:trPr>
        <w:tc>
          <w:tcPr>
            <w:tcW w:w="27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20"/>
                <w:szCs w:val="20"/>
                <w:lang w:eastAsia="en-US"/>
              </w:rPr>
            </w:pPr>
            <w:r>
              <w:rPr>
                <w:b/>
                <w:noProof/>
                <w:color w:val="000000"/>
                <w:sz w:val="20"/>
                <w:szCs w:val="20"/>
                <w:lang w:eastAsia="en-US"/>
              </w:rPr>
              <w:t>Rating</w:t>
            </w:r>
          </w:p>
        </w:tc>
        <w:tc>
          <w:tcPr>
            <w:tcW w:w="225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31.12.2017</w:t>
            </w:r>
          </w:p>
        </w:tc>
        <w:tc>
          <w:tcPr>
            <w:tcW w:w="15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0"/>
                <w:szCs w:val="20"/>
                <w:lang w:eastAsia="en-US"/>
              </w:rPr>
            </w:pPr>
          </w:p>
        </w:tc>
        <w:tc>
          <w:tcPr>
            <w:tcW w:w="1200" w:type="dxa"/>
            <w:tcBorders>
              <w:top w:val="nil"/>
              <w:left w:val="nil"/>
              <w:bottom w:val="single" w:sz="4" w:space="0" w:color="000000"/>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sz w:val="20"/>
                <w:szCs w:val="20"/>
                <w:lang w:eastAsia="en-US"/>
              </w:rPr>
            </w:pPr>
          </w:p>
        </w:tc>
        <w:tc>
          <w:tcPr>
            <w:tcW w:w="225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31.12.2016</w:t>
            </w:r>
          </w:p>
        </w:tc>
        <w:tc>
          <w:tcPr>
            <w:tcW w:w="15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0"/>
                <w:szCs w:val="20"/>
                <w:lang w:eastAsia="en-US"/>
              </w:rPr>
            </w:pPr>
          </w:p>
        </w:tc>
        <w:tc>
          <w:tcPr>
            <w:tcW w:w="12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0"/>
                <w:szCs w:val="20"/>
                <w:lang w:eastAsia="en-US"/>
              </w:rPr>
            </w:pPr>
          </w:p>
        </w:tc>
      </w:tr>
      <w:tr>
        <w:trPr>
          <w:trHeight w:val="255"/>
        </w:trPr>
        <w:tc>
          <w:tcPr>
            <w:tcW w:w="27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Aa2</w:t>
            </w:r>
          </w:p>
        </w:tc>
        <w:tc>
          <w:tcPr>
            <w:tcW w:w="225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r>
              <w:rPr>
                <w:noProof/>
                <w:color w:val="000000"/>
                <w:sz w:val="20"/>
                <w:szCs w:val="20"/>
                <w:lang w:eastAsia="en-US"/>
              </w:rPr>
              <w:t>42,390,941.17</w:t>
            </w:r>
          </w:p>
        </w:tc>
        <w:tc>
          <w:tcPr>
            <w:tcW w:w="15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23.75%</w:t>
            </w:r>
          </w:p>
        </w:tc>
        <w:tc>
          <w:tcPr>
            <w:tcW w:w="225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r>
              <w:rPr>
                <w:noProof/>
                <w:color w:val="000000"/>
                <w:sz w:val="20"/>
                <w:szCs w:val="20"/>
                <w:lang w:eastAsia="en-US"/>
              </w:rPr>
              <w:t>54,771,262.27</w:t>
            </w:r>
          </w:p>
        </w:tc>
        <w:tc>
          <w:tcPr>
            <w:tcW w:w="15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36.17%</w:t>
            </w:r>
          </w:p>
        </w:tc>
      </w:tr>
      <w:tr>
        <w:trPr>
          <w:trHeight w:val="255"/>
        </w:trPr>
        <w:tc>
          <w:tcPr>
            <w:tcW w:w="27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Aa3</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r>
              <w:rPr>
                <w:noProof/>
                <w:color w:val="000000"/>
                <w:sz w:val="20"/>
                <w:szCs w:val="20"/>
                <w:lang w:eastAsia="en-US"/>
              </w:rPr>
              <w:t>64,465,588.06</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p>
        </w:tc>
        <w:tc>
          <w:tcPr>
            <w:tcW w:w="12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36.11%</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r>
              <w:rPr>
                <w:noProof/>
                <w:color w:val="000000"/>
                <w:sz w:val="20"/>
                <w:szCs w:val="20"/>
                <w:lang w:eastAsia="en-US"/>
              </w:rPr>
              <w:t>0.00</w:t>
            </w:r>
          </w:p>
        </w:tc>
        <w:tc>
          <w:tcPr>
            <w:tcW w:w="150"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16"/>
                <w:szCs w:val="20"/>
                <w:lang w:eastAsia="en-US"/>
              </w:rPr>
            </w:pPr>
          </w:p>
        </w:tc>
        <w:tc>
          <w:tcPr>
            <w:tcW w:w="12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0.00%</w:t>
            </w:r>
          </w:p>
        </w:tc>
      </w:tr>
      <w:tr>
        <w:trPr>
          <w:trHeight w:val="255"/>
        </w:trPr>
        <w:tc>
          <w:tcPr>
            <w:tcW w:w="27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A1</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r>
              <w:rPr>
                <w:noProof/>
                <w:color w:val="000000"/>
                <w:sz w:val="20"/>
                <w:szCs w:val="20"/>
                <w:lang w:eastAsia="en-US"/>
              </w:rPr>
              <w:t>11,792,410.00</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p>
        </w:tc>
        <w:tc>
          <w:tcPr>
            <w:tcW w:w="12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6.61%</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r>
              <w:rPr>
                <w:noProof/>
                <w:color w:val="000000"/>
                <w:sz w:val="20"/>
                <w:szCs w:val="20"/>
                <w:lang w:eastAsia="en-US"/>
              </w:rPr>
              <w:t>22,382,826.67</w:t>
            </w:r>
          </w:p>
        </w:tc>
        <w:tc>
          <w:tcPr>
            <w:tcW w:w="15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szCs w:val="20"/>
                <w:lang w:eastAsia="en-US"/>
              </w:rPr>
            </w:pPr>
          </w:p>
        </w:tc>
        <w:tc>
          <w:tcPr>
            <w:tcW w:w="12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14.78%</w:t>
            </w:r>
          </w:p>
        </w:tc>
      </w:tr>
      <w:tr>
        <w:trPr>
          <w:trHeight w:val="255"/>
        </w:trPr>
        <w:tc>
          <w:tcPr>
            <w:tcW w:w="27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A2</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r>
              <w:rPr>
                <w:noProof/>
                <w:color w:val="000000"/>
                <w:sz w:val="20"/>
                <w:szCs w:val="20"/>
                <w:lang w:eastAsia="en-US"/>
              </w:rPr>
              <w:t>59,864,682.50</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p>
        </w:tc>
        <w:tc>
          <w:tcPr>
            <w:tcW w:w="12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33.54%</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r>
              <w:rPr>
                <w:noProof/>
                <w:color w:val="000000"/>
                <w:sz w:val="20"/>
                <w:szCs w:val="20"/>
                <w:lang w:eastAsia="en-US"/>
              </w:rPr>
              <w:t>74,276,106.00</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szCs w:val="20"/>
                <w:lang w:eastAsia="en-US"/>
              </w:rPr>
            </w:pPr>
          </w:p>
        </w:tc>
        <w:tc>
          <w:tcPr>
            <w:tcW w:w="12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49.05%</w:t>
            </w:r>
          </w:p>
        </w:tc>
      </w:tr>
      <w:tr>
        <w:trPr>
          <w:trHeight w:hRule="exact" w:val="255"/>
        </w:trPr>
        <w:tc>
          <w:tcPr>
            <w:tcW w:w="2775" w:type="dxa"/>
            <w:tcBorders>
              <w:top w:val="nil"/>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szCs w:val="20"/>
                <w:lang w:eastAsia="en-US"/>
              </w:rPr>
            </w:pPr>
            <w:r>
              <w:rPr>
                <w:b/>
                <w:noProof/>
                <w:color w:val="000000"/>
                <w:sz w:val="20"/>
                <w:szCs w:val="20"/>
                <w:lang w:eastAsia="en-US"/>
              </w:rPr>
              <w:t>Total</w:t>
            </w:r>
          </w:p>
        </w:tc>
        <w:tc>
          <w:tcPr>
            <w:tcW w:w="2250" w:type="dxa"/>
            <w:tcBorders>
              <w:top w:val="nil"/>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178,513,621.73</w:t>
            </w:r>
          </w:p>
        </w:tc>
        <w:tc>
          <w:tcPr>
            <w:tcW w:w="150" w:type="dxa"/>
            <w:tcBorders>
              <w:top w:val="nil"/>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szCs w:val="20"/>
                <w:lang w:eastAsia="en-US"/>
              </w:rPr>
            </w:pPr>
          </w:p>
        </w:tc>
        <w:tc>
          <w:tcPr>
            <w:tcW w:w="1200" w:type="dxa"/>
            <w:tcBorders>
              <w:top w:val="nil"/>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100.00%</w:t>
            </w:r>
          </w:p>
        </w:tc>
        <w:tc>
          <w:tcPr>
            <w:tcW w:w="2250" w:type="dxa"/>
            <w:tcBorders>
              <w:top w:val="nil"/>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151,430,194.94</w:t>
            </w:r>
          </w:p>
        </w:tc>
        <w:tc>
          <w:tcPr>
            <w:tcW w:w="150" w:type="dxa"/>
            <w:tcBorders>
              <w:top w:val="nil"/>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szCs w:val="20"/>
                <w:lang w:eastAsia="en-US"/>
              </w:rPr>
            </w:pPr>
          </w:p>
        </w:tc>
        <w:tc>
          <w:tcPr>
            <w:tcW w:w="1200" w:type="dxa"/>
            <w:tcBorders>
              <w:top w:val="nil"/>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100.00%</w:t>
            </w:r>
          </w:p>
        </w:tc>
      </w:tr>
      <w:tr>
        <w:trPr>
          <w:trHeight w:val="255"/>
        </w:trPr>
        <w:tc>
          <w:tcPr>
            <w:tcW w:w="8775" w:type="dxa"/>
            <w:gridSpan w:val="6"/>
            <w:tcBorders>
              <w:top w:val="single" w:sz="4" w:space="0" w:color="000000"/>
              <w:left w:val="nil"/>
              <w:bottom w:val="nil"/>
              <w:right w:val="nil"/>
              <w:tl2br w:val="nil"/>
              <w:tr2bl w:val="nil"/>
            </w:tcBorders>
            <w:shd w:val="clear" w:color="auto" w:fill="auto"/>
            <w:tcMar>
              <w:left w:w="40" w:type="dxa"/>
              <w:right w:w="40" w:type="dxa"/>
            </w:tcMar>
          </w:tcPr>
          <w:p>
            <w:pPr>
              <w:rPr>
                <w:noProof/>
                <w:color w:val="000000"/>
                <w:sz w:val="20"/>
                <w:szCs w:val="20"/>
                <w:lang w:eastAsia="en-US"/>
              </w:rPr>
            </w:pP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b/>
                <w:noProof/>
                <w:color w:val="000000"/>
                <w:sz w:val="20"/>
                <w:szCs w:val="20"/>
                <w:lang w:eastAsia="en-US"/>
              </w:rPr>
            </w:pPr>
          </w:p>
        </w:tc>
      </w:tr>
    </w:tbl>
    <w:p>
      <w:pPr>
        <w:pStyle w:val="Notes1"/>
        <w:tabs>
          <w:tab w:val="clear" w:pos="4320"/>
          <w:tab w:val="clear" w:pos="8640"/>
          <w:tab w:val="right" w:pos="-2700"/>
          <w:tab w:val="left" w:pos="709"/>
          <w:tab w:val="left" w:pos="1560"/>
          <w:tab w:val="left" w:pos="1843"/>
          <w:tab w:val="left" w:pos="2410"/>
        </w:tabs>
        <w:rPr>
          <w:rFonts w:ascii="Times New Roman" w:hAnsi="Times New Roman"/>
          <w:noProof/>
          <w:sz w:val="22"/>
          <w:szCs w:val="22"/>
          <w:lang w:val="en-GB"/>
        </w:rPr>
      </w:pPr>
    </w:p>
    <w:p>
      <w:pPr>
        <w:pStyle w:val="ManualHeading4"/>
        <w:rPr>
          <w:noProof/>
        </w:rPr>
      </w:pPr>
      <w:r>
        <w:rPr>
          <w:noProof/>
        </w:rPr>
        <w:t>3.3.2.4.</w:t>
      </w:r>
      <w:r>
        <w:rPr>
          <w:noProof/>
        </w:rPr>
        <w:tab/>
        <w:t>Credit risk on Bond portfolio</w:t>
      </w:r>
    </w:p>
    <w:p>
      <w:pPr>
        <w:pStyle w:val="ManualHeading4"/>
        <w:rPr>
          <w:noProof/>
        </w:rPr>
      </w:pPr>
      <w:r>
        <w:rPr>
          <w:noProof/>
        </w:rPr>
        <w:t>(a)</w:t>
      </w:r>
      <w:r>
        <w:rPr>
          <w:noProof/>
        </w:rPr>
        <w:tab/>
        <w:t>Risk concentration per issuance Credit risk on Bond portfolio</w:t>
      </w:r>
    </w:p>
    <w:p>
      <w:pPr>
        <w:pStyle w:val="Normal3"/>
        <w:jc w:val="both"/>
        <w:rPr>
          <w:rFonts w:ascii="Times New Roman" w:hAnsi="Times New Roman"/>
          <w:iCs/>
          <w:noProof/>
          <w:sz w:val="24"/>
          <w:szCs w:val="24"/>
        </w:rPr>
      </w:pPr>
      <w:r>
        <w:rPr>
          <w:rFonts w:ascii="Times New Roman" w:hAnsi="Times New Roman"/>
          <w:iCs/>
          <w:noProof/>
          <w:sz w:val="24"/>
          <w:szCs w:val="24"/>
        </w:rPr>
        <w:t>All the securities held in the portfolio are in line with the management guidelines and meet the following criteria for:</w:t>
      </w:r>
    </w:p>
    <w:p>
      <w:pPr>
        <w:pStyle w:val="Normal3"/>
        <w:numPr>
          <w:ilvl w:val="0"/>
          <w:numId w:val="33"/>
        </w:numPr>
        <w:spacing w:after="0"/>
        <w:ind w:left="1077" w:hanging="357"/>
        <w:jc w:val="both"/>
        <w:rPr>
          <w:rFonts w:ascii="Times New Roman" w:hAnsi="Times New Roman"/>
          <w:iCs/>
          <w:noProof/>
          <w:sz w:val="24"/>
          <w:szCs w:val="24"/>
        </w:rPr>
      </w:pPr>
      <w:r>
        <w:rPr>
          <w:rFonts w:ascii="Times New Roman" w:hAnsi="Times New Roman"/>
          <w:iCs/>
          <w:noProof/>
          <w:sz w:val="24"/>
          <w:szCs w:val="24"/>
        </w:rPr>
        <w:t xml:space="preserve">Securities issued or guaranteed by Member States: minimum rating Baa3; </w:t>
      </w:r>
    </w:p>
    <w:p>
      <w:pPr>
        <w:pStyle w:val="Normal3"/>
        <w:numPr>
          <w:ilvl w:val="0"/>
          <w:numId w:val="33"/>
        </w:numPr>
        <w:spacing w:after="0"/>
        <w:ind w:left="1077" w:hanging="357"/>
        <w:jc w:val="both"/>
        <w:rPr>
          <w:rFonts w:ascii="Times New Roman" w:hAnsi="Times New Roman"/>
          <w:iCs/>
          <w:noProof/>
          <w:sz w:val="24"/>
          <w:szCs w:val="24"/>
        </w:rPr>
      </w:pPr>
      <w:r>
        <w:rPr>
          <w:rFonts w:ascii="Times New Roman" w:hAnsi="Times New Roman"/>
          <w:iCs/>
          <w:noProof/>
          <w:sz w:val="24"/>
          <w:szCs w:val="24"/>
        </w:rPr>
        <w:t xml:space="preserve">Securities issued by a Supranational, other States or Public Company: minimum rating Aa2; </w:t>
      </w:r>
    </w:p>
    <w:p>
      <w:pPr>
        <w:pStyle w:val="Normal3"/>
        <w:numPr>
          <w:ilvl w:val="0"/>
          <w:numId w:val="33"/>
        </w:numPr>
        <w:spacing w:after="0"/>
        <w:ind w:left="1077" w:hanging="357"/>
        <w:jc w:val="both"/>
        <w:rPr>
          <w:rFonts w:ascii="Times New Roman" w:hAnsi="Times New Roman"/>
          <w:iCs/>
          <w:noProof/>
          <w:sz w:val="24"/>
          <w:szCs w:val="24"/>
        </w:rPr>
      </w:pPr>
      <w:r>
        <w:rPr>
          <w:rFonts w:ascii="Times New Roman" w:hAnsi="Times New Roman"/>
          <w:iCs/>
          <w:noProof/>
          <w:sz w:val="24"/>
          <w:szCs w:val="24"/>
        </w:rPr>
        <w:t xml:space="preserve">Covered Bonds </w:t>
      </w:r>
      <w:r>
        <w:rPr>
          <w:rFonts w:ascii="Times New Roman" w:hAnsi="Times New Roman"/>
          <w:noProof/>
          <w:color w:val="000000"/>
          <w:sz w:val="24"/>
          <w:szCs w:val="24"/>
        </w:rPr>
        <w:t>or other legal bodies (including structured products): minimum</w:t>
      </w:r>
      <w:r>
        <w:rPr>
          <w:rFonts w:ascii="Times New Roman" w:hAnsi="Times New Roman"/>
          <w:noProof/>
          <w:color w:val="FF0000"/>
          <w:sz w:val="24"/>
          <w:szCs w:val="24"/>
        </w:rPr>
        <w:t xml:space="preserve"> </w:t>
      </w:r>
      <w:r>
        <w:rPr>
          <w:rFonts w:ascii="Times New Roman" w:hAnsi="Times New Roman"/>
          <w:noProof/>
          <w:sz w:val="24"/>
          <w:szCs w:val="24"/>
        </w:rPr>
        <w:t>rating Aaa;</w:t>
      </w:r>
    </w:p>
    <w:p>
      <w:pPr>
        <w:pStyle w:val="Normal3"/>
        <w:numPr>
          <w:ilvl w:val="0"/>
          <w:numId w:val="33"/>
        </w:numPr>
        <w:spacing w:after="0"/>
        <w:jc w:val="both"/>
        <w:rPr>
          <w:rFonts w:ascii="Times New Roman" w:hAnsi="Times New Roman"/>
          <w:iCs/>
          <w:noProof/>
          <w:sz w:val="24"/>
          <w:szCs w:val="24"/>
        </w:rPr>
      </w:pPr>
      <w:r>
        <w:rPr>
          <w:rFonts w:ascii="Times New Roman" w:hAnsi="Times New Roman"/>
          <w:iCs/>
          <w:noProof/>
          <w:sz w:val="24"/>
          <w:szCs w:val="24"/>
        </w:rPr>
        <w:t xml:space="preserve">Securities issued by Banks and Corporates:  minimum rating Aa2. </w:t>
      </w:r>
    </w:p>
    <w:p>
      <w:pPr>
        <w:pStyle w:val="Normal3"/>
        <w:spacing w:before="120"/>
        <w:jc w:val="both"/>
        <w:rPr>
          <w:rFonts w:ascii="Times New Roman" w:hAnsi="Times New Roman"/>
          <w:noProof/>
          <w:sz w:val="24"/>
          <w:szCs w:val="24"/>
        </w:rPr>
      </w:pPr>
      <w:r>
        <w:rPr>
          <w:rFonts w:ascii="Times New Roman" w:hAnsi="Times New Roman"/>
          <w:noProof/>
          <w:sz w:val="24"/>
          <w:szCs w:val="24"/>
        </w:rPr>
        <w:t>The following table shows the breakdown of the Bond portfolio, at market value excluding accrued interest, per security type and rating (in EUR):</w:t>
      </w:r>
      <w:r>
        <w:rPr>
          <w:rFonts w:ascii="Times New Roman" w:hAnsi="Times New Roman"/>
          <w:noProof/>
          <w:sz w:val="24"/>
          <w:szCs w:val="24"/>
        </w:rPr>
        <w:br w:type="page"/>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25"/>
        <w:gridCol w:w="2175"/>
        <w:gridCol w:w="1050"/>
        <w:gridCol w:w="2175"/>
        <w:gridCol w:w="1050"/>
      </w:tblGrid>
      <w:tr>
        <w:trPr>
          <w:trHeight w:hRule="exact" w:val="300"/>
        </w:trPr>
        <w:tc>
          <w:tcPr>
            <w:tcW w:w="35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20"/>
              </w:rPr>
            </w:pPr>
            <w:r>
              <w:rPr>
                <w:b/>
                <w:noProof/>
                <w:color w:val="000000"/>
                <w:sz w:val="20"/>
              </w:rPr>
              <w:t>Issuer - Rating</w:t>
            </w: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0"/>
              </w:rPr>
            </w:pPr>
            <w:r>
              <w:rPr>
                <w:b/>
                <w:noProof/>
                <w:color w:val="000000"/>
                <w:sz w:val="20"/>
              </w:rPr>
              <w:t>31.12.2017</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0"/>
              </w:rPr>
            </w:pP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0"/>
              </w:rPr>
            </w:pPr>
            <w:r>
              <w:rPr>
                <w:b/>
                <w:noProof/>
                <w:color w:val="000000"/>
                <w:sz w:val="20"/>
              </w:rPr>
              <w:t>31.12.2016</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0"/>
              </w:rPr>
            </w:pPr>
          </w:p>
        </w:tc>
      </w:tr>
      <w:tr>
        <w:trPr>
          <w:trHeight w:val="300"/>
        </w:trPr>
        <w:tc>
          <w:tcPr>
            <w:tcW w:w="352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Banks Aaa</w:t>
            </w:r>
          </w:p>
        </w:tc>
        <w:tc>
          <w:tcPr>
            <w:tcW w:w="2175"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21,575,004.00</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1.00%</w:t>
            </w:r>
          </w:p>
        </w:tc>
        <w:tc>
          <w:tcPr>
            <w:tcW w:w="2175"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0.00</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0.00%</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Banks Aa1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0.00%</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25,488,370.00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1.24%</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Banks Aa2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119,934,463.15</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5.49%</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107,722,271.70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5.25%</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Banks Aa3</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87,175,199.70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3.99%</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10,000,224.54</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0.49%</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Member State Aaa</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84,139,839.29</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3.84%</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37,469,081.50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1.81%</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Member State Aa1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52,403,581.10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2.40%</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42,684,937.50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2.08%</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Member State Aa2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103,327,566.10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4.73%</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141,949,442.00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6.91%</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Member State Aa3</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38,552,687.60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1.76%</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23,067,766.00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1.12%</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Member State A1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59,424,433.30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2.72%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82,865,400.00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4.04%</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Member State 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134,709,611.00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6.17%</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137,947,264.70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6.72%</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Member State A3</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14,238,280.00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0.65%</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14,196,000.00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0.69%</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Member State Baa1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50,089,110.80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2.29%</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101,889,400.20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4.96%</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Member State Baa2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53,096,030.00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2.43%</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0.00%</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Member State Baa3</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55,087,500.00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2.52%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10,990,025.00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0.54%</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Covered Bonds Aaa</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458,781,908.13</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21.00%</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547,963,464.77</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26.69%</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Covered Bonds 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6,136,980.00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0.28%</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0.00%</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Corporates Aaa</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58,447,766.10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2.68%</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47,135,337.90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2.30%</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Corporates Aa1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25,901,070.00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1.19%</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25,944,010.02</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1.26%</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Corporates Aa2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185,344,768.99</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8.48%</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166,870,276.95</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8.13%</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Public Institution Aaa</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282,076,108.16</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12.91%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289,509,565.62</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14.10%</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Public Institution Aa1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67,994,399.52</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3.11%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54,812,301.06</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2.67%</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Public Institution Aa2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169,682,931.10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7.77%</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116,941,116.50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5.70%</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Supranational Aaa</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0.00%</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5,009,300.00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0.24%</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Supranational Aa1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46,861,238.00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2.15%</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53,165,821.50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2.59%</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lang w:val="fr-BE"/>
              </w:rPr>
            </w:pPr>
            <w:r>
              <w:rPr>
                <w:noProof/>
                <w:color w:val="000000"/>
                <w:sz w:val="20"/>
                <w:lang w:val="fr-BE"/>
              </w:rPr>
              <w:t>Non-EU Public Institution Aaa</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4,061,466.80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0.19%</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4,103,365.60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0.20%</w:t>
            </w:r>
          </w:p>
        </w:tc>
      </w:tr>
      <w:tr>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lang w:val="fr-BE"/>
              </w:rPr>
            </w:pPr>
            <w:r>
              <w:rPr>
                <w:noProof/>
                <w:color w:val="000000"/>
                <w:sz w:val="20"/>
                <w:lang w:val="fr-BE"/>
              </w:rPr>
              <w:t>Non-EU Public Institution Aa2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5,436,992.00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0.25%</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5,535,650.00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0.27%</w:t>
            </w:r>
          </w:p>
        </w:tc>
      </w:tr>
      <w:tr>
        <w:trPr>
          <w:trHeight w:hRule="exact" w:val="300"/>
        </w:trPr>
        <w:tc>
          <w:tcPr>
            <w:tcW w:w="3525" w:type="dxa"/>
            <w:tcBorders>
              <w:top w:val="nil"/>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Total</w:t>
            </w:r>
          </w:p>
        </w:tc>
        <w:tc>
          <w:tcPr>
            <w:tcW w:w="2175" w:type="dxa"/>
            <w:tcBorders>
              <w:top w:val="nil"/>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2,184,478,934.84</w:t>
            </w:r>
          </w:p>
        </w:tc>
        <w:tc>
          <w:tcPr>
            <w:tcW w:w="1050" w:type="dxa"/>
            <w:tcBorders>
              <w:top w:val="nil"/>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100.00%</w:t>
            </w:r>
          </w:p>
        </w:tc>
        <w:tc>
          <w:tcPr>
            <w:tcW w:w="2175" w:type="dxa"/>
            <w:tcBorders>
              <w:top w:val="nil"/>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2,053,260,393.06</w:t>
            </w:r>
          </w:p>
        </w:tc>
        <w:tc>
          <w:tcPr>
            <w:tcW w:w="1050" w:type="dxa"/>
            <w:tcBorders>
              <w:top w:val="nil"/>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100.00%</w:t>
            </w:r>
          </w:p>
        </w:tc>
      </w:tr>
    </w:tbl>
    <w:p>
      <w:pPr>
        <w:pBdr>
          <w:top w:val="nil"/>
          <w:left w:val="nil"/>
          <w:bottom w:val="nil"/>
          <w:right w:val="nil"/>
          <w:between w:val="nil"/>
          <w:bar w:val="nil"/>
        </w:pBdr>
        <w:spacing w:line="0" w:lineRule="atLeast"/>
        <w:jc w:val="both"/>
        <w:rPr>
          <w:iCs/>
          <w:noProof/>
          <w:bdr w:val="nil"/>
        </w:rPr>
      </w:pPr>
    </w:p>
    <w:p>
      <w:pPr>
        <w:pBdr>
          <w:top w:val="nil"/>
          <w:left w:val="nil"/>
          <w:bottom w:val="nil"/>
          <w:right w:val="nil"/>
          <w:between w:val="nil"/>
          <w:bar w:val="nil"/>
        </w:pBdr>
        <w:spacing w:line="0" w:lineRule="atLeast"/>
        <w:jc w:val="both"/>
        <w:rPr>
          <w:iCs/>
          <w:noProof/>
          <w:bdr w:val="nil"/>
        </w:rPr>
      </w:pPr>
      <w:r>
        <w:rPr>
          <w:iCs/>
          <w:noProof/>
          <w:bdr w:val="nil"/>
        </w:rPr>
        <w:t>The above table presenting securities ratings is prepared according to the agreed asset management guidelines. In particular, security ratings of the Bond portfolio refer to the best rating given by Moody’s, Standard &amp; Poor’s or Fitch.</w:t>
      </w:r>
    </w:p>
    <w:p>
      <w:pPr>
        <w:pBdr>
          <w:top w:val="nil"/>
          <w:left w:val="nil"/>
          <w:bottom w:val="nil"/>
          <w:right w:val="nil"/>
          <w:between w:val="nil"/>
          <w:bar w:val="nil"/>
        </w:pBdr>
        <w:spacing w:line="0" w:lineRule="atLeast"/>
        <w:jc w:val="both"/>
        <w:rPr>
          <w:iCs/>
          <w:noProof/>
          <w:bdr w:val="nil"/>
        </w:rPr>
      </w:pPr>
    </w:p>
    <w:p>
      <w:pPr>
        <w:pBdr>
          <w:top w:val="nil"/>
          <w:left w:val="nil"/>
          <w:bottom w:val="nil"/>
          <w:right w:val="nil"/>
          <w:between w:val="nil"/>
          <w:bar w:val="nil"/>
        </w:pBdr>
        <w:spacing w:line="0" w:lineRule="atLeast"/>
        <w:jc w:val="both"/>
        <w:rPr>
          <w:iCs/>
          <w:noProof/>
          <w:bdr w:val="nil"/>
        </w:rPr>
      </w:pPr>
      <w:r>
        <w:rPr>
          <w:iCs/>
          <w:noProof/>
          <w:bdr w:val="nil"/>
        </w:rPr>
        <w:t>In case of securities for which no security rating is available the rating of the issuer (or guarantor for guaranteed positions) has been taken into account.</w:t>
      </w:r>
    </w:p>
    <w:p>
      <w:pPr>
        <w:pStyle w:val="ManualHeading4"/>
        <w:rPr>
          <w:noProof/>
        </w:rPr>
      </w:pPr>
    </w:p>
    <w:p>
      <w:pPr>
        <w:pStyle w:val="ManualHeading4"/>
        <w:rPr>
          <w:noProof/>
        </w:rPr>
      </w:pPr>
      <w:r>
        <w:rPr>
          <w:noProof/>
        </w:rPr>
        <w:t>(b)</w:t>
      </w:r>
      <w:r>
        <w:rPr>
          <w:noProof/>
        </w:rPr>
        <w:tab/>
        <w:t>EU sovereign exposure</w:t>
      </w:r>
    </w:p>
    <w:p>
      <w:pPr>
        <w:pBdr>
          <w:top w:val="nil"/>
          <w:left w:val="nil"/>
          <w:bottom w:val="nil"/>
          <w:right w:val="nil"/>
          <w:between w:val="nil"/>
          <w:bar w:val="nil"/>
        </w:pBdr>
        <w:jc w:val="both"/>
        <w:rPr>
          <w:iCs/>
          <w:noProof/>
          <w:bdr w:val="nil"/>
        </w:rPr>
      </w:pPr>
      <w:r>
        <w:rPr>
          <w:iCs/>
          <w:noProof/>
          <w:bdr w:val="nil"/>
        </w:rPr>
        <w:t>The following tables show the portfolio structure by exposure towards EU sovereign (either directly or indirectly) and exposure towards other entities as at 31 December 2017 and as at 31 December 2016 (in EUR):</w:t>
      </w:r>
    </w:p>
    <w:p>
      <w:pPr>
        <w:pBdr>
          <w:top w:val="nil"/>
          <w:left w:val="nil"/>
          <w:bottom w:val="nil"/>
          <w:right w:val="nil"/>
          <w:between w:val="nil"/>
          <w:bar w:val="nil"/>
        </w:pBdr>
        <w:rPr>
          <w:iCs/>
          <w:noProof/>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75"/>
        <w:gridCol w:w="1800"/>
        <w:gridCol w:w="1800"/>
        <w:gridCol w:w="1800"/>
      </w:tblGrid>
      <w:tr>
        <w:trPr>
          <w:trHeight w:val="300"/>
        </w:trPr>
        <w:tc>
          <w:tcPr>
            <w:tcW w:w="45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both"/>
              <w:rPr>
                <w:b/>
                <w:noProof/>
                <w:color w:val="000000"/>
                <w:sz w:val="20"/>
                <w:szCs w:val="20"/>
                <w:lang w:eastAsia="en-US"/>
              </w:rPr>
            </w:pPr>
            <w:r>
              <w:rPr>
                <w:b/>
                <w:noProof/>
                <w:color w:val="000000"/>
                <w:sz w:val="20"/>
                <w:szCs w:val="20"/>
                <w:lang w:eastAsia="en-US"/>
              </w:rPr>
              <w:t>At 31.12.2017</w:t>
            </w: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Purchase price</w:t>
            </w: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Value at maturity</w:t>
            </w: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Carrying Value*)</w:t>
            </w:r>
          </w:p>
        </w:tc>
      </w:tr>
      <w:tr>
        <w:trPr>
          <w:trHeight w:hRule="exact" w:val="300"/>
        </w:trPr>
        <w:tc>
          <w:tcPr>
            <w:tcW w:w="45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b/>
                <w:noProof/>
                <w:color w:val="000000"/>
                <w:sz w:val="20"/>
                <w:szCs w:val="20"/>
                <w:lang w:eastAsia="en-US"/>
              </w:rPr>
            </w:pPr>
            <w:r>
              <w:rPr>
                <w:b/>
                <w:noProof/>
                <w:color w:val="000000"/>
                <w:sz w:val="20"/>
                <w:szCs w:val="20"/>
                <w:lang w:eastAsia="en-US"/>
              </w:rPr>
              <w:t>EU sovereigns</w:t>
            </w: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20"/>
                <w:szCs w:val="20"/>
                <w:lang w:eastAsia="en-US"/>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20"/>
                <w:szCs w:val="20"/>
                <w:lang w:eastAsia="en-US"/>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20"/>
                <w:szCs w:val="20"/>
                <w:lang w:eastAsia="en-US"/>
              </w:rPr>
            </w:pP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Austria</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21,610,950.00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21,500,000.00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22,180,194.10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Belgium</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21,957,400.00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20,000,000.00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22,501,450.00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Czech Republic</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16,416,350.00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14,900,000.00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16,051,237.60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Finland</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29,445,625.00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29,500,000.00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30,223,387.00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France</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101,848,140.00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101,000,000.00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103,327,566.10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Germany</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67,655,030.00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66,300,000.00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67,447,519.79</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Hungary</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27,881,900.00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25,000,000.00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27,132,500.00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Ireland</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59,848,000.00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50,000,000.00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58,317,465.00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Italy</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54,493,000.00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50,000,000.00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53,096,030.00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Latvia</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13,978,020.00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14,000,000.00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14,238,280.00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Luxembourg</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14,946,600.00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15,000,000.00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16,692,319.50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Poland</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138,845,490.00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125,000,000.00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134,709,611.00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Romania</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28,791,818.75</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25,000,000.00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27,955,000.00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Slovenia</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1,122,000.00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1,106,968.30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Spain</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51,108,370.10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45,000,000.00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50,089,110.80</w:t>
            </w:r>
          </w:p>
        </w:tc>
      </w:tr>
      <w:tr>
        <w:trPr>
          <w:trHeight w:hRule="exact" w:val="300"/>
        </w:trPr>
        <w:tc>
          <w:tcPr>
            <w:tcW w:w="45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EU Supranational</w:t>
            </w:r>
          </w:p>
        </w:tc>
        <w:tc>
          <w:tcPr>
            <w:tcW w:w="1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20,372,150.00</w:t>
            </w:r>
          </w:p>
        </w:tc>
        <w:tc>
          <w:tcPr>
            <w:tcW w:w="1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20,000,000.00</w:t>
            </w:r>
          </w:p>
        </w:tc>
        <w:tc>
          <w:tcPr>
            <w:tcW w:w="1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20,728,052.00</w:t>
            </w:r>
          </w:p>
        </w:tc>
      </w:tr>
      <w:tr>
        <w:trPr>
          <w:trHeight w:hRule="exact" w:val="300"/>
        </w:trPr>
        <w:tc>
          <w:tcPr>
            <w:tcW w:w="45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szCs w:val="20"/>
                <w:lang w:eastAsia="en-US"/>
              </w:rPr>
            </w:pPr>
            <w:r>
              <w:rPr>
                <w:b/>
                <w:noProof/>
                <w:color w:val="000000"/>
                <w:sz w:val="20"/>
                <w:szCs w:val="20"/>
                <w:lang w:eastAsia="en-US"/>
              </w:rPr>
              <w:t>Total EU sovereigns</w:t>
            </w:r>
          </w:p>
        </w:tc>
        <w:tc>
          <w:tcPr>
            <w:tcW w:w="18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670,320,843.85</w:t>
            </w:r>
          </w:p>
        </w:tc>
        <w:tc>
          <w:tcPr>
            <w:tcW w:w="18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623,200,000.00</w:t>
            </w:r>
          </w:p>
        </w:tc>
        <w:tc>
          <w:tcPr>
            <w:tcW w:w="18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665,796,691.19</w:t>
            </w:r>
          </w:p>
        </w:tc>
      </w:tr>
      <w:tr>
        <w:trPr>
          <w:trHeight w:hRule="exact" w:val="300"/>
        </w:trPr>
        <w:tc>
          <w:tcPr>
            <w:tcW w:w="45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EU Supranational</w:t>
            </w: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1,518,178,543.80</w:t>
            </w: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1,477,972,000.00</w:t>
            </w: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1,518,682,243.65</w:t>
            </w:r>
          </w:p>
        </w:tc>
      </w:tr>
      <w:tr>
        <w:trPr>
          <w:trHeight w:hRule="exact" w:val="300"/>
        </w:trPr>
        <w:tc>
          <w:tcPr>
            <w:tcW w:w="45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szCs w:val="20"/>
                <w:lang w:eastAsia="en-US"/>
              </w:rPr>
            </w:pPr>
            <w:r>
              <w:rPr>
                <w:b/>
                <w:noProof/>
                <w:color w:val="000000"/>
                <w:sz w:val="20"/>
                <w:szCs w:val="20"/>
                <w:lang w:eastAsia="en-US"/>
              </w:rPr>
              <w:t>TOTAL</w:t>
            </w:r>
          </w:p>
        </w:tc>
        <w:tc>
          <w:tcPr>
            <w:tcW w:w="18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2,188,499,387.65</w:t>
            </w:r>
          </w:p>
        </w:tc>
        <w:tc>
          <w:tcPr>
            <w:tcW w:w="18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2,101,172,000.00</w:t>
            </w:r>
          </w:p>
        </w:tc>
        <w:tc>
          <w:tcPr>
            <w:tcW w:w="18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2,184,478,934.84</w:t>
            </w:r>
          </w:p>
        </w:tc>
      </w:tr>
      <w:tr>
        <w:trPr>
          <w:trHeight w:hRule="exact" w:val="300"/>
        </w:trPr>
        <w:tc>
          <w:tcPr>
            <w:tcW w:w="457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16"/>
                <w:szCs w:val="20"/>
                <w:lang w:eastAsia="en-US"/>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16"/>
                <w:szCs w:val="20"/>
                <w:lang w:eastAsia="en-US"/>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16"/>
                <w:szCs w:val="20"/>
                <w:lang w:eastAsia="en-US"/>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16"/>
                <w:szCs w:val="20"/>
                <w:lang w:eastAsia="en-US"/>
              </w:rPr>
            </w:pPr>
          </w:p>
        </w:tc>
      </w:tr>
      <w:tr>
        <w:trPr>
          <w:trHeight w:hRule="exact" w:val="300"/>
        </w:trPr>
        <w:tc>
          <w:tcPr>
            <w:tcW w:w="9975" w:type="dxa"/>
            <w:gridSpan w:val="4"/>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2"/>
                <w:szCs w:val="20"/>
                <w:lang w:eastAsia="en-US"/>
              </w:rPr>
            </w:pPr>
            <w:r>
              <w:rPr>
                <w:noProof/>
                <w:color w:val="000000"/>
                <w:sz w:val="22"/>
                <w:szCs w:val="20"/>
                <w:lang w:eastAsia="en-US"/>
              </w:rPr>
              <w:t>*) The carrying value represents the clean market value of the assets excluding accrued interest.</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bottom"/>
          </w:tcPr>
          <w:p>
            <w:pPr>
              <w:pageBreakBefore/>
              <w:rPr>
                <w:noProof/>
                <w:color w:val="000000"/>
                <w:sz w:val="16"/>
                <w:szCs w:val="20"/>
                <w:lang w:eastAsia="en-US"/>
              </w:rPr>
            </w:pPr>
          </w:p>
        </w:tc>
        <w:tc>
          <w:tcPr>
            <w:tcW w:w="1800" w:type="dxa"/>
            <w:tcBorders>
              <w:top w:val="nil"/>
              <w:left w:val="nil"/>
              <w:bottom w:val="nil"/>
              <w:right w:val="nil"/>
              <w:tl2br w:val="nil"/>
              <w:tr2bl w:val="nil"/>
            </w:tcBorders>
            <w:shd w:val="clear" w:color="auto" w:fill="auto"/>
            <w:noWrap/>
            <w:tcMar>
              <w:left w:w="40" w:type="dxa"/>
              <w:right w:w="40" w:type="dxa"/>
            </w:tcMar>
            <w:vAlign w:val="bottom"/>
          </w:tcPr>
          <w:p>
            <w:pPr>
              <w:jc w:val="center"/>
              <w:rPr>
                <w:noProof/>
                <w:color w:val="000000"/>
                <w:sz w:val="16"/>
                <w:szCs w:val="20"/>
                <w:lang w:eastAsia="en-US"/>
              </w:rPr>
            </w:pPr>
          </w:p>
        </w:tc>
        <w:tc>
          <w:tcPr>
            <w:tcW w:w="1800" w:type="dxa"/>
            <w:tcBorders>
              <w:top w:val="nil"/>
              <w:left w:val="nil"/>
              <w:bottom w:val="nil"/>
              <w:right w:val="nil"/>
              <w:tl2br w:val="nil"/>
              <w:tr2bl w:val="nil"/>
            </w:tcBorders>
            <w:shd w:val="clear" w:color="auto" w:fill="auto"/>
            <w:noWrap/>
            <w:tcMar>
              <w:left w:w="40" w:type="dxa"/>
              <w:right w:w="40" w:type="dxa"/>
            </w:tcMar>
            <w:vAlign w:val="bottom"/>
          </w:tcPr>
          <w:p>
            <w:pPr>
              <w:jc w:val="center"/>
              <w:rPr>
                <w:noProof/>
                <w:color w:val="000000"/>
                <w:sz w:val="16"/>
                <w:szCs w:val="20"/>
                <w:lang w:eastAsia="en-US"/>
              </w:rPr>
            </w:pPr>
          </w:p>
        </w:tc>
        <w:tc>
          <w:tcPr>
            <w:tcW w:w="1800" w:type="dxa"/>
            <w:tcBorders>
              <w:top w:val="nil"/>
              <w:left w:val="nil"/>
              <w:bottom w:val="nil"/>
              <w:right w:val="nil"/>
              <w:tl2br w:val="nil"/>
              <w:tr2bl w:val="nil"/>
            </w:tcBorders>
            <w:shd w:val="clear" w:color="auto" w:fill="auto"/>
            <w:noWrap/>
            <w:tcMar>
              <w:left w:w="40" w:type="dxa"/>
              <w:right w:w="40" w:type="dxa"/>
            </w:tcMar>
            <w:vAlign w:val="bottom"/>
          </w:tcPr>
          <w:p>
            <w:pPr>
              <w:jc w:val="center"/>
              <w:rPr>
                <w:noProof/>
                <w:color w:val="000000"/>
                <w:sz w:val="16"/>
                <w:szCs w:val="20"/>
                <w:lang w:eastAsia="en-US"/>
              </w:rPr>
            </w:pPr>
          </w:p>
        </w:tc>
      </w:tr>
      <w:tr>
        <w:trPr>
          <w:trHeight w:val="300"/>
        </w:trPr>
        <w:tc>
          <w:tcPr>
            <w:tcW w:w="45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both"/>
              <w:rPr>
                <w:b/>
                <w:noProof/>
                <w:color w:val="000000"/>
                <w:sz w:val="20"/>
                <w:szCs w:val="20"/>
                <w:lang w:eastAsia="en-US"/>
              </w:rPr>
            </w:pPr>
            <w:r>
              <w:rPr>
                <w:b/>
                <w:noProof/>
                <w:color w:val="000000"/>
                <w:sz w:val="20"/>
                <w:szCs w:val="20"/>
                <w:lang w:eastAsia="en-US"/>
              </w:rPr>
              <w:t>At 31.12.2016</w:t>
            </w: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Purchase price</w:t>
            </w: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Value at maturity</w:t>
            </w: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Carrying Value*)</w:t>
            </w:r>
          </w:p>
        </w:tc>
      </w:tr>
      <w:tr>
        <w:trPr>
          <w:trHeight w:hRule="exact" w:val="300"/>
        </w:trPr>
        <w:tc>
          <w:tcPr>
            <w:tcW w:w="45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b/>
                <w:noProof/>
                <w:color w:val="000000"/>
                <w:sz w:val="20"/>
                <w:szCs w:val="20"/>
                <w:lang w:eastAsia="en-US"/>
              </w:rPr>
            </w:pPr>
            <w:r>
              <w:rPr>
                <w:b/>
                <w:noProof/>
                <w:color w:val="000000"/>
                <w:sz w:val="20"/>
                <w:szCs w:val="20"/>
                <w:lang w:eastAsia="en-US"/>
              </w:rPr>
              <w:t>EU sovereigns</w:t>
            </w: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20"/>
                <w:szCs w:val="20"/>
                <w:lang w:eastAsia="en-US"/>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20"/>
                <w:szCs w:val="20"/>
                <w:lang w:eastAsia="en-US"/>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20"/>
                <w:szCs w:val="20"/>
                <w:lang w:eastAsia="en-US"/>
              </w:rPr>
            </w:pP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Austria</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11,420,950.00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11,500,000.00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12,195,972.50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Belgium</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21,957,400.00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20,000,000.00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23,067,766.00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Finland</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29,445,625.00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29,500,000.00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30,488,965.00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France</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138,439,640.00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137,000,000.00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141,949,442.00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Germany</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15,552,150.00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15,000,000.00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15,777,238.00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Hungary</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11,006,900.00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10,000,000.00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10,990,025.00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Ireland</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78,532,800.00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65,000,000.00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77,787,050.00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Italy</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54,493,000.00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50,000,000.00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53,851,795.00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Latvia</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13,978,020.00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14,000,000.00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14,196,000.00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Luxembourg</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14,946,600.00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15,000,000.00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17,189,458.50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Netherlands</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4,500,000.00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4,500,000.00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4,502,385.00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Poland</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139,001,000.00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125,000,000.00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136,826,408.00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Slovakia</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4,927,650.00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5,000,000.00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5,078,350.00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Slovenia</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1,122,000.00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1,120,856.70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Spain</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48,079,264.91</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42,000,000.00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48,037,605.20</w:t>
            </w:r>
          </w:p>
        </w:tc>
      </w:tr>
      <w:tr>
        <w:trPr>
          <w:trHeight w:hRule="exact" w:val="300"/>
        </w:trPr>
        <w:tc>
          <w:tcPr>
            <w:tcW w:w="45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EU Supranational</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15,764,050.00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15,000,000.00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16,327,653.50</w:t>
            </w:r>
          </w:p>
        </w:tc>
      </w:tr>
      <w:tr>
        <w:trPr>
          <w:trHeight w:hRule="exact" w:val="300"/>
        </w:trPr>
        <w:tc>
          <w:tcPr>
            <w:tcW w:w="4575" w:type="dxa"/>
            <w:tcBorders>
              <w:top w:val="nil"/>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szCs w:val="20"/>
                <w:lang w:eastAsia="en-US"/>
              </w:rPr>
            </w:pPr>
            <w:r>
              <w:rPr>
                <w:b/>
                <w:noProof/>
                <w:color w:val="000000"/>
                <w:sz w:val="20"/>
                <w:szCs w:val="20"/>
                <w:lang w:eastAsia="en-US"/>
              </w:rPr>
              <w:t>EU Supranational</w:t>
            </w:r>
          </w:p>
        </w:tc>
        <w:tc>
          <w:tcPr>
            <w:tcW w:w="1800" w:type="dxa"/>
            <w:tcBorders>
              <w:top w:val="nil"/>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603,167,049.91</w:t>
            </w:r>
          </w:p>
        </w:tc>
        <w:tc>
          <w:tcPr>
            <w:tcW w:w="1800" w:type="dxa"/>
            <w:tcBorders>
              <w:top w:val="nil"/>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559,500,000.00</w:t>
            </w:r>
          </w:p>
        </w:tc>
        <w:tc>
          <w:tcPr>
            <w:tcW w:w="1800" w:type="dxa"/>
            <w:tcBorders>
              <w:top w:val="nil"/>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609,386,970.40</w:t>
            </w:r>
          </w:p>
        </w:tc>
      </w:tr>
      <w:tr>
        <w:trPr>
          <w:trHeight w:hRule="exact" w:val="300"/>
        </w:trPr>
        <w:tc>
          <w:tcPr>
            <w:tcW w:w="45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0"/>
                <w:szCs w:val="20"/>
                <w:lang w:eastAsia="en-US"/>
              </w:rPr>
            </w:pPr>
            <w:r>
              <w:rPr>
                <w:noProof/>
                <w:color w:val="000000"/>
                <w:sz w:val="20"/>
                <w:szCs w:val="20"/>
                <w:lang w:eastAsia="en-US"/>
              </w:rPr>
              <w:t>Total EU sovereigns</w:t>
            </w: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1,429,707,702.96</w:t>
            </w: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1,385,250,000.00</w:t>
            </w: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0"/>
                <w:szCs w:val="20"/>
                <w:lang w:eastAsia="en-US"/>
              </w:rPr>
            </w:pPr>
            <w:r>
              <w:rPr>
                <w:noProof/>
                <w:color w:val="000000"/>
                <w:sz w:val="20"/>
                <w:szCs w:val="20"/>
                <w:lang w:eastAsia="en-US"/>
              </w:rPr>
              <w:t>1,443,873,422.66</w:t>
            </w:r>
          </w:p>
        </w:tc>
      </w:tr>
      <w:tr>
        <w:trPr>
          <w:trHeight w:hRule="exact" w:val="300"/>
        </w:trPr>
        <w:tc>
          <w:tcPr>
            <w:tcW w:w="45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szCs w:val="20"/>
                <w:lang w:eastAsia="en-US"/>
              </w:rPr>
            </w:pPr>
            <w:r>
              <w:rPr>
                <w:b/>
                <w:noProof/>
                <w:color w:val="000000"/>
                <w:sz w:val="20"/>
                <w:szCs w:val="20"/>
                <w:lang w:eastAsia="en-US"/>
              </w:rPr>
              <w:t>Others</w:t>
            </w:r>
          </w:p>
        </w:tc>
        <w:tc>
          <w:tcPr>
            <w:tcW w:w="18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2,032,874,752.87</w:t>
            </w:r>
          </w:p>
        </w:tc>
        <w:tc>
          <w:tcPr>
            <w:tcW w:w="18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1,944,750,000.00</w:t>
            </w:r>
          </w:p>
        </w:tc>
        <w:tc>
          <w:tcPr>
            <w:tcW w:w="18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szCs w:val="20"/>
                <w:lang w:eastAsia="en-US"/>
              </w:rPr>
            </w:pPr>
            <w:r>
              <w:rPr>
                <w:b/>
                <w:noProof/>
                <w:color w:val="000000"/>
                <w:sz w:val="20"/>
                <w:szCs w:val="20"/>
                <w:lang w:eastAsia="en-US"/>
              </w:rPr>
              <w:t>2,053,260,393.06</w:t>
            </w:r>
          </w:p>
        </w:tc>
      </w:tr>
      <w:tr>
        <w:trPr>
          <w:trHeight w:hRule="exact" w:val="300"/>
        </w:trPr>
        <w:tc>
          <w:tcPr>
            <w:tcW w:w="457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16"/>
                <w:szCs w:val="20"/>
                <w:lang w:eastAsia="en-US"/>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16"/>
                <w:szCs w:val="20"/>
                <w:lang w:eastAsia="en-US"/>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16"/>
                <w:szCs w:val="20"/>
                <w:lang w:eastAsia="en-US"/>
              </w:rPr>
            </w:pPr>
          </w:p>
        </w:tc>
        <w:tc>
          <w:tcPr>
            <w:tcW w:w="1800"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16"/>
                <w:szCs w:val="20"/>
                <w:lang w:eastAsia="en-US"/>
              </w:rPr>
            </w:pPr>
          </w:p>
        </w:tc>
      </w:tr>
      <w:tr>
        <w:trPr>
          <w:trHeight w:hRule="exact" w:val="300"/>
        </w:trPr>
        <w:tc>
          <w:tcPr>
            <w:tcW w:w="9975" w:type="dxa"/>
            <w:gridSpan w:val="4"/>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2"/>
                <w:szCs w:val="20"/>
                <w:lang w:eastAsia="en-US"/>
              </w:rPr>
            </w:pPr>
            <w:r>
              <w:rPr>
                <w:noProof/>
                <w:color w:val="000000"/>
                <w:sz w:val="22"/>
                <w:szCs w:val="20"/>
                <w:lang w:eastAsia="en-US"/>
              </w:rPr>
              <w:t>*) The carrying value represents the clean market value of the assets excluding accrued interest.</w:t>
            </w:r>
          </w:p>
        </w:tc>
      </w:tr>
    </w:tbl>
    <w:p>
      <w:pPr>
        <w:pBdr>
          <w:top w:val="nil"/>
          <w:left w:val="nil"/>
          <w:bottom w:val="nil"/>
          <w:right w:val="nil"/>
          <w:between w:val="nil"/>
          <w:bar w:val="nil"/>
        </w:pBdr>
        <w:rPr>
          <w:noProof/>
          <w:bdr w:val="nil"/>
        </w:rPr>
      </w:pPr>
    </w:p>
    <w:p>
      <w:pPr>
        <w:pBdr>
          <w:top w:val="nil"/>
          <w:left w:val="nil"/>
          <w:bottom w:val="nil"/>
          <w:right w:val="nil"/>
          <w:between w:val="nil"/>
          <w:bar w:val="nil"/>
        </w:pBdr>
        <w:spacing w:before="120" w:line="0" w:lineRule="atLeast"/>
        <w:jc w:val="both"/>
        <w:rPr>
          <w:noProof/>
          <w:bdr w:val="nil"/>
        </w:rPr>
      </w:pPr>
      <w:r>
        <w:rPr>
          <w:noProof/>
          <w:bdr w:val="nil"/>
        </w:rPr>
        <w:t>In the tables above “EU sovereigns” refer to bonds issued or guaranteed by EU Member States and EU Supranationals while “others” refer to bonds issued by banks, covered bonds, bonds issued or guaranteed by non EU Supranationals or EU and non EU Public Institutions.</w:t>
      </w:r>
    </w:p>
    <w:p>
      <w:pPr>
        <w:pBdr>
          <w:top w:val="nil"/>
          <w:left w:val="nil"/>
          <w:bottom w:val="nil"/>
          <w:right w:val="nil"/>
          <w:between w:val="nil"/>
          <w:bar w:val="nil"/>
        </w:pBdr>
        <w:spacing w:line="0" w:lineRule="atLeast"/>
        <w:jc w:val="both"/>
        <w:rPr>
          <w:noProof/>
          <w:bdr w:val="nil"/>
        </w:rPr>
      </w:pPr>
    </w:p>
    <w:p>
      <w:pPr>
        <w:pStyle w:val="ManualHeading3"/>
        <w:rPr>
          <w:noProof/>
        </w:rPr>
      </w:pPr>
      <w:bookmarkStart w:id="74" w:name="_Toc478663493"/>
      <w:r>
        <w:rPr>
          <w:noProof/>
        </w:rPr>
        <w:t>3.3.3.</w:t>
      </w:r>
      <w:r>
        <w:rPr>
          <w:noProof/>
        </w:rPr>
        <w:tab/>
        <w:t>Liquidity Risk</w:t>
      </w:r>
      <w:bookmarkEnd w:id="74"/>
    </w:p>
    <w:p>
      <w:pPr>
        <w:pStyle w:val="Notes2"/>
        <w:tabs>
          <w:tab w:val="clear" w:pos="4320"/>
          <w:tab w:val="clear" w:pos="8640"/>
          <w:tab w:val="right" w:pos="-2700"/>
        </w:tabs>
        <w:spacing w:before="0" w:line="240" w:lineRule="atLeast"/>
        <w:rPr>
          <w:rFonts w:ascii="Times New Roman" w:hAnsi="Times New Roman"/>
          <w:b w:val="0"/>
          <w:noProof/>
          <w:sz w:val="24"/>
          <w:lang w:val="en-GB"/>
        </w:rPr>
      </w:pPr>
      <w:r>
        <w:rPr>
          <w:rFonts w:ascii="Times New Roman" w:hAnsi="Times New Roman"/>
          <w:b w:val="0"/>
          <w:noProof/>
          <w:sz w:val="24"/>
          <w:lang w:val="en-GB"/>
        </w:rPr>
        <w:t>Liquidity risk refers to an entity’s ability to meet obligations as they become due, without incurring unacceptable losses. It can be split into funding liquidity risk and market liquidity risk. Funding liquidity risk is the risk that an entity will not be able to meet efficiently both expected and unexpected current and future cash flow needs without affecting its daily operations or its financial condition. Market liquidity risk is the risk that an entity cannot easily offset or eliminate a position at the market price because of inadequate market depth or market disruption.</w:t>
      </w:r>
    </w:p>
    <w:p>
      <w:pPr>
        <w:pStyle w:val="Notes2"/>
        <w:tabs>
          <w:tab w:val="clear" w:pos="4320"/>
          <w:tab w:val="clear" w:pos="8640"/>
          <w:tab w:val="right" w:pos="-2700"/>
        </w:tabs>
        <w:spacing w:before="0" w:after="0" w:line="0" w:lineRule="atLeast"/>
        <w:rPr>
          <w:rFonts w:ascii="Times New Roman" w:hAnsi="Times New Roman"/>
          <w:b w:val="0"/>
          <w:noProof/>
          <w:sz w:val="24"/>
          <w:lang w:val="en-GB"/>
        </w:rPr>
      </w:pPr>
    </w:p>
    <w:p>
      <w:pPr>
        <w:pStyle w:val="ManualHeading4"/>
        <w:rPr>
          <w:noProof/>
        </w:rPr>
      </w:pPr>
      <w:r>
        <w:rPr>
          <w:noProof/>
        </w:rPr>
        <w:t>3.3.3.1.</w:t>
      </w:r>
      <w:r>
        <w:rPr>
          <w:noProof/>
        </w:rPr>
        <w:tab/>
        <w:t>Liquidity risk management</w:t>
      </w:r>
    </w:p>
    <w:p>
      <w:pPr>
        <w:pStyle w:val="Notes2"/>
        <w:spacing w:before="0" w:line="240" w:lineRule="atLeast"/>
        <w:rPr>
          <w:rFonts w:ascii="Times New Roman" w:hAnsi="Times New Roman"/>
          <w:b w:val="0"/>
          <w:noProof/>
          <w:sz w:val="24"/>
          <w:lang w:val="en-GB"/>
        </w:rPr>
      </w:pPr>
      <w:r>
        <w:rPr>
          <w:rFonts w:ascii="Times New Roman" w:hAnsi="Times New Roman"/>
          <w:b w:val="0"/>
          <w:noProof/>
          <w:sz w:val="24"/>
          <w:lang w:val="en-GB"/>
        </w:rPr>
        <w:t>The treasury portfolio’s agreed asset management guidelines and/or investment strategy define certain limits and restrictions in order to limit the exposure to funding liquidity risk of the treasury portfolio. The compliance with these limits is monitored by Risk Management on a daily basis. Such limits and restrictions include a target liquidity buffer.</w:t>
      </w:r>
    </w:p>
    <w:p>
      <w:pPr>
        <w:pStyle w:val="BodyText20"/>
        <w:spacing w:after="0" w:line="0" w:lineRule="atLeast"/>
        <w:rPr>
          <w:rFonts w:ascii="Times New Roman" w:hAnsi="Times New Roman"/>
          <w:noProof/>
          <w:sz w:val="22"/>
        </w:rPr>
      </w:pPr>
    </w:p>
    <w:p>
      <w:pPr>
        <w:pStyle w:val="ManualHeading4"/>
        <w:rPr>
          <w:noProof/>
        </w:rPr>
      </w:pPr>
      <w:r>
        <w:rPr>
          <w:noProof/>
        </w:rPr>
        <w:t>3.3.3.2.</w:t>
      </w:r>
      <w:r>
        <w:rPr>
          <w:noProof/>
        </w:rPr>
        <w:tab/>
        <w:t>Liquidity risk measurement</w:t>
      </w:r>
    </w:p>
    <w:p>
      <w:pPr>
        <w:pStyle w:val="Notes2"/>
        <w:tabs>
          <w:tab w:val="clear" w:pos="4320"/>
          <w:tab w:val="clear" w:pos="8640"/>
          <w:tab w:val="right" w:pos="-2700"/>
        </w:tabs>
        <w:spacing w:before="0" w:line="240" w:lineRule="atLeast"/>
        <w:rPr>
          <w:rFonts w:ascii="Times New Roman" w:hAnsi="Times New Roman"/>
          <w:b w:val="0"/>
          <w:noProof/>
          <w:sz w:val="24"/>
          <w:lang w:val="en-GB"/>
        </w:rPr>
      </w:pPr>
      <w:r>
        <w:rPr>
          <w:rFonts w:ascii="Times New Roman" w:hAnsi="Times New Roman"/>
          <w:b w:val="0"/>
          <w:noProof/>
          <w:sz w:val="24"/>
          <w:lang w:val="en-GB"/>
        </w:rPr>
        <w:t>The table below provides an analysis of the non-derivative liabilities into relevant maturity groupings based on the remaining contractual maturities. The table is presented under the most prudent consideration of maturity dates where the earliest possible repayment date is shown.</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75"/>
        <w:gridCol w:w="1425"/>
        <w:gridCol w:w="1425"/>
        <w:gridCol w:w="1425"/>
        <w:gridCol w:w="1425"/>
      </w:tblGrid>
      <w:tr>
        <w:trPr>
          <w:trHeight w:val="510"/>
        </w:trPr>
        <w:tc>
          <w:tcPr>
            <w:tcW w:w="4275"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20"/>
              </w:rPr>
            </w:pPr>
            <w:r>
              <w:rPr>
                <w:b/>
                <w:noProof/>
                <w:color w:val="000000"/>
                <w:sz w:val="20"/>
              </w:rPr>
              <w:t>Maturity profile</w:t>
            </w:r>
            <w:r>
              <w:rPr>
                <w:b/>
                <w:noProof/>
                <w:color w:val="000000"/>
                <w:sz w:val="20"/>
              </w:rPr>
              <w:br/>
              <w:t>(at 31 December 2017)</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Less than</w:t>
            </w:r>
            <w:r>
              <w:rPr>
                <w:b/>
                <w:noProof/>
                <w:color w:val="000000"/>
                <w:sz w:val="20"/>
              </w:rPr>
              <w:br/>
              <w:t xml:space="preserve"> 1 year</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1 year to</w:t>
            </w:r>
            <w:r>
              <w:rPr>
                <w:b/>
                <w:noProof/>
                <w:color w:val="000000"/>
                <w:sz w:val="20"/>
              </w:rPr>
              <w:br/>
              <w:t xml:space="preserve">  5 years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More than</w:t>
            </w:r>
            <w:r>
              <w:rPr>
                <w:b/>
                <w:noProof/>
                <w:color w:val="000000"/>
                <w:sz w:val="20"/>
              </w:rPr>
              <w:br/>
              <w:t xml:space="preserve"> 5 years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TOTAL</w:t>
            </w:r>
          </w:p>
        </w:tc>
      </w:tr>
      <w:tr>
        <w:trPr>
          <w:trHeight w:val="300"/>
        </w:trPr>
        <w:tc>
          <w:tcPr>
            <w:tcW w:w="42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Other payables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954,779.18</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0.00</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0.00</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954,779.18</w:t>
            </w:r>
          </w:p>
        </w:tc>
      </w:tr>
      <w:tr>
        <w:trPr>
          <w:trHeight w:val="300"/>
        </w:trPr>
        <w:tc>
          <w:tcPr>
            <w:tcW w:w="42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rPr>
                <w:b/>
                <w:noProof/>
                <w:color w:val="000000"/>
                <w:sz w:val="20"/>
              </w:rPr>
            </w:pPr>
            <w:r>
              <w:rPr>
                <w:b/>
                <w:noProof/>
                <w:color w:val="000000"/>
                <w:sz w:val="20"/>
              </w:rPr>
              <w:t xml:space="preserve">Total </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954,779.18</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0.00</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0.00</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954,779.18</w:t>
            </w:r>
          </w:p>
        </w:tc>
      </w:tr>
      <w:tr>
        <w:trPr>
          <w:trHeight w:hRule="exact" w:val="300"/>
        </w:trPr>
        <w:tc>
          <w:tcPr>
            <w:tcW w:w="427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rPr>
            </w:pP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rPr>
            </w:pP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rPr>
            </w:pP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rPr>
            </w:pP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rPr>
            </w:pPr>
          </w:p>
        </w:tc>
      </w:tr>
      <w:tr>
        <w:trPr>
          <w:trHeight w:hRule="exact" w:val="300"/>
        </w:trPr>
        <w:tc>
          <w:tcPr>
            <w:tcW w:w="4275"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rPr>
            </w:pPr>
          </w:p>
        </w:tc>
      </w:tr>
      <w:tr>
        <w:trPr>
          <w:trHeight w:val="510"/>
        </w:trPr>
        <w:tc>
          <w:tcPr>
            <w:tcW w:w="4275"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20"/>
              </w:rPr>
            </w:pPr>
            <w:r>
              <w:rPr>
                <w:b/>
                <w:noProof/>
                <w:color w:val="000000"/>
                <w:sz w:val="20"/>
              </w:rPr>
              <w:t>Maturity profile</w:t>
            </w:r>
            <w:r>
              <w:rPr>
                <w:b/>
                <w:noProof/>
                <w:color w:val="000000"/>
                <w:sz w:val="20"/>
              </w:rPr>
              <w:br/>
              <w:t>(at 31 December 2016)</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Less than</w:t>
            </w:r>
            <w:r>
              <w:rPr>
                <w:b/>
                <w:noProof/>
                <w:color w:val="000000"/>
                <w:sz w:val="20"/>
              </w:rPr>
              <w:br/>
              <w:t>1 year</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 xml:space="preserve">1 year to </w:t>
            </w:r>
            <w:r>
              <w:rPr>
                <w:b/>
                <w:noProof/>
                <w:color w:val="000000"/>
                <w:sz w:val="20"/>
              </w:rPr>
              <w:br/>
              <w:t>5 years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More than</w:t>
            </w:r>
            <w:r>
              <w:rPr>
                <w:b/>
                <w:noProof/>
                <w:color w:val="000000"/>
                <w:sz w:val="20"/>
              </w:rPr>
              <w:br/>
              <w:t xml:space="preserve"> 5 years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TOTAL</w:t>
            </w:r>
          </w:p>
        </w:tc>
      </w:tr>
      <w:tr>
        <w:trPr>
          <w:trHeight w:val="300"/>
        </w:trPr>
        <w:tc>
          <w:tcPr>
            <w:tcW w:w="42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Other payables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931,475.15</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0.00</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0.00</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931,475.15</w:t>
            </w:r>
          </w:p>
        </w:tc>
      </w:tr>
      <w:tr>
        <w:trPr>
          <w:trHeight w:val="300"/>
        </w:trPr>
        <w:tc>
          <w:tcPr>
            <w:tcW w:w="42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rPr>
                <w:b/>
                <w:noProof/>
                <w:color w:val="000000"/>
                <w:sz w:val="20"/>
              </w:rPr>
            </w:pPr>
            <w:r>
              <w:rPr>
                <w:b/>
                <w:noProof/>
                <w:color w:val="000000"/>
                <w:sz w:val="20"/>
              </w:rPr>
              <w:t xml:space="preserve">Total </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931,475.15</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0.00</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0.00</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931,475.15</w:t>
            </w:r>
          </w:p>
        </w:tc>
      </w:tr>
      <w:tr>
        <w:trPr>
          <w:trHeight w:val="510"/>
        </w:trPr>
        <w:tc>
          <w:tcPr>
            <w:tcW w:w="4275"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20"/>
              </w:rPr>
            </w:pPr>
            <w:r>
              <w:rPr>
                <w:b/>
                <w:noProof/>
                <w:color w:val="000000"/>
                <w:sz w:val="20"/>
              </w:rPr>
              <w:t>Maturity profile</w:t>
            </w:r>
            <w:r>
              <w:rPr>
                <w:b/>
                <w:noProof/>
                <w:color w:val="000000"/>
                <w:sz w:val="20"/>
              </w:rPr>
              <w:br/>
              <w:t>(at 31 December 2017)</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Less than</w:t>
            </w:r>
            <w:r>
              <w:rPr>
                <w:b/>
                <w:noProof/>
                <w:color w:val="000000"/>
                <w:sz w:val="20"/>
              </w:rPr>
              <w:br/>
              <w:t xml:space="preserve"> 1 year</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1 year to</w:t>
            </w:r>
            <w:r>
              <w:rPr>
                <w:b/>
                <w:noProof/>
                <w:color w:val="000000"/>
                <w:sz w:val="20"/>
              </w:rPr>
              <w:br/>
              <w:t xml:space="preserve">  5 years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More than</w:t>
            </w:r>
            <w:r>
              <w:rPr>
                <w:b/>
                <w:noProof/>
                <w:color w:val="000000"/>
                <w:sz w:val="20"/>
              </w:rPr>
              <w:br/>
              <w:t xml:space="preserve"> 5 years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TOTAL</w:t>
            </w:r>
          </w:p>
        </w:tc>
      </w:tr>
      <w:tr>
        <w:trPr>
          <w:trHeight w:val="300"/>
        </w:trPr>
        <w:tc>
          <w:tcPr>
            <w:tcW w:w="42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Other payables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954,779.18</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0.00</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0.00</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954,779.18</w:t>
            </w:r>
          </w:p>
        </w:tc>
      </w:tr>
      <w:tr>
        <w:trPr>
          <w:trHeight w:val="300"/>
        </w:trPr>
        <w:tc>
          <w:tcPr>
            <w:tcW w:w="42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rPr>
                <w:b/>
                <w:noProof/>
                <w:color w:val="000000"/>
                <w:sz w:val="20"/>
              </w:rPr>
            </w:pPr>
            <w:r>
              <w:rPr>
                <w:b/>
                <w:noProof/>
                <w:color w:val="000000"/>
                <w:sz w:val="20"/>
              </w:rPr>
              <w:t xml:space="preserve">Total </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954,779.18</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0.00</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0.00</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954,779.18</w:t>
            </w:r>
          </w:p>
        </w:tc>
      </w:tr>
      <w:tr>
        <w:trPr>
          <w:trHeight w:hRule="exact" w:val="300"/>
        </w:trPr>
        <w:tc>
          <w:tcPr>
            <w:tcW w:w="427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rPr>
            </w:pP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rPr>
            </w:pP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rPr>
            </w:pP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rPr>
            </w:pP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rPr>
            </w:pPr>
          </w:p>
        </w:tc>
      </w:tr>
      <w:tr>
        <w:trPr>
          <w:trHeight w:hRule="exact" w:val="300"/>
        </w:trPr>
        <w:tc>
          <w:tcPr>
            <w:tcW w:w="4275"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rPr>
            </w:pPr>
          </w:p>
        </w:tc>
      </w:tr>
      <w:tr>
        <w:trPr>
          <w:trHeight w:val="510"/>
        </w:trPr>
        <w:tc>
          <w:tcPr>
            <w:tcW w:w="4275"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20"/>
              </w:rPr>
            </w:pPr>
            <w:r>
              <w:rPr>
                <w:b/>
                <w:noProof/>
                <w:color w:val="000000"/>
                <w:sz w:val="20"/>
              </w:rPr>
              <w:t>Maturity profile</w:t>
            </w:r>
            <w:r>
              <w:rPr>
                <w:b/>
                <w:noProof/>
                <w:color w:val="000000"/>
                <w:sz w:val="20"/>
              </w:rPr>
              <w:br/>
              <w:t>(at 31 December 2016)</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Less than</w:t>
            </w:r>
            <w:r>
              <w:rPr>
                <w:b/>
                <w:noProof/>
                <w:color w:val="000000"/>
                <w:sz w:val="20"/>
              </w:rPr>
              <w:br/>
              <w:t>1 year</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 xml:space="preserve">1 year to </w:t>
            </w:r>
            <w:r>
              <w:rPr>
                <w:b/>
                <w:noProof/>
                <w:color w:val="000000"/>
                <w:sz w:val="20"/>
              </w:rPr>
              <w:br/>
              <w:t>5 years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More than</w:t>
            </w:r>
            <w:r>
              <w:rPr>
                <w:b/>
                <w:noProof/>
                <w:color w:val="000000"/>
                <w:sz w:val="20"/>
              </w:rPr>
              <w:br/>
              <w:t xml:space="preserve"> 5 years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TOTAL</w:t>
            </w:r>
          </w:p>
        </w:tc>
      </w:tr>
      <w:tr>
        <w:trPr>
          <w:trHeight w:val="300"/>
        </w:trPr>
        <w:tc>
          <w:tcPr>
            <w:tcW w:w="42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Other payables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931,475.15</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0.00</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0.00</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931,475.15</w:t>
            </w:r>
          </w:p>
        </w:tc>
      </w:tr>
      <w:tr>
        <w:trPr>
          <w:trHeight w:val="300"/>
        </w:trPr>
        <w:tc>
          <w:tcPr>
            <w:tcW w:w="42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rPr>
                <w:b/>
                <w:noProof/>
                <w:color w:val="000000"/>
                <w:sz w:val="20"/>
              </w:rPr>
            </w:pPr>
            <w:r>
              <w:rPr>
                <w:b/>
                <w:noProof/>
                <w:color w:val="000000"/>
                <w:sz w:val="20"/>
              </w:rPr>
              <w:t xml:space="preserve">Total </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931,475.15</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0.00</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0.00</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931,475.15</w:t>
            </w:r>
          </w:p>
        </w:tc>
      </w:tr>
    </w:tbl>
    <w:p>
      <w:pPr>
        <w:pBdr>
          <w:top w:val="nil"/>
          <w:left w:val="nil"/>
          <w:bottom w:val="nil"/>
          <w:right w:val="nil"/>
          <w:between w:val="nil"/>
          <w:bar w:val="nil"/>
        </w:pBdr>
        <w:jc w:val="both"/>
        <w:rPr>
          <w:noProof/>
          <w:szCs w:val="22"/>
          <w:bdr w:val="nil"/>
        </w:rPr>
      </w:pPr>
    </w:p>
    <w:p>
      <w:pPr>
        <w:pStyle w:val="ManualHeading3"/>
        <w:rPr>
          <w:noProof/>
        </w:rPr>
      </w:pPr>
      <w:bookmarkStart w:id="75" w:name="_Toc449626528"/>
      <w:bookmarkStart w:id="76" w:name="_Toc449626301"/>
      <w:bookmarkStart w:id="77" w:name="_Toc449022476"/>
      <w:bookmarkStart w:id="78" w:name="_Toc448929175"/>
      <w:bookmarkStart w:id="79" w:name="_Toc478663494"/>
      <w:r>
        <w:rPr>
          <w:noProof/>
        </w:rPr>
        <w:t>3.3.4.</w:t>
      </w:r>
      <w:r>
        <w:rPr>
          <w:noProof/>
        </w:rPr>
        <w:tab/>
        <w:t>Market Risk</w:t>
      </w:r>
      <w:bookmarkEnd w:id="75"/>
      <w:bookmarkEnd w:id="76"/>
      <w:bookmarkEnd w:id="77"/>
      <w:bookmarkEnd w:id="78"/>
      <w:bookmarkEnd w:id="79"/>
    </w:p>
    <w:p>
      <w:pPr>
        <w:pBdr>
          <w:top w:val="nil"/>
          <w:left w:val="nil"/>
          <w:bottom w:val="nil"/>
          <w:right w:val="nil"/>
          <w:between w:val="nil"/>
          <w:bar w:val="nil"/>
        </w:pBdr>
        <w:spacing w:before="120" w:after="120"/>
        <w:jc w:val="both"/>
        <w:rPr>
          <w:noProof/>
          <w:bdr w:val="nil"/>
        </w:rPr>
      </w:pPr>
      <w:r>
        <w:rPr>
          <w:noProof/>
          <w:bdr w:val="nil"/>
        </w:rPr>
        <w:t>Market risk represents the risk that changes in market prices and rates, such as interest rates and foreign exchange rates will affect an entity’s income or the value of its holdings in financial instruments.</w:t>
      </w:r>
    </w:p>
    <w:p>
      <w:pPr>
        <w:pStyle w:val="Notes"/>
        <w:numPr>
          <w:ilvl w:val="0"/>
          <w:numId w:val="0"/>
        </w:numPr>
        <w:pBdr>
          <w:top w:val="nil"/>
          <w:left w:val="nil"/>
          <w:bottom w:val="nil"/>
          <w:right w:val="nil"/>
          <w:between w:val="nil"/>
          <w:bar w:val="nil"/>
        </w:pBdr>
        <w:spacing w:line="240" w:lineRule="atLeast"/>
        <w:rPr>
          <w:rFonts w:ascii="Times New Roman" w:hAnsi="Times New Roman"/>
          <w:b w:val="0"/>
          <w:noProof/>
          <w:sz w:val="24"/>
          <w:szCs w:val="24"/>
          <w:bdr w:val="nil"/>
          <w:lang w:val="en-GB"/>
        </w:rPr>
      </w:pPr>
      <w:r>
        <w:rPr>
          <w:rFonts w:ascii="Times New Roman" w:hAnsi="Times New Roman"/>
          <w:b w:val="0"/>
          <w:noProof/>
          <w:sz w:val="24"/>
          <w:szCs w:val="24"/>
          <w:bdr w:val="nil"/>
          <w:lang w:val="en-GB"/>
        </w:rPr>
        <w:t xml:space="preserve">The treasury portfolio’s agreed asset management guidelines and/or investment strategy define certain restrictions (such as concentration limits, modified duration and target combined spread duration) in order to fulfil diversification and to control to market risk of the treasury portfolio. The compliance with these limits is monitored by Risk Management on a daily basis. </w:t>
      </w:r>
    </w:p>
    <w:p>
      <w:pPr>
        <w:pBdr>
          <w:top w:val="nil"/>
          <w:left w:val="nil"/>
          <w:bottom w:val="nil"/>
          <w:right w:val="nil"/>
          <w:between w:val="nil"/>
          <w:bar w:val="nil"/>
        </w:pBdr>
        <w:jc w:val="both"/>
        <w:rPr>
          <w:noProof/>
          <w:szCs w:val="22"/>
          <w:bdr w:val="nil"/>
        </w:rPr>
      </w:pPr>
    </w:p>
    <w:p>
      <w:pPr>
        <w:pStyle w:val="ManualHeading4"/>
        <w:rPr>
          <w:noProof/>
        </w:rPr>
      </w:pPr>
      <w:r>
        <w:rPr>
          <w:noProof/>
        </w:rPr>
        <w:t>3.3.4.1.</w:t>
      </w:r>
      <w:r>
        <w:rPr>
          <w:noProof/>
        </w:rPr>
        <w:tab/>
        <w:t>Interest rate risk position</w:t>
      </w:r>
    </w:p>
    <w:p>
      <w:pPr>
        <w:pBdr>
          <w:top w:val="nil"/>
          <w:left w:val="nil"/>
          <w:bottom w:val="nil"/>
          <w:right w:val="nil"/>
          <w:between w:val="nil"/>
          <w:bar w:val="nil"/>
        </w:pBdr>
        <w:jc w:val="both"/>
        <w:rPr>
          <w:noProof/>
          <w:bdr w:val="nil"/>
        </w:rPr>
      </w:pPr>
      <w:r>
        <w:rPr>
          <w:noProof/>
          <w:bdr w:val="nil"/>
        </w:rPr>
        <w:t>Interest rate risk arises from the volatility in the economic value of, or in the income derived from the treasury portfolio’s interest rate bearing positions due to adverse movements in interest rates. Exposure to interest rate risk occurs when there are differences in repricing and maturity characteristics of the different assets and liabilities.</w:t>
      </w:r>
    </w:p>
    <w:p>
      <w:pPr>
        <w:pBdr>
          <w:top w:val="nil"/>
          <w:left w:val="nil"/>
          <w:bottom w:val="nil"/>
          <w:right w:val="nil"/>
          <w:between w:val="nil"/>
          <w:bar w:val="nil"/>
        </w:pBdr>
        <w:spacing w:line="0" w:lineRule="atLeast"/>
        <w:jc w:val="both"/>
        <w:rPr>
          <w:noProof/>
          <w:bdr w:val="nil"/>
        </w:rPr>
      </w:pPr>
    </w:p>
    <w:p>
      <w:pPr>
        <w:keepNext/>
        <w:pBdr>
          <w:top w:val="nil"/>
          <w:left w:val="nil"/>
          <w:bottom w:val="nil"/>
          <w:right w:val="nil"/>
          <w:between w:val="nil"/>
          <w:bar w:val="nil"/>
        </w:pBdr>
        <w:tabs>
          <w:tab w:val="left" w:pos="709"/>
        </w:tabs>
        <w:rPr>
          <w:b/>
          <w:noProof/>
          <w:bdr w:val="nil"/>
        </w:rPr>
      </w:pPr>
      <w:r>
        <w:rPr>
          <w:b/>
          <w:noProof/>
          <w:bdr w:val="nil"/>
        </w:rPr>
        <w:t xml:space="preserve">Interest rate sensitivity analysis </w:t>
      </w:r>
    </w:p>
    <w:p>
      <w:pPr>
        <w:pBdr>
          <w:top w:val="nil"/>
          <w:left w:val="nil"/>
          <w:bottom w:val="nil"/>
          <w:right w:val="nil"/>
          <w:between w:val="nil"/>
          <w:bar w:val="nil"/>
        </w:pBdr>
        <w:tabs>
          <w:tab w:val="left" w:pos="1843"/>
        </w:tabs>
        <w:jc w:val="both"/>
        <w:rPr>
          <w:noProof/>
          <w:bdr w:val="nil"/>
        </w:rPr>
      </w:pPr>
      <w:r>
        <w:rPr>
          <w:noProof/>
          <w:bdr w:val="nil"/>
        </w:rPr>
        <w:t>The interest rate sensitivity of the treasury portfolios represents the amount of a potential change in the fair value of the portfolio and is computed on a deal by deal basis assuming that all interest rate curves rose by one percentage basis and 100 basis points or decrease by one percentage basis point and 100 basis points.</w:t>
      </w:r>
    </w:p>
    <w:p>
      <w:pPr>
        <w:pStyle w:val="BodyText"/>
        <w:pBdr>
          <w:top w:val="nil"/>
          <w:left w:val="nil"/>
          <w:bottom w:val="nil"/>
          <w:right w:val="nil"/>
          <w:between w:val="nil"/>
          <w:bar w:val="nil"/>
        </w:pBdr>
        <w:spacing w:after="0"/>
        <w:rPr>
          <w:noProof/>
          <w:sz w:val="24"/>
          <w:szCs w:val="24"/>
          <w:bdr w:val="nil"/>
        </w:rPr>
      </w:pPr>
    </w:p>
    <w:p>
      <w:pPr>
        <w:pStyle w:val="BodyText"/>
        <w:pBdr>
          <w:top w:val="nil"/>
          <w:left w:val="nil"/>
          <w:bottom w:val="nil"/>
          <w:right w:val="nil"/>
          <w:between w:val="nil"/>
          <w:bar w:val="nil"/>
        </w:pBdr>
        <w:spacing w:after="0"/>
        <w:rPr>
          <w:noProof/>
          <w:sz w:val="24"/>
          <w:szCs w:val="24"/>
          <w:bdr w:val="nil"/>
        </w:rPr>
      </w:pPr>
      <w:r>
        <w:rPr>
          <w:noProof/>
          <w:sz w:val="24"/>
          <w:szCs w:val="24"/>
          <w:bdr w:val="nil"/>
        </w:rPr>
        <w:t>The following table shows the sensitivity to interest rate variations of the three Guarantee Fund (“GF”) treasury sub-portfolios GF-Short term (Short term deposits, commercial papers and zero coupon bonds), GF-FRN  (Bond portfolio variable interest), GF-Long term (Bond portfolio fixed interest). It is presented on the same basis as the quarterly risk management reporting delivered to the EC concerning the risk and the performance of the Fund’s portfolio.</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50"/>
        <w:gridCol w:w="1425"/>
        <w:gridCol w:w="1425"/>
        <w:gridCol w:w="1425"/>
        <w:gridCol w:w="1425"/>
        <w:gridCol w:w="1425"/>
      </w:tblGrid>
      <w:tr>
        <w:trPr>
          <w:trHeight w:hRule="exact" w:val="300"/>
        </w:trPr>
        <w:tc>
          <w:tcPr>
            <w:tcW w:w="2850"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20"/>
              </w:rPr>
            </w:pPr>
            <w:r>
              <w:rPr>
                <w:b/>
                <w:noProof/>
                <w:color w:val="000000"/>
                <w:sz w:val="20"/>
              </w:rPr>
              <w:t>31 December 2017</w:t>
            </w: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r>
      <w:tr>
        <w:trPr>
          <w:trHeight w:val="765"/>
        </w:trPr>
        <w:tc>
          <w:tcPr>
            <w:tcW w:w="2850"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20"/>
              </w:rPr>
            </w:pPr>
            <w:r>
              <w:rPr>
                <w:b/>
                <w:noProof/>
                <w:color w:val="000000"/>
                <w:sz w:val="20"/>
              </w:rPr>
              <w:t>GF sub-portfolios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center"/>
              <w:rPr>
                <w:b/>
                <w:noProof/>
                <w:color w:val="000000"/>
                <w:sz w:val="20"/>
              </w:rPr>
            </w:pPr>
            <w:r>
              <w:rPr>
                <w:b/>
                <w:noProof/>
                <w:color w:val="000000"/>
                <w:sz w:val="20"/>
              </w:rPr>
              <w:t xml:space="preserve">Clean market value </w:t>
            </w:r>
            <w:r>
              <w:rPr>
                <w:b/>
                <w:noProof/>
                <w:color w:val="000000"/>
                <w:sz w:val="20"/>
              </w:rPr>
              <w:br/>
              <w:t>in EUR'000</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center"/>
              <w:rPr>
                <w:b/>
                <w:noProof/>
                <w:color w:val="000000"/>
                <w:sz w:val="20"/>
              </w:rPr>
            </w:pPr>
            <w:r>
              <w:rPr>
                <w:b/>
                <w:noProof/>
                <w:color w:val="000000"/>
                <w:sz w:val="20"/>
              </w:rPr>
              <w:t>Modified Duration (Years)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center"/>
              <w:rPr>
                <w:b/>
                <w:noProof/>
                <w:color w:val="000000"/>
                <w:sz w:val="20"/>
              </w:rPr>
            </w:pPr>
            <w:r>
              <w:rPr>
                <w:b/>
                <w:noProof/>
                <w:color w:val="000000"/>
                <w:sz w:val="20"/>
              </w:rPr>
              <w:t xml:space="preserve">IR Exposure </w:t>
            </w:r>
            <w:r>
              <w:rPr>
                <w:b/>
                <w:noProof/>
                <w:color w:val="000000"/>
                <w:sz w:val="20"/>
              </w:rPr>
              <w:br/>
              <w:t xml:space="preserve">(+/-1bp) </w:t>
            </w:r>
            <w:r>
              <w:rPr>
                <w:b/>
                <w:noProof/>
                <w:color w:val="000000"/>
                <w:sz w:val="20"/>
              </w:rPr>
              <w:br/>
              <w:t>in EUR'000</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center"/>
              <w:rPr>
                <w:b/>
                <w:noProof/>
                <w:color w:val="000000"/>
                <w:sz w:val="20"/>
              </w:rPr>
            </w:pPr>
            <w:r>
              <w:rPr>
                <w:b/>
                <w:noProof/>
                <w:color w:val="000000"/>
                <w:sz w:val="20"/>
              </w:rPr>
              <w:t xml:space="preserve">IR Exposure (100bp) </w:t>
            </w:r>
            <w:r>
              <w:rPr>
                <w:b/>
                <w:noProof/>
                <w:color w:val="000000"/>
                <w:sz w:val="20"/>
              </w:rPr>
              <w:br/>
              <w:t>in EUR'000</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center"/>
              <w:rPr>
                <w:b/>
                <w:noProof/>
                <w:color w:val="000000"/>
                <w:sz w:val="20"/>
              </w:rPr>
            </w:pPr>
            <w:r>
              <w:rPr>
                <w:b/>
                <w:noProof/>
                <w:color w:val="000000"/>
                <w:sz w:val="20"/>
              </w:rPr>
              <w:t xml:space="preserve">IR Exposure </w:t>
            </w:r>
            <w:r>
              <w:rPr>
                <w:b/>
                <w:noProof/>
                <w:color w:val="000000"/>
                <w:sz w:val="20"/>
              </w:rPr>
              <w:br/>
              <w:t xml:space="preserve">(-100bp) </w:t>
            </w:r>
            <w:r>
              <w:rPr>
                <w:b/>
                <w:noProof/>
                <w:color w:val="000000"/>
                <w:sz w:val="20"/>
              </w:rPr>
              <w:br/>
              <w:t>in EUR'000</w:t>
            </w:r>
          </w:p>
        </w:tc>
      </w:tr>
      <w:tr>
        <w:trPr>
          <w:trHeight w:hRule="exact" w:val="300"/>
        </w:trPr>
        <w:tc>
          <w:tcPr>
            <w:tcW w:w="285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GF - Short term</w:t>
            </w: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198,611</w:t>
            </w: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0.07</w:t>
            </w: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-/+ 1</w:t>
            </w: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 xml:space="preserve">-143 </w:t>
            </w: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+ 145</w:t>
            </w:r>
          </w:p>
        </w:tc>
      </w:tr>
      <w:tr>
        <w:trPr>
          <w:trHeight w:hRule="exact" w:val="300"/>
        </w:trPr>
        <w:tc>
          <w:tcPr>
            <w:tcW w:w="2850"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GF - FRN</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258,351</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0.17</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-/+ 4</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 xml:space="preserve">-430 </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+ 435</w:t>
            </w:r>
          </w:p>
        </w:tc>
      </w:tr>
      <w:tr>
        <w:trPr>
          <w:trHeight w:hRule="exact" w:val="300"/>
        </w:trPr>
        <w:tc>
          <w:tcPr>
            <w:tcW w:w="2850"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GF - Long term</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1,906,117</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3.67</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-/+ 704</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 xml:space="preserve">-68,606 </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+ 72,355</w:t>
            </w:r>
          </w:p>
        </w:tc>
      </w:tr>
      <w:tr>
        <w:trPr>
          <w:trHeight w:hRule="exact" w:val="300"/>
        </w:trPr>
        <w:tc>
          <w:tcPr>
            <w:tcW w:w="285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Current accounts</w:t>
            </w:r>
          </w:p>
        </w:tc>
        <w:tc>
          <w:tcPr>
            <w:tcW w:w="14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45,569</w:t>
            </w:r>
          </w:p>
        </w:tc>
        <w:tc>
          <w:tcPr>
            <w:tcW w:w="14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0.00</w:t>
            </w:r>
          </w:p>
        </w:tc>
        <w:tc>
          <w:tcPr>
            <w:tcW w:w="14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-/+ 0</w:t>
            </w:r>
          </w:p>
        </w:tc>
        <w:tc>
          <w:tcPr>
            <w:tcW w:w="14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0</w:t>
            </w:r>
          </w:p>
        </w:tc>
        <w:tc>
          <w:tcPr>
            <w:tcW w:w="14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0</w:t>
            </w:r>
          </w:p>
        </w:tc>
      </w:tr>
      <w:tr>
        <w:trPr>
          <w:trHeight w:hRule="exact" w:val="300"/>
        </w:trPr>
        <w:tc>
          <w:tcPr>
            <w:tcW w:w="285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TOTAL GF</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center"/>
              <w:rPr>
                <w:b/>
                <w:noProof/>
                <w:color w:val="000000"/>
                <w:sz w:val="20"/>
              </w:rPr>
            </w:pPr>
            <w:r>
              <w:rPr>
                <w:b/>
                <w:noProof/>
                <w:color w:val="000000"/>
                <w:sz w:val="20"/>
              </w:rPr>
              <w:t>2,408,648</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center"/>
              <w:rPr>
                <w:b/>
                <w:noProof/>
                <w:color w:val="000000"/>
                <w:sz w:val="20"/>
              </w:rPr>
            </w:pPr>
            <w:r>
              <w:rPr>
                <w:b/>
                <w:noProof/>
                <w:color w:val="000000"/>
                <w:sz w:val="20"/>
              </w:rPr>
              <w:t>2.93</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center"/>
              <w:rPr>
                <w:b/>
                <w:noProof/>
                <w:color w:val="000000"/>
                <w:sz w:val="20"/>
              </w:rPr>
            </w:pPr>
            <w:r>
              <w:rPr>
                <w:b/>
                <w:noProof/>
                <w:color w:val="000000"/>
                <w:sz w:val="20"/>
              </w:rPr>
              <w:t>-/+ 709</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center"/>
              <w:rPr>
                <w:b/>
                <w:noProof/>
                <w:color w:val="000000"/>
                <w:sz w:val="20"/>
              </w:rPr>
            </w:pPr>
            <w:r>
              <w:rPr>
                <w:b/>
                <w:noProof/>
                <w:color w:val="000000"/>
                <w:sz w:val="20"/>
              </w:rPr>
              <w:t>-69,179</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center"/>
              <w:rPr>
                <w:b/>
                <w:noProof/>
                <w:color w:val="000000"/>
                <w:sz w:val="20"/>
              </w:rPr>
            </w:pPr>
            <w:r>
              <w:rPr>
                <w:b/>
                <w:noProof/>
                <w:color w:val="000000"/>
                <w:sz w:val="20"/>
              </w:rPr>
              <w:t>+ 72,935</w:t>
            </w:r>
          </w:p>
        </w:tc>
      </w:tr>
      <w:tr>
        <w:trPr>
          <w:trHeight w:hRule="exact" w:val="300"/>
        </w:trPr>
        <w:tc>
          <w:tcPr>
            <w:tcW w:w="2850"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r>
      <w:tr>
        <w:trPr>
          <w:trHeight w:hRule="exact" w:val="300"/>
        </w:trPr>
        <w:tc>
          <w:tcPr>
            <w:tcW w:w="2850" w:type="dxa"/>
            <w:tcBorders>
              <w:top w:val="nil"/>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r>
      <w:tr>
        <w:trPr>
          <w:trHeight w:hRule="exact" w:val="300"/>
        </w:trPr>
        <w:tc>
          <w:tcPr>
            <w:tcW w:w="2850"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20"/>
              </w:rPr>
            </w:pPr>
            <w:r>
              <w:rPr>
                <w:b/>
                <w:noProof/>
                <w:color w:val="000000"/>
                <w:sz w:val="20"/>
              </w:rPr>
              <w:t>31 December 2016</w:t>
            </w: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c>
          <w:tcPr>
            <w:tcW w:w="1425" w:type="dxa"/>
            <w:tcBorders>
              <w:top w:val="nil"/>
              <w:left w:val="nil"/>
              <w:bottom w:val="nil"/>
              <w:right w:val="nil"/>
              <w:tl2br w:val="nil"/>
              <w:tr2bl w:val="nil"/>
            </w:tcBorders>
            <w:shd w:val="clear" w:color="auto" w:fill="auto"/>
            <w:noWrap/>
            <w:tcMar>
              <w:left w:w="40" w:type="dxa"/>
              <w:right w:w="40" w:type="dxa"/>
            </w:tcMar>
            <w:vAlign w:val="bottom"/>
          </w:tcPr>
          <w:p>
            <w:pPr>
              <w:rPr>
                <w:rFonts w:ascii="Calibri" w:eastAsia="Calibri" w:hAnsi="Calibri" w:cs="Calibri"/>
                <w:noProof/>
                <w:color w:val="000000"/>
              </w:rPr>
            </w:pPr>
          </w:p>
        </w:tc>
      </w:tr>
      <w:tr>
        <w:trPr>
          <w:trHeight w:val="765"/>
        </w:trPr>
        <w:tc>
          <w:tcPr>
            <w:tcW w:w="2850"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20"/>
              </w:rPr>
            </w:pPr>
            <w:r>
              <w:rPr>
                <w:b/>
                <w:noProof/>
                <w:color w:val="000000"/>
                <w:sz w:val="20"/>
              </w:rPr>
              <w:t>GF sub-portfolios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center"/>
              <w:rPr>
                <w:b/>
                <w:noProof/>
                <w:color w:val="000000"/>
                <w:sz w:val="20"/>
              </w:rPr>
            </w:pPr>
            <w:r>
              <w:rPr>
                <w:b/>
                <w:noProof/>
                <w:color w:val="000000"/>
                <w:sz w:val="20"/>
              </w:rPr>
              <w:t xml:space="preserve">Clean market value </w:t>
            </w:r>
            <w:r>
              <w:rPr>
                <w:b/>
                <w:noProof/>
                <w:color w:val="000000"/>
                <w:sz w:val="20"/>
              </w:rPr>
              <w:br/>
              <w:t>in EUR'000</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center"/>
              <w:rPr>
                <w:b/>
                <w:noProof/>
                <w:color w:val="000000"/>
                <w:sz w:val="20"/>
              </w:rPr>
            </w:pPr>
            <w:r>
              <w:rPr>
                <w:b/>
                <w:noProof/>
                <w:color w:val="000000"/>
                <w:sz w:val="20"/>
              </w:rPr>
              <w:t>Modified Duration (Years)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center"/>
              <w:rPr>
                <w:b/>
                <w:noProof/>
                <w:color w:val="000000"/>
                <w:sz w:val="20"/>
              </w:rPr>
            </w:pPr>
            <w:r>
              <w:rPr>
                <w:b/>
                <w:noProof/>
                <w:color w:val="000000"/>
                <w:sz w:val="20"/>
              </w:rPr>
              <w:t xml:space="preserve">IR Exposure </w:t>
            </w:r>
            <w:r>
              <w:rPr>
                <w:b/>
                <w:noProof/>
                <w:color w:val="000000"/>
                <w:sz w:val="20"/>
              </w:rPr>
              <w:br/>
              <w:t xml:space="preserve">(+/-1bp) </w:t>
            </w:r>
            <w:r>
              <w:rPr>
                <w:b/>
                <w:noProof/>
                <w:color w:val="000000"/>
                <w:sz w:val="20"/>
              </w:rPr>
              <w:br/>
              <w:t>in EUR'000</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center"/>
              <w:rPr>
                <w:b/>
                <w:noProof/>
                <w:color w:val="000000"/>
                <w:sz w:val="20"/>
              </w:rPr>
            </w:pPr>
            <w:r>
              <w:rPr>
                <w:b/>
                <w:noProof/>
                <w:color w:val="000000"/>
                <w:sz w:val="20"/>
              </w:rPr>
              <w:t xml:space="preserve">IR Exposure (100bp) </w:t>
            </w:r>
            <w:r>
              <w:rPr>
                <w:b/>
                <w:noProof/>
                <w:color w:val="000000"/>
                <w:sz w:val="20"/>
              </w:rPr>
              <w:br/>
              <w:t>in EUR'000</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center"/>
              <w:rPr>
                <w:b/>
                <w:noProof/>
                <w:color w:val="000000"/>
                <w:sz w:val="20"/>
              </w:rPr>
            </w:pPr>
            <w:r>
              <w:rPr>
                <w:b/>
                <w:noProof/>
                <w:color w:val="000000"/>
                <w:sz w:val="20"/>
              </w:rPr>
              <w:t xml:space="preserve">IR Exposure </w:t>
            </w:r>
            <w:r>
              <w:rPr>
                <w:b/>
                <w:noProof/>
                <w:color w:val="000000"/>
                <w:sz w:val="20"/>
              </w:rPr>
              <w:br/>
              <w:t xml:space="preserve">(-100bp) </w:t>
            </w:r>
            <w:r>
              <w:rPr>
                <w:b/>
                <w:noProof/>
                <w:color w:val="000000"/>
                <w:sz w:val="20"/>
              </w:rPr>
              <w:br/>
              <w:t>in EUR'000</w:t>
            </w:r>
          </w:p>
        </w:tc>
      </w:tr>
      <w:tr>
        <w:trPr>
          <w:trHeight w:hRule="exact" w:val="300"/>
        </w:trPr>
        <w:tc>
          <w:tcPr>
            <w:tcW w:w="285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GF - Short term</w:t>
            </w: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181,508</w:t>
            </w: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0.09</w:t>
            </w: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-/+ 2</w:t>
            </w: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-155</w:t>
            </w:r>
          </w:p>
        </w:tc>
        <w:tc>
          <w:tcPr>
            <w:tcW w:w="142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+ 157</w:t>
            </w:r>
          </w:p>
        </w:tc>
      </w:tr>
      <w:tr>
        <w:trPr>
          <w:trHeight w:hRule="exact" w:val="300"/>
        </w:trPr>
        <w:tc>
          <w:tcPr>
            <w:tcW w:w="2850"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GF - FRN</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155,579</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0.17</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-/+ 3</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-260</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+ 264</w:t>
            </w:r>
          </w:p>
        </w:tc>
      </w:tr>
      <w:tr>
        <w:trPr>
          <w:trHeight w:hRule="exact" w:val="300"/>
        </w:trPr>
        <w:tc>
          <w:tcPr>
            <w:tcW w:w="2850"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GF - Long term</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1,867,673</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4.30</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-/+ 810</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-78,598</w:t>
            </w:r>
          </w:p>
        </w:tc>
        <w:tc>
          <w:tcPr>
            <w:tcW w:w="1425"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+ 83,468</w:t>
            </w:r>
          </w:p>
        </w:tc>
      </w:tr>
      <w:tr>
        <w:trPr>
          <w:trHeight w:hRule="exact" w:val="300"/>
        </w:trPr>
        <w:tc>
          <w:tcPr>
            <w:tcW w:w="285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Current accounts</w:t>
            </w:r>
          </w:p>
        </w:tc>
        <w:tc>
          <w:tcPr>
            <w:tcW w:w="14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45,432</w:t>
            </w:r>
          </w:p>
        </w:tc>
        <w:tc>
          <w:tcPr>
            <w:tcW w:w="14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0.00</w:t>
            </w:r>
          </w:p>
        </w:tc>
        <w:tc>
          <w:tcPr>
            <w:tcW w:w="14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-/+ 0</w:t>
            </w:r>
          </w:p>
        </w:tc>
        <w:tc>
          <w:tcPr>
            <w:tcW w:w="14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0</w:t>
            </w:r>
          </w:p>
        </w:tc>
        <w:tc>
          <w:tcPr>
            <w:tcW w:w="14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center"/>
              <w:rPr>
                <w:noProof/>
                <w:color w:val="000000"/>
                <w:sz w:val="20"/>
              </w:rPr>
            </w:pPr>
            <w:r>
              <w:rPr>
                <w:noProof/>
                <w:color w:val="000000"/>
                <w:sz w:val="20"/>
              </w:rPr>
              <w:t>0</w:t>
            </w:r>
          </w:p>
        </w:tc>
      </w:tr>
      <w:tr>
        <w:trPr>
          <w:trHeight w:hRule="exact" w:val="300"/>
        </w:trPr>
        <w:tc>
          <w:tcPr>
            <w:tcW w:w="285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TOTAL GF</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center"/>
              <w:rPr>
                <w:b/>
                <w:noProof/>
                <w:color w:val="000000"/>
                <w:sz w:val="20"/>
              </w:rPr>
            </w:pPr>
            <w:r>
              <w:rPr>
                <w:b/>
                <w:noProof/>
                <w:color w:val="000000"/>
                <w:sz w:val="20"/>
              </w:rPr>
              <w:t>2,250,192</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center"/>
              <w:rPr>
                <w:b/>
                <w:noProof/>
                <w:color w:val="000000"/>
                <w:sz w:val="20"/>
              </w:rPr>
            </w:pPr>
            <w:r>
              <w:rPr>
                <w:b/>
                <w:noProof/>
                <w:color w:val="000000"/>
                <w:sz w:val="20"/>
              </w:rPr>
              <w:t>3.59</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center"/>
              <w:rPr>
                <w:b/>
                <w:noProof/>
                <w:color w:val="000000"/>
                <w:sz w:val="20"/>
              </w:rPr>
            </w:pPr>
            <w:r>
              <w:rPr>
                <w:b/>
                <w:noProof/>
                <w:color w:val="000000"/>
                <w:sz w:val="20"/>
              </w:rPr>
              <w:t>-/+ 815</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center"/>
              <w:rPr>
                <w:b/>
                <w:noProof/>
                <w:color w:val="000000"/>
                <w:sz w:val="20"/>
              </w:rPr>
            </w:pPr>
            <w:r>
              <w:rPr>
                <w:b/>
                <w:noProof/>
                <w:color w:val="000000"/>
                <w:sz w:val="20"/>
              </w:rPr>
              <w:t>-79,013</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center"/>
              <w:rPr>
                <w:b/>
                <w:noProof/>
                <w:color w:val="000000"/>
                <w:sz w:val="20"/>
              </w:rPr>
            </w:pPr>
            <w:r>
              <w:rPr>
                <w:b/>
                <w:noProof/>
                <w:color w:val="000000"/>
                <w:sz w:val="20"/>
              </w:rPr>
              <w:t>+ 83,889</w:t>
            </w:r>
          </w:p>
        </w:tc>
      </w:tr>
    </w:tbl>
    <w:p>
      <w:pPr>
        <w:pStyle w:val="BodyText30"/>
        <w:rPr>
          <w:rFonts w:ascii="Times New Roman" w:hAnsi="Times New Roman"/>
          <w:noProof/>
          <w:sz w:val="22"/>
        </w:rPr>
      </w:pPr>
    </w:p>
    <w:p>
      <w:pPr>
        <w:pStyle w:val="BodyText30"/>
        <w:rPr>
          <w:rFonts w:ascii="Times New Roman" w:hAnsi="Times New Roman"/>
          <w:noProof/>
          <w:sz w:val="24"/>
          <w:szCs w:val="24"/>
        </w:rPr>
      </w:pPr>
      <w:r>
        <w:rPr>
          <w:rFonts w:ascii="Times New Roman" w:hAnsi="Times New Roman"/>
          <w:noProof/>
          <w:sz w:val="24"/>
          <w:szCs w:val="24"/>
        </w:rPr>
        <w:t>The clean market value of the GF-Short term sub-portfolio as reported above represents the sum of clean market values calculated for short term deposits, commercial papers and zero coupon bonds. Those clean market values are determined as follows:</w:t>
      </w:r>
    </w:p>
    <w:p>
      <w:pPr>
        <w:pStyle w:val="Normal5"/>
        <w:numPr>
          <w:ilvl w:val="0"/>
          <w:numId w:val="41"/>
        </w:numPr>
        <w:tabs>
          <w:tab w:val="right" w:pos="-2700"/>
        </w:tabs>
        <w:spacing w:after="0"/>
        <w:ind w:left="714" w:hanging="357"/>
        <w:jc w:val="both"/>
        <w:rPr>
          <w:rFonts w:ascii="Times New Roman" w:hAnsi="Times New Roman"/>
          <w:bCs/>
          <w:noProof/>
          <w:sz w:val="24"/>
          <w:szCs w:val="24"/>
        </w:rPr>
      </w:pPr>
      <w:r>
        <w:rPr>
          <w:rFonts w:ascii="Times New Roman" w:hAnsi="Times New Roman"/>
          <w:b/>
          <w:bCs/>
          <w:noProof/>
          <w:sz w:val="24"/>
          <w:szCs w:val="24"/>
        </w:rPr>
        <w:t>Short-term deposits</w:t>
      </w:r>
      <w:r>
        <w:rPr>
          <w:rFonts w:ascii="Times New Roman" w:hAnsi="Times New Roman"/>
          <w:bCs/>
          <w:noProof/>
          <w:sz w:val="24"/>
          <w:szCs w:val="24"/>
        </w:rPr>
        <w:t>: the sum of the nominal value and total interest at maturity for each position is discounted from the maturity date to the spot date, whereas the spot date equals the valuation date plus two business days. Finally, accrued interest at spot date is subtracted from the calculated market value of the position.</w:t>
      </w:r>
    </w:p>
    <w:p>
      <w:pPr>
        <w:pStyle w:val="Normal5"/>
        <w:numPr>
          <w:ilvl w:val="0"/>
          <w:numId w:val="41"/>
        </w:numPr>
        <w:tabs>
          <w:tab w:val="right" w:pos="-2700"/>
        </w:tabs>
        <w:spacing w:after="0"/>
        <w:jc w:val="both"/>
        <w:rPr>
          <w:rFonts w:ascii="Times New Roman" w:hAnsi="Times New Roman"/>
          <w:bCs/>
          <w:noProof/>
          <w:sz w:val="24"/>
          <w:szCs w:val="24"/>
        </w:rPr>
      </w:pPr>
      <w:r>
        <w:rPr>
          <w:rFonts w:ascii="Times New Roman" w:hAnsi="Times New Roman"/>
          <w:b/>
          <w:bCs/>
          <w:noProof/>
          <w:sz w:val="24"/>
          <w:szCs w:val="24"/>
        </w:rPr>
        <w:t>Commercial papers</w:t>
      </w:r>
      <w:r>
        <w:rPr>
          <w:rFonts w:ascii="Times New Roman" w:hAnsi="Times New Roman"/>
          <w:bCs/>
          <w:noProof/>
          <w:sz w:val="24"/>
          <w:szCs w:val="24"/>
        </w:rPr>
        <w:t>: the nominal value of each position is discounted from the maturity date to the spot date, whereas the spot date equals the valuation date plus two business days;</w:t>
      </w:r>
    </w:p>
    <w:p>
      <w:pPr>
        <w:pStyle w:val="Normal5"/>
        <w:numPr>
          <w:ilvl w:val="0"/>
          <w:numId w:val="41"/>
        </w:numPr>
        <w:tabs>
          <w:tab w:val="right" w:pos="-2700"/>
        </w:tabs>
        <w:spacing w:after="0"/>
        <w:jc w:val="both"/>
        <w:rPr>
          <w:rFonts w:ascii="Times New Roman" w:hAnsi="Times New Roman"/>
          <w:b/>
          <w:bCs/>
          <w:noProof/>
          <w:sz w:val="24"/>
          <w:szCs w:val="24"/>
        </w:rPr>
      </w:pPr>
      <w:r>
        <w:rPr>
          <w:rFonts w:ascii="Times New Roman" w:hAnsi="Times New Roman"/>
          <w:b/>
          <w:bCs/>
          <w:noProof/>
          <w:sz w:val="24"/>
          <w:szCs w:val="24"/>
        </w:rPr>
        <w:t>Zero coupon bonds</w:t>
      </w:r>
      <w:r>
        <w:rPr>
          <w:rFonts w:ascii="Times New Roman" w:hAnsi="Times New Roman"/>
          <w:bCs/>
          <w:noProof/>
          <w:sz w:val="24"/>
          <w:szCs w:val="24"/>
        </w:rPr>
        <w:t>: the nominal value of each position is multiplied with the observed spot/quote/price.</w:t>
      </w:r>
    </w:p>
    <w:p>
      <w:pPr>
        <w:pStyle w:val="Normal5"/>
        <w:tabs>
          <w:tab w:val="right" w:pos="-2700"/>
        </w:tabs>
        <w:spacing w:before="120"/>
        <w:jc w:val="both"/>
        <w:rPr>
          <w:rFonts w:ascii="Times New Roman" w:hAnsi="Times New Roman"/>
          <w:noProof/>
          <w:sz w:val="24"/>
          <w:szCs w:val="24"/>
        </w:rPr>
      </w:pPr>
      <w:r>
        <w:rPr>
          <w:rFonts w:ascii="Times New Roman" w:hAnsi="Times New Roman"/>
          <w:noProof/>
          <w:sz w:val="24"/>
          <w:szCs w:val="24"/>
        </w:rPr>
        <w:t>The clean market values of the GF-FRN and GF-Long term sub-portfolios as reported above represents the sum of the clean market values calculated for fixed and floating rate bonds. Those clean market values are determined as follows:</w:t>
      </w:r>
    </w:p>
    <w:p>
      <w:pPr>
        <w:pStyle w:val="Normal5"/>
        <w:numPr>
          <w:ilvl w:val="0"/>
          <w:numId w:val="41"/>
        </w:numPr>
        <w:spacing w:after="0"/>
        <w:jc w:val="both"/>
        <w:rPr>
          <w:rFonts w:ascii="Times New Roman" w:hAnsi="Times New Roman"/>
          <w:iCs/>
          <w:noProof/>
          <w:sz w:val="24"/>
          <w:szCs w:val="24"/>
        </w:rPr>
      </w:pPr>
      <w:r>
        <w:rPr>
          <w:rFonts w:ascii="Times New Roman" w:hAnsi="Times New Roman"/>
          <w:b/>
          <w:bCs/>
          <w:iCs/>
          <w:noProof/>
          <w:sz w:val="24"/>
          <w:szCs w:val="24"/>
        </w:rPr>
        <w:t>Fixed rate bonds</w:t>
      </w:r>
      <w:r>
        <w:rPr>
          <w:rFonts w:ascii="Times New Roman" w:hAnsi="Times New Roman"/>
          <w:iCs/>
          <w:noProof/>
          <w:sz w:val="24"/>
          <w:szCs w:val="24"/>
        </w:rPr>
        <w:t>: the nominal value of each position is multiplied by its market quote as observed at valuation date.</w:t>
      </w:r>
    </w:p>
    <w:p>
      <w:pPr>
        <w:pStyle w:val="Normal5"/>
        <w:numPr>
          <w:ilvl w:val="0"/>
          <w:numId w:val="41"/>
        </w:numPr>
        <w:spacing w:after="0"/>
        <w:jc w:val="both"/>
        <w:rPr>
          <w:rFonts w:ascii="Times New Roman" w:hAnsi="Times New Roman"/>
          <w:iCs/>
          <w:noProof/>
          <w:sz w:val="24"/>
          <w:szCs w:val="24"/>
        </w:rPr>
      </w:pPr>
      <w:r>
        <w:rPr>
          <w:rFonts w:ascii="Times New Roman" w:hAnsi="Times New Roman"/>
          <w:b/>
          <w:bCs/>
          <w:iCs/>
          <w:noProof/>
          <w:sz w:val="24"/>
          <w:szCs w:val="24"/>
        </w:rPr>
        <w:t>Floating rate bonds (FRNs)</w:t>
      </w:r>
      <w:r>
        <w:rPr>
          <w:rFonts w:ascii="Times New Roman" w:hAnsi="Times New Roman"/>
          <w:iCs/>
          <w:noProof/>
          <w:sz w:val="24"/>
          <w:szCs w:val="24"/>
        </w:rPr>
        <w:t>: the nominal value of each position is multiplied by its market quote as observed at valuation date.</w:t>
      </w:r>
    </w:p>
    <w:p>
      <w:pPr>
        <w:pBdr>
          <w:top w:val="nil"/>
          <w:left w:val="nil"/>
          <w:bottom w:val="nil"/>
          <w:right w:val="nil"/>
          <w:between w:val="nil"/>
          <w:bar w:val="nil"/>
        </w:pBdr>
        <w:rPr>
          <w:noProof/>
          <w:bdr w:val="nil"/>
        </w:rPr>
      </w:pPr>
    </w:p>
    <w:p>
      <w:pPr>
        <w:pStyle w:val="ManualHeading3"/>
        <w:rPr>
          <w:noProof/>
        </w:rPr>
      </w:pPr>
      <w:bookmarkStart w:id="80" w:name="_Toc449626529"/>
      <w:bookmarkStart w:id="81" w:name="_Toc449626302"/>
      <w:bookmarkStart w:id="82" w:name="_Toc449022477"/>
      <w:bookmarkStart w:id="83" w:name="_Toc448929179"/>
      <w:bookmarkStart w:id="84" w:name="_Toc478663495"/>
      <w:r>
        <w:rPr>
          <w:noProof/>
        </w:rPr>
        <w:t>3.3.5.</w:t>
      </w:r>
      <w:r>
        <w:rPr>
          <w:noProof/>
        </w:rPr>
        <w:tab/>
        <w:t>Foreign exchange risk exposure</w:t>
      </w:r>
      <w:bookmarkEnd w:id="80"/>
      <w:bookmarkEnd w:id="81"/>
      <w:bookmarkEnd w:id="82"/>
      <w:bookmarkEnd w:id="83"/>
      <w:bookmarkEnd w:id="84"/>
    </w:p>
    <w:p>
      <w:pPr>
        <w:tabs>
          <w:tab w:val="right" w:pos="-2700"/>
        </w:tabs>
        <w:spacing w:after="120" w:line="240" w:lineRule="atLeast"/>
        <w:jc w:val="both"/>
        <w:rPr>
          <w:noProof/>
          <w:bdr w:val="none" w:sz="0" w:space="0" w:color="auto" w:frame="1"/>
        </w:rPr>
      </w:pPr>
      <w:r>
        <w:rPr>
          <w:noProof/>
          <w:bdr w:val="none" w:sz="0" w:space="0" w:color="auto" w:frame="1"/>
        </w:rPr>
        <w:t>Foreign exchange risk is the volatility in the economic value of, or in the income derived from, the Fund’s positions due to adverse movements of foreign exchange rates.</w:t>
      </w:r>
    </w:p>
    <w:p>
      <w:pPr>
        <w:spacing w:before="120" w:after="120"/>
        <w:jc w:val="both"/>
        <w:rPr>
          <w:noProof/>
          <w:bdr w:val="none" w:sz="0" w:space="0" w:color="auto" w:frame="1"/>
        </w:rPr>
      </w:pPr>
      <w:r>
        <w:rPr>
          <w:noProof/>
          <w:bdr w:val="none" w:sz="0" w:space="0" w:color="auto" w:frame="1"/>
        </w:rPr>
        <w:t>As all assets and liabilities of the Fund are denominated in Euro, the Fund is not exposed to foreign exchange risk.</w:t>
      </w:r>
    </w:p>
    <w:p>
      <w:pPr>
        <w:pBdr>
          <w:top w:val="nil"/>
          <w:left w:val="nil"/>
          <w:bottom w:val="nil"/>
          <w:right w:val="nil"/>
          <w:between w:val="nil"/>
          <w:bar w:val="nil"/>
        </w:pBdr>
        <w:jc w:val="both"/>
        <w:rPr>
          <w:noProof/>
          <w:bdr w:val="nil"/>
        </w:rPr>
        <w:sectPr>
          <w:headerReference w:type="even" r:id="rId50"/>
          <w:headerReference w:type="default" r:id="rId51"/>
          <w:footerReference w:type="even" r:id="rId52"/>
          <w:footerReference w:type="default" r:id="rId53"/>
          <w:headerReference w:type="first" r:id="rId54"/>
          <w:footerReference w:type="first" r:id="rId55"/>
          <w:type w:val="continuous"/>
          <w:pgSz w:w="12240" w:h="15840"/>
          <w:pgMar w:top="1417" w:right="1417" w:bottom="1417" w:left="1417" w:header="709" w:footer="170" w:gutter="0"/>
          <w:pgBorders>
            <w:top w:val="nil"/>
            <w:left w:val="nil"/>
            <w:bottom w:val="nil"/>
            <w:right w:val="nil"/>
          </w:pgBorders>
          <w:cols w:space="720"/>
          <w:docGrid w:linePitch="360"/>
        </w:sectPr>
      </w:pPr>
    </w:p>
    <w:p>
      <w:pPr>
        <w:pStyle w:val="ManualHeading2"/>
        <w:rPr>
          <w:noProof/>
        </w:rPr>
      </w:pPr>
      <w:bookmarkStart w:id="85" w:name="_Toc478663496"/>
      <w:r>
        <w:rPr>
          <w:noProof/>
        </w:rPr>
        <w:t>3.4.</w:t>
      </w:r>
      <w:r>
        <w:rPr>
          <w:noProof/>
        </w:rPr>
        <w:tab/>
        <w:t>Fair value of financial instruments</w:t>
      </w:r>
      <w:bookmarkEnd w:id="85"/>
    </w:p>
    <w:p>
      <w:pPr>
        <w:pStyle w:val="ManualHeading3"/>
        <w:rPr>
          <w:noProof/>
        </w:rPr>
      </w:pPr>
      <w:bookmarkStart w:id="86" w:name="_Toc478663497"/>
      <w:r>
        <w:rPr>
          <w:noProof/>
        </w:rPr>
        <w:t>3.4.1.</w:t>
      </w:r>
      <w:r>
        <w:rPr>
          <w:noProof/>
        </w:rPr>
        <w:tab/>
        <w:t>Accounting classifications and fair value</w:t>
      </w:r>
      <w:bookmarkEnd w:id="86"/>
    </w:p>
    <w:p>
      <w:pPr>
        <w:pStyle w:val="Normal6"/>
        <w:spacing w:after="0"/>
        <w:rPr>
          <w:rFonts w:ascii="Times New Roman" w:hAnsi="Times New Roman"/>
          <w:noProof/>
          <w:sz w:val="24"/>
          <w:szCs w:val="24"/>
        </w:rPr>
      </w:pPr>
    </w:p>
    <w:p>
      <w:pPr>
        <w:pStyle w:val="Heading23"/>
        <w:spacing w:before="0" w:after="0"/>
        <w:jc w:val="both"/>
        <w:rPr>
          <w:rFonts w:ascii="Times New Roman" w:hAnsi="Times New Roman"/>
          <w:b w:val="0"/>
          <w:iCs/>
          <w:noProof/>
          <w:sz w:val="24"/>
          <w:szCs w:val="24"/>
        </w:rPr>
      </w:pPr>
      <w:bookmarkStart w:id="87" w:name="_Toc478663498"/>
      <w:r>
        <w:rPr>
          <w:rFonts w:ascii="Times New Roman" w:hAnsi="Times New Roman"/>
          <w:b w:val="0"/>
          <w:iCs/>
          <w:noProof/>
          <w:sz w:val="24"/>
          <w:szCs w:val="24"/>
        </w:rPr>
        <w:t>The following tables show the carrying amounts and fair values of financial assets and financial liabilities, including their levels in the fair value hierarchy. These do not include fair value information for financial assets and financial liabilities not carried at fair value if the carrying amount is a reasonable approximation of fair value.</w:t>
      </w:r>
      <w:bookmarkEnd w:id="87"/>
    </w:p>
    <w:p>
      <w:pPr>
        <w:pStyle w:val="Normal6"/>
        <w:spacing w:after="0"/>
        <w:rPr>
          <w:rFonts w:ascii="Times New Roman" w:hAnsi="Times New Roman"/>
          <w:noProof/>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750"/>
        <w:gridCol w:w="1275"/>
        <w:gridCol w:w="1275"/>
        <w:gridCol w:w="1275"/>
        <w:gridCol w:w="1275"/>
        <w:gridCol w:w="150"/>
        <w:gridCol w:w="1275"/>
        <w:gridCol w:w="1275"/>
        <w:gridCol w:w="1275"/>
        <w:gridCol w:w="1275"/>
      </w:tblGrid>
      <w:tr>
        <w:trPr>
          <w:trHeight w:val="300"/>
        </w:trPr>
        <w:tc>
          <w:tcPr>
            <w:tcW w:w="3750"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6"/>
                <w:szCs w:val="20"/>
                <w:lang w:eastAsia="en-US"/>
              </w:rPr>
            </w:pPr>
            <w:r>
              <w:rPr>
                <w:b/>
                <w:noProof/>
                <w:color w:val="000000"/>
                <w:sz w:val="16"/>
                <w:szCs w:val="20"/>
                <w:lang w:eastAsia="en-US"/>
              </w:rPr>
              <w:t>At 31 December 2017</w:t>
            </w:r>
          </w:p>
        </w:tc>
        <w:tc>
          <w:tcPr>
            <w:tcW w:w="5100" w:type="dxa"/>
            <w:gridSpan w:val="4"/>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center"/>
              <w:rPr>
                <w:b/>
                <w:noProof/>
                <w:color w:val="000000"/>
                <w:sz w:val="16"/>
                <w:szCs w:val="20"/>
                <w:lang w:eastAsia="en-US"/>
              </w:rPr>
            </w:pPr>
            <w:r>
              <w:rPr>
                <w:b/>
                <w:noProof/>
                <w:color w:val="000000"/>
                <w:sz w:val="16"/>
                <w:szCs w:val="20"/>
                <w:lang w:eastAsia="en-US"/>
              </w:rPr>
              <w:t>Carrying amount</w:t>
            </w:r>
          </w:p>
        </w:tc>
        <w:tc>
          <w:tcPr>
            <w:tcW w:w="150" w:type="dxa"/>
            <w:vMerge w:val="restart"/>
            <w:tcBorders>
              <w:top w:val="nil"/>
              <w:left w:val="nil"/>
              <w:bottom w:val="nil"/>
              <w:right w:val="nil"/>
              <w:tl2br w:val="nil"/>
              <w:tr2bl w:val="nil"/>
            </w:tcBorders>
            <w:shd w:val="clear" w:color="auto" w:fill="auto"/>
            <w:tcMar>
              <w:left w:w="40" w:type="dxa"/>
              <w:right w:w="40" w:type="dxa"/>
            </w:tcMar>
            <w:vAlign w:val="center"/>
          </w:tcPr>
          <w:p>
            <w:pPr>
              <w:jc w:val="center"/>
              <w:rPr>
                <w:b/>
                <w:noProof/>
                <w:color w:val="000000"/>
                <w:sz w:val="16"/>
                <w:szCs w:val="20"/>
                <w:lang w:eastAsia="en-US"/>
              </w:rPr>
            </w:pPr>
          </w:p>
        </w:tc>
        <w:tc>
          <w:tcPr>
            <w:tcW w:w="5100" w:type="dxa"/>
            <w:gridSpan w:val="4"/>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center"/>
              <w:rPr>
                <w:b/>
                <w:noProof/>
                <w:color w:val="000000"/>
                <w:sz w:val="16"/>
                <w:szCs w:val="20"/>
                <w:lang w:eastAsia="en-US"/>
              </w:rPr>
            </w:pPr>
            <w:r>
              <w:rPr>
                <w:b/>
                <w:noProof/>
                <w:color w:val="000000"/>
                <w:sz w:val="16"/>
                <w:szCs w:val="20"/>
                <w:lang w:eastAsia="en-US"/>
              </w:rPr>
              <w:t>Fair value</w:t>
            </w:r>
          </w:p>
        </w:tc>
      </w:tr>
      <w:tr>
        <w:trPr>
          <w:trHeight w:val="300"/>
        </w:trPr>
        <w:tc>
          <w:tcPr>
            <w:tcW w:w="375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b/>
                <w:noProof/>
                <w:color w:val="000000"/>
                <w:sz w:val="16"/>
                <w:szCs w:val="20"/>
                <w:lang w:eastAsia="en-US"/>
              </w:rPr>
            </w:pPr>
            <w:r>
              <w:rPr>
                <w:b/>
                <w:noProof/>
                <w:color w:val="000000"/>
                <w:sz w:val="16"/>
                <w:szCs w:val="20"/>
                <w:lang w:eastAsia="en-US"/>
              </w:rPr>
              <w:t>in EUR</w:t>
            </w:r>
          </w:p>
        </w:tc>
        <w:tc>
          <w:tcPr>
            <w:tcW w:w="5100" w:type="dxa"/>
            <w:gridSpan w:val="4"/>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center"/>
              <w:rPr>
                <w:b/>
                <w:noProof/>
                <w:color w:val="000000"/>
                <w:sz w:val="16"/>
                <w:szCs w:val="20"/>
                <w:lang w:eastAsia="en-US"/>
              </w:rPr>
            </w:pPr>
          </w:p>
        </w:tc>
        <w:tc>
          <w:tcPr>
            <w:tcW w:w="150" w:type="dxa"/>
            <w:vMerge/>
            <w:tcBorders>
              <w:top w:val="nil"/>
              <w:left w:val="nil"/>
              <w:bottom w:val="nil"/>
              <w:right w:val="nil"/>
              <w:tl2br w:val="nil"/>
              <w:tr2bl w:val="nil"/>
            </w:tcBorders>
            <w:shd w:val="clear" w:color="auto" w:fill="auto"/>
            <w:tcMar>
              <w:left w:w="40" w:type="dxa"/>
              <w:right w:w="40" w:type="dxa"/>
            </w:tcMar>
            <w:vAlign w:val="center"/>
          </w:tcPr>
          <w:p>
            <w:pPr>
              <w:jc w:val="center"/>
              <w:rPr>
                <w:b/>
                <w:noProof/>
                <w:color w:val="000000"/>
                <w:sz w:val="16"/>
                <w:szCs w:val="20"/>
                <w:lang w:eastAsia="en-US"/>
              </w:rPr>
            </w:pPr>
          </w:p>
        </w:tc>
        <w:tc>
          <w:tcPr>
            <w:tcW w:w="5100" w:type="dxa"/>
            <w:gridSpan w:val="4"/>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center"/>
              <w:rPr>
                <w:b/>
                <w:noProof/>
                <w:color w:val="000000"/>
                <w:sz w:val="16"/>
                <w:szCs w:val="20"/>
                <w:lang w:eastAsia="en-US"/>
              </w:rPr>
            </w:pPr>
          </w:p>
        </w:tc>
      </w:tr>
      <w:tr>
        <w:trPr>
          <w:trHeight w:val="645"/>
        </w:trPr>
        <w:tc>
          <w:tcPr>
            <w:tcW w:w="37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b/>
                <w:noProof/>
                <w:color w:val="000000"/>
                <w:sz w:val="16"/>
                <w:szCs w:val="20"/>
                <w:lang w:eastAsia="en-US"/>
              </w:rPr>
            </w:pP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b/>
                <w:noProof/>
                <w:color w:val="000000"/>
                <w:sz w:val="16"/>
                <w:szCs w:val="20"/>
                <w:lang w:eastAsia="en-US"/>
              </w:rPr>
            </w:pPr>
            <w:r>
              <w:rPr>
                <w:b/>
                <w:noProof/>
                <w:color w:val="000000"/>
                <w:sz w:val="16"/>
                <w:szCs w:val="20"/>
                <w:lang w:eastAsia="en-US"/>
              </w:rPr>
              <w:t>Available for Sale</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b/>
                <w:noProof/>
                <w:color w:val="000000"/>
                <w:sz w:val="16"/>
                <w:szCs w:val="20"/>
                <w:lang w:eastAsia="en-US"/>
              </w:rPr>
            </w:pPr>
            <w:r>
              <w:rPr>
                <w:b/>
                <w:noProof/>
                <w:color w:val="000000"/>
                <w:sz w:val="16"/>
                <w:szCs w:val="20"/>
                <w:lang w:eastAsia="en-US"/>
              </w:rPr>
              <w:t>Cash, loans and receivables</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b/>
                <w:noProof/>
                <w:color w:val="000000"/>
                <w:sz w:val="16"/>
                <w:szCs w:val="20"/>
                <w:lang w:eastAsia="en-US"/>
              </w:rPr>
            </w:pPr>
            <w:r>
              <w:rPr>
                <w:b/>
                <w:noProof/>
                <w:color w:val="000000"/>
                <w:sz w:val="16"/>
                <w:szCs w:val="20"/>
                <w:lang w:eastAsia="en-US"/>
              </w:rPr>
              <w:t>Other financial liabilities</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b/>
                <w:noProof/>
                <w:color w:val="000000"/>
                <w:sz w:val="16"/>
                <w:szCs w:val="20"/>
                <w:lang w:eastAsia="en-US"/>
              </w:rPr>
            </w:pPr>
            <w:r>
              <w:rPr>
                <w:b/>
                <w:noProof/>
                <w:color w:val="000000"/>
                <w:sz w:val="16"/>
                <w:szCs w:val="20"/>
                <w:lang w:eastAsia="en-US"/>
              </w:rPr>
              <w:t>Total</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center"/>
              <w:rPr>
                <w:b/>
                <w:noProof/>
                <w:color w:val="000000"/>
                <w:sz w:val="16"/>
                <w:szCs w:val="20"/>
                <w:lang w:eastAsia="en-US"/>
              </w:rPr>
            </w:pP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b/>
                <w:noProof/>
                <w:color w:val="000000"/>
                <w:sz w:val="16"/>
                <w:szCs w:val="20"/>
                <w:lang w:eastAsia="en-US"/>
              </w:rPr>
            </w:pPr>
            <w:r>
              <w:rPr>
                <w:b/>
                <w:noProof/>
                <w:color w:val="000000"/>
                <w:sz w:val="16"/>
                <w:szCs w:val="20"/>
                <w:lang w:eastAsia="en-US"/>
              </w:rPr>
              <w:t>Level 1</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b/>
                <w:noProof/>
                <w:color w:val="000000"/>
                <w:sz w:val="16"/>
                <w:szCs w:val="20"/>
                <w:lang w:eastAsia="en-US"/>
              </w:rPr>
            </w:pPr>
            <w:r>
              <w:rPr>
                <w:b/>
                <w:noProof/>
                <w:color w:val="000000"/>
                <w:sz w:val="16"/>
                <w:szCs w:val="20"/>
                <w:lang w:eastAsia="en-US"/>
              </w:rPr>
              <w:t>Level 2</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b/>
                <w:noProof/>
                <w:color w:val="000000"/>
                <w:sz w:val="16"/>
                <w:szCs w:val="20"/>
                <w:lang w:eastAsia="en-US"/>
              </w:rPr>
            </w:pPr>
            <w:r>
              <w:rPr>
                <w:b/>
                <w:noProof/>
                <w:color w:val="000000"/>
                <w:sz w:val="16"/>
                <w:szCs w:val="20"/>
                <w:lang w:eastAsia="en-US"/>
              </w:rPr>
              <w:t>Level 3</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b/>
                <w:noProof/>
                <w:color w:val="000000"/>
                <w:sz w:val="16"/>
                <w:szCs w:val="20"/>
                <w:lang w:eastAsia="en-US"/>
              </w:rPr>
            </w:pPr>
            <w:r>
              <w:rPr>
                <w:b/>
                <w:noProof/>
                <w:color w:val="000000"/>
                <w:sz w:val="16"/>
                <w:szCs w:val="20"/>
                <w:lang w:eastAsia="en-US"/>
              </w:rPr>
              <w:t>Total</w:t>
            </w:r>
          </w:p>
        </w:tc>
      </w:tr>
      <w:tr>
        <w:trPr>
          <w:trHeight w:val="300"/>
        </w:trPr>
        <w:tc>
          <w:tcPr>
            <w:tcW w:w="375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b/>
                <w:noProof/>
                <w:color w:val="000000"/>
                <w:sz w:val="16"/>
                <w:szCs w:val="20"/>
                <w:lang w:eastAsia="en-US"/>
              </w:rPr>
            </w:pPr>
            <w:r>
              <w:rPr>
                <w:b/>
                <w:noProof/>
                <w:color w:val="000000"/>
                <w:sz w:val="16"/>
                <w:szCs w:val="20"/>
                <w:lang w:eastAsia="en-US"/>
              </w:rPr>
              <w:t>Financial assets carried at fair value:</w:t>
            </w: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r>
      <w:tr>
        <w:trPr>
          <w:trHeight w:val="300"/>
        </w:trPr>
        <w:tc>
          <w:tcPr>
            <w:tcW w:w="375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noProof/>
                <w:color w:val="000000"/>
                <w:sz w:val="16"/>
                <w:szCs w:val="20"/>
                <w:lang w:eastAsia="en-US"/>
              </w:rPr>
            </w:pPr>
            <w:r>
              <w:rPr>
                <w:noProof/>
                <w:color w:val="000000"/>
                <w:sz w:val="16"/>
                <w:szCs w:val="20"/>
                <w:lang w:eastAsia="en-US"/>
              </w:rPr>
              <w:t>Bond portfolio</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2,198,742,276.84</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2,198,742,276.84</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2,198,742,276.84</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2,198,742,276.84</w:t>
            </w:r>
          </w:p>
        </w:tc>
      </w:tr>
      <w:tr>
        <w:trPr>
          <w:trHeight w:val="300"/>
        </w:trPr>
        <w:tc>
          <w:tcPr>
            <w:tcW w:w="37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b/>
                <w:noProof/>
                <w:color w:val="000000"/>
                <w:sz w:val="16"/>
                <w:szCs w:val="20"/>
                <w:lang w:eastAsia="en-US"/>
              </w:rPr>
            </w:pPr>
            <w:r>
              <w:rPr>
                <w:b/>
                <w:noProof/>
                <w:color w:val="000000"/>
                <w:sz w:val="16"/>
                <w:szCs w:val="20"/>
                <w:lang w:eastAsia="en-US"/>
              </w:rPr>
              <w:t xml:space="preserve">Total </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2,198,742,276.84</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2,198,742,276.84</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2,198,742,276.84</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2,198,742,276.84</w:t>
            </w:r>
          </w:p>
        </w:tc>
      </w:tr>
      <w:tr>
        <w:trPr>
          <w:trHeight w:val="300"/>
        </w:trPr>
        <w:tc>
          <w:tcPr>
            <w:tcW w:w="375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b/>
                <w:noProof/>
                <w:color w:val="000000"/>
                <w:sz w:val="16"/>
                <w:szCs w:val="20"/>
                <w:lang w:eastAsia="en-US"/>
              </w:rPr>
            </w:pPr>
            <w:r>
              <w:rPr>
                <w:b/>
                <w:noProof/>
                <w:color w:val="000000"/>
                <w:sz w:val="16"/>
                <w:szCs w:val="20"/>
                <w:lang w:eastAsia="en-US"/>
              </w:rPr>
              <w:t>Financial assets not carried at fair value:</w:t>
            </w: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r>
      <w:tr>
        <w:trPr>
          <w:trHeight w:val="300"/>
        </w:trPr>
        <w:tc>
          <w:tcPr>
            <w:tcW w:w="3750"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16"/>
                <w:szCs w:val="20"/>
                <w:lang w:eastAsia="en-US"/>
              </w:rPr>
            </w:pPr>
            <w:r>
              <w:rPr>
                <w:noProof/>
                <w:color w:val="000000"/>
                <w:sz w:val="16"/>
                <w:szCs w:val="20"/>
                <w:lang w:eastAsia="en-US"/>
              </w:rPr>
              <w:t>Contributions receivable</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137,800,722.00</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137,800,722.00</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r>
      <w:tr>
        <w:trPr>
          <w:trHeight w:val="300"/>
        </w:trPr>
        <w:tc>
          <w:tcPr>
            <w:tcW w:w="3750"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16"/>
                <w:szCs w:val="20"/>
                <w:lang w:eastAsia="en-US"/>
              </w:rPr>
            </w:pPr>
            <w:r>
              <w:rPr>
                <w:noProof/>
                <w:color w:val="000000"/>
                <w:sz w:val="16"/>
                <w:szCs w:val="20"/>
                <w:lang w:eastAsia="en-US"/>
              </w:rPr>
              <w:t>Current accounts</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45,569,131.18</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45,569,131.18</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r>
      <w:tr>
        <w:trPr>
          <w:trHeight w:val="300"/>
        </w:trPr>
        <w:tc>
          <w:tcPr>
            <w:tcW w:w="375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noProof/>
                <w:color w:val="000000"/>
                <w:sz w:val="16"/>
                <w:szCs w:val="20"/>
                <w:lang w:eastAsia="en-US"/>
              </w:rPr>
            </w:pPr>
            <w:r>
              <w:rPr>
                <w:noProof/>
                <w:color w:val="000000"/>
                <w:sz w:val="16"/>
                <w:szCs w:val="20"/>
                <w:lang w:eastAsia="en-US"/>
              </w:rPr>
              <w:t>Short-term deposits</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178,513,621.73</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178,513,621.73</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r>
      <w:tr>
        <w:trPr>
          <w:trHeight w:val="300"/>
        </w:trPr>
        <w:tc>
          <w:tcPr>
            <w:tcW w:w="37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b/>
                <w:noProof/>
                <w:color w:val="000000"/>
                <w:sz w:val="16"/>
                <w:szCs w:val="20"/>
                <w:lang w:eastAsia="en-US"/>
              </w:rPr>
            </w:pPr>
            <w:r>
              <w:rPr>
                <w:b/>
                <w:noProof/>
                <w:color w:val="000000"/>
                <w:sz w:val="16"/>
                <w:szCs w:val="20"/>
                <w:lang w:eastAsia="en-US"/>
              </w:rPr>
              <w:t xml:space="preserve">Total </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361,883,474.91</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361,883,474.91</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r>
      <w:tr>
        <w:trPr>
          <w:trHeight w:val="300"/>
        </w:trPr>
        <w:tc>
          <w:tcPr>
            <w:tcW w:w="375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pPr>
              <w:rPr>
                <w:b/>
                <w:noProof/>
                <w:color w:val="000000"/>
                <w:sz w:val="16"/>
                <w:szCs w:val="20"/>
                <w:lang w:eastAsia="en-US"/>
              </w:rPr>
            </w:pPr>
            <w:r>
              <w:rPr>
                <w:b/>
                <w:noProof/>
                <w:color w:val="000000"/>
                <w:sz w:val="16"/>
                <w:szCs w:val="20"/>
                <w:lang w:eastAsia="en-US"/>
              </w:rPr>
              <w:t>Total financial assets</w:t>
            </w:r>
          </w:p>
        </w:tc>
        <w:tc>
          <w:tcPr>
            <w:tcW w:w="12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2,198,742,276.84</w:t>
            </w:r>
          </w:p>
        </w:tc>
        <w:tc>
          <w:tcPr>
            <w:tcW w:w="12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361,883,474.91</w:t>
            </w:r>
          </w:p>
        </w:tc>
        <w:tc>
          <w:tcPr>
            <w:tcW w:w="12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2,560,625,751.75</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r>
      <w:tr>
        <w:trPr>
          <w:trHeight w:val="300"/>
        </w:trPr>
        <w:tc>
          <w:tcPr>
            <w:tcW w:w="375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noProof/>
                <w:color w:val="000000"/>
                <w:sz w:val="16"/>
                <w:szCs w:val="20"/>
                <w:lang w:eastAsia="en-US"/>
              </w:rPr>
            </w:pP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r>
      <w:tr>
        <w:trPr>
          <w:trHeight w:val="300"/>
        </w:trPr>
        <w:tc>
          <w:tcPr>
            <w:tcW w:w="375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b/>
                <w:noProof/>
                <w:color w:val="000000"/>
                <w:sz w:val="16"/>
                <w:szCs w:val="20"/>
                <w:lang w:eastAsia="en-US"/>
              </w:rPr>
            </w:pPr>
            <w:r>
              <w:rPr>
                <w:b/>
                <w:noProof/>
                <w:color w:val="000000"/>
                <w:sz w:val="16"/>
                <w:szCs w:val="20"/>
                <w:lang w:eastAsia="en-US"/>
              </w:rPr>
              <w:t>Financial liabilities not carried at fair value:</w:t>
            </w: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r>
      <w:tr>
        <w:trPr>
          <w:trHeight w:val="300"/>
        </w:trPr>
        <w:tc>
          <w:tcPr>
            <w:tcW w:w="3750"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16"/>
                <w:szCs w:val="20"/>
                <w:lang w:eastAsia="en-US"/>
              </w:rPr>
            </w:pPr>
            <w:r>
              <w:rPr>
                <w:noProof/>
                <w:color w:val="000000"/>
                <w:sz w:val="16"/>
                <w:szCs w:val="20"/>
                <w:lang w:eastAsia="en-US"/>
              </w:rPr>
              <w:t>Other payables</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 xml:space="preserve">-954,779.18 </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 xml:space="preserve">-954,779.18 </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r>
      <w:tr>
        <w:trPr>
          <w:trHeight w:val="300"/>
        </w:trPr>
        <w:tc>
          <w:tcPr>
            <w:tcW w:w="375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b/>
                <w:noProof/>
                <w:color w:val="000000"/>
                <w:sz w:val="16"/>
                <w:szCs w:val="20"/>
                <w:lang w:eastAsia="en-US"/>
              </w:rPr>
            </w:pPr>
            <w:r>
              <w:rPr>
                <w:b/>
                <w:noProof/>
                <w:color w:val="000000"/>
                <w:sz w:val="16"/>
                <w:szCs w:val="20"/>
                <w:lang w:eastAsia="en-US"/>
              </w:rPr>
              <w:t xml:space="preserve">Total </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 xml:space="preserve">-954,779.18 </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 xml:space="preserve">-954,779.18 </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r>
      <w:tr>
        <w:trPr>
          <w:trHeight w:val="300"/>
        </w:trPr>
        <w:tc>
          <w:tcPr>
            <w:tcW w:w="375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pPr>
              <w:rPr>
                <w:b/>
                <w:noProof/>
                <w:color w:val="000000"/>
                <w:sz w:val="16"/>
                <w:szCs w:val="20"/>
                <w:lang w:eastAsia="en-US"/>
              </w:rPr>
            </w:pPr>
            <w:r>
              <w:rPr>
                <w:b/>
                <w:noProof/>
                <w:color w:val="000000"/>
                <w:sz w:val="16"/>
                <w:szCs w:val="20"/>
                <w:lang w:eastAsia="en-US"/>
              </w:rPr>
              <w:t>Total financial liabilities</w:t>
            </w:r>
          </w:p>
        </w:tc>
        <w:tc>
          <w:tcPr>
            <w:tcW w:w="12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 xml:space="preserve">-954,779.18 </w:t>
            </w:r>
          </w:p>
        </w:tc>
        <w:tc>
          <w:tcPr>
            <w:tcW w:w="12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 xml:space="preserve">-954,779.18 </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r>
    </w:tbl>
    <w:p>
      <w:pPr>
        <w:pStyle w:val="Normal7"/>
        <w:spacing w:after="0"/>
        <w:rPr>
          <w:rFonts w:ascii="Times New Roman" w:hAnsi="Times New Roman"/>
          <w:noProof/>
        </w:rPr>
      </w:pPr>
      <w:r>
        <w:rPr>
          <w:rFonts w:ascii="Times New Roman" w:hAnsi="Times New Roman"/>
          <w:b/>
          <w:noProof/>
          <w:lang w:eastAsia="en-GB"/>
        </w:rPr>
        <w:br w:type="page"/>
      </w:r>
    </w:p>
    <w:p>
      <w:pPr>
        <w:pStyle w:val="Normal7"/>
        <w:spacing w:after="0"/>
        <w:rPr>
          <w:rFonts w:ascii="Times New Roman" w:hAnsi="Times New Roman"/>
          <w:noProof/>
        </w:rPr>
      </w:pPr>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750"/>
        <w:gridCol w:w="1275"/>
        <w:gridCol w:w="1275"/>
        <w:gridCol w:w="1275"/>
        <w:gridCol w:w="1275"/>
        <w:gridCol w:w="150"/>
        <w:gridCol w:w="1275"/>
        <w:gridCol w:w="1275"/>
        <w:gridCol w:w="1275"/>
        <w:gridCol w:w="1275"/>
      </w:tblGrid>
      <w:tr>
        <w:trPr>
          <w:trHeight w:val="300"/>
        </w:trPr>
        <w:tc>
          <w:tcPr>
            <w:tcW w:w="3750"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16"/>
                <w:szCs w:val="20"/>
                <w:lang w:eastAsia="en-US"/>
              </w:rPr>
            </w:pPr>
            <w:r>
              <w:rPr>
                <w:b/>
                <w:noProof/>
                <w:color w:val="000000"/>
                <w:sz w:val="16"/>
                <w:szCs w:val="20"/>
                <w:lang w:eastAsia="en-US"/>
              </w:rPr>
              <w:t>At 31 December 2016</w:t>
            </w:r>
          </w:p>
        </w:tc>
        <w:tc>
          <w:tcPr>
            <w:tcW w:w="5100" w:type="dxa"/>
            <w:gridSpan w:val="4"/>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center"/>
              <w:rPr>
                <w:b/>
                <w:noProof/>
                <w:color w:val="000000"/>
                <w:sz w:val="16"/>
                <w:szCs w:val="20"/>
                <w:lang w:eastAsia="en-US"/>
              </w:rPr>
            </w:pPr>
            <w:r>
              <w:rPr>
                <w:b/>
                <w:noProof/>
                <w:color w:val="000000"/>
                <w:sz w:val="16"/>
                <w:szCs w:val="20"/>
                <w:lang w:eastAsia="en-US"/>
              </w:rPr>
              <w:t>Carrying amount</w:t>
            </w:r>
          </w:p>
        </w:tc>
        <w:tc>
          <w:tcPr>
            <w:tcW w:w="150" w:type="dxa"/>
            <w:vMerge w:val="restart"/>
            <w:tcBorders>
              <w:top w:val="nil"/>
              <w:left w:val="nil"/>
              <w:bottom w:val="nil"/>
              <w:right w:val="nil"/>
              <w:tl2br w:val="nil"/>
              <w:tr2bl w:val="nil"/>
            </w:tcBorders>
            <w:shd w:val="clear" w:color="auto" w:fill="auto"/>
            <w:tcMar>
              <w:left w:w="40" w:type="dxa"/>
              <w:right w:w="40" w:type="dxa"/>
            </w:tcMar>
            <w:vAlign w:val="center"/>
          </w:tcPr>
          <w:p>
            <w:pPr>
              <w:jc w:val="center"/>
              <w:rPr>
                <w:b/>
                <w:noProof/>
                <w:color w:val="000000"/>
                <w:sz w:val="16"/>
                <w:szCs w:val="20"/>
                <w:lang w:eastAsia="en-US"/>
              </w:rPr>
            </w:pPr>
          </w:p>
        </w:tc>
        <w:tc>
          <w:tcPr>
            <w:tcW w:w="5100" w:type="dxa"/>
            <w:gridSpan w:val="4"/>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center"/>
              <w:rPr>
                <w:b/>
                <w:noProof/>
                <w:color w:val="000000"/>
                <w:sz w:val="16"/>
                <w:szCs w:val="20"/>
                <w:lang w:eastAsia="en-US"/>
              </w:rPr>
            </w:pPr>
            <w:r>
              <w:rPr>
                <w:b/>
                <w:noProof/>
                <w:color w:val="000000"/>
                <w:sz w:val="16"/>
                <w:szCs w:val="20"/>
                <w:lang w:eastAsia="en-US"/>
              </w:rPr>
              <w:t>Fair value</w:t>
            </w:r>
          </w:p>
        </w:tc>
      </w:tr>
      <w:tr>
        <w:trPr>
          <w:trHeight w:val="300"/>
        </w:trPr>
        <w:tc>
          <w:tcPr>
            <w:tcW w:w="375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b/>
                <w:noProof/>
                <w:color w:val="000000"/>
                <w:sz w:val="16"/>
                <w:szCs w:val="20"/>
                <w:lang w:eastAsia="en-US"/>
              </w:rPr>
            </w:pPr>
            <w:r>
              <w:rPr>
                <w:b/>
                <w:noProof/>
                <w:color w:val="000000"/>
                <w:sz w:val="16"/>
                <w:szCs w:val="20"/>
                <w:lang w:eastAsia="en-US"/>
              </w:rPr>
              <w:t>in EUR</w:t>
            </w:r>
          </w:p>
        </w:tc>
        <w:tc>
          <w:tcPr>
            <w:tcW w:w="5100" w:type="dxa"/>
            <w:gridSpan w:val="4"/>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center"/>
              <w:rPr>
                <w:b/>
                <w:noProof/>
                <w:color w:val="000000"/>
                <w:sz w:val="16"/>
                <w:szCs w:val="20"/>
                <w:lang w:eastAsia="en-US"/>
              </w:rPr>
            </w:pPr>
          </w:p>
        </w:tc>
        <w:tc>
          <w:tcPr>
            <w:tcW w:w="150" w:type="dxa"/>
            <w:vMerge/>
            <w:tcBorders>
              <w:top w:val="nil"/>
              <w:left w:val="nil"/>
              <w:bottom w:val="nil"/>
              <w:right w:val="nil"/>
              <w:tl2br w:val="nil"/>
              <w:tr2bl w:val="nil"/>
            </w:tcBorders>
            <w:shd w:val="clear" w:color="auto" w:fill="auto"/>
            <w:tcMar>
              <w:left w:w="40" w:type="dxa"/>
              <w:right w:w="40" w:type="dxa"/>
            </w:tcMar>
            <w:vAlign w:val="center"/>
          </w:tcPr>
          <w:p>
            <w:pPr>
              <w:jc w:val="center"/>
              <w:rPr>
                <w:b/>
                <w:noProof/>
                <w:color w:val="000000"/>
                <w:sz w:val="16"/>
                <w:szCs w:val="20"/>
                <w:lang w:eastAsia="en-US"/>
              </w:rPr>
            </w:pPr>
          </w:p>
        </w:tc>
        <w:tc>
          <w:tcPr>
            <w:tcW w:w="5100" w:type="dxa"/>
            <w:gridSpan w:val="4"/>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center"/>
              <w:rPr>
                <w:b/>
                <w:noProof/>
                <w:color w:val="000000"/>
                <w:sz w:val="16"/>
                <w:szCs w:val="20"/>
                <w:lang w:eastAsia="en-US"/>
              </w:rPr>
            </w:pPr>
          </w:p>
        </w:tc>
      </w:tr>
      <w:tr>
        <w:trPr>
          <w:trHeight w:val="645"/>
        </w:trPr>
        <w:tc>
          <w:tcPr>
            <w:tcW w:w="37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b/>
                <w:noProof/>
                <w:color w:val="000000"/>
                <w:sz w:val="16"/>
                <w:szCs w:val="20"/>
                <w:lang w:eastAsia="en-US"/>
              </w:rPr>
            </w:pP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b/>
                <w:noProof/>
                <w:color w:val="000000"/>
                <w:sz w:val="16"/>
                <w:szCs w:val="20"/>
                <w:lang w:eastAsia="en-US"/>
              </w:rPr>
            </w:pPr>
            <w:r>
              <w:rPr>
                <w:b/>
                <w:noProof/>
                <w:color w:val="000000"/>
                <w:sz w:val="16"/>
                <w:szCs w:val="20"/>
                <w:lang w:eastAsia="en-US"/>
              </w:rPr>
              <w:t>Available for Sale</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b/>
                <w:noProof/>
                <w:color w:val="000000"/>
                <w:sz w:val="16"/>
                <w:szCs w:val="20"/>
                <w:lang w:eastAsia="en-US"/>
              </w:rPr>
            </w:pPr>
            <w:r>
              <w:rPr>
                <w:b/>
                <w:noProof/>
                <w:color w:val="000000"/>
                <w:sz w:val="16"/>
                <w:szCs w:val="20"/>
                <w:lang w:eastAsia="en-US"/>
              </w:rPr>
              <w:t>Cash, loans and receivables</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b/>
                <w:noProof/>
                <w:color w:val="000000"/>
                <w:sz w:val="16"/>
                <w:szCs w:val="20"/>
                <w:lang w:eastAsia="en-US"/>
              </w:rPr>
            </w:pPr>
            <w:r>
              <w:rPr>
                <w:b/>
                <w:noProof/>
                <w:color w:val="000000"/>
                <w:sz w:val="16"/>
                <w:szCs w:val="20"/>
                <w:lang w:eastAsia="en-US"/>
              </w:rPr>
              <w:t>Other financial liabilities</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b/>
                <w:noProof/>
                <w:color w:val="000000"/>
                <w:sz w:val="16"/>
                <w:szCs w:val="20"/>
                <w:lang w:eastAsia="en-US"/>
              </w:rPr>
            </w:pPr>
            <w:r>
              <w:rPr>
                <w:b/>
                <w:noProof/>
                <w:color w:val="000000"/>
                <w:sz w:val="16"/>
                <w:szCs w:val="20"/>
                <w:lang w:eastAsia="en-US"/>
              </w:rPr>
              <w:t>Total</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center"/>
              <w:rPr>
                <w:b/>
                <w:noProof/>
                <w:color w:val="000000"/>
                <w:sz w:val="16"/>
                <w:szCs w:val="20"/>
                <w:lang w:eastAsia="en-US"/>
              </w:rPr>
            </w:pP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b/>
                <w:noProof/>
                <w:color w:val="000000"/>
                <w:sz w:val="16"/>
                <w:szCs w:val="20"/>
                <w:lang w:eastAsia="en-US"/>
              </w:rPr>
            </w:pPr>
            <w:r>
              <w:rPr>
                <w:b/>
                <w:noProof/>
                <w:color w:val="000000"/>
                <w:sz w:val="16"/>
                <w:szCs w:val="20"/>
                <w:lang w:eastAsia="en-US"/>
              </w:rPr>
              <w:t>Level 1</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b/>
                <w:noProof/>
                <w:color w:val="000000"/>
                <w:sz w:val="16"/>
                <w:szCs w:val="20"/>
                <w:lang w:eastAsia="en-US"/>
              </w:rPr>
            </w:pPr>
            <w:r>
              <w:rPr>
                <w:b/>
                <w:noProof/>
                <w:color w:val="000000"/>
                <w:sz w:val="16"/>
                <w:szCs w:val="20"/>
                <w:lang w:eastAsia="en-US"/>
              </w:rPr>
              <w:t>Level 2</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b/>
                <w:noProof/>
                <w:color w:val="000000"/>
                <w:sz w:val="16"/>
                <w:szCs w:val="20"/>
                <w:lang w:eastAsia="en-US"/>
              </w:rPr>
            </w:pPr>
            <w:r>
              <w:rPr>
                <w:b/>
                <w:noProof/>
                <w:color w:val="000000"/>
                <w:sz w:val="16"/>
                <w:szCs w:val="20"/>
                <w:lang w:eastAsia="en-US"/>
              </w:rPr>
              <w:t>Level 3</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b/>
                <w:noProof/>
                <w:color w:val="000000"/>
                <w:sz w:val="16"/>
                <w:szCs w:val="20"/>
                <w:lang w:eastAsia="en-US"/>
              </w:rPr>
            </w:pPr>
            <w:r>
              <w:rPr>
                <w:b/>
                <w:noProof/>
                <w:color w:val="000000"/>
                <w:sz w:val="16"/>
                <w:szCs w:val="20"/>
                <w:lang w:eastAsia="en-US"/>
              </w:rPr>
              <w:t>Total</w:t>
            </w:r>
          </w:p>
        </w:tc>
      </w:tr>
      <w:tr>
        <w:trPr>
          <w:trHeight w:val="300"/>
        </w:trPr>
        <w:tc>
          <w:tcPr>
            <w:tcW w:w="375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b/>
                <w:noProof/>
                <w:color w:val="000000"/>
                <w:sz w:val="16"/>
                <w:szCs w:val="20"/>
                <w:lang w:eastAsia="en-US"/>
              </w:rPr>
            </w:pPr>
            <w:r>
              <w:rPr>
                <w:b/>
                <w:noProof/>
                <w:color w:val="000000"/>
                <w:sz w:val="16"/>
                <w:szCs w:val="20"/>
                <w:lang w:eastAsia="en-US"/>
              </w:rPr>
              <w:t>Financial assets carried at fair value:</w:t>
            </w: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r>
      <w:tr>
        <w:trPr>
          <w:trHeight w:val="300"/>
        </w:trPr>
        <w:tc>
          <w:tcPr>
            <w:tcW w:w="375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noProof/>
                <w:color w:val="000000"/>
                <w:sz w:val="16"/>
                <w:szCs w:val="20"/>
                <w:lang w:eastAsia="en-US"/>
              </w:rPr>
            </w:pPr>
            <w:r>
              <w:rPr>
                <w:noProof/>
                <w:color w:val="000000"/>
                <w:sz w:val="16"/>
                <w:szCs w:val="20"/>
                <w:lang w:eastAsia="en-US"/>
              </w:rPr>
              <w:t>Bond portfolio</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2,068,651,104.70</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2,068,651,104.70</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2,058,650,880.16</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10,000,224.54</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2,068,651,104.70</w:t>
            </w:r>
          </w:p>
        </w:tc>
      </w:tr>
      <w:tr>
        <w:trPr>
          <w:trHeight w:val="300"/>
        </w:trPr>
        <w:tc>
          <w:tcPr>
            <w:tcW w:w="37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b/>
                <w:noProof/>
                <w:color w:val="000000"/>
                <w:sz w:val="16"/>
                <w:szCs w:val="20"/>
                <w:lang w:eastAsia="en-US"/>
              </w:rPr>
            </w:pPr>
            <w:r>
              <w:rPr>
                <w:b/>
                <w:noProof/>
                <w:color w:val="000000"/>
                <w:sz w:val="16"/>
                <w:szCs w:val="20"/>
                <w:lang w:eastAsia="en-US"/>
              </w:rPr>
              <w:t xml:space="preserve">Total </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2,068,651,104.70</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2,068,651,104.70</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2,058,650,880.16</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10,000,224.54</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2,068,651,104.70</w:t>
            </w:r>
          </w:p>
        </w:tc>
      </w:tr>
      <w:tr>
        <w:trPr>
          <w:trHeight w:val="300"/>
        </w:trPr>
        <w:tc>
          <w:tcPr>
            <w:tcW w:w="375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b/>
                <w:noProof/>
                <w:color w:val="000000"/>
                <w:sz w:val="16"/>
                <w:szCs w:val="20"/>
                <w:lang w:eastAsia="en-US"/>
              </w:rPr>
            </w:pPr>
            <w:r>
              <w:rPr>
                <w:b/>
                <w:noProof/>
                <w:color w:val="000000"/>
                <w:sz w:val="16"/>
                <w:szCs w:val="20"/>
                <w:lang w:eastAsia="en-US"/>
              </w:rPr>
              <w:t>Financial assets not carried at fair value:</w:t>
            </w: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r>
      <w:tr>
        <w:trPr>
          <w:trHeight w:val="300"/>
        </w:trPr>
        <w:tc>
          <w:tcPr>
            <w:tcW w:w="3750"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16"/>
                <w:szCs w:val="20"/>
                <w:lang w:eastAsia="en-US"/>
              </w:rPr>
            </w:pPr>
            <w:r>
              <w:rPr>
                <w:noProof/>
                <w:color w:val="000000"/>
                <w:sz w:val="16"/>
                <w:szCs w:val="20"/>
                <w:lang w:eastAsia="en-US"/>
              </w:rPr>
              <w:t>Contributions receivable</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240,540,250.00</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240,540,250.00</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r>
      <w:tr>
        <w:trPr>
          <w:trHeight w:val="300"/>
        </w:trPr>
        <w:tc>
          <w:tcPr>
            <w:tcW w:w="3750"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16"/>
                <w:szCs w:val="20"/>
                <w:lang w:eastAsia="en-US"/>
              </w:rPr>
            </w:pPr>
            <w:r>
              <w:rPr>
                <w:noProof/>
                <w:color w:val="000000"/>
                <w:sz w:val="16"/>
                <w:szCs w:val="20"/>
                <w:lang w:eastAsia="en-US"/>
              </w:rPr>
              <w:t>Current accounts</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45,431,503.50</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45,431,503.50</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r>
      <w:tr>
        <w:trPr>
          <w:trHeight w:val="300"/>
        </w:trPr>
        <w:tc>
          <w:tcPr>
            <w:tcW w:w="375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noProof/>
                <w:color w:val="000000"/>
                <w:sz w:val="16"/>
                <w:szCs w:val="20"/>
                <w:lang w:eastAsia="en-US"/>
              </w:rPr>
            </w:pPr>
            <w:r>
              <w:rPr>
                <w:noProof/>
                <w:color w:val="000000"/>
                <w:sz w:val="16"/>
                <w:szCs w:val="20"/>
                <w:lang w:eastAsia="en-US"/>
              </w:rPr>
              <w:t>Short-term deposits (including amounts under settlement)</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151,430,194.94</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151,430,194.94</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r>
      <w:tr>
        <w:trPr>
          <w:trHeight w:val="300"/>
        </w:trPr>
        <w:tc>
          <w:tcPr>
            <w:tcW w:w="37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b/>
                <w:noProof/>
                <w:color w:val="000000"/>
                <w:sz w:val="16"/>
                <w:szCs w:val="20"/>
                <w:lang w:eastAsia="en-US"/>
              </w:rPr>
            </w:pPr>
            <w:r>
              <w:rPr>
                <w:b/>
                <w:noProof/>
                <w:color w:val="000000"/>
                <w:sz w:val="16"/>
                <w:szCs w:val="20"/>
                <w:lang w:eastAsia="en-US"/>
              </w:rPr>
              <w:t xml:space="preserve">Total </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437,401,948.44</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437,401,948.44</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r>
      <w:tr>
        <w:trPr>
          <w:trHeight w:val="300"/>
        </w:trPr>
        <w:tc>
          <w:tcPr>
            <w:tcW w:w="375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pPr>
              <w:rPr>
                <w:b/>
                <w:noProof/>
                <w:color w:val="000000"/>
                <w:sz w:val="16"/>
                <w:szCs w:val="20"/>
                <w:lang w:eastAsia="en-US"/>
              </w:rPr>
            </w:pPr>
            <w:r>
              <w:rPr>
                <w:b/>
                <w:noProof/>
                <w:color w:val="000000"/>
                <w:sz w:val="16"/>
                <w:szCs w:val="20"/>
                <w:lang w:eastAsia="en-US"/>
              </w:rPr>
              <w:t>Total financial assets</w:t>
            </w:r>
          </w:p>
        </w:tc>
        <w:tc>
          <w:tcPr>
            <w:tcW w:w="12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2,068,651,104.70</w:t>
            </w:r>
          </w:p>
        </w:tc>
        <w:tc>
          <w:tcPr>
            <w:tcW w:w="12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437,401,948.44</w:t>
            </w:r>
          </w:p>
        </w:tc>
        <w:tc>
          <w:tcPr>
            <w:tcW w:w="12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2,506,053,053.14</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r>
      <w:tr>
        <w:trPr>
          <w:trHeight w:val="300"/>
        </w:trPr>
        <w:tc>
          <w:tcPr>
            <w:tcW w:w="375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noProof/>
                <w:color w:val="000000"/>
                <w:sz w:val="16"/>
                <w:szCs w:val="20"/>
                <w:lang w:eastAsia="en-US"/>
              </w:rPr>
            </w:pP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r>
      <w:tr>
        <w:trPr>
          <w:trHeight w:val="300"/>
        </w:trPr>
        <w:tc>
          <w:tcPr>
            <w:tcW w:w="375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b/>
                <w:noProof/>
                <w:color w:val="000000"/>
                <w:sz w:val="16"/>
                <w:szCs w:val="20"/>
                <w:lang w:eastAsia="en-US"/>
              </w:rPr>
            </w:pPr>
            <w:r>
              <w:rPr>
                <w:b/>
                <w:noProof/>
                <w:color w:val="000000"/>
                <w:sz w:val="16"/>
                <w:szCs w:val="20"/>
                <w:lang w:eastAsia="en-US"/>
              </w:rPr>
              <w:t>Financial liabilities not carried at fair value:</w:t>
            </w: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r>
      <w:tr>
        <w:trPr>
          <w:trHeight w:val="300"/>
        </w:trPr>
        <w:tc>
          <w:tcPr>
            <w:tcW w:w="3750"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16"/>
                <w:szCs w:val="20"/>
                <w:lang w:eastAsia="en-US"/>
              </w:rPr>
            </w:pPr>
            <w:r>
              <w:rPr>
                <w:noProof/>
                <w:color w:val="000000"/>
                <w:sz w:val="16"/>
                <w:szCs w:val="20"/>
                <w:lang w:eastAsia="en-US"/>
              </w:rPr>
              <w:t>Other payables</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0.00</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r>
              <w:rPr>
                <w:noProof/>
                <w:color w:val="000000"/>
                <w:sz w:val="16"/>
                <w:szCs w:val="20"/>
                <w:lang w:eastAsia="en-US"/>
              </w:rPr>
              <w:t>-931,475.15</w:t>
            </w: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-931,475.15</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16"/>
                <w:szCs w:val="20"/>
                <w:lang w:eastAsia="en-US"/>
              </w:rPr>
            </w:pPr>
          </w:p>
        </w:tc>
      </w:tr>
      <w:tr>
        <w:trPr>
          <w:trHeight w:val="300"/>
        </w:trPr>
        <w:tc>
          <w:tcPr>
            <w:tcW w:w="37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b/>
                <w:noProof/>
                <w:color w:val="000000"/>
                <w:sz w:val="16"/>
                <w:szCs w:val="20"/>
                <w:lang w:eastAsia="en-US"/>
              </w:rPr>
            </w:pPr>
            <w:r>
              <w:rPr>
                <w:b/>
                <w:noProof/>
                <w:color w:val="000000"/>
                <w:sz w:val="16"/>
                <w:szCs w:val="20"/>
                <w:lang w:eastAsia="en-US"/>
              </w:rPr>
              <w:t xml:space="preserve">Total </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-931,475.15</w:t>
            </w:r>
          </w:p>
        </w:tc>
        <w:tc>
          <w:tcPr>
            <w:tcW w:w="12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-931,475.15</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r>
      <w:tr>
        <w:trPr>
          <w:trHeight w:val="300"/>
        </w:trPr>
        <w:tc>
          <w:tcPr>
            <w:tcW w:w="375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pPr>
              <w:rPr>
                <w:b/>
                <w:noProof/>
                <w:color w:val="000000"/>
                <w:sz w:val="16"/>
                <w:szCs w:val="20"/>
                <w:lang w:eastAsia="en-US"/>
              </w:rPr>
            </w:pPr>
            <w:r>
              <w:rPr>
                <w:b/>
                <w:noProof/>
                <w:color w:val="000000"/>
                <w:sz w:val="16"/>
                <w:szCs w:val="20"/>
                <w:lang w:eastAsia="en-US"/>
              </w:rPr>
              <w:t>Total financial liabilities</w:t>
            </w:r>
          </w:p>
        </w:tc>
        <w:tc>
          <w:tcPr>
            <w:tcW w:w="12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0.00</w:t>
            </w:r>
          </w:p>
        </w:tc>
        <w:tc>
          <w:tcPr>
            <w:tcW w:w="12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-931,475.15</w:t>
            </w:r>
          </w:p>
        </w:tc>
        <w:tc>
          <w:tcPr>
            <w:tcW w:w="12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b/>
                <w:noProof/>
                <w:color w:val="000000"/>
                <w:sz w:val="16"/>
                <w:szCs w:val="20"/>
                <w:lang w:eastAsia="en-US"/>
              </w:rPr>
            </w:pPr>
            <w:r>
              <w:rPr>
                <w:b/>
                <w:noProof/>
                <w:color w:val="000000"/>
                <w:sz w:val="16"/>
                <w:szCs w:val="20"/>
                <w:lang w:eastAsia="en-US"/>
              </w:rPr>
              <w:t>-931,475.15</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c>
          <w:tcPr>
            <w:tcW w:w="1275" w:type="dxa"/>
            <w:tcBorders>
              <w:top w:val="nil"/>
              <w:left w:val="nil"/>
              <w:bottom w:val="nil"/>
              <w:right w:val="nil"/>
              <w:tl2br w:val="nil"/>
              <w:tr2bl w:val="nil"/>
            </w:tcBorders>
            <w:shd w:val="clear" w:color="auto" w:fill="auto"/>
            <w:tcMar>
              <w:left w:w="40" w:type="dxa"/>
              <w:right w:w="40" w:type="dxa"/>
            </w:tcMar>
            <w:vAlign w:val="center"/>
          </w:tcPr>
          <w:p>
            <w:pPr>
              <w:jc w:val="right"/>
              <w:rPr>
                <w:b/>
                <w:noProof/>
                <w:color w:val="000000"/>
                <w:sz w:val="16"/>
                <w:szCs w:val="20"/>
                <w:lang w:eastAsia="en-US"/>
              </w:rPr>
            </w:pPr>
          </w:p>
        </w:tc>
      </w:tr>
    </w:tbl>
    <w:p>
      <w:pPr>
        <w:rPr>
          <w:noProof/>
        </w:rPr>
        <w:sectPr>
          <w:headerReference w:type="even" r:id="rId56"/>
          <w:headerReference w:type="default" r:id="rId57"/>
          <w:footerReference w:type="even" r:id="rId58"/>
          <w:footerReference w:type="default" r:id="rId59"/>
          <w:headerReference w:type="first" r:id="rId60"/>
          <w:footerReference w:type="first" r:id="rId61"/>
          <w:pgSz w:w="15840" w:h="12240" w:orient="landscape"/>
          <w:pgMar w:top="1418" w:right="765" w:bottom="1418" w:left="765" w:header="765" w:footer="425" w:gutter="0"/>
          <w:pgBorders>
            <w:top w:val="nil"/>
            <w:left w:val="nil"/>
            <w:bottom w:val="nil"/>
            <w:right w:val="nil"/>
          </w:pgBorders>
          <w:cols w:space="720"/>
          <w:docGrid w:linePitch="360"/>
        </w:sectPr>
      </w:pPr>
    </w:p>
    <w:p>
      <w:pPr>
        <w:pStyle w:val="ManualHeading3"/>
        <w:rPr>
          <w:noProof/>
        </w:rPr>
      </w:pPr>
      <w:bookmarkStart w:id="88" w:name="_Toc478663499"/>
      <w:r>
        <w:rPr>
          <w:noProof/>
        </w:rPr>
        <w:t>3.4.2.</w:t>
      </w:r>
      <w:r>
        <w:rPr>
          <w:noProof/>
        </w:rPr>
        <w:tab/>
        <w:t>Measurement of fair values</w:t>
      </w:r>
      <w:bookmarkEnd w:id="88"/>
    </w:p>
    <w:p>
      <w:pPr>
        <w:pBdr>
          <w:top w:val="nil"/>
          <w:left w:val="nil"/>
          <w:bottom w:val="nil"/>
          <w:right w:val="nil"/>
          <w:between w:val="nil"/>
          <w:bar w:val="nil"/>
        </w:pBdr>
        <w:spacing w:after="120" w:line="240" w:lineRule="atLeast"/>
        <w:jc w:val="both"/>
        <w:outlineLvl w:val="1"/>
        <w:rPr>
          <w:b/>
          <w:iCs/>
          <w:noProof/>
          <w:bdr w:val="nil"/>
          <w:lang w:eastAsia="en-US"/>
        </w:rPr>
      </w:pPr>
      <w:bookmarkStart w:id="89" w:name="_Toc478663500"/>
      <w:r>
        <w:rPr>
          <w:b/>
          <w:iCs/>
          <w:noProof/>
          <w:bdr w:val="nil"/>
          <w:lang w:eastAsia="en-US"/>
        </w:rPr>
        <w:t>Assets for which carrying value approximates fair value</w:t>
      </w:r>
      <w:bookmarkEnd w:id="89"/>
    </w:p>
    <w:p>
      <w:pPr>
        <w:pBdr>
          <w:top w:val="nil"/>
          <w:left w:val="nil"/>
          <w:bottom w:val="nil"/>
          <w:right w:val="nil"/>
          <w:between w:val="nil"/>
          <w:bar w:val="nil"/>
        </w:pBdr>
        <w:spacing w:after="120" w:line="240" w:lineRule="atLeast"/>
        <w:jc w:val="both"/>
        <w:outlineLvl w:val="1"/>
        <w:rPr>
          <w:iCs/>
          <w:noProof/>
          <w:bdr w:val="nil"/>
          <w:lang w:eastAsia="en-US"/>
        </w:rPr>
      </w:pPr>
      <w:bookmarkStart w:id="90" w:name="_Toc478663501"/>
      <w:r>
        <w:rPr>
          <w:iCs/>
          <w:noProof/>
          <w:bdr w:val="nil"/>
          <w:lang w:eastAsia="en-US"/>
        </w:rPr>
        <w:t>For financial assets and financial liabilities that are liquid or have a short term maturity (less than three months), it is assumed that the carrying amount approximates their fair value.</w:t>
      </w:r>
      <w:bookmarkEnd w:id="90"/>
    </w:p>
    <w:p>
      <w:pPr>
        <w:pBdr>
          <w:top w:val="nil"/>
          <w:left w:val="nil"/>
          <w:bottom w:val="nil"/>
          <w:right w:val="nil"/>
          <w:between w:val="nil"/>
          <w:bar w:val="nil"/>
        </w:pBdr>
        <w:spacing w:line="0" w:lineRule="atLeast"/>
        <w:rPr>
          <w:rFonts w:ascii="Arial" w:hAnsi="Arial"/>
          <w:noProof/>
          <w:bdr w:val="nil"/>
          <w:lang w:eastAsia="en-US"/>
        </w:rPr>
      </w:pPr>
    </w:p>
    <w:p>
      <w:pPr>
        <w:pBdr>
          <w:top w:val="nil"/>
          <w:left w:val="nil"/>
          <w:bottom w:val="nil"/>
          <w:right w:val="nil"/>
          <w:between w:val="nil"/>
          <w:bar w:val="nil"/>
        </w:pBdr>
        <w:spacing w:after="120" w:line="240" w:lineRule="atLeast"/>
        <w:jc w:val="both"/>
        <w:outlineLvl w:val="1"/>
        <w:rPr>
          <w:b/>
          <w:iCs/>
          <w:noProof/>
          <w:bdr w:val="nil"/>
          <w:lang w:eastAsia="en-US"/>
        </w:rPr>
      </w:pPr>
      <w:bookmarkStart w:id="91" w:name="_Toc478663502"/>
      <w:r>
        <w:rPr>
          <w:b/>
          <w:iCs/>
          <w:noProof/>
          <w:bdr w:val="nil"/>
          <w:lang w:eastAsia="en-US"/>
        </w:rPr>
        <w:t>Assets and liabilities carried at fair value</w:t>
      </w:r>
      <w:bookmarkEnd w:id="91"/>
    </w:p>
    <w:p>
      <w:pPr>
        <w:pBdr>
          <w:top w:val="nil"/>
          <w:left w:val="nil"/>
          <w:bottom w:val="nil"/>
          <w:right w:val="nil"/>
          <w:between w:val="nil"/>
          <w:bar w:val="nil"/>
        </w:pBdr>
        <w:spacing w:after="120" w:line="240" w:lineRule="atLeast"/>
        <w:jc w:val="both"/>
        <w:outlineLvl w:val="1"/>
        <w:rPr>
          <w:iCs/>
          <w:noProof/>
          <w:bdr w:val="nil"/>
          <w:lang w:eastAsia="en-US"/>
        </w:rPr>
      </w:pPr>
      <w:bookmarkStart w:id="92" w:name="_Toc478663503"/>
      <w:r>
        <w:rPr>
          <w:iCs/>
          <w:noProof/>
          <w:bdr w:val="nil"/>
          <w:lang w:eastAsia="en-US"/>
        </w:rPr>
        <w:t>Published price quotations in an active market are the first source for determining the fair value of a financial instrument.</w:t>
      </w:r>
      <w:bookmarkEnd w:id="92"/>
      <w:r>
        <w:rPr>
          <w:iCs/>
          <w:noProof/>
          <w:bdr w:val="nil"/>
          <w:lang w:eastAsia="en-US"/>
        </w:rPr>
        <w:t xml:space="preserve"> </w:t>
      </w:r>
    </w:p>
    <w:p>
      <w:pPr>
        <w:pBdr>
          <w:top w:val="nil"/>
          <w:left w:val="nil"/>
          <w:bottom w:val="nil"/>
          <w:right w:val="nil"/>
          <w:between w:val="nil"/>
          <w:bar w:val="nil"/>
        </w:pBdr>
        <w:spacing w:after="120" w:line="240" w:lineRule="atLeast"/>
        <w:jc w:val="both"/>
        <w:outlineLvl w:val="1"/>
        <w:rPr>
          <w:iCs/>
          <w:noProof/>
          <w:bdr w:val="nil"/>
          <w:lang w:eastAsia="en-US"/>
        </w:rPr>
      </w:pPr>
      <w:bookmarkStart w:id="93" w:name="_Toc478663504"/>
      <w:r>
        <w:rPr>
          <w:iCs/>
          <w:noProof/>
          <w:bdr w:val="nil"/>
          <w:lang w:eastAsia="en-US"/>
        </w:rPr>
        <w:t>For instruments without available market price, the fair value is estimated using a discounted cash flow model based on either directly or indirectly observable market data (discount curves and estimation curves) prevailing at the balance sheet date.</w:t>
      </w:r>
      <w:bookmarkEnd w:id="93"/>
    </w:p>
    <w:p>
      <w:pPr>
        <w:pBdr>
          <w:top w:val="nil"/>
          <w:left w:val="nil"/>
          <w:bottom w:val="nil"/>
          <w:right w:val="nil"/>
          <w:between w:val="nil"/>
          <w:bar w:val="nil"/>
        </w:pBdr>
        <w:spacing w:line="0" w:lineRule="atLeast"/>
        <w:rPr>
          <w:rFonts w:ascii="Arial" w:hAnsi="Arial"/>
          <w:noProof/>
          <w:bdr w:val="nil"/>
          <w:lang w:eastAsia="en-US"/>
        </w:rPr>
      </w:pPr>
    </w:p>
    <w:p>
      <w:pPr>
        <w:pStyle w:val="ManualHeading3"/>
        <w:rPr>
          <w:noProof/>
        </w:rPr>
      </w:pPr>
      <w:bookmarkStart w:id="94" w:name="_Toc478663505"/>
      <w:r>
        <w:rPr>
          <w:noProof/>
        </w:rPr>
        <w:t>3.4.3.</w:t>
      </w:r>
      <w:r>
        <w:rPr>
          <w:noProof/>
        </w:rPr>
        <w:tab/>
        <w:t>Transfers between level 1 and level 2</w:t>
      </w:r>
      <w:bookmarkEnd w:id="94"/>
      <w:r>
        <w:rPr>
          <w:noProof/>
        </w:rPr>
        <w:t xml:space="preserve"> </w:t>
      </w:r>
    </w:p>
    <w:p>
      <w:pPr>
        <w:pBdr>
          <w:top w:val="nil"/>
          <w:left w:val="nil"/>
          <w:bottom w:val="nil"/>
          <w:right w:val="nil"/>
          <w:between w:val="nil"/>
          <w:bar w:val="nil"/>
        </w:pBdr>
        <w:jc w:val="both"/>
        <w:rPr>
          <w:iCs/>
          <w:noProof/>
          <w:bdr w:val="nil"/>
        </w:rPr>
      </w:pPr>
      <w:r>
        <w:rPr>
          <w:noProof/>
          <w:bdr w:val="nil"/>
          <w:lang w:eastAsia="en-US"/>
        </w:rPr>
        <w:t>There were no transfers between level 1 and level 2 of the fair value hierarchy during the financial period.</w:t>
      </w:r>
    </w:p>
    <w:p>
      <w:pPr>
        <w:pStyle w:val="ManualHeading3"/>
        <w:rPr>
          <w:noProof/>
        </w:rPr>
      </w:pPr>
      <w:bookmarkStart w:id="95" w:name="_Toc478663506"/>
      <w:r>
        <w:rPr>
          <w:noProof/>
        </w:rPr>
        <w:t>3.4.4.</w:t>
      </w:r>
      <w:r>
        <w:rPr>
          <w:noProof/>
        </w:rPr>
        <w:tab/>
        <w:t>Level 3 fair value</w:t>
      </w:r>
      <w:bookmarkEnd w:id="95"/>
    </w:p>
    <w:p>
      <w:pPr>
        <w:pBdr>
          <w:top w:val="nil"/>
          <w:left w:val="nil"/>
          <w:bottom w:val="nil"/>
          <w:right w:val="nil"/>
          <w:between w:val="nil"/>
          <w:bar w:val="nil"/>
        </w:pBdr>
        <w:rPr>
          <w:b/>
          <w:noProof/>
          <w:lang w:eastAsia="de-DE"/>
        </w:rPr>
      </w:pPr>
      <w:r>
        <w:rPr>
          <w:iCs/>
          <w:noProof/>
          <w:bdr w:val="nil"/>
          <w:lang w:eastAsia="en-US"/>
        </w:rPr>
        <w:t>As at 31 December 2017 and 31 December 2016 the Fund has no financial instruments classified under Level 3.</w:t>
      </w:r>
    </w:p>
    <w:p>
      <w:pPr>
        <w:pStyle w:val="ManualHeading2"/>
        <w:rPr>
          <w:noProof/>
        </w:rPr>
      </w:pPr>
      <w:bookmarkStart w:id="96" w:name="_Toc478663507"/>
      <w:r>
        <w:rPr>
          <w:noProof/>
        </w:rPr>
        <w:t>3.5.</w:t>
      </w:r>
      <w:r>
        <w:rPr>
          <w:noProof/>
        </w:rPr>
        <w:tab/>
        <w:t>Bond portfolio</w:t>
      </w:r>
      <w:bookmarkEnd w:id="96"/>
    </w:p>
    <w:p>
      <w:pPr>
        <w:pStyle w:val="Normal8"/>
        <w:tabs>
          <w:tab w:val="left" w:pos="709"/>
        </w:tabs>
        <w:jc w:val="both"/>
        <w:rPr>
          <w:rFonts w:ascii="Times New Roman" w:hAnsi="Times New Roman"/>
          <w:noProof/>
          <w:sz w:val="24"/>
          <w:szCs w:val="24"/>
        </w:rPr>
      </w:pPr>
      <w:r>
        <w:rPr>
          <w:rFonts w:ascii="Times New Roman" w:hAnsi="Times New Roman"/>
          <w:noProof/>
          <w:sz w:val="24"/>
          <w:szCs w:val="24"/>
        </w:rPr>
        <w:t>The following tables show the movements of the Bond portfolio (in EUR):</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300"/>
        <w:gridCol w:w="2175"/>
      </w:tblGrid>
      <w:tr>
        <w:trPr>
          <w:trHeight w:val="255"/>
        </w:trPr>
        <w:tc>
          <w:tcPr>
            <w:tcW w:w="6300" w:type="dxa"/>
            <w:tcBorders>
              <w:top w:val="nil"/>
              <w:left w:val="nil"/>
              <w:bottom w:val="single" w:sz="4" w:space="0" w:color="000000"/>
              <w:right w:val="nil"/>
              <w:tl2br w:val="nil"/>
              <w:tr2bl w:val="nil"/>
            </w:tcBorders>
            <w:shd w:val="clear" w:color="auto" w:fill="auto"/>
            <w:tcMar>
              <w:left w:w="40" w:type="dxa"/>
              <w:right w:w="40" w:type="dxa"/>
            </w:tcMar>
            <w:vAlign w:val="center"/>
          </w:tcPr>
          <w:p>
            <w:pPr>
              <w:rPr>
                <w:noProof/>
                <w:color w:val="000000"/>
                <w:sz w:val="20"/>
              </w:rPr>
            </w:pP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p>
        </w:tc>
      </w:tr>
      <w:tr>
        <w:trPr>
          <w:trHeight w:val="255"/>
        </w:trPr>
        <w:tc>
          <w:tcPr>
            <w:tcW w:w="63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rPr>
                <w:b/>
                <w:noProof/>
                <w:color w:val="000000"/>
                <w:sz w:val="20"/>
              </w:rPr>
            </w:pPr>
            <w:r>
              <w:rPr>
                <w:b/>
                <w:noProof/>
                <w:color w:val="000000"/>
                <w:sz w:val="20"/>
              </w:rPr>
              <w:t>Balance as at 1 January 2016</w:t>
            </w:r>
          </w:p>
        </w:tc>
        <w:tc>
          <w:tcPr>
            <w:tcW w:w="21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20"/>
              </w:rPr>
            </w:pPr>
            <w:r>
              <w:rPr>
                <w:b/>
                <w:noProof/>
                <w:color w:val="000000"/>
                <w:sz w:val="20"/>
              </w:rPr>
              <w:t>2,002,026,056.34</w:t>
            </w:r>
          </w:p>
        </w:tc>
      </w:tr>
      <w:tr>
        <w:trPr>
          <w:trHeight w:val="255"/>
        </w:trPr>
        <w:tc>
          <w:tcPr>
            <w:tcW w:w="6300" w:type="dxa"/>
            <w:tcBorders>
              <w:top w:val="single" w:sz="4"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Acquisitions</w:t>
            </w:r>
          </w:p>
        </w:tc>
        <w:tc>
          <w:tcPr>
            <w:tcW w:w="2175"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991,735,364.00</w:t>
            </w:r>
          </w:p>
        </w:tc>
      </w:tr>
      <w:tr>
        <w:trPr>
          <w:trHeight w:val="255"/>
        </w:trPr>
        <w:tc>
          <w:tcPr>
            <w:tcW w:w="63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Disposals and withdrawals (original acquisition cost)</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-917,833,340.79</w:t>
            </w:r>
          </w:p>
        </w:tc>
      </w:tr>
      <w:tr>
        <w:trPr>
          <w:trHeight w:val="255"/>
        </w:trPr>
        <w:tc>
          <w:tcPr>
            <w:tcW w:w="63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Change in carrying amount -  actuarial difference</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-11,077,510.38</w:t>
            </w:r>
          </w:p>
        </w:tc>
      </w:tr>
      <w:tr>
        <w:trPr>
          <w:trHeight w:val="255"/>
        </w:trPr>
        <w:tc>
          <w:tcPr>
            <w:tcW w:w="63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Change in accrued interest</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430,276.84</w:t>
            </w:r>
          </w:p>
        </w:tc>
      </w:tr>
      <w:tr>
        <w:trPr>
          <w:trHeight w:val="255"/>
        </w:trPr>
        <w:tc>
          <w:tcPr>
            <w:tcW w:w="6300" w:type="dxa"/>
            <w:tcBorders>
              <w:top w:val="nil"/>
              <w:left w:val="nil"/>
              <w:bottom w:val="single" w:sz="4" w:space="0" w:color="000000"/>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Change in fair value</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3,370,258.69</w:t>
            </w:r>
          </w:p>
        </w:tc>
      </w:tr>
      <w:tr>
        <w:trPr>
          <w:trHeight w:val="255"/>
        </w:trPr>
        <w:tc>
          <w:tcPr>
            <w:tcW w:w="63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rPr>
                <w:b/>
                <w:noProof/>
                <w:color w:val="000000"/>
                <w:sz w:val="20"/>
              </w:rPr>
            </w:pPr>
            <w:r>
              <w:rPr>
                <w:b/>
                <w:noProof/>
                <w:color w:val="000000"/>
                <w:sz w:val="20"/>
              </w:rPr>
              <w:t>Balance as amount at 31 December 2016</w:t>
            </w:r>
          </w:p>
        </w:tc>
        <w:tc>
          <w:tcPr>
            <w:tcW w:w="21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20"/>
              </w:rPr>
            </w:pPr>
            <w:r>
              <w:rPr>
                <w:b/>
                <w:noProof/>
                <w:color w:val="000000"/>
                <w:sz w:val="20"/>
              </w:rPr>
              <w:t>2,068,651,104.70</w:t>
            </w:r>
          </w:p>
        </w:tc>
      </w:tr>
      <w:tr>
        <w:trPr>
          <w:trHeight w:hRule="exact" w:val="255"/>
        </w:trPr>
        <w:tc>
          <w:tcPr>
            <w:tcW w:w="6300"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217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r>
      <w:tr>
        <w:trPr>
          <w:trHeight w:hRule="exact" w:val="255"/>
        </w:trPr>
        <w:tc>
          <w:tcPr>
            <w:tcW w:w="6300" w:type="dxa"/>
            <w:tcBorders>
              <w:top w:val="nil"/>
              <w:left w:val="nil"/>
              <w:bottom w:val="single" w:sz="4" w:space="0" w:color="000000"/>
              <w:right w:val="nil"/>
              <w:tl2br w:val="nil"/>
              <w:tr2bl w:val="nil"/>
            </w:tcBorders>
            <w:shd w:val="clear" w:color="auto" w:fill="auto"/>
            <w:noWrap/>
            <w:tcMar>
              <w:left w:w="40" w:type="dxa"/>
              <w:right w:w="40" w:type="dxa"/>
            </w:tcMar>
            <w:vAlign w:val="bottom"/>
          </w:tcPr>
          <w:p>
            <w:pPr>
              <w:rPr>
                <w:noProof/>
                <w:color w:val="000000"/>
                <w:sz w:val="20"/>
              </w:rPr>
            </w:pP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bottom"/>
          </w:tcPr>
          <w:p>
            <w:pPr>
              <w:rPr>
                <w:noProof/>
                <w:color w:val="000000"/>
                <w:sz w:val="20"/>
              </w:rPr>
            </w:pPr>
          </w:p>
        </w:tc>
      </w:tr>
      <w:tr>
        <w:trPr>
          <w:trHeight w:val="255"/>
        </w:trPr>
        <w:tc>
          <w:tcPr>
            <w:tcW w:w="63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rPr>
                <w:b/>
                <w:noProof/>
                <w:color w:val="000000"/>
                <w:sz w:val="20"/>
              </w:rPr>
            </w:pPr>
            <w:r>
              <w:rPr>
                <w:b/>
                <w:noProof/>
                <w:color w:val="000000"/>
                <w:sz w:val="20"/>
              </w:rPr>
              <w:t>Balance as at 1 January 2017</w:t>
            </w:r>
          </w:p>
        </w:tc>
        <w:tc>
          <w:tcPr>
            <w:tcW w:w="21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20"/>
              </w:rPr>
            </w:pPr>
            <w:r>
              <w:rPr>
                <w:b/>
                <w:noProof/>
                <w:color w:val="000000"/>
                <w:sz w:val="20"/>
              </w:rPr>
              <w:t>2,068,651,104.70</w:t>
            </w:r>
          </w:p>
        </w:tc>
      </w:tr>
      <w:tr>
        <w:trPr>
          <w:trHeight w:val="255"/>
        </w:trPr>
        <w:tc>
          <w:tcPr>
            <w:tcW w:w="6300" w:type="dxa"/>
            <w:tcBorders>
              <w:top w:val="single" w:sz="4"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Acquisitions</w:t>
            </w:r>
          </w:p>
        </w:tc>
        <w:tc>
          <w:tcPr>
            <w:tcW w:w="2175"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831,402,720.51</w:t>
            </w:r>
          </w:p>
        </w:tc>
      </w:tr>
      <w:tr>
        <w:trPr>
          <w:trHeight w:val="255"/>
        </w:trPr>
        <w:tc>
          <w:tcPr>
            <w:tcW w:w="63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Disposals and withdrawals (original acquisition cost)</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-675,778,085.73</w:t>
            </w:r>
          </w:p>
        </w:tc>
      </w:tr>
      <w:tr>
        <w:trPr>
          <w:trHeight w:val="255"/>
        </w:trPr>
        <w:tc>
          <w:tcPr>
            <w:tcW w:w="63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Change in carrying amount -  actuarial difference</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-11,612,501.21</w:t>
            </w:r>
          </w:p>
        </w:tc>
      </w:tr>
      <w:tr>
        <w:trPr>
          <w:trHeight w:val="255"/>
        </w:trPr>
        <w:tc>
          <w:tcPr>
            <w:tcW w:w="63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Change in accrued interest</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-1,127,369.64</w:t>
            </w:r>
          </w:p>
        </w:tc>
      </w:tr>
      <w:tr>
        <w:trPr>
          <w:trHeight w:val="255"/>
        </w:trPr>
        <w:tc>
          <w:tcPr>
            <w:tcW w:w="6300" w:type="dxa"/>
            <w:tcBorders>
              <w:top w:val="nil"/>
              <w:left w:val="nil"/>
              <w:bottom w:val="single" w:sz="4" w:space="0" w:color="000000"/>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Change in fair value</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-12,793,591.79</w:t>
            </w:r>
          </w:p>
        </w:tc>
      </w:tr>
      <w:tr>
        <w:trPr>
          <w:trHeight w:val="255"/>
        </w:trPr>
        <w:tc>
          <w:tcPr>
            <w:tcW w:w="63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rPr>
                <w:b/>
                <w:noProof/>
                <w:color w:val="000000"/>
                <w:sz w:val="20"/>
              </w:rPr>
            </w:pPr>
            <w:r>
              <w:rPr>
                <w:b/>
                <w:noProof/>
                <w:color w:val="000000"/>
                <w:sz w:val="20"/>
              </w:rPr>
              <w:t>Balance as at 31 December 2017</w:t>
            </w:r>
          </w:p>
        </w:tc>
        <w:tc>
          <w:tcPr>
            <w:tcW w:w="21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20"/>
              </w:rPr>
            </w:pPr>
            <w:r>
              <w:rPr>
                <w:b/>
                <w:noProof/>
                <w:color w:val="000000"/>
                <w:sz w:val="20"/>
              </w:rPr>
              <w:t>2,198,742,276.84</w:t>
            </w:r>
          </w:p>
        </w:tc>
      </w:tr>
      <w:tr>
        <w:trPr>
          <w:trHeight w:val="255"/>
        </w:trPr>
        <w:tc>
          <w:tcPr>
            <w:tcW w:w="6300" w:type="dxa"/>
            <w:tcBorders>
              <w:top w:val="nil"/>
              <w:left w:val="nil"/>
              <w:bottom w:val="single" w:sz="4" w:space="0" w:color="000000"/>
              <w:right w:val="nil"/>
              <w:tl2br w:val="nil"/>
              <w:tr2bl w:val="nil"/>
            </w:tcBorders>
            <w:shd w:val="clear" w:color="auto" w:fill="auto"/>
            <w:tcMar>
              <w:left w:w="40" w:type="dxa"/>
              <w:right w:w="40" w:type="dxa"/>
            </w:tcMar>
            <w:vAlign w:val="center"/>
          </w:tcPr>
          <w:p>
            <w:pPr>
              <w:rPr>
                <w:noProof/>
                <w:color w:val="000000"/>
                <w:sz w:val="20"/>
              </w:rPr>
            </w:pP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p>
        </w:tc>
      </w:tr>
      <w:tr>
        <w:trPr>
          <w:trHeight w:val="255"/>
        </w:trPr>
        <w:tc>
          <w:tcPr>
            <w:tcW w:w="63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rPr>
                <w:b/>
                <w:noProof/>
                <w:color w:val="000000"/>
                <w:sz w:val="20"/>
              </w:rPr>
            </w:pPr>
            <w:r>
              <w:rPr>
                <w:b/>
                <w:noProof/>
                <w:color w:val="000000"/>
                <w:sz w:val="20"/>
              </w:rPr>
              <w:t>Balance as at 1 January 2016</w:t>
            </w:r>
          </w:p>
        </w:tc>
        <w:tc>
          <w:tcPr>
            <w:tcW w:w="21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20"/>
              </w:rPr>
            </w:pPr>
            <w:r>
              <w:rPr>
                <w:b/>
                <w:noProof/>
                <w:color w:val="000000"/>
                <w:sz w:val="20"/>
              </w:rPr>
              <w:t>2,002,026,056.34</w:t>
            </w:r>
          </w:p>
        </w:tc>
      </w:tr>
      <w:tr>
        <w:trPr>
          <w:trHeight w:val="255"/>
        </w:trPr>
        <w:tc>
          <w:tcPr>
            <w:tcW w:w="6300" w:type="dxa"/>
            <w:tcBorders>
              <w:top w:val="single" w:sz="4"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Acquisitions</w:t>
            </w:r>
          </w:p>
        </w:tc>
        <w:tc>
          <w:tcPr>
            <w:tcW w:w="2175"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991,735,364.00</w:t>
            </w:r>
          </w:p>
        </w:tc>
      </w:tr>
      <w:tr>
        <w:trPr>
          <w:trHeight w:val="255"/>
        </w:trPr>
        <w:tc>
          <w:tcPr>
            <w:tcW w:w="63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Disposals and withdrawals (original acquisition cost)</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-917,833,340.79</w:t>
            </w:r>
          </w:p>
        </w:tc>
      </w:tr>
      <w:tr>
        <w:trPr>
          <w:trHeight w:val="255"/>
        </w:trPr>
        <w:tc>
          <w:tcPr>
            <w:tcW w:w="63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Change in carrying amount -  actuarial difference</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-11,077,510.38</w:t>
            </w:r>
          </w:p>
        </w:tc>
      </w:tr>
      <w:tr>
        <w:trPr>
          <w:trHeight w:val="255"/>
        </w:trPr>
        <w:tc>
          <w:tcPr>
            <w:tcW w:w="63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Change in accrued interest</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430,276.84</w:t>
            </w:r>
          </w:p>
        </w:tc>
      </w:tr>
      <w:tr>
        <w:trPr>
          <w:trHeight w:val="255"/>
        </w:trPr>
        <w:tc>
          <w:tcPr>
            <w:tcW w:w="6300" w:type="dxa"/>
            <w:tcBorders>
              <w:top w:val="nil"/>
              <w:left w:val="nil"/>
              <w:bottom w:val="single" w:sz="4" w:space="0" w:color="000000"/>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Change in fair value</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3,370,258.69</w:t>
            </w:r>
          </w:p>
        </w:tc>
      </w:tr>
      <w:tr>
        <w:trPr>
          <w:trHeight w:val="255"/>
        </w:trPr>
        <w:tc>
          <w:tcPr>
            <w:tcW w:w="63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rPr>
                <w:b/>
                <w:noProof/>
                <w:color w:val="000000"/>
                <w:sz w:val="20"/>
              </w:rPr>
            </w:pPr>
            <w:r>
              <w:rPr>
                <w:b/>
                <w:noProof/>
                <w:color w:val="000000"/>
                <w:sz w:val="20"/>
              </w:rPr>
              <w:t>Balance as amount at 31 December 2016</w:t>
            </w:r>
          </w:p>
        </w:tc>
        <w:tc>
          <w:tcPr>
            <w:tcW w:w="21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20"/>
              </w:rPr>
            </w:pPr>
            <w:r>
              <w:rPr>
                <w:b/>
                <w:noProof/>
                <w:color w:val="000000"/>
                <w:sz w:val="20"/>
              </w:rPr>
              <w:t>2,068,651,104.70</w:t>
            </w:r>
          </w:p>
        </w:tc>
      </w:tr>
      <w:tr>
        <w:trPr>
          <w:trHeight w:hRule="exact" w:val="255"/>
        </w:trPr>
        <w:tc>
          <w:tcPr>
            <w:tcW w:w="6300"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217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r>
      <w:tr>
        <w:trPr>
          <w:trHeight w:hRule="exact" w:val="255"/>
        </w:trPr>
        <w:tc>
          <w:tcPr>
            <w:tcW w:w="6300" w:type="dxa"/>
            <w:tcBorders>
              <w:top w:val="nil"/>
              <w:left w:val="nil"/>
              <w:bottom w:val="single" w:sz="4" w:space="0" w:color="000000"/>
              <w:right w:val="nil"/>
              <w:tl2br w:val="nil"/>
              <w:tr2bl w:val="nil"/>
            </w:tcBorders>
            <w:shd w:val="clear" w:color="auto" w:fill="auto"/>
            <w:noWrap/>
            <w:tcMar>
              <w:left w:w="40" w:type="dxa"/>
              <w:right w:w="40" w:type="dxa"/>
            </w:tcMar>
            <w:vAlign w:val="bottom"/>
          </w:tcPr>
          <w:p>
            <w:pPr>
              <w:rPr>
                <w:noProof/>
                <w:color w:val="000000"/>
                <w:sz w:val="20"/>
              </w:rPr>
            </w:pP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bottom"/>
          </w:tcPr>
          <w:p>
            <w:pPr>
              <w:rPr>
                <w:noProof/>
                <w:color w:val="000000"/>
                <w:sz w:val="20"/>
              </w:rPr>
            </w:pPr>
          </w:p>
        </w:tc>
      </w:tr>
      <w:tr>
        <w:trPr>
          <w:trHeight w:val="255"/>
        </w:trPr>
        <w:tc>
          <w:tcPr>
            <w:tcW w:w="63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rPr>
                <w:b/>
                <w:noProof/>
                <w:color w:val="000000"/>
                <w:sz w:val="20"/>
              </w:rPr>
            </w:pPr>
            <w:r>
              <w:rPr>
                <w:b/>
                <w:noProof/>
                <w:color w:val="000000"/>
                <w:sz w:val="20"/>
              </w:rPr>
              <w:t>Balance as at 1 January 2017</w:t>
            </w:r>
          </w:p>
        </w:tc>
        <w:tc>
          <w:tcPr>
            <w:tcW w:w="21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20"/>
              </w:rPr>
            </w:pPr>
            <w:r>
              <w:rPr>
                <w:b/>
                <w:noProof/>
                <w:color w:val="000000"/>
                <w:sz w:val="20"/>
              </w:rPr>
              <w:t>2,068,651,104.70</w:t>
            </w:r>
          </w:p>
        </w:tc>
      </w:tr>
      <w:tr>
        <w:trPr>
          <w:trHeight w:val="255"/>
        </w:trPr>
        <w:tc>
          <w:tcPr>
            <w:tcW w:w="6300" w:type="dxa"/>
            <w:tcBorders>
              <w:top w:val="single" w:sz="4"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Acquisitions</w:t>
            </w:r>
          </w:p>
        </w:tc>
        <w:tc>
          <w:tcPr>
            <w:tcW w:w="2175"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831,402,720.51</w:t>
            </w:r>
          </w:p>
        </w:tc>
      </w:tr>
      <w:tr>
        <w:trPr>
          <w:trHeight w:val="255"/>
        </w:trPr>
        <w:tc>
          <w:tcPr>
            <w:tcW w:w="63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Disposals and withdrawals (original acquisition cost)</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-675,778,085.73</w:t>
            </w:r>
          </w:p>
        </w:tc>
      </w:tr>
      <w:tr>
        <w:trPr>
          <w:trHeight w:val="255"/>
        </w:trPr>
        <w:tc>
          <w:tcPr>
            <w:tcW w:w="63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Change in carrying amount -  actuarial difference</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-11,612,501.21</w:t>
            </w:r>
          </w:p>
        </w:tc>
      </w:tr>
      <w:tr>
        <w:trPr>
          <w:trHeight w:val="255"/>
        </w:trPr>
        <w:tc>
          <w:tcPr>
            <w:tcW w:w="63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Change in accrued interest</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-1,127,369.64</w:t>
            </w:r>
          </w:p>
        </w:tc>
      </w:tr>
      <w:tr>
        <w:trPr>
          <w:trHeight w:val="255"/>
        </w:trPr>
        <w:tc>
          <w:tcPr>
            <w:tcW w:w="6300" w:type="dxa"/>
            <w:tcBorders>
              <w:top w:val="nil"/>
              <w:left w:val="nil"/>
              <w:bottom w:val="single" w:sz="4" w:space="0" w:color="000000"/>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Change in fair value</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-12,793,591.79</w:t>
            </w:r>
          </w:p>
        </w:tc>
      </w:tr>
      <w:tr>
        <w:trPr>
          <w:trHeight w:val="255"/>
        </w:trPr>
        <w:tc>
          <w:tcPr>
            <w:tcW w:w="63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rPr>
                <w:b/>
                <w:noProof/>
                <w:color w:val="000000"/>
                <w:sz w:val="20"/>
              </w:rPr>
            </w:pPr>
            <w:r>
              <w:rPr>
                <w:b/>
                <w:noProof/>
                <w:color w:val="000000"/>
                <w:sz w:val="20"/>
              </w:rPr>
              <w:t>Balance as at 31 December 2017</w:t>
            </w:r>
          </w:p>
        </w:tc>
        <w:tc>
          <w:tcPr>
            <w:tcW w:w="21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20"/>
              </w:rPr>
            </w:pPr>
            <w:r>
              <w:rPr>
                <w:b/>
                <w:noProof/>
                <w:color w:val="000000"/>
                <w:sz w:val="20"/>
              </w:rPr>
              <w:t>2,198,742,276.84</w:t>
            </w:r>
          </w:p>
        </w:tc>
      </w:tr>
    </w:tbl>
    <w:p>
      <w:pPr>
        <w:pStyle w:val="Normal9"/>
        <w:rPr>
          <w:rFonts w:ascii="Times New Roman" w:hAnsi="Times New Roman"/>
          <w:noProof/>
        </w:rPr>
      </w:pPr>
    </w:p>
    <w:p>
      <w:pPr>
        <w:pStyle w:val="Normal9"/>
        <w:jc w:val="both"/>
        <w:rPr>
          <w:rFonts w:ascii="Times New Roman" w:hAnsi="Times New Roman"/>
          <w:noProof/>
          <w:color w:val="000000"/>
          <w:sz w:val="24"/>
          <w:szCs w:val="24"/>
          <w:lang w:eastAsia="en-GB"/>
        </w:rPr>
      </w:pPr>
      <w:r>
        <w:rPr>
          <w:rFonts w:ascii="Times New Roman" w:hAnsi="Times New Roman"/>
          <w:noProof/>
          <w:sz w:val="24"/>
          <w:szCs w:val="24"/>
        </w:rPr>
        <w:t>As at 31 December 2017 the nominal value of the investment portfolio was EUR 2,101.2 million (2016: EUR 1,944.8 million), against a market value of EUR 2,184.5 million (2016: EUR 2,053.3 million), excluding accrued interest.</w:t>
      </w:r>
    </w:p>
    <w:p>
      <w:pPr>
        <w:spacing w:after="120" w:line="240" w:lineRule="atLeast"/>
        <w:jc w:val="both"/>
        <w:rPr>
          <w:noProof/>
          <w:color w:val="000000"/>
        </w:rPr>
      </w:pPr>
      <w:r>
        <w:rPr>
          <w:noProof/>
          <w:lang w:eastAsia="en-US"/>
        </w:rPr>
        <w:t>Accrued interest as at 31 December 2017 amounting to EUR 14,263,342.00</w:t>
      </w:r>
      <w:r>
        <w:rPr>
          <w:noProof/>
          <w:color w:val="000000"/>
        </w:rPr>
        <w:t xml:space="preserve"> </w:t>
      </w:r>
      <w:r>
        <w:rPr>
          <w:noProof/>
          <w:lang w:eastAsia="en-US"/>
        </w:rPr>
        <w:t>(2016: EUR 15,390,711.64) is split between:</w:t>
      </w:r>
    </w:p>
    <w:p>
      <w:pPr>
        <w:numPr>
          <w:ilvl w:val="0"/>
          <w:numId w:val="49"/>
        </w:numPr>
        <w:spacing w:after="120" w:line="240" w:lineRule="atLeast"/>
        <w:rPr>
          <w:noProof/>
          <w:lang w:eastAsia="en-US"/>
        </w:rPr>
      </w:pPr>
      <w:r>
        <w:rPr>
          <w:noProof/>
          <w:lang w:eastAsia="en-US"/>
        </w:rPr>
        <w:t>Fixed rate notes EUR 14,238,402.84 (2016: EUR 15,380,367.47);</w:t>
      </w:r>
    </w:p>
    <w:p>
      <w:pPr>
        <w:numPr>
          <w:ilvl w:val="0"/>
          <w:numId w:val="49"/>
        </w:numPr>
        <w:spacing w:after="120" w:line="240" w:lineRule="atLeast"/>
        <w:rPr>
          <w:noProof/>
          <w:lang w:eastAsia="en-US"/>
        </w:rPr>
      </w:pPr>
      <w:r>
        <w:rPr>
          <w:noProof/>
          <w:lang w:eastAsia="en-US"/>
        </w:rPr>
        <w:t>Floating rate notes EUR 24,939.16 (2016: EUR 10,344.17).</w:t>
      </w:r>
    </w:p>
    <w:p>
      <w:pPr>
        <w:spacing w:after="120" w:line="240" w:lineRule="atLeast"/>
        <w:jc w:val="both"/>
        <w:outlineLvl w:val="1"/>
        <w:rPr>
          <w:b/>
          <w:noProof/>
        </w:rPr>
      </w:pPr>
      <w:r>
        <w:rPr>
          <w:noProof/>
          <w:lang w:eastAsia="en-US"/>
        </w:rPr>
        <w:t>As at 31 December 2017 the market value of securities lent within the automatic security lending agreement with Euroclear (excluding accrued interest) amounts to EUR 9,521,272.29 (2016: EUR 48,203,121.55).</w:t>
      </w:r>
    </w:p>
    <w:p>
      <w:pPr>
        <w:pStyle w:val="ManualHeading2"/>
        <w:rPr>
          <w:noProof/>
        </w:rPr>
      </w:pPr>
      <w:bookmarkStart w:id="97" w:name="_Toc449626538"/>
      <w:bookmarkStart w:id="98" w:name="_Toc449626311"/>
      <w:bookmarkStart w:id="99" w:name="_Toc449022486"/>
      <w:bookmarkStart w:id="100" w:name="_Toc448929188"/>
      <w:bookmarkStart w:id="101" w:name="_Toc478663509"/>
      <w:r>
        <w:rPr>
          <w:noProof/>
        </w:rPr>
        <w:t>3.6.</w:t>
      </w:r>
      <w:r>
        <w:rPr>
          <w:noProof/>
        </w:rPr>
        <w:tab/>
        <w:t>Cash and cash equivalents</w:t>
      </w:r>
      <w:bookmarkEnd w:id="97"/>
      <w:bookmarkEnd w:id="98"/>
      <w:bookmarkEnd w:id="99"/>
      <w:bookmarkEnd w:id="100"/>
      <w:bookmarkEnd w:id="101"/>
    </w:p>
    <w:p>
      <w:pPr>
        <w:pStyle w:val="Normal10"/>
        <w:rPr>
          <w:rFonts w:ascii="Times New Roman" w:hAnsi="Times New Roman"/>
          <w:noProof/>
          <w:sz w:val="24"/>
          <w:szCs w:val="24"/>
        </w:rPr>
      </w:pPr>
      <w:r>
        <w:rPr>
          <w:rFonts w:ascii="Times New Roman" w:hAnsi="Times New Roman"/>
          <w:noProof/>
          <w:sz w:val="24"/>
          <w:szCs w:val="24"/>
        </w:rPr>
        <w:t>The following table shows the split of cash and cash equivalents (including accrued interest) (in EUR):</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25"/>
        <w:gridCol w:w="2175"/>
        <w:gridCol w:w="2175"/>
      </w:tblGrid>
      <w:tr>
        <w:trPr>
          <w:trHeight w:val="255"/>
        </w:trPr>
        <w:tc>
          <w:tcPr>
            <w:tcW w:w="5625"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20"/>
              </w:rPr>
            </w:pPr>
            <w:r>
              <w:rPr>
                <w:b/>
                <w:noProof/>
                <w:color w:val="000000"/>
                <w:sz w:val="20"/>
              </w:rPr>
              <w:t>Description</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31.12.2017</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31.12.2016</w:t>
            </w:r>
          </w:p>
        </w:tc>
      </w:tr>
      <w:tr>
        <w:trPr>
          <w:trHeight w:val="255"/>
        </w:trPr>
        <w:tc>
          <w:tcPr>
            <w:tcW w:w="5625" w:type="dxa"/>
            <w:tcBorders>
              <w:top w:val="single" w:sz="4" w:space="0" w:color="000000"/>
              <w:left w:val="nil"/>
              <w:bottom w:val="nil"/>
              <w:right w:val="nil"/>
              <w:tl2br w:val="nil"/>
              <w:tr2bl w:val="nil"/>
            </w:tcBorders>
            <w:shd w:val="clear" w:color="auto" w:fill="auto"/>
            <w:tcMar>
              <w:left w:w="40" w:type="dxa"/>
              <w:right w:w="40" w:type="dxa"/>
            </w:tcMar>
            <w:vAlign w:val="center"/>
          </w:tcPr>
          <w:p>
            <w:pPr>
              <w:rPr>
                <w:i/>
                <w:noProof/>
                <w:color w:val="000000"/>
                <w:sz w:val="20"/>
              </w:rPr>
            </w:pPr>
          </w:p>
        </w:tc>
        <w:tc>
          <w:tcPr>
            <w:tcW w:w="2175" w:type="dxa"/>
            <w:tcBorders>
              <w:top w:val="single" w:sz="4"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2175" w:type="dxa"/>
            <w:tcBorders>
              <w:top w:val="single" w:sz="4"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562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Current accounts</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45,569,131.18</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45,431,503.50</w:t>
            </w:r>
          </w:p>
        </w:tc>
      </w:tr>
      <w:tr>
        <w:trPr>
          <w:trHeight w:val="255"/>
        </w:trPr>
        <w:tc>
          <w:tcPr>
            <w:tcW w:w="562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r>
              <w:rPr>
                <w:noProof/>
                <w:color w:val="000000"/>
                <w:sz w:val="20"/>
              </w:rPr>
              <w:t>Short-term deposits (including deposits under settlement)</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178,513,621.73</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r>
              <w:rPr>
                <w:noProof/>
                <w:color w:val="000000"/>
                <w:sz w:val="20"/>
              </w:rPr>
              <w:t>151,430,194.94</w:t>
            </w:r>
          </w:p>
        </w:tc>
      </w:tr>
      <w:tr>
        <w:trPr>
          <w:trHeight w:val="255"/>
        </w:trPr>
        <w:tc>
          <w:tcPr>
            <w:tcW w:w="5625" w:type="dxa"/>
            <w:tcBorders>
              <w:top w:val="nil"/>
              <w:left w:val="nil"/>
              <w:bottom w:val="single" w:sz="4" w:space="0" w:color="000000"/>
              <w:right w:val="nil"/>
              <w:tl2br w:val="nil"/>
              <w:tr2bl w:val="nil"/>
            </w:tcBorders>
            <w:shd w:val="clear" w:color="auto" w:fill="auto"/>
            <w:tcMar>
              <w:left w:w="40" w:type="dxa"/>
              <w:right w:w="40" w:type="dxa"/>
            </w:tcMar>
            <w:vAlign w:val="center"/>
          </w:tcPr>
          <w:p>
            <w:pPr>
              <w:rPr>
                <w:i/>
                <w:noProof/>
                <w:color w:val="000000"/>
                <w:sz w:val="20"/>
              </w:rPr>
            </w:pPr>
            <w:r>
              <w:rPr>
                <w:i/>
                <w:noProof/>
                <w:color w:val="000000"/>
                <w:sz w:val="20"/>
              </w:rPr>
              <w:t>of which accrued interest</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i/>
                <w:noProof/>
                <w:color w:val="000000"/>
                <w:sz w:val="20"/>
              </w:rPr>
            </w:pPr>
            <w:r>
              <w:rPr>
                <w:i/>
                <w:noProof/>
                <w:color w:val="000000"/>
                <w:sz w:val="20"/>
              </w:rPr>
              <w:t>-86,378.27</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i/>
                <w:noProof/>
                <w:color w:val="000000"/>
                <w:sz w:val="20"/>
              </w:rPr>
            </w:pPr>
            <w:r>
              <w:rPr>
                <w:i/>
                <w:noProof/>
                <w:color w:val="000000"/>
                <w:sz w:val="20"/>
              </w:rPr>
              <w:t>-69,805.06</w:t>
            </w:r>
          </w:p>
        </w:tc>
      </w:tr>
      <w:tr>
        <w:trPr>
          <w:trHeight w:val="255"/>
        </w:trPr>
        <w:tc>
          <w:tcPr>
            <w:tcW w:w="562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rPr>
                <w:b/>
                <w:noProof/>
                <w:color w:val="000000"/>
                <w:sz w:val="20"/>
              </w:rPr>
            </w:pPr>
            <w:r>
              <w:rPr>
                <w:b/>
                <w:noProof/>
                <w:color w:val="000000"/>
                <w:sz w:val="20"/>
              </w:rPr>
              <w:t>Total</w:t>
            </w:r>
          </w:p>
        </w:tc>
        <w:tc>
          <w:tcPr>
            <w:tcW w:w="21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20"/>
              </w:rPr>
            </w:pPr>
            <w:r>
              <w:rPr>
                <w:b/>
                <w:noProof/>
                <w:color w:val="000000"/>
                <w:sz w:val="20"/>
              </w:rPr>
              <w:t>224,082,752.91</w:t>
            </w:r>
          </w:p>
        </w:tc>
        <w:tc>
          <w:tcPr>
            <w:tcW w:w="21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jc w:val="right"/>
              <w:rPr>
                <w:b/>
                <w:noProof/>
                <w:color w:val="000000"/>
                <w:sz w:val="20"/>
              </w:rPr>
            </w:pPr>
            <w:r>
              <w:rPr>
                <w:b/>
                <w:noProof/>
                <w:color w:val="000000"/>
                <w:sz w:val="20"/>
              </w:rPr>
              <w:t>196,861,698.44</w:t>
            </w:r>
          </w:p>
        </w:tc>
      </w:tr>
    </w:tbl>
    <w:p>
      <w:pPr>
        <w:pStyle w:val="ManualHeading2"/>
        <w:spacing w:before="360"/>
        <w:rPr>
          <w:noProof/>
        </w:rPr>
      </w:pPr>
      <w:bookmarkStart w:id="102" w:name="_Toc449626539"/>
      <w:bookmarkStart w:id="103" w:name="_Toc449626312"/>
      <w:bookmarkStart w:id="104" w:name="_Toc449022487"/>
      <w:bookmarkStart w:id="105" w:name="_Toc448929189"/>
      <w:bookmarkStart w:id="106" w:name="_Toc478663510"/>
      <w:r>
        <w:rPr>
          <w:noProof/>
        </w:rPr>
        <w:t>3.7.</w:t>
      </w:r>
      <w:r>
        <w:rPr>
          <w:noProof/>
        </w:rPr>
        <w:tab/>
        <w:t>Contributions</w:t>
      </w:r>
      <w:bookmarkEnd w:id="102"/>
      <w:bookmarkEnd w:id="103"/>
      <w:bookmarkEnd w:id="104"/>
      <w:bookmarkEnd w:id="105"/>
      <w:bookmarkEnd w:id="106"/>
    </w:p>
    <w:p>
      <w:pPr>
        <w:pStyle w:val="BodyText4"/>
        <w:rPr>
          <w:rFonts w:ascii="Times New Roman" w:hAnsi="Times New Roman"/>
          <w:noProof/>
          <w:sz w:val="24"/>
          <w:szCs w:val="24"/>
        </w:rPr>
      </w:pPr>
      <w:r>
        <w:rPr>
          <w:rFonts w:ascii="Times New Roman" w:hAnsi="Times New Roman"/>
          <w:noProof/>
          <w:sz w:val="24"/>
          <w:szCs w:val="24"/>
        </w:rPr>
        <w:t>Contributions are increased by contributions from the general budget of the European Union and by the recoveries of previous interventions made by the Fund with regard to defaulted guaranteed loans. Contributions are either decreased by repayments to the general budget of the European Union or by interventions the Fund is paying with regard to defaulted guaranteed loans. Contributions to/from the budget of the European Union are recognised in the balance sheet on the date when they become due or owed according to articles 3, 4, 5 and 6 of the Council Regulation (EC, Euratom) No 480/2009 of 25 May 2009 establishing a Guarantee Fund for external actions.</w:t>
      </w:r>
    </w:p>
    <w:p>
      <w:pPr>
        <w:spacing w:after="120" w:line="240" w:lineRule="atLeast"/>
        <w:jc w:val="both"/>
        <w:rPr>
          <w:noProof/>
          <w:lang w:eastAsia="en-US"/>
        </w:rPr>
      </w:pPr>
      <w:r>
        <w:rPr>
          <w:noProof/>
          <w:lang w:eastAsia="en-US"/>
        </w:rPr>
        <w:t xml:space="preserve">The contribution allocated but not yet paid in as at 31 December 2016 amounting to EUR 240,540,250.00 was paid in cash during the reporting period. In 2017, the Fund has been allocated an additional contribution amount of EUR 137,800,722.00 which has not been paid as at 31 December 2017. </w:t>
      </w:r>
    </w:p>
    <w:p>
      <w:pPr>
        <w:spacing w:after="120" w:line="240" w:lineRule="atLeast"/>
        <w:jc w:val="both"/>
        <w:rPr>
          <w:noProof/>
          <w:lang w:eastAsia="en-US"/>
        </w:rPr>
      </w:pPr>
      <w:r>
        <w:rPr>
          <w:noProof/>
          <w:lang w:eastAsia="en-US"/>
        </w:rPr>
        <w:t>During 2017 the amount of EUR 136,092.88 was recovered from the historically called amounts by EIB. The amount was not yet transferred to the guarantee fund as at 31 December 2017.</w:t>
      </w:r>
    </w:p>
    <w:p>
      <w:pPr>
        <w:rPr>
          <w:noProof/>
          <w:lang w:eastAsia="en-US"/>
        </w:rPr>
      </w:pPr>
      <w:r>
        <w:rPr>
          <w:noProof/>
          <w:lang w:eastAsia="en-US"/>
        </w:rPr>
        <w:br w:type="page"/>
      </w:r>
    </w:p>
    <w:p>
      <w:pPr>
        <w:pStyle w:val="Normal11"/>
        <w:jc w:val="both"/>
        <w:rPr>
          <w:rFonts w:ascii="Times New Roman" w:hAnsi="Times New Roman"/>
          <w:noProof/>
          <w:sz w:val="24"/>
          <w:szCs w:val="24"/>
        </w:rPr>
      </w:pPr>
      <w:r>
        <w:rPr>
          <w:rFonts w:ascii="Times New Roman" w:hAnsi="Times New Roman"/>
          <w:noProof/>
          <w:sz w:val="24"/>
          <w:szCs w:val="24"/>
        </w:rPr>
        <w:t xml:space="preserve">The following table shows the movements of the contributions during the reporting period (in EUR): </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800"/>
        <w:gridCol w:w="2175"/>
      </w:tblGrid>
      <w:tr>
        <w:trPr>
          <w:trHeight w:hRule="exact" w:val="255"/>
        </w:trPr>
        <w:tc>
          <w:tcPr>
            <w:tcW w:w="7800" w:type="dxa"/>
            <w:tcBorders>
              <w:top w:val="nil"/>
              <w:left w:val="nil"/>
              <w:bottom w:val="single" w:sz="4" w:space="0" w:color="000000"/>
              <w:right w:val="nil"/>
              <w:tl2br w:val="nil"/>
              <w:tr2bl w:val="nil"/>
            </w:tcBorders>
            <w:shd w:val="clear" w:color="auto" w:fill="auto"/>
            <w:noWrap/>
            <w:tcMar>
              <w:left w:w="40" w:type="dxa"/>
              <w:right w:w="40" w:type="dxa"/>
            </w:tcMar>
            <w:vAlign w:val="bottom"/>
          </w:tcPr>
          <w:p>
            <w:pPr>
              <w:rPr>
                <w:noProof/>
                <w:color w:val="000000"/>
                <w:sz w:val="20"/>
              </w:rPr>
            </w:pP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bottom"/>
          </w:tcPr>
          <w:p>
            <w:pPr>
              <w:rPr>
                <w:noProof/>
                <w:color w:val="000000"/>
                <w:sz w:val="20"/>
              </w:rPr>
            </w:pPr>
          </w:p>
        </w:tc>
      </w:tr>
      <w:tr>
        <w:trPr>
          <w:trHeight w:hRule="exact" w:val="255"/>
        </w:trPr>
        <w:tc>
          <w:tcPr>
            <w:tcW w:w="78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Balance as at 1 January 2016</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1,347,541,789.28</w:t>
            </w:r>
          </w:p>
        </w:tc>
      </w:tr>
      <w:tr>
        <w:trPr>
          <w:trHeight w:hRule="exact" w:val="255"/>
        </w:trPr>
        <w:tc>
          <w:tcPr>
            <w:tcW w:w="7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Contributions from the European Commission allocated but not paid in</w:t>
            </w:r>
          </w:p>
        </w:tc>
        <w:tc>
          <w:tcPr>
            <w:tcW w:w="21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240,540,250.00</w:t>
            </w:r>
          </w:p>
        </w:tc>
      </w:tr>
      <w:tr>
        <w:trPr>
          <w:trHeight w:hRule="exact" w:val="255"/>
        </w:trPr>
        <w:tc>
          <w:tcPr>
            <w:tcW w:w="7800"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Change of  contributions payable as guarantee call</w:t>
            </w:r>
          </w:p>
        </w:tc>
        <w:tc>
          <w:tcPr>
            <w:tcW w:w="217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22,130,631.78</w:t>
            </w:r>
          </w:p>
        </w:tc>
      </w:tr>
      <w:tr>
        <w:trPr>
          <w:trHeight w:hRule="exact" w:val="255"/>
        </w:trPr>
        <w:tc>
          <w:tcPr>
            <w:tcW w:w="7800"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Contributions paid to the EIB as guarantee call</w:t>
            </w:r>
          </w:p>
        </w:tc>
        <w:tc>
          <w:tcPr>
            <w:tcW w:w="217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-110,828,866.39</w:t>
            </w:r>
          </w:p>
        </w:tc>
      </w:tr>
      <w:tr>
        <w:trPr>
          <w:trHeight w:hRule="exact" w:val="255"/>
        </w:trPr>
        <w:tc>
          <w:tcPr>
            <w:tcW w:w="78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Balance as at 31 December 2016</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1,499,383,804.67</w:t>
            </w:r>
          </w:p>
        </w:tc>
      </w:tr>
      <w:tr>
        <w:trPr>
          <w:trHeight w:hRule="exact" w:val="255"/>
        </w:trPr>
        <w:tc>
          <w:tcPr>
            <w:tcW w:w="7800"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2175"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r>
      <w:tr>
        <w:trPr>
          <w:trHeight w:hRule="exact" w:val="255"/>
        </w:trPr>
        <w:tc>
          <w:tcPr>
            <w:tcW w:w="7800" w:type="dxa"/>
            <w:tcBorders>
              <w:top w:val="nil"/>
              <w:left w:val="nil"/>
              <w:bottom w:val="single" w:sz="4" w:space="0" w:color="000000"/>
              <w:right w:val="nil"/>
              <w:tl2br w:val="nil"/>
              <w:tr2bl w:val="nil"/>
            </w:tcBorders>
            <w:shd w:val="clear" w:color="auto" w:fill="auto"/>
            <w:noWrap/>
            <w:tcMar>
              <w:left w:w="40" w:type="dxa"/>
              <w:right w:w="40" w:type="dxa"/>
            </w:tcMar>
            <w:vAlign w:val="bottom"/>
          </w:tcPr>
          <w:p>
            <w:pPr>
              <w:rPr>
                <w:noProof/>
                <w:color w:val="000000"/>
                <w:sz w:val="20"/>
              </w:rPr>
            </w:pP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bottom"/>
          </w:tcPr>
          <w:p>
            <w:pPr>
              <w:rPr>
                <w:noProof/>
                <w:color w:val="000000"/>
                <w:sz w:val="20"/>
              </w:rPr>
            </w:pPr>
          </w:p>
        </w:tc>
      </w:tr>
      <w:tr>
        <w:trPr>
          <w:trHeight w:hRule="exact" w:val="255"/>
        </w:trPr>
        <w:tc>
          <w:tcPr>
            <w:tcW w:w="78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Balance as at 1 January 2017</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1,499,383,804.67</w:t>
            </w:r>
          </w:p>
        </w:tc>
      </w:tr>
      <w:tr>
        <w:trPr>
          <w:trHeight w:hRule="exact" w:val="255"/>
        </w:trPr>
        <w:tc>
          <w:tcPr>
            <w:tcW w:w="7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Contributions from the European Commission allocated but not paid in</w:t>
            </w:r>
          </w:p>
        </w:tc>
        <w:tc>
          <w:tcPr>
            <w:tcW w:w="21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137,800,722.00</w:t>
            </w:r>
          </w:p>
        </w:tc>
      </w:tr>
      <w:tr>
        <w:trPr>
          <w:trHeight w:hRule="exact" w:val="255"/>
        </w:trPr>
        <w:tc>
          <w:tcPr>
            <w:tcW w:w="7800"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Contributions paid to the EIB as guarantee call</w:t>
            </w:r>
          </w:p>
        </w:tc>
        <w:tc>
          <w:tcPr>
            <w:tcW w:w="217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-86,424,605.56</w:t>
            </w:r>
          </w:p>
        </w:tc>
      </w:tr>
      <w:tr>
        <w:trPr>
          <w:trHeight w:hRule="exact" w:val="255"/>
        </w:trPr>
        <w:tc>
          <w:tcPr>
            <w:tcW w:w="7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Recovery of historically called amount</w:t>
            </w: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136,092.88</w:t>
            </w:r>
          </w:p>
        </w:tc>
      </w:tr>
      <w:tr>
        <w:trPr>
          <w:trHeight w:hRule="exact" w:val="255"/>
        </w:trPr>
        <w:tc>
          <w:tcPr>
            <w:tcW w:w="78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Balance as at 31 December 2017</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1,550,896,013.99</w:t>
            </w:r>
          </w:p>
        </w:tc>
      </w:tr>
    </w:tbl>
    <w:p>
      <w:pPr>
        <w:pBdr>
          <w:top w:val="nil"/>
          <w:left w:val="nil"/>
          <w:bottom w:val="nil"/>
          <w:right w:val="nil"/>
          <w:between w:val="nil"/>
          <w:bar w:val="nil"/>
        </w:pBdr>
        <w:jc w:val="both"/>
        <w:rPr>
          <w:noProof/>
          <w:szCs w:val="22"/>
          <w:bdr w:val="nil"/>
        </w:rPr>
      </w:pPr>
    </w:p>
    <w:p>
      <w:pPr>
        <w:pStyle w:val="ManualHeading2"/>
        <w:rPr>
          <w:noProof/>
        </w:rPr>
      </w:pPr>
      <w:bookmarkStart w:id="107" w:name="_Toc478663511"/>
      <w:r>
        <w:rPr>
          <w:noProof/>
        </w:rPr>
        <w:t>3.8.</w:t>
      </w:r>
      <w:r>
        <w:rPr>
          <w:noProof/>
        </w:rPr>
        <w:tab/>
        <w:t>Other payables (in EUR)</w:t>
      </w:r>
      <w:bookmarkEnd w:id="107"/>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25"/>
        <w:gridCol w:w="2175"/>
        <w:gridCol w:w="2175"/>
      </w:tblGrid>
      <w:tr>
        <w:trPr>
          <w:trHeight w:val="255"/>
        </w:trPr>
        <w:tc>
          <w:tcPr>
            <w:tcW w:w="56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20"/>
              </w:rPr>
            </w:pPr>
            <w:r>
              <w:rPr>
                <w:b/>
                <w:noProof/>
                <w:color w:val="000000"/>
                <w:sz w:val="20"/>
              </w:rPr>
              <w:t>Description</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31.12.2017</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0"/>
              </w:rPr>
            </w:pPr>
            <w:r>
              <w:rPr>
                <w:b/>
                <w:noProof/>
                <w:color w:val="000000"/>
                <w:sz w:val="20"/>
              </w:rPr>
              <w:t>31.12.2016</w:t>
            </w:r>
          </w:p>
        </w:tc>
      </w:tr>
      <w:tr>
        <w:trPr>
          <w:trHeight w:hRule="exact" w:val="255"/>
        </w:trPr>
        <w:tc>
          <w:tcPr>
            <w:tcW w:w="56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Treasury management fees</w:t>
            </w:r>
          </w:p>
        </w:tc>
        <w:tc>
          <w:tcPr>
            <w:tcW w:w="217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915,279.18</w:t>
            </w:r>
          </w:p>
        </w:tc>
        <w:tc>
          <w:tcPr>
            <w:tcW w:w="217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891,975.15</w:t>
            </w:r>
          </w:p>
        </w:tc>
      </w:tr>
      <w:tr>
        <w:trPr>
          <w:trHeight w:hRule="exact" w:val="255"/>
        </w:trPr>
        <w:tc>
          <w:tcPr>
            <w:tcW w:w="56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0"/>
              </w:rPr>
            </w:pPr>
            <w:r>
              <w:rPr>
                <w:noProof/>
                <w:color w:val="000000"/>
                <w:sz w:val="20"/>
              </w:rPr>
              <w:t>Audit fees</w:t>
            </w: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39,500.00</w:t>
            </w: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0"/>
              </w:rPr>
            </w:pPr>
            <w:r>
              <w:rPr>
                <w:noProof/>
                <w:color w:val="000000"/>
                <w:sz w:val="20"/>
              </w:rPr>
              <w:t>39,500.00</w:t>
            </w:r>
          </w:p>
        </w:tc>
      </w:tr>
      <w:tr>
        <w:trPr>
          <w:trHeight w:hRule="exact" w:val="255"/>
        </w:trPr>
        <w:tc>
          <w:tcPr>
            <w:tcW w:w="56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0"/>
              </w:rPr>
            </w:pPr>
            <w:r>
              <w:rPr>
                <w:b/>
                <w:noProof/>
                <w:color w:val="000000"/>
                <w:sz w:val="20"/>
              </w:rPr>
              <w:t>Total</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954,779.18</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0"/>
              </w:rPr>
            </w:pPr>
            <w:r>
              <w:rPr>
                <w:b/>
                <w:noProof/>
                <w:color w:val="000000"/>
                <w:sz w:val="20"/>
              </w:rPr>
              <w:t>931,475.15</w:t>
            </w:r>
          </w:p>
        </w:tc>
      </w:tr>
    </w:tbl>
    <w:p>
      <w:pPr>
        <w:pBdr>
          <w:top w:val="nil"/>
          <w:left w:val="nil"/>
          <w:bottom w:val="nil"/>
          <w:right w:val="nil"/>
          <w:between w:val="nil"/>
          <w:bar w:val="nil"/>
        </w:pBdr>
        <w:jc w:val="both"/>
        <w:rPr>
          <w:noProof/>
          <w:szCs w:val="22"/>
          <w:bdr w:val="nil"/>
        </w:rPr>
      </w:pPr>
    </w:p>
    <w:p>
      <w:pPr>
        <w:pBdr>
          <w:top w:val="nil"/>
          <w:left w:val="nil"/>
          <w:bottom w:val="nil"/>
          <w:right w:val="nil"/>
          <w:between w:val="nil"/>
          <w:bar w:val="nil"/>
        </w:pBdr>
        <w:jc w:val="both"/>
        <w:rPr>
          <w:noProof/>
          <w:bdr w:val="nil"/>
        </w:rPr>
      </w:pPr>
      <w:r>
        <w:rPr>
          <w:noProof/>
          <w:bdr w:val="nil"/>
        </w:rPr>
        <w:t xml:space="preserve">Treasury management fees are payable to the EIB on an annual basis. </w:t>
      </w:r>
    </w:p>
    <w:p>
      <w:pPr>
        <w:pStyle w:val="Normal12"/>
        <w:spacing w:after="0"/>
        <w:rPr>
          <w:rFonts w:ascii="Times New Roman" w:hAnsi="Times New Roman"/>
          <w:noProof/>
          <w:sz w:val="24"/>
          <w:szCs w:val="24"/>
        </w:rPr>
      </w:pPr>
    </w:p>
    <w:p>
      <w:pPr>
        <w:pStyle w:val="ManualHeading2"/>
        <w:rPr>
          <w:noProof/>
        </w:rPr>
      </w:pPr>
      <w:bookmarkStart w:id="108" w:name="_Toc449626540"/>
      <w:bookmarkStart w:id="109" w:name="_Toc449626313"/>
      <w:bookmarkStart w:id="110" w:name="_Toc449022488"/>
      <w:bookmarkStart w:id="111" w:name="_Toc448929190"/>
      <w:bookmarkStart w:id="112" w:name="_Toc478663512"/>
      <w:r>
        <w:rPr>
          <w:noProof/>
        </w:rPr>
        <w:t>3.9.</w:t>
      </w:r>
      <w:r>
        <w:rPr>
          <w:noProof/>
        </w:rPr>
        <w:tab/>
        <w:t>Subsequent events</w:t>
      </w:r>
      <w:bookmarkEnd w:id="108"/>
      <w:bookmarkEnd w:id="109"/>
      <w:bookmarkEnd w:id="110"/>
      <w:bookmarkEnd w:id="111"/>
      <w:bookmarkEnd w:id="112"/>
    </w:p>
    <w:p>
      <w:pPr>
        <w:pStyle w:val="Normal12"/>
        <w:jc w:val="both"/>
        <w:rPr>
          <w:noProof/>
          <w:sz w:val="24"/>
          <w:szCs w:val="24"/>
        </w:rPr>
      </w:pPr>
      <w:r>
        <w:rPr>
          <w:rFonts w:ascii="Times New Roman" w:hAnsi="Times New Roman"/>
          <w:noProof/>
          <w:sz w:val="24"/>
          <w:szCs w:val="24"/>
        </w:rPr>
        <w:t>There have been no material post-balance sheet events, which would require disclosure or adjustment to the 31 December 2017 financial statements.</w:t>
      </w:r>
    </w:p>
    <w:sectPr>
      <w:headerReference w:type="even" r:id="rId62"/>
      <w:headerReference w:type="default" r:id="rId63"/>
      <w:footerReference w:type="even" r:id="rId64"/>
      <w:footerReference w:type="default" r:id="rId65"/>
      <w:headerReference w:type="first" r:id="rId66"/>
      <w:footerReference w:type="first" r:id="rId67"/>
      <w:pgSz w:w="12240" w:h="15840"/>
      <w:pgMar w:top="765" w:right="1134" w:bottom="765" w:left="1134" w:header="454" w:footer="170" w:gutter="0"/>
      <w:pgBorders>
        <w:top w:val="nil"/>
        <w:left w:val="nil"/>
        <w:bottom w:val="nil"/>
        <w:right w:val="nil"/>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spacing w:after="200" w:line="276" w:lineRule="auto"/>
      <w:ind w:left="720" w:firstLine="720"/>
      <w:rPr>
        <w:rFonts w:eastAsia="Calibri"/>
        <w:sz w:val="20"/>
        <w:bdr w:val="nil"/>
        <w:lang w:val="en-US"/>
      </w:rPr>
    </w:pPr>
  </w:p>
  <w:p>
    <w:pPr>
      <w:pBdr>
        <w:top w:val="nil"/>
        <w:left w:val="nil"/>
        <w:bottom w:val="nil"/>
        <w:right w:val="nil"/>
        <w:between w:val="nil"/>
        <w:bar w:val="nil"/>
      </w:pBdr>
      <w:spacing w:after="200" w:line="276" w:lineRule="auto"/>
      <w:ind w:left="720" w:firstLine="720"/>
      <w:rPr>
        <w:rFonts w:eastAsia="Calibri"/>
        <w:sz w:val="20"/>
        <w:bdr w:val="nil"/>
        <w:lang w:val="en-US"/>
      </w:rPr>
    </w:pPr>
    <w:r>
      <w:rPr>
        <w:rFonts w:eastAsia="Calibri"/>
        <w:sz w:val="20"/>
        <w:bdr w:val="nil"/>
        <w:lang w:val="en-US"/>
      </w:rPr>
      <w:t>The accompanying notes form an integral part of these financial statements.</w:t>
    </w:r>
  </w:p>
  <w:p>
    <w:pPr>
      <w:pBdr>
        <w:top w:val="nil"/>
        <w:left w:val="nil"/>
        <w:bottom w:val="nil"/>
        <w:right w:val="nil"/>
        <w:between w:val="nil"/>
        <w:bar w:val="nil"/>
      </w:pBdr>
      <w:spacing w:after="200" w:line="276" w:lineRule="auto"/>
      <w:jc w:val="right"/>
      <w:rPr>
        <w:rFonts w:eastAsia="Calibri"/>
        <w:sz w:val="16"/>
        <w:szCs w:val="16"/>
        <w:bdr w:val="nil"/>
        <w:lang w:val="en-US"/>
      </w:rPr>
    </w:pPr>
    <w:r>
      <w:rPr>
        <w:rFonts w:eastAsia="Calibri"/>
        <w:sz w:val="16"/>
        <w:szCs w:val="16"/>
        <w:bdr w:val="nil"/>
        <w:lang w:val="en-US"/>
      </w:rPr>
      <w:t xml:space="preserve">Page </w:t>
    </w:r>
    <w:r>
      <w:rPr>
        <w:rFonts w:eastAsia="Calibri"/>
        <w:sz w:val="16"/>
        <w:szCs w:val="16"/>
        <w:bdr w:val="nil"/>
        <w:lang w:val="en-US"/>
      </w:rPr>
      <w:fldChar w:fldCharType="begin"/>
    </w:r>
    <w:r>
      <w:rPr>
        <w:rFonts w:eastAsia="Calibri"/>
        <w:sz w:val="16"/>
        <w:szCs w:val="16"/>
        <w:bdr w:val="nil"/>
        <w:lang w:val="en-US"/>
      </w:rPr>
      <w:instrText xml:space="preserve"> PAGE   \* MERGEFORMAT </w:instrText>
    </w:r>
    <w:r>
      <w:rPr>
        <w:rFonts w:eastAsia="Calibri"/>
        <w:sz w:val="16"/>
        <w:szCs w:val="16"/>
        <w:bdr w:val="nil"/>
        <w:lang w:val="en-US"/>
      </w:rPr>
      <w:fldChar w:fldCharType="separate"/>
    </w:r>
    <w:r>
      <w:rPr>
        <w:rFonts w:eastAsia="Calibri"/>
        <w:noProof/>
        <w:sz w:val="16"/>
        <w:szCs w:val="16"/>
        <w:bdr w:val="nil"/>
        <w:lang w:val="en-US"/>
      </w:rPr>
      <w:t>4</w:t>
    </w:r>
    <w:r>
      <w:rPr>
        <w:rFonts w:eastAsia="Calibri"/>
        <w:noProof/>
        <w:sz w:val="16"/>
        <w:szCs w:val="16"/>
        <w:bdr w:val="nil"/>
        <w:lang w:val="en-US"/>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20</w:t>
    </w:r>
    <w:r>
      <w:rPr>
        <w:noProof/>
      </w:rPr>
      <w:fldChar w:fldCharType="end"/>
    </w:r>
  </w:p>
  <w:p>
    <w:pPr>
      <w:pBdr>
        <w:top w:val="nil"/>
        <w:left w:val="nil"/>
        <w:bottom w:val="nil"/>
        <w:right w:val="nil"/>
        <w:between w:val="nil"/>
        <w:bar w:val="nil"/>
      </w:pBdr>
      <w:spacing w:after="200" w:line="276" w:lineRule="auto"/>
      <w:rPr>
        <w:rFonts w:eastAsia="Calibri"/>
        <w:sz w:val="16"/>
        <w:szCs w:val="16"/>
        <w:bdr w:val="nil"/>
        <w:lang w:val="en-US"/>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rPr>
        <w:bdr w:val="nil"/>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spacing w:after="200" w:line="276" w:lineRule="auto"/>
      <w:ind w:left="720" w:firstLine="720"/>
      <w:rPr>
        <w:rFonts w:eastAsia="Calibri"/>
        <w:sz w:val="20"/>
        <w:bdr w:val="nil"/>
        <w:lang w:val="en-US"/>
      </w:rPr>
    </w:pPr>
  </w:p>
  <w:p>
    <w:pPr>
      <w:pBdr>
        <w:top w:val="nil"/>
        <w:left w:val="nil"/>
        <w:bottom w:val="nil"/>
        <w:right w:val="nil"/>
        <w:between w:val="nil"/>
        <w:bar w:val="nil"/>
      </w:pBdr>
      <w:spacing w:after="200" w:line="276" w:lineRule="auto"/>
      <w:ind w:left="720" w:firstLine="720"/>
      <w:rPr>
        <w:rFonts w:eastAsia="Calibri"/>
        <w:sz w:val="20"/>
        <w:bdr w:val="nil"/>
        <w:lang w:val="en-US"/>
      </w:rPr>
    </w:pPr>
    <w:r>
      <w:rPr>
        <w:rFonts w:eastAsia="Calibri"/>
        <w:sz w:val="20"/>
        <w:bdr w:val="nil"/>
        <w:lang w:val="en-US"/>
      </w:rPr>
      <w:t>The accompanying notes form an integral part of these financial statements.</w:t>
    </w:r>
  </w:p>
  <w:p>
    <w:pPr>
      <w:pBdr>
        <w:top w:val="nil"/>
        <w:left w:val="nil"/>
        <w:bottom w:val="nil"/>
        <w:right w:val="nil"/>
        <w:between w:val="nil"/>
        <w:bar w:val="nil"/>
      </w:pBdr>
      <w:spacing w:after="200" w:line="276" w:lineRule="auto"/>
      <w:jc w:val="right"/>
      <w:rPr>
        <w:rFonts w:eastAsia="Calibri"/>
        <w:sz w:val="16"/>
        <w:szCs w:val="16"/>
        <w:bdr w:val="nil"/>
        <w:lang w:val="en-US"/>
      </w:rPr>
    </w:pPr>
    <w:r>
      <w:rPr>
        <w:rFonts w:eastAsia="Calibri"/>
        <w:sz w:val="16"/>
        <w:szCs w:val="16"/>
        <w:bdr w:val="nil"/>
        <w:lang w:val="en-US"/>
      </w:rPr>
      <w:t xml:space="preserve">Page </w:t>
    </w:r>
    <w:r>
      <w:rPr>
        <w:rFonts w:eastAsia="Calibri"/>
        <w:sz w:val="16"/>
        <w:szCs w:val="16"/>
        <w:bdr w:val="nil"/>
        <w:lang w:val="en-US"/>
      </w:rPr>
      <w:fldChar w:fldCharType="begin"/>
    </w:r>
    <w:r>
      <w:rPr>
        <w:rFonts w:eastAsia="Calibri"/>
        <w:sz w:val="16"/>
        <w:szCs w:val="16"/>
        <w:bdr w:val="nil"/>
        <w:lang w:val="en-US"/>
      </w:rPr>
      <w:instrText xml:space="preserve"> PAGE   \* MERGEFORMAT </w:instrText>
    </w:r>
    <w:r>
      <w:rPr>
        <w:rFonts w:eastAsia="Calibri"/>
        <w:sz w:val="16"/>
        <w:szCs w:val="16"/>
        <w:bdr w:val="nil"/>
        <w:lang w:val="en-US"/>
      </w:rPr>
      <w:fldChar w:fldCharType="separate"/>
    </w:r>
    <w:r>
      <w:rPr>
        <w:rFonts w:eastAsia="Calibri"/>
        <w:noProof/>
        <w:sz w:val="16"/>
        <w:szCs w:val="16"/>
        <w:bdr w:val="nil"/>
        <w:lang w:val="en-US"/>
      </w:rPr>
      <w:t>1</w:t>
    </w:r>
    <w:r>
      <w:rPr>
        <w:rFonts w:eastAsia="Calibri"/>
        <w:noProof/>
        <w:sz w:val="16"/>
        <w:szCs w:val="16"/>
        <w:bdr w:val="nil"/>
        <w:lang w:val="en-US"/>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spacing w:after="200" w:line="276" w:lineRule="auto"/>
      <w:ind w:left="720" w:firstLine="720"/>
      <w:rPr>
        <w:rFonts w:eastAsia="Calibri"/>
        <w:sz w:val="20"/>
        <w:bdr w:val="nil"/>
        <w:lang w:val="en-US"/>
      </w:rPr>
    </w:pPr>
  </w:p>
  <w:p>
    <w:pPr>
      <w:pStyle w:val="Footer"/>
      <w:jc w:val="center"/>
    </w:pPr>
    <w:r>
      <w:fldChar w:fldCharType="begin"/>
    </w:r>
    <w:r>
      <w:instrText xml:space="preserve"> PAGE   \* MERGEFORMAT </w:instrText>
    </w:r>
    <w:r>
      <w:fldChar w:fldCharType="separate"/>
    </w:r>
    <w:r>
      <w:rPr>
        <w:noProof/>
      </w:rPr>
      <w:t>21</w:t>
    </w:r>
    <w:r>
      <w:rPr>
        <w:noProof/>
      </w:rPr>
      <w:fldChar w:fldCharType="end"/>
    </w:r>
  </w:p>
  <w:p>
    <w:pPr>
      <w:pBdr>
        <w:top w:val="nil"/>
        <w:left w:val="nil"/>
        <w:bottom w:val="nil"/>
        <w:right w:val="nil"/>
        <w:between w:val="nil"/>
        <w:bar w:val="nil"/>
      </w:pBdr>
      <w:spacing w:after="200" w:line="276" w:lineRule="auto"/>
      <w:ind w:left="720" w:firstLine="720"/>
      <w:rPr>
        <w:rFonts w:eastAsia="Calibri"/>
        <w:sz w:val="16"/>
        <w:szCs w:val="16"/>
        <w:bdr w:val="nil"/>
        <w:lang w:val="en-US"/>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rPr>
        <w:bdr w:val="nil"/>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Bdr>
        <w:top w:val="nil"/>
        <w:left w:val="nil"/>
        <w:bottom w:val="nil"/>
        <w:right w:val="nil"/>
        <w:between w:val="nil"/>
        <w:bar w:val="nil"/>
      </w:pBdr>
      <w:spacing w:after="200" w:line="276" w:lineRule="auto"/>
      <w:jc w:val="right"/>
      <w:rPr>
        <w:rFonts w:ascii="Times New Roman" w:eastAsia="Calibri" w:hAnsi="Times New Roman"/>
        <w:sz w:val="16"/>
        <w:szCs w:val="16"/>
        <w:bdr w:val="nil"/>
        <w:lang w:val="en-US"/>
      </w:rPr>
    </w:pPr>
    <w:r>
      <w:rPr>
        <w:rFonts w:ascii="Times New Roman" w:eastAsia="Calibri" w:hAnsi="Times New Roman"/>
        <w:sz w:val="16"/>
        <w:szCs w:val="16"/>
        <w:bdr w:val="nil"/>
        <w:lang w:val="en-US"/>
      </w:rPr>
      <w:t xml:space="preserve">Page </w:t>
    </w:r>
    <w:r>
      <w:rPr>
        <w:rFonts w:ascii="Times New Roman" w:eastAsia="Calibri" w:hAnsi="Times New Roman"/>
        <w:sz w:val="16"/>
        <w:szCs w:val="16"/>
        <w:bdr w:val="nil"/>
        <w:lang w:val="en-US"/>
      </w:rPr>
      <w:fldChar w:fldCharType="begin"/>
    </w:r>
    <w:r>
      <w:rPr>
        <w:rFonts w:ascii="Times New Roman" w:eastAsia="Calibri" w:hAnsi="Times New Roman"/>
        <w:sz w:val="16"/>
        <w:szCs w:val="16"/>
        <w:bdr w:val="nil"/>
        <w:lang w:val="en-US"/>
      </w:rPr>
      <w:instrText xml:space="preserve"> PAGE   \* MERGEFORMAT </w:instrText>
    </w:r>
    <w:r>
      <w:rPr>
        <w:rFonts w:ascii="Times New Roman" w:eastAsia="Calibri" w:hAnsi="Times New Roman"/>
        <w:sz w:val="16"/>
        <w:szCs w:val="16"/>
        <w:bdr w:val="nil"/>
        <w:lang w:val="en-US"/>
      </w:rPr>
      <w:fldChar w:fldCharType="separate"/>
    </w:r>
    <w:r>
      <w:rPr>
        <w:rFonts w:ascii="Times New Roman" w:eastAsia="Calibri" w:hAnsi="Times New Roman"/>
        <w:noProof/>
        <w:sz w:val="16"/>
        <w:szCs w:val="16"/>
        <w:bdr w:val="nil"/>
        <w:lang w:val="en-US"/>
      </w:rPr>
      <w:t>18</w:t>
    </w:r>
    <w:r>
      <w:rPr>
        <w:rFonts w:ascii="Times New Roman" w:eastAsia="Calibri" w:hAnsi="Times New Roman"/>
        <w:noProof/>
        <w:sz w:val="16"/>
        <w:szCs w:val="16"/>
        <w:bdr w:val="nil"/>
        <w:lang w:val="en-US"/>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36</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6"/>
      <w:pBdr>
        <w:top w:val="nil"/>
        <w:left w:val="nil"/>
        <w:bottom w:val="nil"/>
        <w:right w:val="nil"/>
        <w:between w:val="nil"/>
        <w:bar w:val="nil"/>
      </w:pBdr>
      <w:spacing w:after="200" w:line="276" w:lineRule="auto"/>
      <w:jc w:val="right"/>
      <w:rPr>
        <w:rFonts w:ascii="Times New Roman" w:eastAsia="Calibri" w:hAnsi="Times New Roman"/>
        <w:sz w:val="16"/>
        <w:szCs w:val="16"/>
        <w:bdr w:val="nil"/>
        <w:lang w:val="en-US"/>
      </w:rPr>
    </w:pPr>
    <w:r>
      <w:rPr>
        <w:rFonts w:ascii="Times New Roman" w:eastAsia="Calibri" w:hAnsi="Times New Roman"/>
        <w:sz w:val="16"/>
        <w:szCs w:val="16"/>
        <w:bdr w:val="nil"/>
        <w:lang w:val="en-US"/>
      </w:rPr>
      <w:t xml:space="preserve">Page </w:t>
    </w:r>
    <w:r>
      <w:rPr>
        <w:rFonts w:ascii="Times New Roman" w:eastAsia="Calibri" w:hAnsi="Times New Roman"/>
        <w:sz w:val="16"/>
        <w:szCs w:val="16"/>
        <w:bdr w:val="nil"/>
        <w:lang w:val="en-US"/>
      </w:rPr>
      <w:fldChar w:fldCharType="begin"/>
    </w:r>
    <w:r>
      <w:rPr>
        <w:rFonts w:ascii="Times New Roman" w:eastAsia="Calibri" w:hAnsi="Times New Roman"/>
        <w:sz w:val="16"/>
        <w:szCs w:val="16"/>
        <w:bdr w:val="nil"/>
        <w:lang w:val="en-US"/>
      </w:rPr>
      <w:instrText xml:space="preserve"> PAGE   \* MERGEFORMAT </w:instrText>
    </w:r>
    <w:r>
      <w:rPr>
        <w:rFonts w:ascii="Times New Roman" w:eastAsia="Calibri" w:hAnsi="Times New Roman"/>
        <w:sz w:val="16"/>
        <w:szCs w:val="16"/>
        <w:bdr w:val="nil"/>
        <w:lang w:val="en-US"/>
      </w:rPr>
      <w:fldChar w:fldCharType="separate"/>
    </w:r>
    <w:r>
      <w:rPr>
        <w:rFonts w:ascii="Times New Roman" w:eastAsia="Calibri" w:hAnsi="Times New Roman"/>
        <w:noProof/>
        <w:sz w:val="16"/>
        <w:szCs w:val="16"/>
        <w:bdr w:val="nil"/>
        <w:lang w:val="en-US"/>
      </w:rPr>
      <w:t>20</w:t>
    </w:r>
    <w:r>
      <w:rPr>
        <w:rFonts w:ascii="Times New Roman" w:eastAsia="Calibri" w:hAnsi="Times New Roman"/>
        <w:noProof/>
        <w:sz w:val="16"/>
        <w:szCs w:val="16"/>
        <w:bdr w:val="ni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38</w:t>
    </w:r>
    <w:r>
      <w:rPr>
        <w:noProof/>
      </w:rPr>
      <w:fldChar w:fldCharType="end"/>
    </w:r>
  </w:p>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6"/>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p/>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41</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spacing w:after="200" w:line="276" w:lineRule="auto"/>
      <w:ind w:left="720" w:firstLine="720"/>
      <w:rPr>
        <w:rFonts w:eastAsia="Calibri"/>
        <w:sz w:val="20"/>
        <w:bdr w:val="nil"/>
        <w:lang w:val="en-US"/>
      </w:rPr>
    </w:pPr>
  </w:p>
  <w:p>
    <w:pPr>
      <w:pBdr>
        <w:top w:val="nil"/>
        <w:left w:val="nil"/>
        <w:bottom w:val="nil"/>
        <w:right w:val="nil"/>
        <w:between w:val="nil"/>
        <w:bar w:val="nil"/>
      </w:pBdr>
      <w:spacing w:after="200" w:line="276" w:lineRule="auto"/>
      <w:ind w:left="720" w:firstLine="720"/>
      <w:rPr>
        <w:rFonts w:eastAsia="Calibri"/>
        <w:sz w:val="20"/>
        <w:bdr w:val="nil"/>
        <w:lang w:val="en-US"/>
      </w:rPr>
    </w:pPr>
    <w:r>
      <w:rPr>
        <w:rFonts w:eastAsia="Calibri"/>
        <w:sz w:val="20"/>
        <w:bdr w:val="nil"/>
        <w:lang w:val="en-US"/>
      </w:rPr>
      <w:t>The accompanying notes form an integral part of these financial statements.</w:t>
    </w:r>
  </w:p>
  <w:p>
    <w:pPr>
      <w:pBdr>
        <w:top w:val="nil"/>
        <w:left w:val="nil"/>
        <w:bottom w:val="nil"/>
        <w:right w:val="nil"/>
        <w:between w:val="nil"/>
        <w:bar w:val="nil"/>
      </w:pBdr>
      <w:spacing w:after="200" w:line="276" w:lineRule="auto"/>
      <w:jc w:val="right"/>
      <w:rPr>
        <w:rFonts w:eastAsia="Calibri"/>
        <w:sz w:val="16"/>
        <w:szCs w:val="16"/>
        <w:bdr w:val="nil"/>
        <w:lang w:val="en-US"/>
      </w:rPr>
    </w:pPr>
    <w:r>
      <w:rPr>
        <w:rFonts w:eastAsia="Calibri"/>
        <w:sz w:val="16"/>
        <w:szCs w:val="16"/>
        <w:bdr w:val="nil"/>
        <w:lang w:val="en-US"/>
      </w:rPr>
      <w:t xml:space="preserve">Page </w:t>
    </w:r>
    <w:r>
      <w:rPr>
        <w:rFonts w:eastAsia="Calibri"/>
        <w:sz w:val="16"/>
        <w:szCs w:val="16"/>
        <w:bdr w:val="nil"/>
        <w:lang w:val="en-US"/>
      </w:rPr>
      <w:fldChar w:fldCharType="begin"/>
    </w:r>
    <w:r>
      <w:rPr>
        <w:rFonts w:eastAsia="Calibri"/>
        <w:sz w:val="16"/>
        <w:szCs w:val="16"/>
        <w:bdr w:val="nil"/>
        <w:lang w:val="en-US"/>
      </w:rPr>
      <w:instrText xml:space="preserve"> PAGE   \* MERGEFORMAT </w:instrText>
    </w:r>
    <w:r>
      <w:rPr>
        <w:rFonts w:eastAsia="Calibri"/>
        <w:sz w:val="16"/>
        <w:szCs w:val="16"/>
        <w:bdr w:val="nil"/>
        <w:lang w:val="en-US"/>
      </w:rPr>
      <w:fldChar w:fldCharType="separate"/>
    </w:r>
    <w:r>
      <w:rPr>
        <w:rFonts w:eastAsia="Calibri"/>
        <w:noProof/>
        <w:sz w:val="16"/>
        <w:szCs w:val="16"/>
        <w:bdr w:val="nil"/>
        <w:lang w:val="en-US"/>
      </w:rPr>
      <w:t>2</w:t>
    </w:r>
    <w:r>
      <w:rPr>
        <w:rFonts w:eastAsia="Calibri"/>
        <w:noProof/>
        <w:sz w:val="16"/>
        <w:szCs w:val="16"/>
        <w:bdr w:val="nil"/>
        <w:lang w:val="en-U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spacing w:after="200" w:line="276" w:lineRule="auto"/>
      <w:ind w:left="720" w:firstLine="720"/>
      <w:rPr>
        <w:rFonts w:eastAsia="Calibri"/>
        <w:sz w:val="20"/>
        <w:bdr w:val="nil"/>
        <w:lang w:val="en-US"/>
      </w:rPr>
    </w:pPr>
  </w:p>
  <w:p>
    <w:pPr>
      <w:pStyle w:val="Footer"/>
      <w:jc w:val="center"/>
    </w:pPr>
    <w:r>
      <w:fldChar w:fldCharType="begin"/>
    </w:r>
    <w:r>
      <w:instrText xml:space="preserve"> PAGE   \* MERGEFORMAT </w:instrText>
    </w:r>
    <w:r>
      <w:fldChar w:fldCharType="separate"/>
    </w:r>
    <w:r>
      <w:rPr>
        <w:noProof/>
      </w:rPr>
      <w:t>18</w:t>
    </w:r>
    <w:r>
      <w:rPr>
        <w:noProof/>
      </w:rPr>
      <w:fldChar w:fldCharType="end"/>
    </w:r>
  </w:p>
  <w:p>
    <w:pPr>
      <w:pBdr>
        <w:top w:val="nil"/>
        <w:left w:val="nil"/>
        <w:bottom w:val="nil"/>
        <w:right w:val="nil"/>
        <w:between w:val="nil"/>
        <w:bar w:val="nil"/>
      </w:pBdr>
      <w:spacing w:after="200" w:line="276" w:lineRule="auto"/>
      <w:jc w:val="right"/>
      <w:rPr>
        <w:rFonts w:eastAsia="Calibri"/>
        <w:sz w:val="16"/>
        <w:szCs w:val="16"/>
        <w:bdr w:val="nil"/>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rPr>
        <w:bdr w:val="ni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360" w:hanging="360"/>
        <w:rPr>
          <w:sz w:val="18"/>
          <w:szCs w:val="18"/>
        </w:rPr>
      </w:pPr>
      <w:r>
        <w:rPr>
          <w:rStyle w:val="FootnoteReference"/>
          <w:sz w:val="18"/>
          <w:szCs w:val="18"/>
        </w:rPr>
        <w:footnoteRef/>
      </w:r>
      <w:r>
        <w:rPr>
          <w:sz w:val="18"/>
          <w:szCs w:val="18"/>
        </w:rPr>
        <w:tab/>
        <w:t>The balance of total assets includes a contribution receivable of EUR 137.8 million which is due to be paid in 2018 (2016: EUR 240.5 million). In the chart presented in figure 1 contributions receivable are recognized as assets in December of the corresponding years.</w:t>
      </w:r>
    </w:p>
  </w:footnote>
  <w:footnote w:id="2">
    <w:p>
      <w:pPr>
        <w:pStyle w:val="FootnoteText"/>
        <w:ind w:left="360" w:hanging="360"/>
        <w:rPr>
          <w:sz w:val="18"/>
        </w:rPr>
      </w:pPr>
      <w:r>
        <w:rPr>
          <w:rStyle w:val="FootnoteReference"/>
          <w:sz w:val="18"/>
          <w:szCs w:val="18"/>
        </w:rPr>
        <w:footnoteRef/>
      </w:r>
      <w:r>
        <w:rPr>
          <w:sz w:val="18"/>
          <w:szCs w:val="18"/>
        </w:rPr>
        <w:tab/>
        <w:t>The Available for Sale portfolio also includes</w:t>
      </w:r>
      <w:r>
        <w:t xml:space="preserve"> </w:t>
      </w:r>
      <w:r>
        <w:rPr>
          <w:sz w:val="18"/>
        </w:rPr>
        <w:t>the zero-coupon bonds and commercial papers with original maturities of more than three months.</w:t>
      </w:r>
    </w:p>
  </w:footnote>
  <w:footnote w:id="3">
    <w:p>
      <w:pPr>
        <w:pStyle w:val="FootnoteText"/>
        <w:ind w:left="360" w:hanging="360"/>
      </w:pPr>
      <w:r>
        <w:rPr>
          <w:rStyle w:val="FootnoteReference"/>
          <w:sz w:val="18"/>
        </w:rPr>
        <w:footnoteRef/>
      </w:r>
      <w:r>
        <w:tab/>
      </w:r>
      <w:r>
        <w:rPr>
          <w:sz w:val="18"/>
        </w:rPr>
        <w:t>This amount does not include the zero-coupon bonds and commercial papers.</w:t>
      </w:r>
    </w:p>
  </w:footnote>
  <w:footnote w:id="4">
    <w:p>
      <w:pPr>
        <w:pStyle w:val="FootnoteText"/>
        <w:ind w:left="360" w:hanging="360"/>
      </w:pPr>
      <w:r>
        <w:rPr>
          <w:rStyle w:val="FootnoteReference"/>
          <w:sz w:val="18"/>
        </w:rPr>
        <w:footnoteRef/>
      </w:r>
      <w:r>
        <w:rPr>
          <w:sz w:val="18"/>
        </w:rPr>
        <w:tab/>
        <w:t>The fixed rate portfolio includes the zero-coupon bonds and commercial papers.</w:t>
      </w:r>
    </w:p>
  </w:footnote>
  <w:footnote w:id="5">
    <w:p>
      <w:pPr>
        <w:pStyle w:val="FootnoteText"/>
        <w:ind w:left="360" w:hanging="360"/>
        <w:contextualSpacing/>
      </w:pPr>
      <w:r>
        <w:rPr>
          <w:rStyle w:val="FootnoteReference"/>
        </w:rPr>
        <w:footnoteRef/>
      </w:r>
      <w:r>
        <w:tab/>
      </w:r>
      <w:r>
        <w:rPr>
          <w:sz w:val="18"/>
          <w:szCs w:val="18"/>
        </w:rPr>
        <w:t>Member States securities (including securities guaranteed by Member States) may be kept in an event of downgrade below the minimum requirements. This applies also to cases where the rating downgrade would trigger a lower limit</w:t>
      </w:r>
      <w:r>
        <w:rPr>
          <w:color w:val="000000"/>
          <w:sz w:val="18"/>
          <w:szCs w:val="18"/>
        </w:rPr>
        <w:t>.</w:t>
      </w:r>
    </w:p>
  </w:footnote>
  <w:footnote w:id="6">
    <w:p>
      <w:pPr>
        <w:pStyle w:val="FootnoteText"/>
        <w:ind w:left="360" w:hanging="360"/>
        <w:contextualSpacing/>
      </w:pPr>
      <w:r>
        <w:rPr>
          <w:rStyle w:val="FootnoteReference"/>
        </w:rPr>
        <w:footnoteRef/>
      </w:r>
      <w:r>
        <w:tab/>
      </w:r>
      <w:r>
        <w:rPr>
          <w:sz w:val="18"/>
          <w:szCs w:val="18"/>
        </w:rPr>
        <w:t xml:space="preserve">Reported ratings are ratings of the respective issues. In the absence of all bond/issue ratings, the respective issuer ratings (in case of guaranteed positions the guarantor ratings) have been reported. </w:t>
      </w:r>
    </w:p>
  </w:footnote>
  <w:footnote w:id="7">
    <w:p>
      <w:pPr>
        <w:pStyle w:val="FootnoteText"/>
        <w:ind w:left="360" w:hanging="360"/>
        <w:rPr>
          <w:lang w:val="en-US"/>
        </w:rPr>
      </w:pPr>
      <w:r>
        <w:rPr>
          <w:rStyle w:val="FootnoteReference"/>
        </w:rPr>
        <w:footnoteRef/>
      </w:r>
      <w:r>
        <w:tab/>
      </w:r>
      <w:r>
        <w:rPr>
          <w:color w:val="000000"/>
          <w:sz w:val="18"/>
          <w:szCs w:val="18"/>
        </w:rPr>
        <w:t>The “Other” category presented in figure 10 includes: Member State Baa1 (2.14%), Supranational Aa1 (2.10%), Member State Aa3 (1.66%), Corporates Aa1 (1.19%), Banks Aaa (0.95%), Member State A3 (0.67%), Covered Bonds A2 (0.29%), Non-EU Public Institution Aa2 (0.24%), Non-EU Public Institution Aaa (0.19%)</w:t>
      </w:r>
    </w:p>
  </w:footnote>
  <w:footnote w:id="8">
    <w:p>
      <w:pPr>
        <w:pStyle w:val="FootnoteText"/>
        <w:ind w:left="360" w:hanging="360"/>
      </w:pPr>
      <w:r>
        <w:rPr>
          <w:rStyle w:val="FootnoteReference"/>
        </w:rPr>
        <w:footnoteRef/>
      </w:r>
      <w:r>
        <w:rPr>
          <w:sz w:val="18"/>
          <w:szCs w:val="18"/>
        </w:rPr>
        <w:tab/>
        <w:t>Decision of the Accounting Officer. Subject: Presentation of the Guarantee Fund for external actions and other available for sale portfolios (Ref. Ares (2013) 122752 – 31/01/2013).</w:t>
      </w:r>
    </w:p>
  </w:footnote>
  <w:footnote w:id="9">
    <w:p>
      <w:pPr>
        <w:pStyle w:val="FootnoteText0"/>
        <w:spacing w:after="40" w:line="120" w:lineRule="atLeast"/>
        <w:ind w:left="360" w:hanging="360"/>
        <w:jc w:val="both"/>
        <w:rPr>
          <w:rFonts w:ascii="Times New Roman" w:hAnsi="Times New Roman"/>
          <w:sz w:val="18"/>
          <w:szCs w:val="18"/>
        </w:rPr>
      </w:pPr>
      <w:r>
        <w:rPr>
          <w:rStyle w:val="FootnoteReference"/>
          <w:rFonts w:ascii="Times New Roman" w:hAnsi="Times New Roman"/>
          <w:sz w:val="20"/>
          <w:szCs w:val="20"/>
        </w:rPr>
        <w:footnoteRef/>
      </w:r>
      <w:r>
        <w:tab/>
      </w:r>
      <w:r>
        <w:rPr>
          <w:rFonts w:ascii="Times New Roman" w:hAnsi="Times New Roman"/>
          <w:sz w:val="18"/>
          <w:szCs w:val="18"/>
        </w:rPr>
        <w:t>The interinstitutional Agreement between the European Parliament, the Council and the Commission on budgetary discipline and sound financial management adopted on 25 November 2013 sets the multiannual financial framework of the European Union for the period 2014 to 2020.</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spacing w:line="276" w:lineRule="auto"/>
      <w:jc w:val="center"/>
      <w:rPr>
        <w:rFonts w:eastAsia="Calibri"/>
        <w:bdr w:val="nil"/>
        <w:lang w:val="en-US"/>
      </w:rPr>
    </w:pPr>
    <w:r>
      <w:rPr>
        <w:rFonts w:eastAsia="Calibri"/>
        <w:bdr w:val="nil"/>
        <w:lang w:val="en-US"/>
      </w:rPr>
      <w:t>GUARANTEE FUND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spacing w:line="276" w:lineRule="auto"/>
      <w:rPr>
        <w:rFonts w:eastAsia="Calibri"/>
        <w:bdr w:val="nil"/>
        <w:lang w:val="en-U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rPr>
        <w:bdr w:val="ni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spacing w:line="276" w:lineRule="auto"/>
      <w:jc w:val="center"/>
      <w:rPr>
        <w:rFonts w:eastAsia="Calibri"/>
        <w:bdr w:val="nil"/>
        <w:lang w:val="en-US"/>
      </w:rPr>
    </w:pPr>
    <w:r>
      <w:rPr>
        <w:rFonts w:eastAsia="Calibri"/>
        <w:bdr w:val="nil"/>
        <w:lang w:val="en-US"/>
      </w:rPr>
      <w:t>GUARANTEE FUND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spacing w:line="276" w:lineRule="auto"/>
      <w:jc w:val="center"/>
      <w:rPr>
        <w:rFonts w:eastAsia="Calibri"/>
        <w:bdr w:val="nil"/>
        <w:lang w:val="en-U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rPr>
        <w:bdr w:val="ni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Bdr>
        <w:top w:val="nil"/>
        <w:left w:val="nil"/>
        <w:bottom w:val="nil"/>
        <w:right w:val="nil"/>
        <w:between w:val="nil"/>
        <w:bar w:val="nil"/>
      </w:pBdr>
      <w:spacing w:line="276" w:lineRule="auto"/>
      <w:jc w:val="center"/>
      <w:rPr>
        <w:rFonts w:ascii="Times New Roman" w:eastAsia="Calibri" w:hAnsi="Times New Roman"/>
        <w:bdr w:val="nil"/>
        <w:lang w:val="en-US"/>
      </w:rPr>
    </w:pPr>
    <w:r>
      <w:rPr>
        <w:rFonts w:ascii="Times New Roman" w:eastAsia="Calibri" w:hAnsi="Times New Roman"/>
        <w:bdr w:val="nil"/>
        <w:lang w:val="en-US"/>
      </w:rPr>
      <w:t>GUARANTEE FUND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Bdr>
        <w:top w:val="nil"/>
        <w:left w:val="nil"/>
        <w:bottom w:val="nil"/>
        <w:right w:val="nil"/>
        <w:between w:val="nil"/>
        <w:bar w:val="nil"/>
      </w:pBdr>
      <w:spacing w:after="0" w:line="276" w:lineRule="auto"/>
      <w:rPr>
        <w:rFonts w:ascii="Times New Roman" w:eastAsia="Calibri" w:hAnsi="Times New Roman"/>
        <w:bdr w:val="nil"/>
        <w:lang w:val="en-U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6"/>
      <w:pBdr>
        <w:top w:val="nil"/>
        <w:left w:val="nil"/>
        <w:bottom w:val="nil"/>
        <w:right w:val="nil"/>
        <w:between w:val="nil"/>
        <w:bar w:val="nil"/>
      </w:pBdr>
      <w:spacing w:line="276" w:lineRule="auto"/>
      <w:jc w:val="center"/>
      <w:rPr>
        <w:rFonts w:ascii="Times New Roman" w:eastAsia="Calibri" w:hAnsi="Times New Roman"/>
        <w:bdr w:val="nil"/>
        <w:lang w:val="en-US"/>
      </w:rPr>
    </w:pPr>
    <w:r>
      <w:rPr>
        <w:rFonts w:ascii="Times New Roman" w:eastAsia="Calibri" w:hAnsi="Times New Roman"/>
        <w:bdr w:val="nil"/>
        <w:lang w:val="en-US"/>
      </w:rPr>
      <w:t>GUARANTEE FUND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6"/>
      <w:pBdr>
        <w:top w:val="nil"/>
        <w:left w:val="nil"/>
        <w:bottom w:val="nil"/>
        <w:right w:val="nil"/>
        <w:between w:val="nil"/>
        <w:bar w:val="nil"/>
      </w:pBdr>
      <w:spacing w:line="276" w:lineRule="auto"/>
      <w:jc w:val="center"/>
      <w:rPr>
        <w:rFonts w:ascii="Times New Roman" w:eastAsia="Calibri" w:hAnsi="Times New Roman"/>
        <w:bdr w:val="nil"/>
        <w:lang w:val="en-US"/>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6"/>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lang w:val="es-ES"/>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spacing w:line="276" w:lineRule="auto"/>
      <w:jc w:val="center"/>
      <w:rPr>
        <w:rFonts w:eastAsia="Calibri"/>
        <w:bdr w:val="nil"/>
        <w:lang w:val="en-US"/>
      </w:rPr>
    </w:pPr>
    <w:r>
      <w:rPr>
        <w:rFonts w:eastAsia="Calibri"/>
        <w:bdr w:val="nil"/>
        <w:lang w:val="en-US"/>
      </w:rPr>
      <w:t>GUARANTEE FUND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rPr>
        <w:bdr w:val="ni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46AF94"/>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4"/>
    <w:lvl w:ilvl="0">
      <w:start w:val="1"/>
      <w:numFmt w:val="bullet"/>
      <w:lvlText w:val=""/>
      <w:lvlJc w:val="left"/>
      <w:pPr>
        <w:tabs>
          <w:tab w:val="num" w:pos="360"/>
        </w:tabs>
        <w:ind w:left="360" w:hanging="360"/>
      </w:pPr>
      <w:rPr>
        <w:rFonts w:ascii="Symbol" w:hAnsi="Symbol"/>
      </w:rPr>
    </w:lvl>
  </w:abstractNum>
  <w:abstractNum w:abstractNumId="3">
    <w:nsid w:val="00000006"/>
    <w:multiLevelType w:val="singleLevel"/>
    <w:tmpl w:val="00000006"/>
    <w:name w:val="WW8Num5"/>
    <w:lvl w:ilvl="0">
      <w:start w:val="2"/>
      <w:numFmt w:val="bullet"/>
      <w:lvlText w:val="-"/>
      <w:lvlJc w:val="left"/>
      <w:pPr>
        <w:tabs>
          <w:tab w:val="num" w:pos="360"/>
        </w:tabs>
        <w:ind w:left="360" w:hanging="360"/>
      </w:pPr>
      <w:rPr>
        <w:rFonts w:ascii="Times New Roman" w:hAnsi="Times New Roman"/>
      </w:rPr>
    </w:lvl>
  </w:abstractNum>
  <w:abstractNum w:abstractNumId="4">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E43525"/>
    <w:multiLevelType w:val="multilevel"/>
    <w:tmpl w:val="76202BFE"/>
    <w:name w:val="List Bullet 2__2"/>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DD5905"/>
    <w:multiLevelType w:val="singleLevel"/>
    <w:tmpl w:val="6CB4B73E"/>
    <w:name w:val="List Number 3"/>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5592001"/>
    <w:multiLevelType w:val="singleLevel"/>
    <w:tmpl w:val="3C6C7C7E"/>
    <w:lvl w:ilvl="0">
      <w:start w:val="1"/>
      <w:numFmt w:val="bullet"/>
      <w:lvlRestart w:val="0"/>
      <w:lvlText w:val=""/>
      <w:lvlJc w:val="left"/>
      <w:pPr>
        <w:tabs>
          <w:tab w:val="num" w:pos="850"/>
        </w:tabs>
        <w:ind w:left="850" w:hanging="85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1FC0C14"/>
    <w:multiLevelType w:val="hybridMultilevel"/>
    <w:tmpl w:val="1BDACAF8"/>
    <w:lvl w:ilvl="0" w:tplc="7CA6864A">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Times New Roman"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Times New Roman"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Times New Roman"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10">
    <w:nsid w:val="21FC0C16"/>
    <w:multiLevelType w:val="hybridMultilevel"/>
    <w:tmpl w:val="7B5AA760"/>
    <w:lvl w:ilvl="0" w:tplc="660A1640">
      <w:start w:val="1"/>
      <w:numFmt w:val="bullet"/>
      <w:lvlText w:val=""/>
      <w:lvlJc w:val="left"/>
      <w:pPr>
        <w:tabs>
          <w:tab w:val="num" w:pos="720"/>
        </w:tabs>
        <w:ind w:left="720" w:hanging="360"/>
      </w:pPr>
      <w:rPr>
        <w:rFonts w:ascii="Symbol" w:hAnsi="Symbol" w:hint="default"/>
      </w:rPr>
    </w:lvl>
    <w:lvl w:ilvl="1" w:tplc="FD261FEE" w:tentative="1">
      <w:start w:val="1"/>
      <w:numFmt w:val="bullet"/>
      <w:lvlText w:val="o"/>
      <w:lvlJc w:val="left"/>
      <w:pPr>
        <w:tabs>
          <w:tab w:val="num" w:pos="1440"/>
        </w:tabs>
        <w:ind w:left="1440" w:hanging="360"/>
      </w:pPr>
      <w:rPr>
        <w:rFonts w:ascii="Courier New" w:hAnsi="Courier New" w:hint="default"/>
      </w:rPr>
    </w:lvl>
    <w:lvl w:ilvl="2" w:tplc="47502D70" w:tentative="1">
      <w:start w:val="1"/>
      <w:numFmt w:val="bullet"/>
      <w:lvlText w:val=""/>
      <w:lvlJc w:val="left"/>
      <w:pPr>
        <w:tabs>
          <w:tab w:val="num" w:pos="2160"/>
        </w:tabs>
        <w:ind w:left="2160" w:hanging="360"/>
      </w:pPr>
      <w:rPr>
        <w:rFonts w:ascii="Wingdings" w:hAnsi="Wingdings" w:hint="default"/>
      </w:rPr>
    </w:lvl>
    <w:lvl w:ilvl="3" w:tplc="AF9C779A" w:tentative="1">
      <w:start w:val="1"/>
      <w:numFmt w:val="bullet"/>
      <w:lvlText w:val=""/>
      <w:lvlJc w:val="left"/>
      <w:pPr>
        <w:tabs>
          <w:tab w:val="num" w:pos="2880"/>
        </w:tabs>
        <w:ind w:left="2880" w:hanging="360"/>
      </w:pPr>
      <w:rPr>
        <w:rFonts w:ascii="Symbol" w:hAnsi="Symbol" w:hint="default"/>
      </w:rPr>
    </w:lvl>
    <w:lvl w:ilvl="4" w:tplc="F42C01C0" w:tentative="1">
      <w:start w:val="1"/>
      <w:numFmt w:val="bullet"/>
      <w:lvlText w:val="o"/>
      <w:lvlJc w:val="left"/>
      <w:pPr>
        <w:tabs>
          <w:tab w:val="num" w:pos="3600"/>
        </w:tabs>
        <w:ind w:left="3600" w:hanging="360"/>
      </w:pPr>
      <w:rPr>
        <w:rFonts w:ascii="Courier New" w:hAnsi="Courier New" w:hint="default"/>
      </w:rPr>
    </w:lvl>
    <w:lvl w:ilvl="5" w:tplc="5E80D9D6" w:tentative="1">
      <w:start w:val="1"/>
      <w:numFmt w:val="bullet"/>
      <w:lvlText w:val=""/>
      <w:lvlJc w:val="left"/>
      <w:pPr>
        <w:tabs>
          <w:tab w:val="num" w:pos="4320"/>
        </w:tabs>
        <w:ind w:left="4320" w:hanging="360"/>
      </w:pPr>
      <w:rPr>
        <w:rFonts w:ascii="Wingdings" w:hAnsi="Wingdings" w:hint="default"/>
      </w:rPr>
    </w:lvl>
    <w:lvl w:ilvl="6" w:tplc="64A200C6" w:tentative="1">
      <w:start w:val="1"/>
      <w:numFmt w:val="bullet"/>
      <w:lvlText w:val=""/>
      <w:lvlJc w:val="left"/>
      <w:pPr>
        <w:tabs>
          <w:tab w:val="num" w:pos="5040"/>
        </w:tabs>
        <w:ind w:left="5040" w:hanging="360"/>
      </w:pPr>
      <w:rPr>
        <w:rFonts w:ascii="Symbol" w:hAnsi="Symbol" w:hint="default"/>
      </w:rPr>
    </w:lvl>
    <w:lvl w:ilvl="7" w:tplc="02E8B8AC" w:tentative="1">
      <w:start w:val="1"/>
      <w:numFmt w:val="bullet"/>
      <w:lvlText w:val="o"/>
      <w:lvlJc w:val="left"/>
      <w:pPr>
        <w:tabs>
          <w:tab w:val="num" w:pos="5760"/>
        </w:tabs>
        <w:ind w:left="5760" w:hanging="360"/>
      </w:pPr>
      <w:rPr>
        <w:rFonts w:ascii="Courier New" w:hAnsi="Courier New" w:hint="default"/>
      </w:rPr>
    </w:lvl>
    <w:lvl w:ilvl="8" w:tplc="2D0A5088" w:tentative="1">
      <w:start w:val="1"/>
      <w:numFmt w:val="bullet"/>
      <w:lvlText w:val=""/>
      <w:lvlJc w:val="left"/>
      <w:pPr>
        <w:tabs>
          <w:tab w:val="num" w:pos="6480"/>
        </w:tabs>
        <w:ind w:left="6480" w:hanging="360"/>
      </w:pPr>
      <w:rPr>
        <w:rFonts w:ascii="Wingdings" w:hAnsi="Wingdings" w:hint="default"/>
      </w:rPr>
    </w:lvl>
  </w:abstractNum>
  <w:abstractNum w:abstractNumId="11">
    <w:nsid w:val="21FC0C18"/>
    <w:multiLevelType w:val="hybridMultilevel"/>
    <w:tmpl w:val="96D2945E"/>
    <w:lvl w:ilvl="0" w:tplc="0F5A6448">
      <w:start w:val="2"/>
      <w:numFmt w:val="bullet"/>
      <w:lvlText w:val="-"/>
      <w:lvlJc w:val="left"/>
      <w:pPr>
        <w:ind w:left="720" w:hanging="360"/>
      </w:pPr>
      <w:rPr>
        <w:rFonts w:ascii="Times New Roman" w:eastAsia="Times New Roman" w:hAnsi="Times New Roman" w:cs="Times New Roman" w:hint="default"/>
      </w:rPr>
    </w:lvl>
    <w:lvl w:ilvl="1" w:tplc="9CD42176" w:tentative="1">
      <w:start w:val="1"/>
      <w:numFmt w:val="bullet"/>
      <w:lvlText w:val="o"/>
      <w:lvlJc w:val="left"/>
      <w:pPr>
        <w:ind w:left="1440" w:hanging="360"/>
      </w:pPr>
      <w:rPr>
        <w:rFonts w:ascii="Courier New" w:hAnsi="Courier New" w:cs="Courier New" w:hint="default"/>
      </w:rPr>
    </w:lvl>
    <w:lvl w:ilvl="2" w:tplc="FC0E665E" w:tentative="1">
      <w:start w:val="1"/>
      <w:numFmt w:val="bullet"/>
      <w:lvlText w:val=""/>
      <w:lvlJc w:val="left"/>
      <w:pPr>
        <w:ind w:left="2160" w:hanging="360"/>
      </w:pPr>
      <w:rPr>
        <w:rFonts w:ascii="Wingdings" w:hAnsi="Wingdings" w:hint="default"/>
      </w:rPr>
    </w:lvl>
    <w:lvl w:ilvl="3" w:tplc="C462791E" w:tentative="1">
      <w:start w:val="1"/>
      <w:numFmt w:val="bullet"/>
      <w:lvlText w:val=""/>
      <w:lvlJc w:val="left"/>
      <w:pPr>
        <w:ind w:left="2880" w:hanging="360"/>
      </w:pPr>
      <w:rPr>
        <w:rFonts w:ascii="Symbol" w:hAnsi="Symbol" w:hint="default"/>
      </w:rPr>
    </w:lvl>
    <w:lvl w:ilvl="4" w:tplc="D5BAE3DC" w:tentative="1">
      <w:start w:val="1"/>
      <w:numFmt w:val="bullet"/>
      <w:lvlText w:val="o"/>
      <w:lvlJc w:val="left"/>
      <w:pPr>
        <w:ind w:left="3600" w:hanging="360"/>
      </w:pPr>
      <w:rPr>
        <w:rFonts w:ascii="Courier New" w:hAnsi="Courier New" w:cs="Courier New" w:hint="default"/>
      </w:rPr>
    </w:lvl>
    <w:lvl w:ilvl="5" w:tplc="05C0D0CA" w:tentative="1">
      <w:start w:val="1"/>
      <w:numFmt w:val="bullet"/>
      <w:lvlText w:val=""/>
      <w:lvlJc w:val="left"/>
      <w:pPr>
        <w:ind w:left="4320" w:hanging="360"/>
      </w:pPr>
      <w:rPr>
        <w:rFonts w:ascii="Wingdings" w:hAnsi="Wingdings" w:hint="default"/>
      </w:rPr>
    </w:lvl>
    <w:lvl w:ilvl="6" w:tplc="6992A34A" w:tentative="1">
      <w:start w:val="1"/>
      <w:numFmt w:val="bullet"/>
      <w:lvlText w:val=""/>
      <w:lvlJc w:val="left"/>
      <w:pPr>
        <w:ind w:left="5040" w:hanging="360"/>
      </w:pPr>
      <w:rPr>
        <w:rFonts w:ascii="Symbol" w:hAnsi="Symbol" w:hint="default"/>
      </w:rPr>
    </w:lvl>
    <w:lvl w:ilvl="7" w:tplc="FE64F864" w:tentative="1">
      <w:start w:val="1"/>
      <w:numFmt w:val="bullet"/>
      <w:lvlText w:val="o"/>
      <w:lvlJc w:val="left"/>
      <w:pPr>
        <w:ind w:left="5760" w:hanging="360"/>
      </w:pPr>
      <w:rPr>
        <w:rFonts w:ascii="Courier New" w:hAnsi="Courier New" w:cs="Courier New" w:hint="default"/>
      </w:rPr>
    </w:lvl>
    <w:lvl w:ilvl="8" w:tplc="9E04AAF0" w:tentative="1">
      <w:start w:val="1"/>
      <w:numFmt w:val="bullet"/>
      <w:lvlText w:val=""/>
      <w:lvlJc w:val="left"/>
      <w:pPr>
        <w:ind w:left="6480" w:hanging="360"/>
      </w:pPr>
      <w:rPr>
        <w:rFonts w:ascii="Wingdings" w:hAnsi="Wingdings" w:hint="default"/>
      </w:rPr>
    </w:lvl>
  </w:abstractNum>
  <w:abstractNum w:abstractNumId="12">
    <w:nsid w:val="21FC0C1A"/>
    <w:multiLevelType w:val="hybridMultilevel"/>
    <w:tmpl w:val="6A06D2E6"/>
    <w:lvl w:ilvl="0" w:tplc="F2B00C0C">
      <w:start w:val="1"/>
      <w:numFmt w:val="bullet"/>
      <w:lvlText w:val="-"/>
      <w:lvlJc w:val="left"/>
      <w:pPr>
        <w:ind w:left="720" w:hanging="360"/>
      </w:pPr>
      <w:rPr>
        <w:rFonts w:ascii="Times New Roman" w:hAnsi="Times New Roman" w:cs="Times New Roman" w:hint="default"/>
        <w:b/>
        <w:i w:val="0"/>
      </w:rPr>
    </w:lvl>
    <w:lvl w:ilvl="1" w:tplc="82903D1A" w:tentative="1">
      <w:start w:val="1"/>
      <w:numFmt w:val="bullet"/>
      <w:lvlText w:val="o"/>
      <w:lvlJc w:val="left"/>
      <w:pPr>
        <w:ind w:left="1440" w:hanging="360"/>
      </w:pPr>
      <w:rPr>
        <w:rFonts w:ascii="Courier New" w:hAnsi="Courier New" w:cs="Courier New" w:hint="default"/>
      </w:rPr>
    </w:lvl>
    <w:lvl w:ilvl="2" w:tplc="6BEC9B7E" w:tentative="1">
      <w:start w:val="1"/>
      <w:numFmt w:val="bullet"/>
      <w:lvlText w:val=""/>
      <w:lvlJc w:val="left"/>
      <w:pPr>
        <w:ind w:left="2160" w:hanging="360"/>
      </w:pPr>
      <w:rPr>
        <w:rFonts w:ascii="Wingdings" w:hAnsi="Wingdings" w:hint="default"/>
      </w:rPr>
    </w:lvl>
    <w:lvl w:ilvl="3" w:tplc="D4B6EE7A" w:tentative="1">
      <w:start w:val="1"/>
      <w:numFmt w:val="bullet"/>
      <w:lvlText w:val=""/>
      <w:lvlJc w:val="left"/>
      <w:pPr>
        <w:ind w:left="2880" w:hanging="360"/>
      </w:pPr>
      <w:rPr>
        <w:rFonts w:ascii="Symbol" w:hAnsi="Symbol" w:hint="default"/>
      </w:rPr>
    </w:lvl>
    <w:lvl w:ilvl="4" w:tplc="83720C9A" w:tentative="1">
      <w:start w:val="1"/>
      <w:numFmt w:val="bullet"/>
      <w:lvlText w:val="o"/>
      <w:lvlJc w:val="left"/>
      <w:pPr>
        <w:ind w:left="3600" w:hanging="360"/>
      </w:pPr>
      <w:rPr>
        <w:rFonts w:ascii="Courier New" w:hAnsi="Courier New" w:cs="Courier New" w:hint="default"/>
      </w:rPr>
    </w:lvl>
    <w:lvl w:ilvl="5" w:tplc="AF420A94" w:tentative="1">
      <w:start w:val="1"/>
      <w:numFmt w:val="bullet"/>
      <w:lvlText w:val=""/>
      <w:lvlJc w:val="left"/>
      <w:pPr>
        <w:ind w:left="4320" w:hanging="360"/>
      </w:pPr>
      <w:rPr>
        <w:rFonts w:ascii="Wingdings" w:hAnsi="Wingdings" w:hint="default"/>
      </w:rPr>
    </w:lvl>
    <w:lvl w:ilvl="6" w:tplc="4DAC31DA" w:tentative="1">
      <w:start w:val="1"/>
      <w:numFmt w:val="bullet"/>
      <w:lvlText w:val=""/>
      <w:lvlJc w:val="left"/>
      <w:pPr>
        <w:ind w:left="5040" w:hanging="360"/>
      </w:pPr>
      <w:rPr>
        <w:rFonts w:ascii="Symbol" w:hAnsi="Symbol" w:hint="default"/>
      </w:rPr>
    </w:lvl>
    <w:lvl w:ilvl="7" w:tplc="E8883D7A" w:tentative="1">
      <w:start w:val="1"/>
      <w:numFmt w:val="bullet"/>
      <w:lvlText w:val="o"/>
      <w:lvlJc w:val="left"/>
      <w:pPr>
        <w:ind w:left="5760" w:hanging="360"/>
      </w:pPr>
      <w:rPr>
        <w:rFonts w:ascii="Courier New" w:hAnsi="Courier New" w:cs="Courier New" w:hint="default"/>
      </w:rPr>
    </w:lvl>
    <w:lvl w:ilvl="8" w:tplc="E52AFB6C" w:tentative="1">
      <w:start w:val="1"/>
      <w:numFmt w:val="bullet"/>
      <w:lvlText w:val=""/>
      <w:lvlJc w:val="left"/>
      <w:pPr>
        <w:ind w:left="6480" w:hanging="360"/>
      </w:pPr>
      <w:rPr>
        <w:rFonts w:ascii="Wingdings" w:hAnsi="Wingdings" w:hint="default"/>
      </w:rPr>
    </w:lvl>
  </w:abstractNum>
  <w:abstractNum w:abstractNumId="13">
    <w:nsid w:val="21FC0C1C"/>
    <w:multiLevelType w:val="hybridMultilevel"/>
    <w:tmpl w:val="503A131C"/>
    <w:lvl w:ilvl="0" w:tplc="2D64D206">
      <w:start w:val="4"/>
      <w:numFmt w:val="bullet"/>
      <w:lvlText w:val="-"/>
      <w:lvlJc w:val="left"/>
      <w:pPr>
        <w:tabs>
          <w:tab w:val="num" w:pos="1080"/>
        </w:tabs>
        <w:ind w:left="1080" w:hanging="360"/>
      </w:pPr>
      <w:rPr>
        <w:rFonts w:ascii="Times New Roman" w:eastAsia="Times New Roman" w:hAnsi="Times New Roman" w:cs="Times New Roman" w:hint="default"/>
      </w:rPr>
    </w:lvl>
    <w:lvl w:ilvl="1" w:tplc="C896BCEA" w:tentative="1">
      <w:start w:val="1"/>
      <w:numFmt w:val="bullet"/>
      <w:lvlText w:val="o"/>
      <w:lvlJc w:val="left"/>
      <w:pPr>
        <w:tabs>
          <w:tab w:val="num" w:pos="1800"/>
        </w:tabs>
        <w:ind w:left="1800" w:hanging="360"/>
      </w:pPr>
      <w:rPr>
        <w:rFonts w:ascii="Courier New" w:hAnsi="Courier New" w:cs="Courier New" w:hint="default"/>
      </w:rPr>
    </w:lvl>
    <w:lvl w:ilvl="2" w:tplc="CF187578" w:tentative="1">
      <w:start w:val="1"/>
      <w:numFmt w:val="bullet"/>
      <w:lvlText w:val=""/>
      <w:lvlJc w:val="left"/>
      <w:pPr>
        <w:tabs>
          <w:tab w:val="num" w:pos="2520"/>
        </w:tabs>
        <w:ind w:left="2520" w:hanging="360"/>
      </w:pPr>
      <w:rPr>
        <w:rFonts w:ascii="Wingdings" w:hAnsi="Wingdings" w:hint="default"/>
      </w:rPr>
    </w:lvl>
    <w:lvl w:ilvl="3" w:tplc="0E505426" w:tentative="1">
      <w:start w:val="1"/>
      <w:numFmt w:val="bullet"/>
      <w:lvlText w:val=""/>
      <w:lvlJc w:val="left"/>
      <w:pPr>
        <w:tabs>
          <w:tab w:val="num" w:pos="3240"/>
        </w:tabs>
        <w:ind w:left="3240" w:hanging="360"/>
      </w:pPr>
      <w:rPr>
        <w:rFonts w:ascii="Symbol" w:hAnsi="Symbol" w:hint="default"/>
      </w:rPr>
    </w:lvl>
    <w:lvl w:ilvl="4" w:tplc="A4F49A6C" w:tentative="1">
      <w:start w:val="1"/>
      <w:numFmt w:val="bullet"/>
      <w:lvlText w:val="o"/>
      <w:lvlJc w:val="left"/>
      <w:pPr>
        <w:tabs>
          <w:tab w:val="num" w:pos="3960"/>
        </w:tabs>
        <w:ind w:left="3960" w:hanging="360"/>
      </w:pPr>
      <w:rPr>
        <w:rFonts w:ascii="Courier New" w:hAnsi="Courier New" w:cs="Courier New" w:hint="default"/>
      </w:rPr>
    </w:lvl>
    <w:lvl w:ilvl="5" w:tplc="9794B80E" w:tentative="1">
      <w:start w:val="1"/>
      <w:numFmt w:val="bullet"/>
      <w:lvlText w:val=""/>
      <w:lvlJc w:val="left"/>
      <w:pPr>
        <w:tabs>
          <w:tab w:val="num" w:pos="4680"/>
        </w:tabs>
        <w:ind w:left="4680" w:hanging="360"/>
      </w:pPr>
      <w:rPr>
        <w:rFonts w:ascii="Wingdings" w:hAnsi="Wingdings" w:hint="default"/>
      </w:rPr>
    </w:lvl>
    <w:lvl w:ilvl="6" w:tplc="A5EE147C" w:tentative="1">
      <w:start w:val="1"/>
      <w:numFmt w:val="bullet"/>
      <w:lvlText w:val=""/>
      <w:lvlJc w:val="left"/>
      <w:pPr>
        <w:tabs>
          <w:tab w:val="num" w:pos="5400"/>
        </w:tabs>
        <w:ind w:left="5400" w:hanging="360"/>
      </w:pPr>
      <w:rPr>
        <w:rFonts w:ascii="Symbol" w:hAnsi="Symbol" w:hint="default"/>
      </w:rPr>
    </w:lvl>
    <w:lvl w:ilvl="7" w:tplc="41CE0620" w:tentative="1">
      <w:start w:val="1"/>
      <w:numFmt w:val="bullet"/>
      <w:lvlText w:val="o"/>
      <w:lvlJc w:val="left"/>
      <w:pPr>
        <w:tabs>
          <w:tab w:val="num" w:pos="6120"/>
        </w:tabs>
        <w:ind w:left="6120" w:hanging="360"/>
      </w:pPr>
      <w:rPr>
        <w:rFonts w:ascii="Courier New" w:hAnsi="Courier New" w:cs="Courier New" w:hint="default"/>
      </w:rPr>
    </w:lvl>
    <w:lvl w:ilvl="8" w:tplc="55587C16" w:tentative="1">
      <w:start w:val="1"/>
      <w:numFmt w:val="bullet"/>
      <w:lvlText w:val=""/>
      <w:lvlJc w:val="left"/>
      <w:pPr>
        <w:tabs>
          <w:tab w:val="num" w:pos="6840"/>
        </w:tabs>
        <w:ind w:left="6840" w:hanging="360"/>
      </w:pPr>
      <w:rPr>
        <w:rFonts w:ascii="Wingdings" w:hAnsi="Wingdings" w:hint="default"/>
      </w:rPr>
    </w:lvl>
  </w:abstractNum>
  <w:abstractNum w:abstractNumId="14">
    <w:nsid w:val="21FC0C20"/>
    <w:multiLevelType w:val="hybridMultilevel"/>
    <w:tmpl w:val="66E00488"/>
    <w:lvl w:ilvl="0" w:tplc="F42A8CD4">
      <w:start w:val="1"/>
      <w:numFmt w:val="bullet"/>
      <w:lvlText w:val=""/>
      <w:lvlJc w:val="left"/>
      <w:pPr>
        <w:tabs>
          <w:tab w:val="num" w:pos="720"/>
        </w:tabs>
        <w:ind w:left="720" w:hanging="360"/>
      </w:pPr>
      <w:rPr>
        <w:rFonts w:ascii="Symbol" w:hAnsi="Symbol" w:hint="default"/>
      </w:rPr>
    </w:lvl>
    <w:lvl w:ilvl="1" w:tplc="482C4B7C" w:tentative="1">
      <w:start w:val="1"/>
      <w:numFmt w:val="bullet"/>
      <w:lvlText w:val="o"/>
      <w:lvlJc w:val="left"/>
      <w:pPr>
        <w:tabs>
          <w:tab w:val="num" w:pos="1440"/>
        </w:tabs>
        <w:ind w:left="1440" w:hanging="360"/>
      </w:pPr>
      <w:rPr>
        <w:rFonts w:ascii="Courier New" w:hAnsi="Courier New" w:hint="default"/>
      </w:rPr>
    </w:lvl>
    <w:lvl w:ilvl="2" w:tplc="488EF0CC" w:tentative="1">
      <w:start w:val="1"/>
      <w:numFmt w:val="bullet"/>
      <w:lvlText w:val=""/>
      <w:lvlJc w:val="left"/>
      <w:pPr>
        <w:tabs>
          <w:tab w:val="num" w:pos="2160"/>
        </w:tabs>
        <w:ind w:left="2160" w:hanging="360"/>
      </w:pPr>
      <w:rPr>
        <w:rFonts w:ascii="Wingdings" w:hAnsi="Wingdings" w:hint="default"/>
      </w:rPr>
    </w:lvl>
    <w:lvl w:ilvl="3" w:tplc="65585580" w:tentative="1">
      <w:start w:val="1"/>
      <w:numFmt w:val="bullet"/>
      <w:lvlText w:val=""/>
      <w:lvlJc w:val="left"/>
      <w:pPr>
        <w:tabs>
          <w:tab w:val="num" w:pos="2880"/>
        </w:tabs>
        <w:ind w:left="2880" w:hanging="360"/>
      </w:pPr>
      <w:rPr>
        <w:rFonts w:ascii="Symbol" w:hAnsi="Symbol" w:hint="default"/>
      </w:rPr>
    </w:lvl>
    <w:lvl w:ilvl="4" w:tplc="A7CE0ABE" w:tentative="1">
      <w:start w:val="1"/>
      <w:numFmt w:val="bullet"/>
      <w:lvlText w:val="o"/>
      <w:lvlJc w:val="left"/>
      <w:pPr>
        <w:tabs>
          <w:tab w:val="num" w:pos="3600"/>
        </w:tabs>
        <w:ind w:left="3600" w:hanging="360"/>
      </w:pPr>
      <w:rPr>
        <w:rFonts w:ascii="Courier New" w:hAnsi="Courier New" w:hint="default"/>
      </w:rPr>
    </w:lvl>
    <w:lvl w:ilvl="5" w:tplc="8E082C14" w:tentative="1">
      <w:start w:val="1"/>
      <w:numFmt w:val="bullet"/>
      <w:lvlText w:val=""/>
      <w:lvlJc w:val="left"/>
      <w:pPr>
        <w:tabs>
          <w:tab w:val="num" w:pos="4320"/>
        </w:tabs>
        <w:ind w:left="4320" w:hanging="360"/>
      </w:pPr>
      <w:rPr>
        <w:rFonts w:ascii="Wingdings" w:hAnsi="Wingdings" w:hint="default"/>
      </w:rPr>
    </w:lvl>
    <w:lvl w:ilvl="6" w:tplc="86DC22CE" w:tentative="1">
      <w:start w:val="1"/>
      <w:numFmt w:val="bullet"/>
      <w:lvlText w:val=""/>
      <w:lvlJc w:val="left"/>
      <w:pPr>
        <w:tabs>
          <w:tab w:val="num" w:pos="5040"/>
        </w:tabs>
        <w:ind w:left="5040" w:hanging="360"/>
      </w:pPr>
      <w:rPr>
        <w:rFonts w:ascii="Symbol" w:hAnsi="Symbol" w:hint="default"/>
      </w:rPr>
    </w:lvl>
    <w:lvl w:ilvl="7" w:tplc="9B56CFA2" w:tentative="1">
      <w:start w:val="1"/>
      <w:numFmt w:val="bullet"/>
      <w:lvlText w:val="o"/>
      <w:lvlJc w:val="left"/>
      <w:pPr>
        <w:tabs>
          <w:tab w:val="num" w:pos="5760"/>
        </w:tabs>
        <w:ind w:left="5760" w:hanging="360"/>
      </w:pPr>
      <w:rPr>
        <w:rFonts w:ascii="Courier New" w:hAnsi="Courier New" w:hint="default"/>
      </w:rPr>
    </w:lvl>
    <w:lvl w:ilvl="8" w:tplc="1634463A" w:tentative="1">
      <w:start w:val="1"/>
      <w:numFmt w:val="bullet"/>
      <w:lvlText w:val=""/>
      <w:lvlJc w:val="left"/>
      <w:pPr>
        <w:tabs>
          <w:tab w:val="num" w:pos="6480"/>
        </w:tabs>
        <w:ind w:left="6480" w:hanging="360"/>
      </w:pPr>
      <w:rPr>
        <w:rFonts w:ascii="Wingdings" w:hAnsi="Wingdings" w:hint="default"/>
      </w:rPr>
    </w:lvl>
  </w:abstractNum>
  <w:abstractNum w:abstractNumId="15">
    <w:nsid w:val="21FC0C24"/>
    <w:multiLevelType w:val="hybridMultilevel"/>
    <w:tmpl w:val="5A2CB0A2"/>
    <w:lvl w:ilvl="0" w:tplc="5D76F00C">
      <w:start w:val="1"/>
      <w:numFmt w:val="bullet"/>
      <w:lvlText w:val=""/>
      <w:lvlJc w:val="left"/>
      <w:pPr>
        <w:tabs>
          <w:tab w:val="num" w:pos="720"/>
        </w:tabs>
        <w:ind w:left="720" w:hanging="360"/>
      </w:pPr>
      <w:rPr>
        <w:rFonts w:ascii="Symbol" w:hAnsi="Symbol" w:hint="default"/>
      </w:rPr>
    </w:lvl>
    <w:lvl w:ilvl="1" w:tplc="C69E52E2" w:tentative="1">
      <w:start w:val="1"/>
      <w:numFmt w:val="bullet"/>
      <w:lvlText w:val="o"/>
      <w:lvlJc w:val="left"/>
      <w:pPr>
        <w:tabs>
          <w:tab w:val="num" w:pos="1440"/>
        </w:tabs>
        <w:ind w:left="1440" w:hanging="360"/>
      </w:pPr>
      <w:rPr>
        <w:rFonts w:ascii="Courier New" w:hAnsi="Courier New" w:hint="default"/>
      </w:rPr>
    </w:lvl>
    <w:lvl w:ilvl="2" w:tplc="255A3B1C" w:tentative="1">
      <w:start w:val="1"/>
      <w:numFmt w:val="bullet"/>
      <w:lvlText w:val=""/>
      <w:lvlJc w:val="left"/>
      <w:pPr>
        <w:tabs>
          <w:tab w:val="num" w:pos="2160"/>
        </w:tabs>
        <w:ind w:left="2160" w:hanging="360"/>
      </w:pPr>
      <w:rPr>
        <w:rFonts w:ascii="Wingdings" w:hAnsi="Wingdings" w:hint="default"/>
      </w:rPr>
    </w:lvl>
    <w:lvl w:ilvl="3" w:tplc="035070AE" w:tentative="1">
      <w:start w:val="1"/>
      <w:numFmt w:val="bullet"/>
      <w:lvlText w:val=""/>
      <w:lvlJc w:val="left"/>
      <w:pPr>
        <w:tabs>
          <w:tab w:val="num" w:pos="2880"/>
        </w:tabs>
        <w:ind w:left="2880" w:hanging="360"/>
      </w:pPr>
      <w:rPr>
        <w:rFonts w:ascii="Symbol" w:hAnsi="Symbol" w:hint="default"/>
      </w:rPr>
    </w:lvl>
    <w:lvl w:ilvl="4" w:tplc="5448A3AC" w:tentative="1">
      <w:start w:val="1"/>
      <w:numFmt w:val="bullet"/>
      <w:lvlText w:val="o"/>
      <w:lvlJc w:val="left"/>
      <w:pPr>
        <w:tabs>
          <w:tab w:val="num" w:pos="3600"/>
        </w:tabs>
        <w:ind w:left="3600" w:hanging="360"/>
      </w:pPr>
      <w:rPr>
        <w:rFonts w:ascii="Courier New" w:hAnsi="Courier New" w:hint="default"/>
      </w:rPr>
    </w:lvl>
    <w:lvl w:ilvl="5" w:tplc="86EEE5B0" w:tentative="1">
      <w:start w:val="1"/>
      <w:numFmt w:val="bullet"/>
      <w:lvlText w:val=""/>
      <w:lvlJc w:val="left"/>
      <w:pPr>
        <w:tabs>
          <w:tab w:val="num" w:pos="4320"/>
        </w:tabs>
        <w:ind w:left="4320" w:hanging="360"/>
      </w:pPr>
      <w:rPr>
        <w:rFonts w:ascii="Wingdings" w:hAnsi="Wingdings" w:hint="default"/>
      </w:rPr>
    </w:lvl>
    <w:lvl w:ilvl="6" w:tplc="38F22860" w:tentative="1">
      <w:start w:val="1"/>
      <w:numFmt w:val="bullet"/>
      <w:lvlText w:val=""/>
      <w:lvlJc w:val="left"/>
      <w:pPr>
        <w:tabs>
          <w:tab w:val="num" w:pos="5040"/>
        </w:tabs>
        <w:ind w:left="5040" w:hanging="360"/>
      </w:pPr>
      <w:rPr>
        <w:rFonts w:ascii="Symbol" w:hAnsi="Symbol" w:hint="default"/>
      </w:rPr>
    </w:lvl>
    <w:lvl w:ilvl="7" w:tplc="2D289BF2" w:tentative="1">
      <w:start w:val="1"/>
      <w:numFmt w:val="bullet"/>
      <w:lvlText w:val="o"/>
      <w:lvlJc w:val="left"/>
      <w:pPr>
        <w:tabs>
          <w:tab w:val="num" w:pos="5760"/>
        </w:tabs>
        <w:ind w:left="5760" w:hanging="360"/>
      </w:pPr>
      <w:rPr>
        <w:rFonts w:ascii="Courier New" w:hAnsi="Courier New" w:hint="default"/>
      </w:rPr>
    </w:lvl>
    <w:lvl w:ilvl="8" w:tplc="1C92666A" w:tentative="1">
      <w:start w:val="1"/>
      <w:numFmt w:val="bullet"/>
      <w:lvlText w:val=""/>
      <w:lvlJc w:val="left"/>
      <w:pPr>
        <w:tabs>
          <w:tab w:val="num" w:pos="6480"/>
        </w:tabs>
        <w:ind w:left="6480" w:hanging="360"/>
      </w:pPr>
      <w:rPr>
        <w:rFonts w:ascii="Wingdings" w:hAnsi="Wingdings" w:hint="default"/>
      </w:rPr>
    </w:lvl>
  </w:abstractNum>
  <w:abstractNum w:abstractNumId="16">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E930D7"/>
    <w:multiLevelType w:val="multilevel"/>
    <w:tmpl w:val="EFD2E05E"/>
    <w:name w:val="List Dash 3__2"/>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9240FE"/>
    <w:multiLevelType w:val="multilevel"/>
    <w:tmpl w:val="7CB6E706"/>
    <w:lvl w:ilvl="0">
      <w:start w:val="1"/>
      <w:numFmt w:val="decimal"/>
      <w:pStyle w:val="Notes"/>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2F076C74"/>
    <w:multiLevelType w:val="multilevel"/>
    <w:tmpl w:val="40FC526C"/>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28"/>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1417"/>
        </w:tabs>
        <w:ind w:left="1417" w:hanging="567"/>
      </w:pPr>
      <w:rPr>
        <w:rFonts w:cs="Times New Roman" w:hint="default"/>
      </w:rPr>
    </w:lvl>
    <w:lvl w:ilvl="4">
      <w:start w:val="1"/>
      <w:numFmt w:val="decimal"/>
      <w:lvlText w:val="(%5)"/>
      <w:lvlJc w:val="left"/>
      <w:pPr>
        <w:tabs>
          <w:tab w:val="num" w:pos="1984"/>
        </w:tabs>
        <w:ind w:left="1984" w:hanging="567"/>
      </w:pPr>
      <w:rPr>
        <w:rFonts w:cs="Times New Roman"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21">
    <w:nsid w:val="32A52C4F"/>
    <w:multiLevelType w:val="singleLevel"/>
    <w:tmpl w:val="CEFC5A24"/>
    <w:name w:val="List Bullet 3__2"/>
    <w:lvl w:ilvl="0">
      <w:start w:val="1"/>
      <w:numFmt w:val="bullet"/>
      <w:lvlRestart w:val="0"/>
      <w:pStyle w:val="Tiret0"/>
      <w:lvlText w:val="–"/>
      <w:lvlJc w:val="left"/>
      <w:pPr>
        <w:tabs>
          <w:tab w:val="num" w:pos="850"/>
        </w:tabs>
        <w:ind w:left="850" w:hanging="850"/>
      </w:pPr>
    </w:lvl>
  </w:abstractNum>
  <w:abstractNum w:abstractNumId="22">
    <w:nsid w:val="35E95D6A"/>
    <w:multiLevelType w:val="hybridMultilevel"/>
    <w:tmpl w:val="D9E4826A"/>
    <w:lvl w:ilvl="0" w:tplc="00000006">
      <w:start w:val="2"/>
      <w:numFmt w:val="bullet"/>
      <w:lvlText w:val="-"/>
      <w:lvlJc w:val="left"/>
      <w:pPr>
        <w:ind w:left="720" w:hanging="360"/>
      </w:pPr>
      <w:rPr>
        <w:rFonts w:ascii="Times New Roman" w:hAnsi="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95128B6"/>
    <w:multiLevelType w:val="singleLevel"/>
    <w:tmpl w:val="4F70CA0A"/>
    <w:name w:val="Tiret 1__2"/>
    <w:lvl w:ilvl="0">
      <w:start w:val="1"/>
      <w:numFmt w:val="bullet"/>
      <w:lvlRestart w:val="0"/>
      <w:pStyle w:val="Tiret2"/>
      <w:lvlText w:val="–"/>
      <w:lvlJc w:val="left"/>
      <w:pPr>
        <w:tabs>
          <w:tab w:val="num" w:pos="1984"/>
        </w:tabs>
        <w:ind w:left="1984" w:hanging="567"/>
      </w:pPr>
    </w:lvl>
  </w:abstractNum>
  <w:abstractNum w:abstractNumId="24">
    <w:nsid w:val="3E191884"/>
    <w:multiLevelType w:val="singleLevel"/>
    <w:tmpl w:val="3020C764"/>
    <w:name w:val="Tiret 3__2"/>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5">
    <w:nsid w:val="40315490"/>
    <w:multiLevelType w:val="singleLevel"/>
    <w:tmpl w:val="1F86C700"/>
    <w:name w:val="List Dash 2__2"/>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6">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27">
    <w:nsid w:val="42FC0772"/>
    <w:multiLevelType w:val="singleLevel"/>
    <w:tmpl w:val="4128FCF8"/>
    <w:name w:val="Tiret 4"/>
    <w:lvl w:ilvl="0">
      <w:start w:val="1"/>
      <w:numFmt w:val="bullet"/>
      <w:lvlRestart w:val="0"/>
      <w:lvlText w:val="–"/>
      <w:lvlJc w:val="left"/>
      <w:pPr>
        <w:tabs>
          <w:tab w:val="num" w:pos="3118"/>
        </w:tabs>
        <w:ind w:left="3118" w:hanging="567"/>
      </w:pPr>
    </w:lvl>
  </w:abstractNum>
  <w:abstractNum w:abstractNumId="2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46416817"/>
    <w:multiLevelType w:val="singleLevel"/>
    <w:tmpl w:val="ABE4C590"/>
    <w:name w:val="Considérant__2"/>
    <w:lvl w:ilvl="0">
      <w:start w:val="1"/>
      <w:numFmt w:val="bullet"/>
      <w:lvlRestart w:val="0"/>
      <w:pStyle w:val="Tiret3"/>
      <w:lvlText w:val="–"/>
      <w:lvlJc w:val="left"/>
      <w:pPr>
        <w:tabs>
          <w:tab w:val="num" w:pos="2551"/>
        </w:tabs>
        <w:ind w:left="2551" w:hanging="567"/>
      </w:pPr>
    </w:lvl>
  </w:abstractNum>
  <w:abstractNum w:abstractNumId="30">
    <w:nsid w:val="49D47C56"/>
    <w:multiLevelType w:val="multilevel"/>
    <w:tmpl w:val="77E0331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7230"/>
        </w:tabs>
        <w:ind w:left="723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4C1B7A6F"/>
    <w:multiLevelType w:val="singleLevel"/>
    <w:tmpl w:val="0A7CB49A"/>
    <w:name w:val="List Number 3__2"/>
    <w:lvl w:ilvl="0">
      <w:start w:val="1"/>
      <w:numFmt w:val="bullet"/>
      <w:lvlRestart w:val="0"/>
      <w:pStyle w:val="Tiret4"/>
      <w:lvlText w:val="–"/>
      <w:lvlJc w:val="left"/>
      <w:pPr>
        <w:tabs>
          <w:tab w:val="num" w:pos="3118"/>
        </w:tabs>
        <w:ind w:left="3118" w:hanging="567"/>
      </w:pPr>
    </w:lvl>
  </w:abstractNum>
  <w:abstractNum w:abstractNumId="32">
    <w:nsid w:val="53F47367"/>
    <w:multiLevelType w:val="singleLevel"/>
    <w:tmpl w:val="B4E8C9F0"/>
    <w:name w:val="List Bullet 2"/>
    <w:lvl w:ilvl="0">
      <w:start w:val="1"/>
      <w:numFmt w:val="bullet"/>
      <w:lvlRestart w:val="0"/>
      <w:pStyle w:val="Tiret1"/>
      <w:lvlText w:val="–"/>
      <w:lvlJc w:val="left"/>
      <w:pPr>
        <w:tabs>
          <w:tab w:val="num" w:pos="1417"/>
        </w:tabs>
        <w:ind w:left="1417" w:hanging="567"/>
      </w:pPr>
    </w:lvl>
  </w:abstractNum>
  <w:abstractNum w:abstractNumId="3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4">
    <w:nsid w:val="55EF7F84"/>
    <w:multiLevelType w:val="hybridMultilevel"/>
    <w:tmpl w:val="58B0C478"/>
    <w:lvl w:ilvl="0" w:tplc="00000006">
      <w:start w:val="2"/>
      <w:numFmt w:val="bullet"/>
      <w:lvlText w:val="-"/>
      <w:lvlJc w:val="left"/>
      <w:pPr>
        <w:ind w:left="720" w:hanging="360"/>
      </w:pPr>
      <w:rPr>
        <w:rFonts w:ascii="Times New Roman" w:hAnsi="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6CB74B4"/>
    <w:multiLevelType w:val="multilevel"/>
    <w:tmpl w:val="C0AC24D6"/>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1134"/>
        </w:tabs>
        <w:ind w:left="1134"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nsid w:val="5EF779A6"/>
    <w:multiLevelType w:val="singleLevel"/>
    <w:tmpl w:val="C4347D46"/>
    <w:name w:val="Tiret 0"/>
    <w:lvl w:ilvl="0">
      <w:start w:val="1"/>
      <w:numFmt w:val="decimal"/>
      <w:lvlRestart w:val="0"/>
      <w:pStyle w:val="Considrant"/>
      <w:lvlText w:val="(%1)"/>
      <w:lvlJc w:val="left"/>
      <w:pPr>
        <w:tabs>
          <w:tab w:val="num" w:pos="709"/>
        </w:tabs>
        <w:ind w:left="709" w:hanging="709"/>
      </w:pPr>
    </w:lvl>
  </w:abstractNum>
  <w:abstractNum w:abstractNumId="40">
    <w:nsid w:val="5F8C3B69"/>
    <w:multiLevelType w:val="multilevel"/>
    <w:tmpl w:val="9B14DAA8"/>
    <w:name w:val="List Bullet 4__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2397B4F"/>
    <w:multiLevelType w:val="hybridMultilevel"/>
    <w:tmpl w:val="AE8CE2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2A8042C"/>
    <w:multiLevelType w:val="singleLevel"/>
    <w:tmpl w:val="CCF20C06"/>
    <w:name w:val="List Number 4__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3">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A6901C1"/>
    <w:multiLevelType w:val="singleLevel"/>
    <w:tmpl w:val="208841AE"/>
    <w:name w:val="List Number 1__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5">
    <w:nsid w:val="6D0238CA"/>
    <w:multiLevelType w:val="hybridMultilevel"/>
    <w:tmpl w:val="DD26ADFA"/>
    <w:lvl w:ilvl="0" w:tplc="00000006">
      <w:start w:val="2"/>
      <w:numFmt w:val="bullet"/>
      <w:lvlText w:val="-"/>
      <w:lvlJc w:val="left"/>
      <w:pPr>
        <w:ind w:left="786" w:hanging="360"/>
      </w:pPr>
      <w:rPr>
        <w:rFonts w:ascii="Times New Roman" w:hAnsi="Times New Roman"/>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6">
    <w:nsid w:val="6D2B5511"/>
    <w:multiLevelType w:val="singleLevel"/>
    <w:tmpl w:val="74A09970"/>
    <w:name w:val="Tiret 4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47">
    <w:nsid w:val="78A241BD"/>
    <w:multiLevelType w:val="singleLevel"/>
    <w:tmpl w:val="53C4DF32"/>
    <w:name w:val="Tiret 2__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8">
    <w:nsid w:val="79C96D36"/>
    <w:multiLevelType w:val="multilevel"/>
    <w:tmpl w:val="BE983CE4"/>
    <w:name w:val="Tiret 2"/>
    <w:lvl w:ilvl="0">
      <w:start w:val="1"/>
      <w:numFmt w:val="decimal"/>
      <w:lvlRestart w:val="0"/>
      <w:pStyle w:val="ListNumber1Level3"/>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7C966381"/>
    <w:multiLevelType w:val="multilevel"/>
    <w:tmpl w:val="DCC88062"/>
    <w:name w:val="List Bullet 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7CBE4812"/>
    <w:multiLevelType w:val="singleLevel"/>
    <w:tmpl w:val="23C821E4"/>
    <w:name w:val="Considérant"/>
    <w:lvl w:ilvl="0">
      <w:start w:val="1"/>
      <w:numFmt w:val="decimal"/>
      <w:lvlRestart w:val="0"/>
      <w:lvlText w:val="(%1)"/>
      <w:lvlJc w:val="left"/>
      <w:pPr>
        <w:tabs>
          <w:tab w:val="num" w:pos="709"/>
        </w:tabs>
        <w:ind w:left="709" w:hanging="709"/>
      </w:pPr>
    </w:lvl>
  </w:abstractNum>
  <w:abstractNum w:abstractNumId="51">
    <w:nsid w:val="7D63124F"/>
    <w:multiLevelType w:val="hybridMultilevel"/>
    <w:tmpl w:val="26C4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D8820A0"/>
    <w:multiLevelType w:val="singleLevel"/>
    <w:tmpl w:val="54F6C7B4"/>
    <w:name w:val="List Dash"/>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53">
    <w:nsid w:val="7F7154E1"/>
    <w:multiLevelType w:val="singleLevel"/>
    <w:tmpl w:val="E3F6D2C6"/>
    <w:name w:val="Tiret 3"/>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1"/>
  </w:num>
  <w:num w:numId="2">
    <w:abstractNumId w:val="32"/>
  </w:num>
  <w:num w:numId="3">
    <w:abstractNumId w:val="23"/>
  </w:num>
  <w:num w:numId="4">
    <w:abstractNumId w:val="29"/>
  </w:num>
  <w:num w:numId="5">
    <w:abstractNumId w:val="31"/>
  </w:num>
  <w:num w:numId="6">
    <w:abstractNumId w:val="49"/>
  </w:num>
  <w:num w:numId="7">
    <w:abstractNumId w:val="35"/>
  </w:num>
  <w:num w:numId="8">
    <w:abstractNumId w:val="46"/>
  </w:num>
  <w:num w:numId="9">
    <w:abstractNumId w:val="44"/>
  </w:num>
  <w:num w:numId="10">
    <w:abstractNumId w:val="6"/>
  </w:num>
  <w:num w:numId="11">
    <w:abstractNumId w:val="24"/>
  </w:num>
  <w:num w:numId="12">
    <w:abstractNumId w:val="53"/>
  </w:num>
  <w:num w:numId="13">
    <w:abstractNumId w:val="25"/>
  </w:num>
  <w:num w:numId="14">
    <w:abstractNumId w:val="42"/>
  </w:num>
  <w:num w:numId="15">
    <w:abstractNumId w:val="36"/>
  </w:num>
  <w:num w:numId="16">
    <w:abstractNumId w:val="47"/>
  </w:num>
  <w:num w:numId="17">
    <w:abstractNumId w:val="52"/>
  </w:num>
  <w:num w:numId="18">
    <w:abstractNumId w:val="40"/>
  </w:num>
  <w:num w:numId="19">
    <w:abstractNumId w:val="48"/>
  </w:num>
  <w:num w:numId="20">
    <w:abstractNumId w:val="17"/>
  </w:num>
  <w:num w:numId="21">
    <w:abstractNumId w:val="5"/>
  </w:num>
  <w:num w:numId="22">
    <w:abstractNumId w:val="4"/>
  </w:num>
  <w:num w:numId="23">
    <w:abstractNumId w:val="39"/>
  </w:num>
  <w:num w:numId="24">
    <w:abstractNumId w:val="1"/>
  </w:num>
  <w:num w:numId="25">
    <w:abstractNumId w:val="2"/>
  </w:num>
  <w:num w:numId="26">
    <w:abstractNumId w:val="3"/>
  </w:num>
  <w:num w:numId="27">
    <w:abstractNumId w:val="18"/>
  </w:num>
  <w:num w:numId="28">
    <w:abstractNumId w:val="28"/>
    <w:lvlOverride w:ilvl="0">
      <w:startOverride w:val="1"/>
    </w:lvlOverride>
  </w:num>
  <w:num w:numId="29">
    <w:abstractNumId w:val="41"/>
  </w:num>
  <w:num w:numId="30">
    <w:abstractNumId w:val="9"/>
  </w:num>
  <w:num w:numId="31">
    <w:abstractNumId w:val="10"/>
  </w:num>
  <w:num w:numId="32">
    <w:abstractNumId w:val="11"/>
  </w:num>
  <w:num w:numId="33">
    <w:abstractNumId w:val="13"/>
  </w:num>
  <w:num w:numId="34">
    <w:abstractNumId w:val="8"/>
  </w:num>
  <w:num w:numId="35">
    <w:abstractNumId w:val="37"/>
  </w:num>
  <w:num w:numId="36">
    <w:abstractNumId w:val="38"/>
  </w:num>
  <w:num w:numId="37">
    <w:abstractNumId w:val="19"/>
  </w:num>
  <w:num w:numId="38">
    <w:abstractNumId w:val="33"/>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num>
  <w:num w:numId="41">
    <w:abstractNumId w:val="14"/>
  </w:num>
  <w:num w:numId="42">
    <w:abstractNumId w:val="12"/>
  </w:num>
  <w:num w:numId="43">
    <w:abstractNumId w:val="7"/>
  </w:num>
  <w:num w:numId="44">
    <w:abstractNumId w:val="20"/>
  </w:num>
  <w:num w:numId="45">
    <w:abstractNumId w:val="22"/>
  </w:num>
  <w:num w:numId="46">
    <w:abstractNumId w:val="0"/>
  </w:num>
  <w:num w:numId="47">
    <w:abstractNumId w:val="45"/>
  </w:num>
  <w:num w:numId="48">
    <w:abstractNumId w:val="34"/>
  </w:num>
  <w:num w:numId="49">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2DocOpenMode" w:val="AS2DocumentEdit"/>
    <w:docVar w:name="DocStatus" w:val="Green"/>
    <w:docVar w:name="LW_ACCOMPAGNANT.CP" w:val="Accompanying the document"/>
    <w:docVar w:name="LW_CORRIGENDUM" w:val="&lt;UNUSED&gt;"/>
    <w:docVar w:name="LW_COVERPAGE_EXISTS" w:val="True"/>
    <w:docVar w:name="LW_COVERPAGE_GUID" w:val="17BB1145-6EEF-476B-A3A3-17358B7E33C3"/>
    <w:docVar w:name="LW_COVERPAGE_TYPE" w:val="1"/>
    <w:docVar w:name="LW_CROSSREFERENCE" w:val="{COM(2018) 513 final}"/>
    <w:docVar w:name="LW_DocType" w:val="NORMAL"/>
    <w:docVar w:name="LW_EMISSION" w:val="3.7.2018"/>
    <w:docVar w:name="LW_EMISSION_ISODATE" w:val="2018-07-03"/>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GUARANTEE FUND FOR EXTERNAL ACTION AND ITS MANAGEMENT IN 2017_x000b_"/>
    <w:docVar w:name="LW_PART_NBR" w:val="1"/>
    <w:docVar w:name="LW_PART_NBR_TOTAL" w:val="1"/>
    <w:docVar w:name="LW_REF.INST.NEW" w:val="SWD"/>
    <w:docVar w:name="LW_REF.INST.NEW_ADOPTED" w:val="final"/>
    <w:docVar w:name="LW_REF.INST.NEW_TEXT" w:val="(2018) 3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ITRE.OBJ.CP_PREVIOUS" w:val="&lt;UNUSED&gt;"/>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numPr>
        <w:numId w:val="7"/>
      </w:numPr>
      <w:spacing w:before="360" w:after="120"/>
      <w:jc w:val="both"/>
      <w:outlineLvl w:val="0"/>
    </w:pPr>
    <w:rPr>
      <w:b/>
      <w:bCs/>
      <w:smallCaps/>
      <w:szCs w:val="32"/>
      <w:lang w:eastAsia="de-DE"/>
    </w:rPr>
  </w:style>
  <w:style w:type="paragraph" w:styleId="Heading2">
    <w:name w:val="heading 2"/>
    <w:basedOn w:val="Normal"/>
    <w:next w:val="Text2"/>
    <w:link w:val="Heading2Char"/>
    <w:qFormat/>
    <w:pPr>
      <w:keepNext/>
      <w:numPr>
        <w:ilvl w:val="1"/>
        <w:numId w:val="7"/>
      </w:numPr>
      <w:spacing w:before="120" w:after="120"/>
      <w:jc w:val="both"/>
      <w:outlineLvl w:val="1"/>
    </w:pPr>
    <w:rPr>
      <w:b/>
      <w:bCs/>
      <w:iCs/>
      <w:szCs w:val="28"/>
      <w:lang w:eastAsia="de-DE"/>
    </w:rPr>
  </w:style>
  <w:style w:type="paragraph" w:styleId="Heading3">
    <w:name w:val="heading 3"/>
    <w:basedOn w:val="Normal"/>
    <w:next w:val="Text3"/>
    <w:link w:val="Heading3Char"/>
    <w:qFormat/>
    <w:pPr>
      <w:keepNext/>
      <w:numPr>
        <w:ilvl w:val="2"/>
        <w:numId w:val="7"/>
      </w:numPr>
      <w:spacing w:before="120" w:after="120"/>
      <w:jc w:val="both"/>
      <w:outlineLvl w:val="2"/>
    </w:pPr>
    <w:rPr>
      <w:bCs/>
      <w:i/>
      <w:szCs w:val="26"/>
      <w:lang w:eastAsia="de-DE"/>
    </w:rPr>
  </w:style>
  <w:style w:type="paragraph" w:styleId="Heading4">
    <w:name w:val="heading 4"/>
    <w:basedOn w:val="Normal"/>
    <w:next w:val="Text4"/>
    <w:link w:val="Heading4Char"/>
    <w:qFormat/>
    <w:pPr>
      <w:keepNext/>
      <w:numPr>
        <w:ilvl w:val="3"/>
        <w:numId w:val="7"/>
      </w:numPr>
      <w:spacing w:before="120" w:after="120"/>
      <w:jc w:val="both"/>
      <w:outlineLvl w:val="3"/>
    </w:pPr>
    <w:rPr>
      <w:bCs/>
      <w:szCs w:val="28"/>
      <w:lang w:eastAsia="de-DE"/>
    </w:rPr>
  </w:style>
  <w:style w:type="paragraph" w:styleId="Heading5">
    <w:name w:val="heading 5"/>
    <w:basedOn w:val="Normal"/>
    <w:next w:val="NormalIndent"/>
    <w:link w:val="Heading5Char"/>
    <w:qFormat/>
    <w:pPr>
      <w:spacing w:after="120" w:line="240" w:lineRule="atLeast"/>
      <w:ind w:left="720"/>
      <w:outlineLvl w:val="4"/>
    </w:pPr>
    <w:rPr>
      <w:b/>
      <w:sz w:val="22"/>
      <w:szCs w:val="20"/>
      <w:lang w:eastAsia="en-US"/>
    </w:rPr>
  </w:style>
  <w:style w:type="paragraph" w:styleId="Heading6">
    <w:name w:val="heading 6"/>
    <w:basedOn w:val="Normal"/>
    <w:next w:val="NormalIndent"/>
    <w:link w:val="Heading6Char"/>
    <w:qFormat/>
    <w:pPr>
      <w:spacing w:after="120" w:line="240" w:lineRule="atLeast"/>
      <w:ind w:left="720"/>
      <w:outlineLvl w:val="5"/>
    </w:pPr>
    <w:rPr>
      <w:sz w:val="22"/>
      <w:szCs w:val="20"/>
      <w:u w:val="single"/>
      <w:lang w:eastAsia="en-US"/>
    </w:rPr>
  </w:style>
  <w:style w:type="paragraph" w:styleId="Heading7">
    <w:name w:val="heading 7"/>
    <w:basedOn w:val="Normal"/>
    <w:next w:val="NormalIndent"/>
    <w:link w:val="Heading7Char"/>
    <w:qFormat/>
    <w:pPr>
      <w:spacing w:after="120" w:line="240" w:lineRule="atLeast"/>
      <w:ind w:left="720"/>
      <w:outlineLvl w:val="6"/>
    </w:pPr>
    <w:rPr>
      <w:i/>
      <w:sz w:val="22"/>
      <w:szCs w:val="20"/>
      <w:lang w:eastAsia="en-US"/>
    </w:rPr>
  </w:style>
  <w:style w:type="paragraph" w:styleId="Heading8">
    <w:name w:val="heading 8"/>
    <w:basedOn w:val="Normal"/>
    <w:next w:val="NormalIndent"/>
    <w:link w:val="Heading8Char"/>
    <w:qFormat/>
    <w:pPr>
      <w:spacing w:after="120" w:line="240" w:lineRule="atLeast"/>
      <w:ind w:left="720"/>
      <w:outlineLvl w:val="7"/>
    </w:pPr>
    <w:rPr>
      <w:i/>
      <w:sz w:val="22"/>
      <w:szCs w:val="20"/>
      <w:lang w:eastAsia="en-US"/>
    </w:rPr>
  </w:style>
  <w:style w:type="paragraph" w:styleId="Heading9">
    <w:name w:val="heading 9"/>
    <w:basedOn w:val="Normal"/>
    <w:next w:val="NormalIndent"/>
    <w:link w:val="Heading9Char"/>
    <w:qFormat/>
    <w:pPr>
      <w:spacing w:after="120" w:line="240" w:lineRule="atLeast"/>
      <w:ind w:left="720"/>
      <w:outlineLvl w:val="8"/>
    </w:pPr>
    <w:rPr>
      <w:i/>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ind w:left="850"/>
      <w:jc w:val="both"/>
    </w:pPr>
    <w:rPr>
      <w:lang w:eastAsia="de-DE"/>
    </w:rPr>
  </w:style>
  <w:style w:type="paragraph" w:customStyle="1" w:styleId="Text2">
    <w:name w:val="Text 2"/>
    <w:basedOn w:val="Normal"/>
    <w:pPr>
      <w:spacing w:before="120" w:after="120"/>
      <w:ind w:left="850"/>
      <w:jc w:val="both"/>
    </w:pPr>
    <w:rPr>
      <w:lang w:eastAsia="de-DE"/>
    </w:rPr>
  </w:style>
  <w:style w:type="paragraph" w:customStyle="1" w:styleId="Text3">
    <w:name w:val="Text 3"/>
    <w:basedOn w:val="Normal"/>
    <w:pPr>
      <w:spacing w:before="120" w:after="120"/>
      <w:ind w:left="850"/>
      <w:jc w:val="both"/>
    </w:pPr>
    <w:rPr>
      <w:lang w:eastAsia="de-DE"/>
    </w:rPr>
  </w:style>
  <w:style w:type="paragraph" w:customStyle="1" w:styleId="Text4">
    <w:name w:val="Text 4"/>
    <w:basedOn w:val="Normal"/>
    <w:pPr>
      <w:spacing w:before="120" w:after="120"/>
      <w:ind w:left="850"/>
      <w:jc w:val="both"/>
    </w:pPr>
    <w:rPr>
      <w:lang w:eastAsia="de-DE"/>
    </w:rPr>
  </w:style>
  <w:style w:type="paragraph" w:styleId="NormalIndent">
    <w:name w:val="Normal Indent"/>
    <w:basedOn w:val="Normal"/>
    <w:pPr>
      <w:spacing w:after="120" w:line="240" w:lineRule="atLeast"/>
      <w:ind w:left="720"/>
    </w:pPr>
    <w:rPr>
      <w:rFonts w:ascii="Arial" w:hAnsi="Arial"/>
      <w:sz w:val="22"/>
      <w:szCs w:val="20"/>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Calibr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Calibr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paragraph" w:customStyle="1" w:styleId="HeaderCoverPage">
    <w:name w:val="Header Cover Page"/>
    <w:basedOn w:val="Normal"/>
    <w:link w:val="HeaderCoverPageChar"/>
    <w:pPr>
      <w:tabs>
        <w:tab w:val="center" w:pos="4535"/>
        <w:tab w:val="right" w:pos="9071"/>
      </w:tabs>
      <w:spacing w:after="120"/>
      <w:jc w:val="both"/>
    </w:pPr>
  </w:style>
  <w:style w:type="paragraph" w:styleId="FootnoteText">
    <w:name w:val="footnote text"/>
    <w:basedOn w:val="Normal"/>
    <w:link w:val="FootnoteTextChar"/>
    <w:semiHidden/>
    <w:pPr>
      <w:ind w:left="720" w:hanging="720"/>
      <w:jc w:val="both"/>
    </w:pPr>
    <w:rPr>
      <w:sz w:val="20"/>
      <w:szCs w:val="20"/>
      <w:lang w:eastAsia="de-DE"/>
    </w:rPr>
  </w:style>
  <w:style w:type="paragraph" w:styleId="ListBullet">
    <w:name w:val="List Bullet"/>
    <w:basedOn w:val="Normal"/>
    <w:pPr>
      <w:numPr>
        <w:numId w:val="8"/>
      </w:numPr>
      <w:spacing w:before="120" w:after="120"/>
      <w:jc w:val="both"/>
    </w:pPr>
    <w:rPr>
      <w:lang w:eastAsia="de-DE"/>
    </w:rPr>
  </w:style>
  <w:style w:type="paragraph" w:styleId="ListBullet2">
    <w:name w:val="List Bullet 2"/>
    <w:basedOn w:val="Normal"/>
    <w:pPr>
      <w:numPr>
        <w:numId w:val="10"/>
      </w:numPr>
      <w:spacing w:before="120" w:after="120"/>
      <w:jc w:val="both"/>
    </w:pPr>
    <w:rPr>
      <w:lang w:eastAsia="de-DE"/>
    </w:rPr>
  </w:style>
  <w:style w:type="paragraph" w:styleId="ListBullet3">
    <w:name w:val="List Bullet 3"/>
    <w:basedOn w:val="Normal"/>
    <w:pPr>
      <w:numPr>
        <w:numId w:val="11"/>
      </w:numPr>
      <w:spacing w:before="120" w:after="120"/>
      <w:jc w:val="both"/>
    </w:pPr>
    <w:rPr>
      <w:lang w:eastAsia="de-DE"/>
    </w:rPr>
  </w:style>
  <w:style w:type="paragraph" w:styleId="ListBullet4">
    <w:name w:val="List Bullet 4"/>
    <w:basedOn w:val="Normal"/>
    <w:pPr>
      <w:numPr>
        <w:numId w:val="12"/>
      </w:numPr>
      <w:spacing w:before="120" w:after="120"/>
      <w:jc w:val="both"/>
    </w:pPr>
    <w:rPr>
      <w:lang w:eastAsia="de-DE"/>
    </w:rPr>
  </w:style>
  <w:style w:type="paragraph" w:styleId="ListNumber">
    <w:name w:val="List Number"/>
    <w:basedOn w:val="Normal"/>
    <w:pPr>
      <w:numPr>
        <w:numId w:val="18"/>
      </w:numPr>
      <w:spacing w:before="120" w:after="120"/>
      <w:jc w:val="both"/>
    </w:pPr>
    <w:rPr>
      <w:lang w:eastAsia="de-DE"/>
    </w:rPr>
  </w:style>
  <w:style w:type="paragraph" w:styleId="ListNumber2">
    <w:name w:val="List Number 2"/>
    <w:basedOn w:val="Normal"/>
    <w:pPr>
      <w:numPr>
        <w:numId w:val="20"/>
      </w:numPr>
      <w:spacing w:before="120" w:after="120"/>
      <w:jc w:val="both"/>
    </w:pPr>
    <w:rPr>
      <w:lang w:eastAsia="de-DE"/>
    </w:rPr>
  </w:style>
  <w:style w:type="paragraph" w:styleId="ListNumber3">
    <w:name w:val="List Number 3"/>
    <w:basedOn w:val="Normal"/>
    <w:pPr>
      <w:numPr>
        <w:numId w:val="21"/>
      </w:numPr>
      <w:spacing w:before="120" w:after="120"/>
      <w:jc w:val="both"/>
    </w:pPr>
    <w:rPr>
      <w:lang w:eastAsia="de-DE"/>
    </w:rPr>
  </w:style>
  <w:style w:type="paragraph" w:styleId="ListNumber4">
    <w:name w:val="List Number 4"/>
    <w:basedOn w:val="Normal"/>
    <w:pPr>
      <w:numPr>
        <w:numId w:val="22"/>
      </w:numPr>
      <w:spacing w:before="120" w:after="120"/>
      <w:jc w:val="both"/>
    </w:pPr>
    <w:rPr>
      <w:lang w:eastAsia="de-DE"/>
    </w:rPr>
  </w:style>
  <w:style w:type="paragraph" w:styleId="TOC5">
    <w:name w:val="toc 5"/>
    <w:basedOn w:val="Normal"/>
    <w:next w:val="Normal"/>
    <w:uiPriority w:val="39"/>
    <w:semiHidden/>
    <w:pPr>
      <w:tabs>
        <w:tab w:val="right" w:leader="dot" w:pos="9071"/>
      </w:tabs>
      <w:spacing w:before="300" w:after="120"/>
    </w:pPr>
    <w:rPr>
      <w:lang w:eastAsia="de-DE"/>
    </w:rPr>
  </w:style>
  <w:style w:type="paragraph" w:styleId="TOC8">
    <w:name w:val="toc 8"/>
    <w:basedOn w:val="Normal"/>
    <w:next w:val="Normal"/>
    <w:uiPriority w:val="39"/>
    <w:semiHidden/>
    <w:pPr>
      <w:tabs>
        <w:tab w:val="right" w:leader="dot" w:pos="9071"/>
      </w:tabs>
      <w:spacing w:before="120" w:after="120"/>
    </w:pPr>
    <w:rPr>
      <w:lang w:eastAsia="de-DE"/>
    </w:rPr>
  </w:style>
  <w:style w:type="paragraph" w:customStyle="1" w:styleId="HeaderLandscape">
    <w:name w:val="HeaderLandscape"/>
    <w:basedOn w:val="Normal"/>
    <w:pPr>
      <w:tabs>
        <w:tab w:val="center" w:pos="7285"/>
        <w:tab w:val="right" w:pos="14003"/>
      </w:tabs>
      <w:spacing w:after="120"/>
      <w:jc w:val="both"/>
    </w:pPr>
    <w:rPr>
      <w:rFonts w:eastAsia="Calibri"/>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Calibri"/>
      <w:szCs w:val="22"/>
      <w:lang w:eastAsia="en-US"/>
    </w:rPr>
  </w:style>
  <w:style w:type="character" w:styleId="FootnoteReference">
    <w:name w:val="footnote reference"/>
    <w:semiHidden/>
    <w:rPr>
      <w:vertAlign w:val="superscript"/>
    </w:rPr>
  </w:style>
  <w:style w:type="paragraph" w:customStyle="1" w:styleId="NormalCentered">
    <w:name w:val="Normal Centered"/>
    <w:basedOn w:val="Normal"/>
    <w:pPr>
      <w:spacing w:before="120" w:after="120"/>
      <w:jc w:val="center"/>
    </w:pPr>
    <w:rPr>
      <w:lang w:eastAsia="de-DE"/>
    </w:rPr>
  </w:style>
  <w:style w:type="paragraph" w:customStyle="1" w:styleId="NormalLeft">
    <w:name w:val="Normal Left"/>
    <w:basedOn w:val="Normal"/>
    <w:pPr>
      <w:spacing w:before="120" w:after="120"/>
    </w:pPr>
    <w:rPr>
      <w:lang w:eastAsia="de-DE"/>
    </w:rPr>
  </w:style>
  <w:style w:type="paragraph" w:customStyle="1" w:styleId="NormalRight">
    <w:name w:val="Normal Right"/>
    <w:basedOn w:val="Normal"/>
    <w:pPr>
      <w:spacing w:before="120" w:after="120"/>
      <w:jc w:val="right"/>
    </w:pPr>
    <w:rPr>
      <w:lang w:eastAsia="de-DE"/>
    </w:rPr>
  </w:style>
  <w:style w:type="paragraph" w:customStyle="1" w:styleId="QuotedText">
    <w:name w:val="Quoted Text"/>
    <w:basedOn w:val="Normal"/>
    <w:pPr>
      <w:spacing w:before="120" w:after="120"/>
      <w:ind w:left="1417"/>
      <w:jc w:val="both"/>
    </w:pPr>
    <w:rPr>
      <w:lang w:eastAsia="de-DE"/>
    </w:rPr>
  </w:style>
  <w:style w:type="paragraph" w:customStyle="1" w:styleId="Point0">
    <w:name w:val="Point 0"/>
    <w:basedOn w:val="Normal"/>
    <w:pPr>
      <w:spacing w:before="120" w:after="120"/>
      <w:ind w:left="850" w:hanging="850"/>
      <w:jc w:val="both"/>
    </w:pPr>
    <w:rPr>
      <w:lang w:eastAsia="de-DE"/>
    </w:rPr>
  </w:style>
  <w:style w:type="paragraph" w:customStyle="1" w:styleId="Point1">
    <w:name w:val="Point 1"/>
    <w:basedOn w:val="Normal"/>
    <w:pPr>
      <w:spacing w:before="120" w:after="120"/>
      <w:ind w:left="1417" w:hanging="567"/>
      <w:jc w:val="both"/>
    </w:pPr>
    <w:rPr>
      <w:lang w:eastAsia="de-DE"/>
    </w:rPr>
  </w:style>
  <w:style w:type="paragraph" w:customStyle="1" w:styleId="Point2">
    <w:name w:val="Point 2"/>
    <w:basedOn w:val="Normal"/>
    <w:pPr>
      <w:spacing w:before="120" w:after="120"/>
      <w:ind w:left="1984" w:hanging="567"/>
      <w:jc w:val="both"/>
    </w:pPr>
    <w:rPr>
      <w:lang w:eastAsia="de-DE"/>
    </w:rPr>
  </w:style>
  <w:style w:type="paragraph" w:customStyle="1" w:styleId="Point3">
    <w:name w:val="Point 3"/>
    <w:basedOn w:val="Normal"/>
    <w:pPr>
      <w:spacing w:before="120" w:after="120"/>
      <w:ind w:left="2551" w:hanging="567"/>
      <w:jc w:val="both"/>
    </w:pPr>
    <w:rPr>
      <w:lang w:eastAsia="de-DE"/>
    </w:rPr>
  </w:style>
  <w:style w:type="paragraph" w:customStyle="1" w:styleId="Point4">
    <w:name w:val="Point 4"/>
    <w:basedOn w:val="Normal"/>
    <w:pPr>
      <w:spacing w:before="120" w:after="120"/>
      <w:ind w:left="3118" w:hanging="567"/>
      <w:jc w:val="both"/>
    </w:pPr>
    <w:rPr>
      <w:lang w:eastAsia="de-DE"/>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ind w:left="1417" w:hanging="1417"/>
      <w:jc w:val="both"/>
    </w:pPr>
    <w:rPr>
      <w:lang w:eastAsia="de-DE"/>
    </w:rPr>
  </w:style>
  <w:style w:type="paragraph" w:customStyle="1" w:styleId="PointDouble1">
    <w:name w:val="PointDouble 1"/>
    <w:basedOn w:val="Normal"/>
    <w:pPr>
      <w:tabs>
        <w:tab w:val="left" w:pos="1417"/>
      </w:tabs>
      <w:spacing w:before="120" w:after="120"/>
      <w:ind w:left="1984" w:hanging="1134"/>
      <w:jc w:val="both"/>
    </w:pPr>
    <w:rPr>
      <w:lang w:eastAsia="de-DE"/>
    </w:rPr>
  </w:style>
  <w:style w:type="paragraph" w:customStyle="1" w:styleId="PointDouble2">
    <w:name w:val="PointDouble 2"/>
    <w:basedOn w:val="Normal"/>
    <w:pPr>
      <w:tabs>
        <w:tab w:val="left" w:pos="1984"/>
      </w:tabs>
      <w:spacing w:before="120" w:after="120"/>
      <w:ind w:left="2551" w:hanging="1134"/>
      <w:jc w:val="both"/>
    </w:pPr>
    <w:rPr>
      <w:lang w:eastAsia="de-DE"/>
    </w:rPr>
  </w:style>
  <w:style w:type="paragraph" w:customStyle="1" w:styleId="PointDouble3">
    <w:name w:val="PointDouble 3"/>
    <w:basedOn w:val="Normal"/>
    <w:pPr>
      <w:tabs>
        <w:tab w:val="left" w:pos="2551"/>
      </w:tabs>
      <w:spacing w:before="120" w:after="120"/>
      <w:ind w:left="3118" w:hanging="1134"/>
      <w:jc w:val="both"/>
    </w:pPr>
    <w:rPr>
      <w:lang w:eastAsia="de-DE"/>
    </w:rPr>
  </w:style>
  <w:style w:type="paragraph" w:customStyle="1" w:styleId="PointDouble4">
    <w:name w:val="PointDouble 4"/>
    <w:basedOn w:val="Normal"/>
    <w:pPr>
      <w:tabs>
        <w:tab w:val="left" w:pos="3118"/>
      </w:tabs>
      <w:spacing w:before="120" w:after="120"/>
      <w:ind w:left="3685" w:hanging="1134"/>
      <w:jc w:val="both"/>
    </w:pPr>
    <w:rPr>
      <w:lang w:eastAsia="de-DE"/>
    </w:rPr>
  </w:style>
  <w:style w:type="paragraph" w:customStyle="1" w:styleId="PointTriple0">
    <w:name w:val="PointTriple 0"/>
    <w:basedOn w:val="Normal"/>
    <w:pPr>
      <w:tabs>
        <w:tab w:val="left" w:pos="850"/>
        <w:tab w:val="left" w:pos="1417"/>
      </w:tabs>
      <w:spacing w:before="120" w:after="120"/>
      <w:ind w:left="1984" w:hanging="1984"/>
      <w:jc w:val="both"/>
    </w:pPr>
    <w:rPr>
      <w:lang w:eastAsia="de-DE"/>
    </w:rPr>
  </w:style>
  <w:style w:type="paragraph" w:customStyle="1" w:styleId="PointTriple1">
    <w:name w:val="PointTriple 1"/>
    <w:basedOn w:val="Normal"/>
    <w:pPr>
      <w:tabs>
        <w:tab w:val="left" w:pos="1417"/>
        <w:tab w:val="left" w:pos="1984"/>
      </w:tabs>
      <w:spacing w:before="120" w:after="120"/>
      <w:ind w:left="2551" w:hanging="1701"/>
      <w:jc w:val="both"/>
    </w:pPr>
    <w:rPr>
      <w:lang w:eastAsia="de-DE"/>
    </w:rPr>
  </w:style>
  <w:style w:type="paragraph" w:customStyle="1" w:styleId="PointTriple2">
    <w:name w:val="PointTriple 2"/>
    <w:basedOn w:val="Normal"/>
    <w:pPr>
      <w:tabs>
        <w:tab w:val="left" w:pos="1984"/>
        <w:tab w:val="left" w:pos="2551"/>
      </w:tabs>
      <w:spacing w:before="120" w:after="120"/>
      <w:ind w:left="3118" w:hanging="1701"/>
      <w:jc w:val="both"/>
    </w:pPr>
    <w:rPr>
      <w:lang w:eastAsia="de-DE"/>
    </w:rPr>
  </w:style>
  <w:style w:type="paragraph" w:customStyle="1" w:styleId="PointTriple3">
    <w:name w:val="PointTriple 3"/>
    <w:basedOn w:val="Normal"/>
    <w:pPr>
      <w:tabs>
        <w:tab w:val="left" w:pos="2551"/>
        <w:tab w:val="left" w:pos="3118"/>
      </w:tabs>
      <w:spacing w:before="120" w:after="120"/>
      <w:ind w:left="3685" w:hanging="1701"/>
      <w:jc w:val="both"/>
    </w:pPr>
    <w:rPr>
      <w:lang w:eastAsia="de-DE"/>
    </w:rPr>
  </w:style>
  <w:style w:type="paragraph" w:customStyle="1" w:styleId="PointTriple4">
    <w:name w:val="PointTriple 4"/>
    <w:basedOn w:val="Normal"/>
    <w:pPr>
      <w:tabs>
        <w:tab w:val="left" w:pos="3118"/>
        <w:tab w:val="left" w:pos="3685"/>
      </w:tabs>
      <w:spacing w:before="120" w:after="120"/>
      <w:ind w:left="4252" w:hanging="1701"/>
      <w:jc w:val="both"/>
    </w:pPr>
    <w:rPr>
      <w:lang w:eastAsia="de-DE"/>
    </w:rPr>
  </w:style>
  <w:style w:type="paragraph" w:customStyle="1" w:styleId="NumPar1">
    <w:name w:val="NumPar 1"/>
    <w:basedOn w:val="Normal"/>
    <w:next w:val="Text1"/>
    <w:pPr>
      <w:numPr>
        <w:numId w:val="6"/>
      </w:numPr>
      <w:spacing w:before="120" w:after="120"/>
      <w:jc w:val="both"/>
    </w:pPr>
    <w:rPr>
      <w:lang w:eastAsia="de-DE"/>
    </w:rPr>
  </w:style>
  <w:style w:type="paragraph" w:customStyle="1" w:styleId="NumPar2">
    <w:name w:val="NumPar 2"/>
    <w:basedOn w:val="Normal"/>
    <w:next w:val="Text2"/>
    <w:pPr>
      <w:numPr>
        <w:ilvl w:val="1"/>
        <w:numId w:val="6"/>
      </w:numPr>
      <w:spacing w:before="120" w:after="120"/>
      <w:jc w:val="both"/>
    </w:pPr>
    <w:rPr>
      <w:lang w:eastAsia="de-DE"/>
    </w:rPr>
  </w:style>
  <w:style w:type="paragraph" w:customStyle="1" w:styleId="NumPar3">
    <w:name w:val="NumPar 3"/>
    <w:basedOn w:val="Normal"/>
    <w:next w:val="Text3"/>
    <w:pPr>
      <w:numPr>
        <w:ilvl w:val="2"/>
        <w:numId w:val="6"/>
      </w:numPr>
      <w:spacing w:before="120" w:after="120"/>
      <w:jc w:val="both"/>
    </w:pPr>
    <w:rPr>
      <w:lang w:eastAsia="de-DE"/>
    </w:rPr>
  </w:style>
  <w:style w:type="paragraph" w:customStyle="1" w:styleId="NumPar4">
    <w:name w:val="NumPar 4"/>
    <w:basedOn w:val="Normal"/>
    <w:next w:val="Text4"/>
    <w:pPr>
      <w:numPr>
        <w:ilvl w:val="3"/>
        <w:numId w:val="6"/>
      </w:numPr>
      <w:spacing w:before="120" w:after="120"/>
      <w:jc w:val="both"/>
    </w:pPr>
    <w:rPr>
      <w:lang w:eastAsia="de-DE"/>
    </w:rPr>
  </w:style>
  <w:style w:type="paragraph" w:customStyle="1" w:styleId="ManualNumPar1">
    <w:name w:val="Manual NumPar 1"/>
    <w:basedOn w:val="Normal"/>
    <w:next w:val="Text1"/>
    <w:pPr>
      <w:spacing w:before="120" w:after="120"/>
      <w:ind w:left="850" w:hanging="850"/>
      <w:jc w:val="both"/>
    </w:pPr>
    <w:rPr>
      <w:lang w:eastAsia="de-DE"/>
    </w:rPr>
  </w:style>
  <w:style w:type="paragraph" w:customStyle="1" w:styleId="ManualNumPar2">
    <w:name w:val="Manual NumPar 2"/>
    <w:basedOn w:val="Normal"/>
    <w:next w:val="Text2"/>
    <w:pPr>
      <w:spacing w:before="120" w:after="120"/>
      <w:ind w:left="850" w:hanging="850"/>
      <w:jc w:val="both"/>
    </w:pPr>
    <w:rPr>
      <w:lang w:eastAsia="de-DE"/>
    </w:rPr>
  </w:style>
  <w:style w:type="paragraph" w:customStyle="1" w:styleId="ManualNumPar3">
    <w:name w:val="Manual NumPar 3"/>
    <w:basedOn w:val="Normal"/>
    <w:next w:val="Text3"/>
    <w:pPr>
      <w:spacing w:before="120" w:after="120"/>
      <w:ind w:left="850" w:hanging="850"/>
      <w:jc w:val="both"/>
    </w:pPr>
    <w:rPr>
      <w:lang w:eastAsia="de-DE"/>
    </w:rPr>
  </w:style>
  <w:style w:type="paragraph" w:customStyle="1" w:styleId="ManualNumPar4">
    <w:name w:val="Manual NumPar 4"/>
    <w:basedOn w:val="Normal"/>
    <w:next w:val="Text4"/>
    <w:pPr>
      <w:spacing w:before="120" w:after="120"/>
      <w:ind w:left="850" w:hanging="850"/>
      <w:jc w:val="both"/>
    </w:pPr>
    <w:rPr>
      <w:lang w:eastAsia="de-DE"/>
    </w:rPr>
  </w:style>
  <w:style w:type="paragraph" w:customStyle="1" w:styleId="QuotedNumPar">
    <w:name w:val="Quoted NumPar"/>
    <w:basedOn w:val="Normal"/>
    <w:pPr>
      <w:spacing w:before="120" w:after="120"/>
      <w:ind w:left="1417" w:hanging="567"/>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lang w:eastAsia="de-DE"/>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lang w:eastAsia="de-DE"/>
    </w:rPr>
  </w:style>
  <w:style w:type="paragraph" w:customStyle="1" w:styleId="ManualHeading4">
    <w:name w:val="Manual Heading 4"/>
    <w:basedOn w:val="Normal"/>
    <w:next w:val="Text4"/>
    <w:pPr>
      <w:keepNext/>
      <w:tabs>
        <w:tab w:val="left" w:pos="850"/>
      </w:tabs>
      <w:spacing w:before="120" w:after="120"/>
      <w:ind w:left="850" w:hanging="850"/>
      <w:jc w:val="both"/>
      <w:outlineLvl w:val="3"/>
    </w:pPr>
    <w:rPr>
      <w:lang w:eastAsia="de-DE"/>
    </w:rPr>
  </w:style>
  <w:style w:type="paragraph" w:customStyle="1" w:styleId="ChapterTitle">
    <w:name w:val="ChapterTitle"/>
    <w:basedOn w:val="Normal"/>
    <w:next w:val="Normal"/>
    <w:pPr>
      <w:keepNext/>
      <w:spacing w:before="120" w:after="360"/>
      <w:jc w:val="center"/>
    </w:pPr>
    <w:rPr>
      <w:b/>
      <w:sz w:val="32"/>
      <w:lang w:eastAsia="de-DE"/>
    </w:rPr>
  </w:style>
  <w:style w:type="paragraph" w:customStyle="1" w:styleId="PartTitle">
    <w:name w:val="PartTitle"/>
    <w:basedOn w:val="Normal"/>
    <w:next w:val="ChapterTitle"/>
    <w:pPr>
      <w:keepNext/>
      <w:pageBreakBefore/>
      <w:spacing w:before="120" w:after="360"/>
      <w:jc w:val="center"/>
    </w:pPr>
    <w:rPr>
      <w:b/>
      <w:sz w:val="36"/>
      <w:lang w:eastAsia="de-DE"/>
    </w:rPr>
  </w:style>
  <w:style w:type="paragraph" w:customStyle="1" w:styleId="SectionTitle">
    <w:name w:val="SectionTitle"/>
    <w:basedOn w:val="Normal"/>
    <w:next w:val="Heading1"/>
    <w:pPr>
      <w:keepNext/>
      <w:spacing w:before="120" w:after="360"/>
      <w:jc w:val="center"/>
    </w:pPr>
    <w:rPr>
      <w:b/>
      <w:smallCaps/>
      <w:sz w:val="28"/>
      <w:lang w:eastAsia="de-DE"/>
    </w:rPr>
  </w:style>
  <w:style w:type="paragraph" w:customStyle="1" w:styleId="ListBullet1">
    <w:name w:val="List Bullet 1"/>
    <w:basedOn w:val="Normal"/>
    <w:pPr>
      <w:numPr>
        <w:numId w:val="9"/>
      </w:numPr>
      <w:spacing w:before="120" w:after="120"/>
      <w:jc w:val="both"/>
    </w:pPr>
    <w:rPr>
      <w:lang w:eastAsia="de-DE"/>
    </w:rPr>
  </w:style>
  <w:style w:type="paragraph" w:customStyle="1" w:styleId="ListDash">
    <w:name w:val="List Dash"/>
    <w:basedOn w:val="Normal"/>
    <w:pPr>
      <w:numPr>
        <w:numId w:val="13"/>
      </w:numPr>
      <w:spacing w:before="120" w:after="120"/>
      <w:jc w:val="both"/>
    </w:pPr>
    <w:rPr>
      <w:lang w:eastAsia="de-DE"/>
    </w:rPr>
  </w:style>
  <w:style w:type="paragraph" w:customStyle="1" w:styleId="ListDash1">
    <w:name w:val="List Dash 1"/>
    <w:basedOn w:val="Normal"/>
    <w:pPr>
      <w:numPr>
        <w:numId w:val="14"/>
      </w:numPr>
      <w:spacing w:before="120" w:after="120"/>
      <w:jc w:val="both"/>
    </w:pPr>
    <w:rPr>
      <w:lang w:eastAsia="de-DE"/>
    </w:rPr>
  </w:style>
  <w:style w:type="paragraph" w:customStyle="1" w:styleId="ListDash2">
    <w:name w:val="List Dash 2"/>
    <w:basedOn w:val="Normal"/>
    <w:pPr>
      <w:numPr>
        <w:numId w:val="15"/>
      </w:numPr>
      <w:spacing w:before="120" w:after="120"/>
      <w:jc w:val="both"/>
    </w:pPr>
    <w:rPr>
      <w:lang w:eastAsia="de-DE"/>
    </w:rPr>
  </w:style>
  <w:style w:type="paragraph" w:customStyle="1" w:styleId="ListDash3">
    <w:name w:val="List Dash 3"/>
    <w:basedOn w:val="Normal"/>
    <w:pPr>
      <w:numPr>
        <w:numId w:val="16"/>
      </w:numPr>
      <w:spacing w:before="120" w:after="120"/>
      <w:jc w:val="both"/>
    </w:pPr>
    <w:rPr>
      <w:lang w:eastAsia="de-DE"/>
    </w:rPr>
  </w:style>
  <w:style w:type="paragraph" w:customStyle="1" w:styleId="ListDash4">
    <w:name w:val="List Dash 4"/>
    <w:basedOn w:val="Normal"/>
    <w:pPr>
      <w:numPr>
        <w:numId w:val="17"/>
      </w:numPr>
      <w:spacing w:before="120" w:after="120"/>
      <w:jc w:val="both"/>
    </w:pPr>
    <w:rPr>
      <w:lang w:eastAsia="de-DE"/>
    </w:rPr>
  </w:style>
  <w:style w:type="paragraph" w:customStyle="1" w:styleId="ListNumber1">
    <w:name w:val="List Number 1"/>
    <w:basedOn w:val="Text1"/>
    <w:pPr>
      <w:tabs>
        <w:tab w:val="num" w:pos="1560"/>
      </w:tabs>
      <w:ind w:left="1560" w:hanging="709"/>
    </w:pPr>
  </w:style>
  <w:style w:type="paragraph" w:customStyle="1" w:styleId="ListNumberLevel2">
    <w:name w:val="List Number (Level 2)"/>
    <w:basedOn w:val="Normal"/>
    <w:pPr>
      <w:numPr>
        <w:ilvl w:val="1"/>
        <w:numId w:val="18"/>
      </w:numPr>
      <w:spacing w:before="120" w:after="120"/>
      <w:jc w:val="both"/>
    </w:pPr>
    <w:rPr>
      <w:lang w:eastAsia="de-DE"/>
    </w:rPr>
  </w:style>
  <w:style w:type="paragraph" w:customStyle="1" w:styleId="ListNumber1Level2">
    <w:name w:val="List Number 1 (Level 2)"/>
    <w:basedOn w:val="Text1"/>
    <w:pPr>
      <w:numPr>
        <w:ilvl w:val="1"/>
        <w:numId w:val="19"/>
      </w:numPr>
    </w:pPr>
  </w:style>
  <w:style w:type="paragraph" w:customStyle="1" w:styleId="ListNumber2Level2">
    <w:name w:val="List Number 2 (Level 2)"/>
    <w:basedOn w:val="Text2"/>
    <w:pPr>
      <w:numPr>
        <w:ilvl w:val="1"/>
        <w:numId w:val="20"/>
      </w:numPr>
    </w:pPr>
  </w:style>
  <w:style w:type="paragraph" w:customStyle="1" w:styleId="ListNumber3Level2">
    <w:name w:val="List Number 3 (Level 2)"/>
    <w:basedOn w:val="Text3"/>
    <w:pPr>
      <w:numPr>
        <w:ilvl w:val="1"/>
        <w:numId w:val="21"/>
      </w:numPr>
    </w:pPr>
  </w:style>
  <w:style w:type="paragraph" w:customStyle="1" w:styleId="ListNumber4Level2">
    <w:name w:val="List Number 4 (Level 2)"/>
    <w:basedOn w:val="Text4"/>
    <w:pPr>
      <w:numPr>
        <w:ilvl w:val="1"/>
        <w:numId w:val="22"/>
      </w:numPr>
    </w:pPr>
  </w:style>
  <w:style w:type="paragraph" w:customStyle="1" w:styleId="ListNumberLevel3">
    <w:name w:val="List Number (Level 3)"/>
    <w:basedOn w:val="Normal"/>
    <w:pPr>
      <w:numPr>
        <w:ilvl w:val="2"/>
        <w:numId w:val="18"/>
      </w:numPr>
      <w:spacing w:before="120" w:after="120"/>
      <w:jc w:val="both"/>
    </w:pPr>
    <w:rPr>
      <w:lang w:eastAsia="de-DE"/>
    </w:rPr>
  </w:style>
  <w:style w:type="paragraph" w:customStyle="1" w:styleId="ListNumber1Level3">
    <w:name w:val="List Number 1 (Level 3)"/>
    <w:basedOn w:val="Text1"/>
    <w:pPr>
      <w:numPr>
        <w:ilvl w:val="2"/>
        <w:numId w:val="19"/>
      </w:numPr>
    </w:pPr>
  </w:style>
  <w:style w:type="paragraph" w:customStyle="1" w:styleId="ListNumber2Level3">
    <w:name w:val="List Number 2 (Level 3)"/>
    <w:basedOn w:val="Text2"/>
    <w:pPr>
      <w:numPr>
        <w:ilvl w:val="2"/>
        <w:numId w:val="20"/>
      </w:numPr>
    </w:pPr>
  </w:style>
  <w:style w:type="paragraph" w:customStyle="1" w:styleId="ListNumber3Level3">
    <w:name w:val="List Number 3 (Level 3)"/>
    <w:basedOn w:val="Text3"/>
    <w:pPr>
      <w:numPr>
        <w:ilvl w:val="2"/>
        <w:numId w:val="21"/>
      </w:numPr>
    </w:pPr>
  </w:style>
  <w:style w:type="paragraph" w:customStyle="1" w:styleId="ListNumber4Level3">
    <w:name w:val="List Number 4 (Level 3)"/>
    <w:basedOn w:val="Text4"/>
    <w:pPr>
      <w:numPr>
        <w:ilvl w:val="2"/>
        <w:numId w:val="22"/>
      </w:numPr>
    </w:pPr>
  </w:style>
  <w:style w:type="paragraph" w:customStyle="1" w:styleId="ListNumberLevel4">
    <w:name w:val="List Number (Level 4)"/>
    <w:basedOn w:val="Normal"/>
    <w:pPr>
      <w:numPr>
        <w:ilvl w:val="3"/>
        <w:numId w:val="18"/>
      </w:numPr>
      <w:spacing w:before="120" w:after="120"/>
      <w:jc w:val="both"/>
    </w:pPr>
    <w:rPr>
      <w:lang w:eastAsia="de-DE"/>
    </w:rPr>
  </w:style>
  <w:style w:type="paragraph" w:customStyle="1" w:styleId="ListNumber1Level4">
    <w:name w:val="List Number 1 (Level 4)"/>
    <w:basedOn w:val="Text1"/>
    <w:pPr>
      <w:numPr>
        <w:ilvl w:val="3"/>
        <w:numId w:val="19"/>
      </w:numPr>
    </w:pPr>
  </w:style>
  <w:style w:type="paragraph" w:customStyle="1" w:styleId="ListNumber2Level4">
    <w:name w:val="List Number 2 (Level 4)"/>
    <w:basedOn w:val="Text2"/>
    <w:pPr>
      <w:numPr>
        <w:ilvl w:val="3"/>
        <w:numId w:val="20"/>
      </w:numPr>
    </w:pPr>
  </w:style>
  <w:style w:type="paragraph" w:customStyle="1" w:styleId="ListNumber3Level4">
    <w:name w:val="List Number 3 (Level 4)"/>
    <w:basedOn w:val="Text3"/>
    <w:pPr>
      <w:numPr>
        <w:ilvl w:val="3"/>
        <w:numId w:val="21"/>
      </w:numPr>
    </w:pPr>
  </w:style>
  <w:style w:type="paragraph" w:customStyle="1" w:styleId="ListNumber4Level4">
    <w:name w:val="List Number 4 (Level 4)"/>
    <w:basedOn w:val="Text4"/>
    <w:pPr>
      <w:numPr>
        <w:ilvl w:val="3"/>
        <w:numId w:val="22"/>
      </w:numPr>
    </w:pPr>
  </w:style>
  <w:style w:type="paragraph" w:customStyle="1" w:styleId="TableTitle">
    <w:name w:val="Table Title"/>
    <w:basedOn w:val="Normal"/>
    <w:next w:val="Normal"/>
    <w:pPr>
      <w:spacing w:before="120" w:after="120"/>
      <w:jc w:val="center"/>
    </w:pPr>
    <w:rPr>
      <w:b/>
      <w:lang w:eastAsia="de-DE"/>
    </w:rPr>
  </w:style>
  <w:style w:type="character" w:customStyle="1" w:styleId="Marker1">
    <w:name w:val="Marker1"/>
    <w:rPr>
      <w:color w:val="008000"/>
    </w:rPr>
  </w:style>
  <w:style w:type="character" w:customStyle="1" w:styleId="Marker2">
    <w:name w:val="Marker2"/>
    <w:rPr>
      <w:color w:val="FF0000"/>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Annexetitreacte">
    <w:name w:val="Annexe titre (acte)"/>
    <w:basedOn w:val="Normal"/>
    <w:next w:val="Normal"/>
    <w:pPr>
      <w:spacing w:before="120" w:after="120"/>
      <w:jc w:val="center"/>
    </w:pPr>
    <w:rPr>
      <w:b/>
      <w:u w:val="single"/>
      <w:lang w:eastAsia="de-DE"/>
    </w:rPr>
  </w:style>
  <w:style w:type="paragraph" w:customStyle="1" w:styleId="Annexetitreexposglobal">
    <w:name w:val="Annexe titre (exposé global)"/>
    <w:basedOn w:val="Normal"/>
    <w:next w:val="Normal"/>
    <w:pPr>
      <w:spacing w:before="120" w:after="120"/>
      <w:jc w:val="center"/>
    </w:pPr>
    <w:rPr>
      <w:b/>
      <w:u w:val="single"/>
      <w:lang w:eastAsia="de-DE"/>
    </w:rPr>
  </w:style>
  <w:style w:type="paragraph" w:customStyle="1" w:styleId="Annexetitreexpos">
    <w:name w:val="Annexe titre (exposé)"/>
    <w:basedOn w:val="Normal"/>
    <w:next w:val="Normal"/>
    <w:pPr>
      <w:spacing w:before="120" w:after="120"/>
      <w:jc w:val="center"/>
    </w:pPr>
    <w:rPr>
      <w:b/>
      <w:u w:val="single"/>
      <w:lang w:eastAsia="de-DE"/>
    </w:rPr>
  </w:style>
  <w:style w:type="paragraph" w:customStyle="1" w:styleId="Annexetitrefichefinacte">
    <w:name w:val="Annexe titre (fiche fin. acte)"/>
    <w:basedOn w:val="Normal"/>
    <w:next w:val="Normal"/>
    <w:pPr>
      <w:spacing w:before="120" w:after="120"/>
      <w:jc w:val="center"/>
    </w:pPr>
    <w:rPr>
      <w:b/>
      <w:u w:val="single"/>
      <w:lang w:eastAsia="de-DE"/>
    </w:rPr>
  </w:style>
  <w:style w:type="paragraph" w:customStyle="1" w:styleId="Annexetitrefichefinglobale">
    <w:name w:val="Annexe titre (fiche fin. globale)"/>
    <w:basedOn w:val="Normal"/>
    <w:next w:val="Normal"/>
    <w:pPr>
      <w:spacing w:before="120" w:after="120"/>
      <w:jc w:val="center"/>
    </w:pPr>
    <w:rPr>
      <w:b/>
      <w:u w:val="single"/>
      <w:lang w:eastAsia="de-DE"/>
    </w:rPr>
  </w:style>
  <w:style w:type="paragraph" w:customStyle="1" w:styleId="Annexetitreglobale">
    <w:name w:val="Annexe titre (globale)"/>
    <w:basedOn w:val="Normal"/>
    <w:next w:val="Normal"/>
    <w:pPr>
      <w:spacing w:before="120" w:after="120"/>
      <w:jc w:val="center"/>
    </w:pPr>
    <w:rPr>
      <w:b/>
      <w:u w:val="single"/>
      <w:lang w:eastAsia="de-DE"/>
    </w:rPr>
  </w:style>
  <w:style w:type="paragraph" w:customStyle="1" w:styleId="Applicationdirecte">
    <w:name w:val="Application directe"/>
    <w:basedOn w:val="Normal"/>
    <w:next w:val="Fait"/>
    <w:pPr>
      <w:spacing w:before="480" w:after="120"/>
      <w:jc w:val="both"/>
    </w:pPr>
    <w:rPr>
      <w:lang w:eastAsia="de-DE"/>
    </w:rPr>
  </w:style>
  <w:style w:type="paragraph" w:customStyle="1" w:styleId="Fait">
    <w:name w:val="Fait à"/>
    <w:basedOn w:val="Normal"/>
    <w:next w:val="Institutionquisigne"/>
    <w:pPr>
      <w:keepNext/>
      <w:spacing w:before="120"/>
      <w:jc w:val="both"/>
    </w:pPr>
    <w:rPr>
      <w:lang w:eastAsia="de-DE"/>
    </w:rPr>
  </w:style>
  <w:style w:type="paragraph" w:customStyle="1" w:styleId="Institutionquisigne">
    <w:name w:val="Institution qui signe"/>
    <w:basedOn w:val="Normal"/>
    <w:next w:val="Personnequisigne"/>
    <w:pPr>
      <w:keepNext/>
      <w:tabs>
        <w:tab w:val="left" w:pos="4252"/>
      </w:tabs>
      <w:spacing w:before="720"/>
      <w:jc w:val="both"/>
    </w:pPr>
    <w:rPr>
      <w:i/>
      <w:lang w:eastAsia="de-DE"/>
    </w:rPr>
  </w:style>
  <w:style w:type="paragraph" w:customStyle="1" w:styleId="Personnequisigne">
    <w:name w:val="Personne qui signe"/>
    <w:basedOn w:val="Normal"/>
    <w:next w:val="Institutionquisigne"/>
    <w:pPr>
      <w:tabs>
        <w:tab w:val="left" w:pos="4252"/>
      </w:tabs>
    </w:pPr>
    <w:rPr>
      <w:i/>
      <w:lang w:eastAsia="de-DE"/>
    </w:rPr>
  </w:style>
  <w:style w:type="paragraph" w:customStyle="1" w:styleId="Avertissementtitre">
    <w:name w:val="Avertissement titre"/>
    <w:basedOn w:val="Normal"/>
    <w:next w:val="Normal"/>
    <w:pPr>
      <w:keepNext/>
      <w:spacing w:before="480" w:after="120"/>
      <w:jc w:val="both"/>
    </w:pPr>
    <w:rPr>
      <w:u w:val="single"/>
      <w:lang w:eastAsia="de-DE"/>
    </w:rPr>
  </w:style>
  <w:style w:type="paragraph" w:customStyle="1" w:styleId="Confidence">
    <w:name w:val="Confidence"/>
    <w:basedOn w:val="Normal"/>
    <w:next w:val="Normal"/>
    <w:pPr>
      <w:spacing w:before="360" w:after="120"/>
      <w:jc w:val="center"/>
    </w:pPr>
    <w:rPr>
      <w:lang w:eastAsia="de-DE"/>
    </w:rPr>
  </w:style>
  <w:style w:type="paragraph" w:customStyle="1" w:styleId="Confidentialit">
    <w:name w:val="Confidentialité"/>
    <w:basedOn w:val="Normal"/>
    <w:next w:val="Statut"/>
    <w:pPr>
      <w:spacing w:before="240" w:after="240"/>
      <w:ind w:left="5103"/>
      <w:jc w:val="both"/>
    </w:pPr>
    <w:rPr>
      <w:u w:val="single"/>
      <w:lang w:eastAsia="de-DE"/>
    </w:rPr>
  </w:style>
  <w:style w:type="paragraph" w:customStyle="1" w:styleId="Statut">
    <w:name w:val="Statut"/>
    <w:basedOn w:val="Normal"/>
    <w:next w:val="Typedudocument"/>
    <w:pPr>
      <w:spacing w:before="360"/>
      <w:jc w:val="center"/>
    </w:pPr>
    <w:rPr>
      <w:lang w:eastAsia="de-DE"/>
    </w:rPr>
  </w:style>
  <w:style w:type="paragraph" w:customStyle="1" w:styleId="Typedudocument">
    <w:name w:val="Type du document"/>
    <w:basedOn w:val="Normal"/>
    <w:next w:val="Datedadoption"/>
    <w:pPr>
      <w:spacing w:before="360"/>
      <w:jc w:val="center"/>
    </w:pPr>
    <w:rPr>
      <w:b/>
      <w:lang w:eastAsia="de-DE"/>
    </w:rPr>
  </w:style>
  <w:style w:type="paragraph" w:customStyle="1" w:styleId="Datedadoption">
    <w:name w:val="Date d'adoption"/>
    <w:basedOn w:val="Normal"/>
    <w:next w:val="Titreobjet"/>
    <w:pPr>
      <w:spacing w:before="360"/>
      <w:jc w:val="center"/>
    </w:pPr>
    <w:rPr>
      <w:b/>
      <w:lang w:eastAsia="de-DE"/>
    </w:rPr>
  </w:style>
  <w:style w:type="paragraph" w:customStyle="1" w:styleId="Titreobjet">
    <w:name w:val="Titre objet"/>
    <w:basedOn w:val="Normal"/>
    <w:next w:val="Sous-titreobjet"/>
    <w:pPr>
      <w:spacing w:before="360" w:after="360"/>
      <w:jc w:val="center"/>
    </w:pPr>
    <w:rPr>
      <w:b/>
      <w:lang w:eastAsia="de-DE"/>
    </w:rPr>
  </w:style>
  <w:style w:type="paragraph" w:customStyle="1" w:styleId="Sous-titreobjet">
    <w:name w:val="Sous-titre objet"/>
    <w:basedOn w:val="Normal"/>
    <w:pPr>
      <w:jc w:val="center"/>
    </w:pPr>
    <w:rPr>
      <w:b/>
      <w:lang w:eastAsia="de-DE"/>
    </w:rPr>
  </w:style>
  <w:style w:type="paragraph" w:customStyle="1" w:styleId="Considrant">
    <w:name w:val="Considérant"/>
    <w:basedOn w:val="Normal"/>
    <w:pPr>
      <w:numPr>
        <w:numId w:val="23"/>
      </w:numPr>
      <w:spacing w:before="120" w:after="120"/>
      <w:jc w:val="both"/>
    </w:pPr>
    <w:rPr>
      <w:lang w:eastAsia="de-DE"/>
    </w:rPr>
  </w:style>
  <w:style w:type="paragraph" w:customStyle="1" w:styleId="Corrigendum">
    <w:name w:val="Corrigendum"/>
    <w:basedOn w:val="Normal"/>
    <w:next w:val="Normal"/>
    <w:pPr>
      <w:spacing w:after="240"/>
    </w:pPr>
    <w:rPr>
      <w:lang w:eastAsia="de-DE"/>
    </w:rPr>
  </w:style>
  <w:style w:type="paragraph" w:customStyle="1" w:styleId="Emission">
    <w:name w:val="Emission"/>
    <w:basedOn w:val="Normal"/>
    <w:next w:val="Rfrenceinstitutionelle"/>
    <w:pPr>
      <w:ind w:left="5103"/>
    </w:pPr>
    <w:rPr>
      <w:lang w:eastAsia="de-DE"/>
    </w:rPr>
  </w:style>
  <w:style w:type="paragraph" w:customStyle="1" w:styleId="Rfrenceinstitutionelle">
    <w:name w:val="Référence institutionelle"/>
    <w:basedOn w:val="Normal"/>
    <w:next w:val="Statut"/>
    <w:pPr>
      <w:spacing w:after="240"/>
      <w:ind w:left="5103"/>
    </w:pPr>
    <w:rPr>
      <w:lang w:eastAsia="de-DE"/>
    </w:rPr>
  </w:style>
  <w:style w:type="paragraph" w:customStyle="1" w:styleId="Exposdesmotifstitre">
    <w:name w:val="Exposé des motifs titre"/>
    <w:basedOn w:val="Normal"/>
    <w:next w:val="Normal"/>
    <w:pPr>
      <w:spacing w:before="120" w:after="120"/>
      <w:jc w:val="center"/>
    </w:pPr>
    <w:rPr>
      <w:b/>
      <w:u w:val="single"/>
      <w:lang w:eastAsia="de-DE"/>
    </w:rPr>
  </w:style>
  <w:style w:type="paragraph" w:customStyle="1" w:styleId="Exposdesmotifstitreglobal">
    <w:name w:val="Exposé des motifs titre (global)"/>
    <w:basedOn w:val="Normal"/>
    <w:next w:val="Normal"/>
    <w:pPr>
      <w:spacing w:before="120" w:after="120"/>
      <w:jc w:val="center"/>
    </w:pPr>
    <w:rPr>
      <w:b/>
      <w:u w:val="single"/>
      <w:lang w:eastAsia="de-DE"/>
    </w:rPr>
  </w:style>
  <w:style w:type="paragraph" w:customStyle="1" w:styleId="Formuledadoption">
    <w:name w:val="Formule d'adoption"/>
    <w:basedOn w:val="Normal"/>
    <w:next w:val="Titrearticle"/>
    <w:pPr>
      <w:keepNext/>
      <w:spacing w:before="120" w:after="120"/>
      <w:jc w:val="both"/>
    </w:pPr>
    <w:rPr>
      <w:lang w:eastAsia="de-DE"/>
    </w:rPr>
  </w:style>
  <w:style w:type="paragraph" w:customStyle="1" w:styleId="Titrearticle">
    <w:name w:val="Titre article"/>
    <w:basedOn w:val="Normal"/>
    <w:next w:val="Normal"/>
    <w:pPr>
      <w:keepNext/>
      <w:spacing w:before="360" w:after="120"/>
      <w:jc w:val="center"/>
    </w:pPr>
    <w:rPr>
      <w:i/>
      <w:lang w:eastAsia="de-DE"/>
    </w:rPr>
  </w:style>
  <w:style w:type="paragraph" w:customStyle="1" w:styleId="Institutionquiagit">
    <w:name w:val="Institution qui agit"/>
    <w:basedOn w:val="Normal"/>
    <w:next w:val="Normal"/>
    <w:pPr>
      <w:keepNext/>
      <w:spacing w:before="600" w:after="120"/>
      <w:jc w:val="both"/>
    </w:pPr>
    <w:rPr>
      <w:lang w:eastAsia="de-DE"/>
    </w:rPr>
  </w:style>
  <w:style w:type="paragraph" w:customStyle="1" w:styleId="Langue">
    <w:name w:val="Langue"/>
    <w:basedOn w:val="Normal"/>
    <w:next w:val="Rfrenceinterne"/>
    <w:pPr>
      <w:spacing w:after="600"/>
      <w:jc w:val="center"/>
    </w:pPr>
    <w:rPr>
      <w:b/>
      <w:caps/>
      <w:lang w:eastAsia="de-DE"/>
    </w:rPr>
  </w:style>
  <w:style w:type="paragraph" w:customStyle="1" w:styleId="Rfrenceinterne">
    <w:name w:val="Référence interne"/>
    <w:basedOn w:val="Normal"/>
    <w:next w:val="Nomdelinstitution"/>
    <w:pPr>
      <w:spacing w:after="600"/>
      <w:jc w:val="center"/>
    </w:pPr>
    <w:rPr>
      <w:b/>
      <w:lang w:eastAsia="de-DE"/>
    </w:rPr>
  </w:style>
  <w:style w:type="paragraph" w:customStyle="1" w:styleId="Nomdelinstitution">
    <w:name w:val="Nom de l'institution"/>
    <w:basedOn w:val="Normal"/>
    <w:next w:val="Emission"/>
    <w:rPr>
      <w:rFonts w:ascii="Arial" w:hAnsi="Arial" w:cs="Arial"/>
      <w:lang w:eastAsia="de-DE"/>
    </w:rPr>
  </w:style>
  <w:style w:type="paragraph" w:customStyle="1" w:styleId="Langueoriginale">
    <w:name w:val="Langue originale"/>
    <w:basedOn w:val="Normal"/>
    <w:next w:val="Phrasefinale"/>
    <w:pPr>
      <w:spacing w:before="360" w:after="120"/>
      <w:jc w:val="center"/>
    </w:pPr>
    <w:rPr>
      <w:caps/>
      <w:lang w:eastAsia="de-DE"/>
    </w:rPr>
  </w:style>
  <w:style w:type="paragraph" w:customStyle="1" w:styleId="Phrasefinale">
    <w:name w:val="Phrase finale"/>
    <w:basedOn w:val="Normal"/>
    <w:next w:val="Normal"/>
    <w:pPr>
      <w:spacing w:before="360"/>
      <w:jc w:val="center"/>
    </w:pPr>
    <w:rPr>
      <w:lang w:eastAsia="de-DE"/>
    </w:rPr>
  </w:style>
  <w:style w:type="paragraph" w:customStyle="1" w:styleId="ManualConsidrant">
    <w:name w:val="Manual Considérant"/>
    <w:basedOn w:val="Normal"/>
    <w:pPr>
      <w:spacing w:before="120" w:after="120"/>
      <w:ind w:left="709" w:hanging="709"/>
      <w:jc w:val="both"/>
    </w:pPr>
    <w:rPr>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paragraph" w:customStyle="1" w:styleId="Rfrenceinterinstitutionelle">
    <w:name w:val="Référence interinstitutionelle"/>
    <w:basedOn w:val="Normal"/>
    <w:next w:val="Statut"/>
    <w:pPr>
      <w:ind w:left="5103"/>
    </w:pPr>
    <w:rPr>
      <w:lang w:eastAsia="de-DE"/>
    </w:rPr>
  </w:style>
  <w:style w:type="paragraph" w:customStyle="1" w:styleId="Rfrenceinterinstitutionelleprliminaire">
    <w:name w:val="Référence interinstitutionelle (préliminaire)"/>
    <w:basedOn w:val="Normal"/>
    <w:next w:val="Normal"/>
    <w:pPr>
      <w:ind w:left="5103"/>
    </w:pPr>
    <w:rPr>
      <w:lang w:eastAsia="de-DE"/>
    </w:rPr>
  </w:style>
  <w:style w:type="paragraph" w:customStyle="1" w:styleId="Sous-titreobjetprliminaire">
    <w:name w:val="Sous-titre objet (préliminaire)"/>
    <w:basedOn w:val="Normal"/>
    <w:pPr>
      <w:jc w:val="center"/>
    </w:pPr>
    <w:rPr>
      <w:b/>
      <w:lang w:eastAsia="de-DE"/>
    </w:rPr>
  </w:style>
  <w:style w:type="paragraph" w:customStyle="1" w:styleId="Statutprliminaire">
    <w:name w:val="Statut (préliminaire)"/>
    <w:basedOn w:val="Normal"/>
    <w:next w:val="Normal"/>
    <w:pPr>
      <w:spacing w:before="36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jc w:val="center"/>
    </w:pPr>
    <w:rPr>
      <w:b/>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spacing w:before="120" w:after="120" w:line="360" w:lineRule="auto"/>
      <w:ind w:left="3402"/>
    </w:pPr>
    <w:rPr>
      <w:lang w:eastAsia="de-DE"/>
    </w:rPr>
  </w:style>
  <w:style w:type="paragraph" w:customStyle="1" w:styleId="Fichefinancirestandardtitre">
    <w:name w:val="Fiche financière (standard) titre"/>
    <w:basedOn w:val="Normal"/>
    <w:next w:val="Normal"/>
    <w:pPr>
      <w:spacing w:before="120" w:after="120"/>
      <w:jc w:val="center"/>
    </w:pPr>
    <w:rPr>
      <w:b/>
      <w:u w:val="single"/>
      <w:lang w:eastAsia="de-DE"/>
    </w:rPr>
  </w:style>
  <w:style w:type="paragraph" w:customStyle="1" w:styleId="Fichefinancirestandardtitreacte">
    <w:name w:val="Fiche financière (standard) titre (acte)"/>
    <w:basedOn w:val="Normal"/>
    <w:next w:val="Normal"/>
    <w:pPr>
      <w:spacing w:before="120" w:after="120"/>
      <w:jc w:val="center"/>
    </w:pPr>
    <w:rPr>
      <w:b/>
      <w:u w:val="single"/>
      <w:lang w:eastAsia="de-DE"/>
    </w:rPr>
  </w:style>
  <w:style w:type="paragraph" w:customStyle="1" w:styleId="Fichefinanciretravailtitre">
    <w:name w:val="Fiche financière (travail) titre"/>
    <w:basedOn w:val="Normal"/>
    <w:next w:val="Normal"/>
    <w:pPr>
      <w:spacing w:before="120" w:after="120"/>
      <w:jc w:val="center"/>
    </w:pPr>
    <w:rPr>
      <w:b/>
      <w:u w:val="single"/>
      <w:lang w:eastAsia="de-DE"/>
    </w:rPr>
  </w:style>
  <w:style w:type="paragraph" w:customStyle="1" w:styleId="Fichefinanciretravailtitreacte">
    <w:name w:val="Fiche financière (travail) titre (acte)"/>
    <w:basedOn w:val="Normal"/>
    <w:next w:val="Normal"/>
    <w:pPr>
      <w:spacing w:before="120" w:after="120"/>
      <w:jc w:val="center"/>
    </w:pPr>
    <w:rPr>
      <w:b/>
      <w:u w:val="single"/>
      <w:lang w:eastAsia="de-DE"/>
    </w:rPr>
  </w:style>
  <w:style w:type="paragraph" w:customStyle="1" w:styleId="Fichefinancireattributiontitre">
    <w:name w:val="Fiche financière (attribution) titre"/>
    <w:basedOn w:val="Normal"/>
    <w:next w:val="Normal"/>
    <w:pPr>
      <w:spacing w:before="120" w:after="120"/>
      <w:jc w:val="center"/>
    </w:pPr>
    <w:rPr>
      <w:b/>
      <w:u w:val="single"/>
      <w:lang w:eastAsia="de-DE"/>
    </w:rPr>
  </w:style>
  <w:style w:type="paragraph" w:customStyle="1" w:styleId="Fichefinancireattributiontitreacte">
    <w:name w:val="Fiche financière (attribution) titre (acte)"/>
    <w:basedOn w:val="Normal"/>
    <w:next w:val="Normal"/>
    <w:pPr>
      <w:spacing w:before="120" w:after="120"/>
      <w:jc w:val="center"/>
    </w:pPr>
    <w:rPr>
      <w:b/>
      <w:u w:val="single"/>
      <w:lang w:eastAsia="de-DE"/>
    </w:rPr>
  </w:style>
  <w:style w:type="paragraph" w:customStyle="1" w:styleId="Objetexterne">
    <w:name w:val="Objet externe"/>
    <w:basedOn w:val="Normal"/>
    <w:next w:val="Normal"/>
    <w:pPr>
      <w:spacing w:before="120" w:after="120"/>
      <w:jc w:val="both"/>
    </w:pPr>
    <w:rPr>
      <w:i/>
      <w:caps/>
      <w:lang w:eastAsia="de-DE"/>
    </w:rPr>
  </w:style>
  <w:style w:type="paragraph" w:customStyle="1" w:styleId="FichedimpactPMEtitre">
    <w:name w:val="Fiche d'impact PME titre"/>
    <w:basedOn w:val="Normal"/>
    <w:next w:val="Normal"/>
    <w:pPr>
      <w:spacing w:before="120" w:after="120"/>
      <w:jc w:val="center"/>
    </w:pPr>
    <w:rPr>
      <w:rFonts w:ascii="Arial" w:hAnsi="Arial"/>
      <w:b/>
      <w:szCs w:val="20"/>
      <w:lang w:eastAsia="en-US"/>
    </w:rPr>
  </w:style>
  <w:style w:type="paragraph" w:customStyle="1" w:styleId="Fichefinanciretextetable">
    <w:name w:val="Fiche financière texte (table)"/>
    <w:basedOn w:val="Normal"/>
    <w:rPr>
      <w:rFonts w:ascii="Arial" w:hAnsi="Arial"/>
      <w:sz w:val="20"/>
      <w:szCs w:val="20"/>
      <w:lang w:eastAsia="en-US"/>
    </w:rPr>
  </w:style>
  <w:style w:type="paragraph" w:customStyle="1" w:styleId="Fichefinanciretitre">
    <w:name w:val="Fiche financière titre"/>
    <w:basedOn w:val="Normal"/>
    <w:next w:val="Normal"/>
    <w:pPr>
      <w:spacing w:before="120" w:after="120"/>
      <w:jc w:val="center"/>
    </w:pPr>
    <w:rPr>
      <w:rFonts w:ascii="Arial" w:hAnsi="Arial"/>
      <w:b/>
      <w:szCs w:val="20"/>
      <w:u w:val="single"/>
      <w:lang w:eastAsia="en-US"/>
    </w:rPr>
  </w:style>
  <w:style w:type="paragraph" w:customStyle="1" w:styleId="Fichefinanciretitreactetable">
    <w:name w:val="Fiche financière titre (acte table)"/>
    <w:basedOn w:val="Normal"/>
    <w:next w:val="Normal"/>
    <w:pPr>
      <w:spacing w:before="120" w:after="120"/>
      <w:jc w:val="center"/>
    </w:pPr>
    <w:rPr>
      <w:rFonts w:ascii="Arial" w:hAnsi="Arial"/>
      <w:b/>
      <w:sz w:val="40"/>
      <w:szCs w:val="20"/>
      <w:lang w:eastAsia="en-US"/>
    </w:rPr>
  </w:style>
  <w:style w:type="paragraph" w:customStyle="1" w:styleId="Fichefinanciretitreacte">
    <w:name w:val="Fiche financière titre (acte)"/>
    <w:basedOn w:val="Normal"/>
    <w:next w:val="Normal"/>
    <w:pPr>
      <w:spacing w:before="120" w:after="120"/>
      <w:jc w:val="center"/>
    </w:pPr>
    <w:rPr>
      <w:rFonts w:ascii="Arial" w:hAnsi="Arial"/>
      <w:b/>
      <w:szCs w:val="20"/>
      <w:u w:val="single"/>
      <w:lang w:eastAsia="en-US"/>
    </w:rPr>
  </w:style>
  <w:style w:type="paragraph" w:customStyle="1" w:styleId="Fichefinanciretitretable">
    <w:name w:val="Fiche financière titre (table)"/>
    <w:basedOn w:val="Normal"/>
    <w:pPr>
      <w:spacing w:before="120" w:after="120"/>
      <w:jc w:val="center"/>
    </w:pPr>
    <w:rPr>
      <w:rFonts w:ascii="Arial" w:hAnsi="Arial"/>
      <w:b/>
      <w:sz w:val="40"/>
      <w:szCs w:val="20"/>
      <w:lang w:eastAsia="en-US"/>
    </w:rPr>
  </w:style>
  <w:style w:type="character" w:styleId="Hyperlink">
    <w:name w:val="Hyperlink"/>
    <w:uiPriority w:val="99"/>
    <w:rPr>
      <w:rFonts w:cs="Times New Roman"/>
      <w:color w:val="0000FF"/>
      <w:u w:val="single"/>
    </w:rPr>
  </w:style>
  <w:style w:type="paragraph" w:customStyle="1" w:styleId="xl24">
    <w:name w:val="xl24"/>
    <w:basedOn w:val="Normal"/>
    <w:pPr>
      <w:spacing w:before="100" w:beforeAutospacing="1" w:after="100" w:afterAutospacing="1"/>
    </w:pPr>
    <w:rPr>
      <w:rFonts w:ascii="Arial" w:eastAsia="Arial Unicode MS" w:hAnsi="Arial" w:cs="Arial"/>
      <w:lang w:val="en-US" w:eastAsia="en-US"/>
    </w:rPr>
  </w:style>
  <w:style w:type="paragraph" w:customStyle="1" w:styleId="Style1">
    <w:name w:val="Style1"/>
    <w:basedOn w:val="Normal"/>
    <w:autoRedefine/>
    <w:pPr>
      <w:spacing w:before="120" w:after="120"/>
      <w:jc w:val="both"/>
    </w:pPr>
    <w:rPr>
      <w:rFonts w:ascii="Arial" w:hAnsi="Arial"/>
      <w:szCs w:val="20"/>
      <w:lang w:eastAsia="en-US"/>
    </w:rPr>
  </w:style>
  <w:style w:type="paragraph" w:styleId="BodyText">
    <w:name w:val="Body Text"/>
    <w:basedOn w:val="Normal"/>
    <w:link w:val="BodyTextChar"/>
    <w:pPr>
      <w:snapToGrid w:val="0"/>
      <w:spacing w:after="260" w:line="260" w:lineRule="atLeast"/>
      <w:jc w:val="both"/>
    </w:pPr>
    <w:rPr>
      <w:sz w:val="22"/>
      <w:szCs w:val="22"/>
    </w:rPr>
  </w:style>
  <w:style w:type="paragraph" w:styleId="BodyText2">
    <w:name w:val="Body Text 2"/>
    <w:basedOn w:val="Normal"/>
    <w:link w:val="BodyText2Char"/>
    <w:pPr>
      <w:spacing w:after="120" w:line="240" w:lineRule="atLeast"/>
    </w:pPr>
    <w:rPr>
      <w:rFonts w:ascii="Arial" w:hAnsi="Arial"/>
      <w:sz w:val="22"/>
      <w:szCs w:val="20"/>
      <w:lang w:eastAsia="en-US"/>
    </w:rPr>
  </w:style>
  <w:style w:type="paragraph" w:styleId="BodyText3">
    <w:name w:val="Body Text 3"/>
    <w:basedOn w:val="Normal"/>
    <w:link w:val="BodyText3Char"/>
    <w:pPr>
      <w:tabs>
        <w:tab w:val="left" w:pos="11340"/>
      </w:tabs>
      <w:spacing w:after="120" w:line="240" w:lineRule="atLeast"/>
    </w:pPr>
    <w:rPr>
      <w:rFonts w:ascii="Arial" w:hAnsi="Arial"/>
      <w:b/>
      <w:szCs w:val="20"/>
      <w:u w:val="single"/>
      <w:lang w:eastAsia="en-US"/>
    </w:rPr>
  </w:style>
  <w:style w:type="character" w:styleId="PageNumber">
    <w:name w:val="page number"/>
    <w:rPr>
      <w:rFonts w:cs="Times New Roman"/>
    </w:rPr>
  </w:style>
  <w:style w:type="paragraph" w:styleId="Title">
    <w:name w:val="Title"/>
    <w:basedOn w:val="Normal"/>
    <w:link w:val="TitleChar"/>
    <w:qFormat/>
    <w:pPr>
      <w:spacing w:after="120" w:line="240" w:lineRule="atLeast"/>
      <w:jc w:val="center"/>
    </w:pPr>
    <w:rPr>
      <w:rFonts w:ascii="Comic Sans MS" w:hAnsi="Comic Sans MS"/>
      <w:b/>
      <w:szCs w:val="20"/>
      <w:lang w:eastAsia="en-US"/>
    </w:rPr>
  </w:style>
  <w:style w:type="paragraph" w:customStyle="1" w:styleId="Left">
    <w:name w:val="Left"/>
    <w:basedOn w:val="Normal"/>
    <w:pPr>
      <w:spacing w:before="240" w:after="120" w:line="240" w:lineRule="atLeast"/>
    </w:pPr>
    <w:rPr>
      <w:rFonts w:ascii="Arial" w:hAnsi="Arial"/>
      <w:sz w:val="22"/>
      <w:szCs w:val="20"/>
      <w:lang w:eastAsia="en-US"/>
    </w:rPr>
  </w:style>
  <w:style w:type="paragraph" w:customStyle="1" w:styleId="Notes8">
    <w:name w:val="Notes 8"/>
    <w:basedOn w:val="Normal"/>
    <w:pPr>
      <w:jc w:val="both"/>
    </w:pPr>
    <w:rPr>
      <w:rFonts w:ascii="Arial" w:hAnsi="Arial"/>
      <w:sz w:val="16"/>
      <w:szCs w:val="20"/>
      <w:lang w:eastAsia="en-US"/>
    </w:rPr>
  </w:style>
  <w:style w:type="paragraph" w:customStyle="1" w:styleId="xl25">
    <w:name w:val="xl25"/>
    <w:basedOn w:val="Normal"/>
    <w:pPr>
      <w:spacing w:before="100" w:beforeAutospacing="1" w:after="100" w:afterAutospacing="1"/>
    </w:pPr>
    <w:rPr>
      <w:rFonts w:ascii="Arial" w:eastAsia="Arial Unicode MS" w:hAnsi="Arial" w:cs="Arial"/>
      <w:b/>
      <w:bCs/>
      <w:lang w:val="en-US" w:eastAsia="en-US"/>
    </w:rPr>
  </w:style>
  <w:style w:type="paragraph" w:customStyle="1" w:styleId="xl26">
    <w:name w:val="xl26"/>
    <w:basedOn w:val="Normal"/>
    <w:pPr>
      <w:spacing w:before="100" w:beforeAutospacing="1" w:after="100" w:afterAutospacing="1"/>
    </w:pPr>
    <w:rPr>
      <w:rFonts w:ascii="Arial" w:eastAsia="Arial Unicode MS" w:hAnsi="Arial" w:cs="Arial"/>
      <w:u w:val="single"/>
      <w:lang w:val="en-US" w:eastAsia="en-US"/>
    </w:rPr>
  </w:style>
  <w:style w:type="paragraph" w:customStyle="1" w:styleId="xl27">
    <w:name w:val="xl27"/>
    <w:basedOn w:val="Normal"/>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28">
    <w:name w:val="xl28"/>
    <w:basedOn w:val="Normal"/>
    <w:pPr>
      <w:pBdr>
        <w:top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n-US" w:eastAsia="en-US"/>
    </w:rPr>
  </w:style>
  <w:style w:type="paragraph" w:customStyle="1" w:styleId="xl29">
    <w:name w:val="xl29"/>
    <w:basedOn w:val="Normal"/>
    <w:pPr>
      <w:pBdr>
        <w:top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0">
    <w:name w:val="xl30"/>
    <w:basedOn w:val="Normal"/>
    <w:pPr>
      <w:pBdr>
        <w:top w:val="single" w:sz="8" w:space="0" w:color="auto"/>
        <w:bottom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1">
    <w:name w:val="xl31"/>
    <w:basedOn w:val="Normal"/>
    <w:pPr>
      <w:pBdr>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2">
    <w:name w:val="xl32"/>
    <w:basedOn w:val="Normal"/>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33">
    <w:name w:val="xl33"/>
    <w:basedOn w:val="Normal"/>
    <w:pPr>
      <w:pBdr>
        <w:right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34">
    <w:name w:val="xl34"/>
    <w:basedOn w:val="Normal"/>
    <w:pPr>
      <w:pBdr>
        <w:bottom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5">
    <w:name w:val="xl35"/>
    <w:basedOn w:val="Normal"/>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Arial" w:eastAsia="Arial Unicode MS" w:hAnsi="Arial" w:cs="Arial"/>
      <w:lang w:val="en-US" w:eastAsia="en-US"/>
    </w:rPr>
  </w:style>
  <w:style w:type="paragraph" w:customStyle="1" w:styleId="xl36">
    <w:name w:val="xl36"/>
    <w:basedOn w:val="Normal"/>
    <w:pPr>
      <w:pBdr>
        <w:left w:val="single" w:sz="8" w:space="0" w:color="auto"/>
      </w:pBdr>
      <w:shd w:val="clear" w:color="auto" w:fill="FFFFFF"/>
      <w:spacing w:before="100" w:beforeAutospacing="1" w:after="100" w:afterAutospacing="1"/>
      <w:jc w:val="both"/>
    </w:pPr>
    <w:rPr>
      <w:rFonts w:ascii="Arial" w:eastAsia="Arial Unicode MS" w:hAnsi="Arial" w:cs="Arial"/>
      <w:lang w:val="en-US" w:eastAsia="en-US"/>
    </w:rPr>
  </w:style>
  <w:style w:type="paragraph" w:customStyle="1" w:styleId="xl37">
    <w:name w:val="xl37"/>
    <w:basedOn w:val="Normal"/>
    <w:pPr>
      <w:pBdr>
        <w:left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38">
    <w:name w:val="xl38"/>
    <w:basedOn w:val="Normal"/>
    <w:pPr>
      <w:pBdr>
        <w:top w:val="single" w:sz="8" w:space="0" w:color="auto"/>
        <w:left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9">
    <w:name w:val="xl39"/>
    <w:basedOn w:val="Normal"/>
    <w:pPr>
      <w:pBdr>
        <w:left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40">
    <w:name w:val="xl40"/>
    <w:basedOn w:val="Normal"/>
    <w:pPr>
      <w:pBdr>
        <w:left w:val="single" w:sz="8" w:space="0" w:color="auto"/>
      </w:pBdr>
      <w:shd w:val="clear" w:color="auto" w:fill="FFFFFF"/>
      <w:spacing w:before="100" w:beforeAutospacing="1" w:after="100" w:afterAutospacing="1"/>
      <w:jc w:val="both"/>
    </w:pPr>
    <w:rPr>
      <w:rFonts w:ascii="Arial" w:eastAsia="Arial Unicode MS" w:hAnsi="Arial" w:cs="Arial"/>
      <w:b/>
      <w:bCs/>
      <w:lang w:val="en-US" w:eastAsia="en-US"/>
    </w:rPr>
  </w:style>
  <w:style w:type="paragraph" w:customStyle="1" w:styleId="xl41">
    <w:name w:val="xl41"/>
    <w:basedOn w:val="Normal"/>
    <w:pPr>
      <w:pBdr>
        <w:right w:val="single" w:sz="8" w:space="0" w:color="auto"/>
      </w:pBdr>
      <w:shd w:val="clear" w:color="auto" w:fill="FFFFFF"/>
      <w:spacing w:before="100" w:beforeAutospacing="1" w:after="100" w:afterAutospacing="1"/>
      <w:jc w:val="right"/>
    </w:pPr>
    <w:rPr>
      <w:rFonts w:ascii="Arial" w:eastAsia="Arial Unicode MS" w:hAnsi="Arial" w:cs="Arial"/>
      <w:sz w:val="18"/>
      <w:szCs w:val="18"/>
      <w:lang w:val="en-US" w:eastAsia="en-US"/>
    </w:rPr>
  </w:style>
  <w:style w:type="paragraph" w:customStyle="1" w:styleId="xl42">
    <w:name w:val="xl42"/>
    <w:basedOn w:val="Normal"/>
    <w:pPr>
      <w:pBdr>
        <w:top w:val="single" w:sz="8" w:space="0" w:color="auto"/>
        <w:left w:val="single" w:sz="8" w:space="0" w:color="auto"/>
        <w:bottom w:val="single" w:sz="8" w:space="0" w:color="auto"/>
      </w:pBdr>
      <w:shd w:val="clear" w:color="auto" w:fill="FFFFFF"/>
      <w:spacing w:before="100" w:beforeAutospacing="1" w:after="100" w:afterAutospacing="1"/>
      <w:jc w:val="both"/>
    </w:pPr>
    <w:rPr>
      <w:rFonts w:ascii="Arial" w:eastAsia="Arial Unicode MS" w:hAnsi="Arial" w:cs="Arial"/>
      <w:b/>
      <w:bCs/>
      <w:lang w:val="en-US" w:eastAsia="en-US"/>
    </w:rPr>
  </w:style>
  <w:style w:type="paragraph" w:customStyle="1" w:styleId="xl43">
    <w:name w:val="xl43"/>
    <w:basedOn w:val="Normal"/>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44">
    <w:name w:val="xl44"/>
    <w:basedOn w:val="Normal"/>
    <w:pPr>
      <w:pBdr>
        <w:left w:val="single" w:sz="8" w:space="0" w:color="auto"/>
        <w:bottom w:val="single" w:sz="8" w:space="0" w:color="auto"/>
      </w:pBdr>
      <w:shd w:val="clear" w:color="auto" w:fill="FFFFFF"/>
      <w:spacing w:before="100" w:beforeAutospacing="1" w:after="100" w:afterAutospacing="1"/>
      <w:jc w:val="both"/>
    </w:pPr>
    <w:rPr>
      <w:rFonts w:ascii="Arial" w:eastAsia="Arial Unicode MS" w:hAnsi="Arial" w:cs="Arial"/>
      <w:b/>
      <w:bCs/>
      <w:i/>
      <w:iCs/>
      <w:lang w:val="en-US" w:eastAsia="en-US"/>
    </w:rPr>
  </w:style>
  <w:style w:type="paragraph" w:customStyle="1" w:styleId="xl45">
    <w:name w:val="xl45"/>
    <w:basedOn w:val="Normal"/>
    <w:pPr>
      <w:pBdr>
        <w:left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46">
    <w:name w:val="xl46"/>
    <w:basedOn w:val="Normal"/>
    <w:pPr>
      <w:pBdr>
        <w:left w:val="single" w:sz="8" w:space="0" w:color="auto"/>
        <w:bottom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47">
    <w:name w:val="xl47"/>
    <w:basedOn w:val="Normal"/>
    <w:pPr>
      <w:pBdr>
        <w:left w:val="single" w:sz="8" w:space="0" w:color="auto"/>
        <w:bottom w:val="single" w:sz="8" w:space="0" w:color="auto"/>
      </w:pBdr>
      <w:shd w:val="clear" w:color="auto" w:fill="FFFFFF"/>
      <w:spacing w:before="100" w:beforeAutospacing="1" w:after="100" w:afterAutospacing="1"/>
      <w:jc w:val="both"/>
    </w:pPr>
    <w:rPr>
      <w:rFonts w:ascii="Arial" w:eastAsia="Arial Unicode MS" w:hAnsi="Arial" w:cs="Arial"/>
      <w:b/>
      <w:bCs/>
      <w:lang w:val="en-US" w:eastAsia="en-US"/>
    </w:rPr>
  </w:style>
  <w:style w:type="paragraph" w:customStyle="1" w:styleId="xl48">
    <w:name w:val="xl48"/>
    <w:basedOn w:val="Normal"/>
    <w:pPr>
      <w:pBdr>
        <w:left w:val="single" w:sz="8" w:space="0" w:color="auto"/>
        <w:right w:val="single" w:sz="8" w:space="0" w:color="auto"/>
      </w:pBdr>
      <w:shd w:val="clear" w:color="auto" w:fill="FFFFFF"/>
      <w:spacing w:before="100" w:beforeAutospacing="1" w:after="100" w:afterAutospacing="1"/>
      <w:jc w:val="both"/>
    </w:pPr>
    <w:rPr>
      <w:rFonts w:ascii="Arial" w:eastAsia="Arial Unicode MS" w:hAnsi="Arial" w:cs="Arial"/>
      <w:b/>
      <w:bCs/>
      <w:lang w:val="en-US" w:eastAsia="en-US"/>
    </w:rPr>
  </w:style>
  <w:style w:type="paragraph" w:customStyle="1" w:styleId="xl49">
    <w:name w:val="xl49"/>
    <w:basedOn w:val="Normal"/>
    <w:pPr>
      <w:pBdr>
        <w:left w:val="single" w:sz="8" w:space="0" w:color="auto"/>
        <w:right w:val="single" w:sz="8" w:space="0" w:color="auto"/>
      </w:pBdr>
      <w:shd w:val="clear" w:color="auto" w:fill="FFFFFF"/>
      <w:spacing w:before="100" w:beforeAutospacing="1" w:after="100" w:afterAutospacing="1"/>
      <w:jc w:val="both"/>
    </w:pPr>
    <w:rPr>
      <w:rFonts w:ascii="Arial" w:eastAsia="Arial Unicode MS" w:hAnsi="Arial" w:cs="Arial"/>
      <w:lang w:val="en-US" w:eastAsia="en-US"/>
    </w:rPr>
  </w:style>
  <w:style w:type="paragraph" w:customStyle="1" w:styleId="xl50">
    <w:name w:val="xl50"/>
    <w:basedOn w:val="Normal"/>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51">
    <w:name w:val="xl51"/>
    <w:basedOn w:val="Normal"/>
    <w:pPr>
      <w:shd w:val="clear" w:color="auto" w:fill="FFFFFF"/>
      <w:spacing w:before="100" w:beforeAutospacing="1" w:after="100" w:afterAutospacing="1"/>
      <w:jc w:val="both"/>
    </w:pPr>
    <w:rPr>
      <w:rFonts w:ascii="Arial" w:eastAsia="Arial Unicode MS" w:hAnsi="Arial" w:cs="Arial"/>
      <w:lang w:val="en-US" w:eastAsia="en-US"/>
    </w:rPr>
  </w:style>
  <w:style w:type="paragraph" w:customStyle="1" w:styleId="xl52">
    <w:name w:val="xl52"/>
    <w:basedOn w:val="Normal"/>
    <w:pP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53">
    <w:name w:val="xl53"/>
    <w:basedOn w:val="Normal"/>
    <w:pP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54">
    <w:name w:val="xl54"/>
    <w:basedOn w:val="Normal"/>
    <w:pPr>
      <w:pBdr>
        <w:left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sz w:val="18"/>
      <w:szCs w:val="18"/>
      <w:lang w:val="en-US" w:eastAsia="en-US"/>
    </w:rPr>
  </w:style>
  <w:style w:type="paragraph" w:customStyle="1" w:styleId="Style10">
    <w:name w:val="Style 1"/>
    <w:basedOn w:val="Normal"/>
    <w:pPr>
      <w:widowControl w:val="0"/>
      <w:autoSpaceDE w:val="0"/>
      <w:autoSpaceDN w:val="0"/>
      <w:adjustRightInd w:val="0"/>
    </w:pPr>
    <w:rPr>
      <w:sz w:val="20"/>
      <w:lang w:val="en-US" w:eastAsia="en-US"/>
    </w:rPr>
  </w:style>
  <w:style w:type="paragraph" w:styleId="NormalWeb">
    <w:name w:val="Normal (Web)"/>
    <w:basedOn w:val="Normal"/>
    <w:uiPriority w:val="99"/>
    <w:pPr>
      <w:spacing w:before="100" w:beforeAutospacing="1" w:after="100" w:afterAutospacing="1" w:line="220" w:lineRule="atLeast"/>
    </w:pPr>
    <w:rPr>
      <w:rFonts w:ascii="Verdana" w:hAnsi="Verdana"/>
      <w:color w:val="000000"/>
      <w:sz w:val="16"/>
      <w:szCs w:val="16"/>
      <w:lang w:val="en-US" w:eastAsia="en-US"/>
    </w:rPr>
  </w:style>
  <w:style w:type="paragraph" w:styleId="BodyTextIndent">
    <w:name w:val="Body Text Indent"/>
    <w:basedOn w:val="Normal"/>
    <w:pPr>
      <w:spacing w:before="120" w:after="120"/>
      <w:ind w:left="284" w:hanging="284"/>
      <w:jc w:val="both"/>
    </w:pPr>
    <w:rPr>
      <w:rFonts w:ascii="Arial" w:hAnsi="Arial" w:cs="Arial"/>
      <w:szCs w:val="20"/>
      <w:lang w:eastAsia="en-US"/>
    </w:rPr>
  </w:style>
  <w:style w:type="character" w:styleId="FollowedHyperlink">
    <w:name w:val="FollowedHyperlink"/>
    <w:uiPriority w:val="99"/>
    <w:rPr>
      <w:color w:val="800080"/>
      <w:u w:val="single"/>
    </w:rPr>
  </w:style>
  <w:style w:type="paragraph" w:styleId="Closing">
    <w:name w:val="Closing"/>
    <w:basedOn w:val="Normal"/>
    <w:pPr>
      <w:spacing w:line="290" w:lineRule="atLeast"/>
    </w:pPr>
    <w:rPr>
      <w:szCs w:val="20"/>
      <w:lang w:eastAsia="en-US"/>
    </w:rPr>
  </w:style>
  <w:style w:type="paragraph" w:styleId="ListNumber5">
    <w:name w:val="List Number 5"/>
    <w:basedOn w:val="Normal"/>
    <w:pPr>
      <w:tabs>
        <w:tab w:val="num" w:pos="2976"/>
      </w:tabs>
      <w:spacing w:after="290" w:line="288" w:lineRule="auto"/>
      <w:ind w:left="2976" w:hanging="595"/>
    </w:pPr>
    <w:rPr>
      <w:szCs w:val="20"/>
      <w:lang w:eastAsia="en-US"/>
    </w:rPr>
  </w:style>
  <w:style w:type="paragraph" w:customStyle="1" w:styleId="TableColumnHeader">
    <w:name w:val="Table Column Header"/>
    <w:basedOn w:val="Normal"/>
    <w:pPr>
      <w:spacing w:before="120" w:after="170" w:line="290" w:lineRule="atLeast"/>
    </w:pPr>
    <w:rPr>
      <w:b/>
      <w:szCs w:val="20"/>
      <w:lang w:eastAsia="en-US"/>
    </w:rPr>
  </w:style>
  <w:style w:type="paragraph" w:customStyle="1" w:styleId="DefaultText">
    <w:name w:val="Default Text"/>
    <w:basedOn w:val="Normal"/>
    <w:rPr>
      <w:szCs w:val="20"/>
      <w:lang w:eastAsia="en-US"/>
    </w:rPr>
  </w:style>
  <w:style w:type="paragraph" w:customStyle="1" w:styleId="Disclaimer">
    <w:name w:val="Disclaimer"/>
    <w:basedOn w:val="Normal"/>
    <w:pPr>
      <w:spacing w:line="200" w:lineRule="exact"/>
    </w:pPr>
    <w:rPr>
      <w:sz w:val="16"/>
      <w:szCs w:val="20"/>
      <w:lang w:eastAsia="en-US"/>
    </w:rPr>
  </w:style>
  <w:style w:type="character" w:styleId="CommentReference">
    <w:name w:val="annotation reference"/>
    <w:rPr>
      <w:sz w:val="16"/>
      <w:szCs w:val="1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Revision">
    <w:name w:val="Revision"/>
    <w:hidden/>
    <w:uiPriority w:val="99"/>
    <w:semiHidden/>
    <w:rPr>
      <w:sz w:val="24"/>
      <w:szCs w:val="24"/>
    </w:rPr>
  </w:style>
  <w:style w:type="paragraph" w:styleId="TOC2">
    <w:name w:val="toc 2"/>
    <w:basedOn w:val="Normal"/>
    <w:next w:val="Normal"/>
    <w:autoRedefine/>
    <w:uiPriority w:val="39"/>
    <w:pPr>
      <w:tabs>
        <w:tab w:val="left" w:pos="1134"/>
        <w:tab w:val="right" w:leader="dot" w:pos="9061"/>
      </w:tabs>
      <w:spacing w:before="120" w:after="120"/>
      <w:ind w:left="238"/>
    </w:pPr>
  </w:style>
  <w:style w:type="paragraph" w:styleId="TOC3">
    <w:name w:val="toc 3"/>
    <w:basedOn w:val="Normal"/>
    <w:next w:val="Normal"/>
    <w:autoRedefine/>
    <w:uiPriority w:val="39"/>
    <w:pPr>
      <w:tabs>
        <w:tab w:val="left" w:pos="851"/>
        <w:tab w:val="right" w:leader="dot" w:pos="9061"/>
      </w:tabs>
      <w:spacing w:before="100" w:beforeAutospacing="1" w:after="100" w:afterAutospacing="1"/>
    </w:pPr>
  </w:style>
  <w:style w:type="numbering" w:customStyle="1" w:styleId="NoList1">
    <w:name w:val="No List1"/>
    <w:next w:val="NoList"/>
    <w:uiPriority w:val="99"/>
    <w:semiHidden/>
    <w:unhideWhenUsed/>
  </w:style>
  <w:style w:type="character" w:customStyle="1" w:styleId="Heading1Char">
    <w:name w:val="Heading 1 Char"/>
    <w:link w:val="Heading1"/>
    <w:rPr>
      <w:b/>
      <w:bCs/>
      <w:smallCaps/>
      <w:sz w:val="24"/>
      <w:szCs w:val="32"/>
      <w:lang w:eastAsia="de-DE"/>
    </w:rPr>
  </w:style>
  <w:style w:type="character" w:customStyle="1" w:styleId="Heading2Char">
    <w:name w:val="Heading 2 Char"/>
    <w:link w:val="Heading2"/>
    <w:rPr>
      <w:b/>
      <w:bCs/>
      <w:iCs/>
      <w:sz w:val="24"/>
      <w:szCs w:val="28"/>
      <w:lang w:eastAsia="de-DE"/>
    </w:rPr>
  </w:style>
  <w:style w:type="character" w:customStyle="1" w:styleId="Heading3Char">
    <w:name w:val="Heading 3 Char"/>
    <w:link w:val="Heading3"/>
    <w:rPr>
      <w:bCs/>
      <w:i/>
      <w:sz w:val="24"/>
      <w:szCs w:val="26"/>
      <w:lang w:eastAsia="de-DE"/>
    </w:rPr>
  </w:style>
  <w:style w:type="character" w:customStyle="1" w:styleId="Heading4Char">
    <w:name w:val="Heading 4 Char"/>
    <w:link w:val="Heading4"/>
    <w:rPr>
      <w:bCs/>
      <w:sz w:val="24"/>
      <w:szCs w:val="28"/>
      <w:lang w:eastAsia="de-DE"/>
    </w:rPr>
  </w:style>
  <w:style w:type="character" w:customStyle="1" w:styleId="Heading5Char">
    <w:name w:val="Heading 5 Char"/>
    <w:link w:val="Heading5"/>
    <w:rPr>
      <w:b/>
      <w:sz w:val="22"/>
      <w:lang w:eastAsia="en-US"/>
    </w:rPr>
  </w:style>
  <w:style w:type="character" w:customStyle="1" w:styleId="Heading6Char">
    <w:name w:val="Heading 6 Char"/>
    <w:link w:val="Heading6"/>
    <w:rPr>
      <w:sz w:val="22"/>
      <w:u w:val="single"/>
      <w:lang w:eastAsia="en-US"/>
    </w:rPr>
  </w:style>
  <w:style w:type="character" w:customStyle="1" w:styleId="Heading7Char">
    <w:name w:val="Heading 7 Char"/>
    <w:link w:val="Heading7"/>
    <w:rPr>
      <w:i/>
      <w:sz w:val="22"/>
      <w:lang w:eastAsia="en-US"/>
    </w:rPr>
  </w:style>
  <w:style w:type="character" w:customStyle="1" w:styleId="Heading8Char">
    <w:name w:val="Heading 8 Char"/>
    <w:link w:val="Heading8"/>
    <w:rPr>
      <w:i/>
      <w:sz w:val="22"/>
      <w:lang w:eastAsia="en-US"/>
    </w:rPr>
  </w:style>
  <w:style w:type="character" w:customStyle="1" w:styleId="Heading9Char">
    <w:name w:val="Heading 9 Char"/>
    <w:link w:val="Heading9"/>
    <w:rPr>
      <w:i/>
      <w:sz w:val="22"/>
      <w:lang w:eastAsia="en-US"/>
    </w:rPr>
  </w:style>
  <w:style w:type="character" w:customStyle="1" w:styleId="FootnoteCharacters">
    <w:name w:val="Footnote Characters"/>
    <w:rPr>
      <w:rFonts w:cs="Times New Roman"/>
      <w:position w:val="6"/>
      <w:sz w:val="16"/>
      <w:shd w:val="clear" w:color="auto" w:fill="auto"/>
    </w:rPr>
  </w:style>
  <w:style w:type="character" w:customStyle="1" w:styleId="BodyTextChar">
    <w:name w:val="Body Text Char"/>
    <w:link w:val="BodyText"/>
    <w:rPr>
      <w:sz w:val="22"/>
      <w:szCs w:val="22"/>
    </w:rPr>
  </w:style>
  <w:style w:type="character" w:customStyle="1" w:styleId="BodyText2Char">
    <w:name w:val="Body Text 2 Char"/>
    <w:link w:val="BodyText2"/>
    <w:rPr>
      <w:rFonts w:ascii="Arial" w:hAnsi="Arial"/>
      <w:sz w:val="22"/>
      <w:lang w:eastAsia="en-US"/>
    </w:rPr>
  </w:style>
  <w:style w:type="paragraph" w:customStyle="1" w:styleId="Para1">
    <w:name w:val="Para1"/>
    <w:basedOn w:val="Normal"/>
    <w:pPr>
      <w:tabs>
        <w:tab w:val="left" w:pos="1134"/>
        <w:tab w:val="left" w:pos="1418"/>
      </w:tabs>
      <w:suppressAutoHyphens/>
      <w:spacing w:before="240"/>
      <w:ind w:left="1418" w:hanging="1418"/>
    </w:pPr>
    <w:rPr>
      <w:rFonts w:ascii="Arial" w:hAnsi="Arial"/>
      <w:sz w:val="20"/>
      <w:szCs w:val="20"/>
      <w:lang w:eastAsia="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8">
    <w:name w:val="Char Char18"/>
    <w:rPr>
      <w:b/>
      <w:smallCaps/>
      <w:noProof/>
      <w:sz w:val="32"/>
      <w:lang w:val="en-GB" w:eastAsia="en-US"/>
    </w:rPr>
  </w:style>
  <w:style w:type="character" w:customStyle="1" w:styleId="CharChar17">
    <w:name w:val="Char Char17"/>
    <w:rPr>
      <w:b/>
      <w:sz w:val="28"/>
      <w:lang w:val="en-GB" w:eastAsia="en-US"/>
    </w:rPr>
  </w:style>
  <w:style w:type="character" w:customStyle="1" w:styleId="CharChar16">
    <w:name w:val="Char Char16"/>
    <w:rPr>
      <w:i/>
      <w:sz w:val="26"/>
      <w:lang w:val="en-GB" w:eastAsia="en-US"/>
    </w:rPr>
  </w:style>
  <w:style w:type="character" w:customStyle="1" w:styleId="CharChar15">
    <w:name w:val="Char Char15"/>
    <w:rPr>
      <w:sz w:val="28"/>
      <w:lang w:val="en-GB" w:eastAsia="en-US"/>
    </w:rPr>
  </w:style>
  <w:style w:type="character" w:customStyle="1" w:styleId="CharChar14">
    <w:name w:val="Char Char14"/>
    <w:rPr>
      <w:b/>
      <w:sz w:val="22"/>
      <w:lang w:val="en-GB" w:eastAsia="en-US"/>
    </w:rPr>
  </w:style>
  <w:style w:type="character" w:customStyle="1" w:styleId="CharChar13">
    <w:name w:val="Char Char13"/>
    <w:rPr>
      <w:sz w:val="22"/>
      <w:u w:val="single"/>
      <w:lang w:val="en-GB" w:eastAsia="en-US"/>
    </w:rPr>
  </w:style>
  <w:style w:type="character" w:customStyle="1" w:styleId="CharChar12">
    <w:name w:val="Char Char12"/>
    <w:rPr>
      <w:i/>
      <w:sz w:val="22"/>
      <w:lang w:val="en-GB" w:eastAsia="en-US"/>
    </w:rPr>
  </w:style>
  <w:style w:type="character" w:customStyle="1" w:styleId="CharChar11">
    <w:name w:val="Char Char11"/>
    <w:rPr>
      <w:i/>
      <w:sz w:val="22"/>
      <w:lang w:val="en-GB" w:eastAsia="en-US"/>
    </w:rPr>
  </w:style>
  <w:style w:type="character" w:customStyle="1" w:styleId="CharChar10">
    <w:name w:val="Char Char10"/>
    <w:rPr>
      <w:i/>
      <w:sz w:val="22"/>
      <w:lang w:val="en-GB" w:eastAsia="en-US"/>
    </w:rPr>
  </w:style>
  <w:style w:type="character" w:customStyle="1" w:styleId="BodyText3Char">
    <w:name w:val="Body Text 3 Char"/>
    <w:link w:val="BodyText3"/>
    <w:rPr>
      <w:rFonts w:ascii="Arial" w:hAnsi="Arial"/>
      <w:b/>
      <w:sz w:val="24"/>
      <w:u w:val="single"/>
      <w:lang w:eastAsia="en-US"/>
    </w:rPr>
  </w:style>
  <w:style w:type="character" w:customStyle="1" w:styleId="TitleChar">
    <w:name w:val="Title Char"/>
    <w:link w:val="Title"/>
    <w:rPr>
      <w:rFonts w:ascii="Comic Sans MS" w:hAnsi="Comic Sans MS"/>
      <w:b/>
      <w:sz w:val="24"/>
      <w:lang w:eastAsia="en-US"/>
    </w:rPr>
  </w:style>
  <w:style w:type="paragraph" w:styleId="CommentText">
    <w:name w:val="annotation text"/>
    <w:basedOn w:val="Normal"/>
    <w:link w:val="CommentTextChar"/>
    <w:pPr>
      <w:spacing w:after="120" w:line="240" w:lineRule="atLeast"/>
    </w:pPr>
    <w:rPr>
      <w:rFonts w:ascii="Arial" w:hAnsi="Arial"/>
      <w:sz w:val="22"/>
      <w:szCs w:val="20"/>
    </w:rPr>
  </w:style>
  <w:style w:type="character" w:customStyle="1" w:styleId="CommentTextChar">
    <w:name w:val="Comment Text Char"/>
    <w:link w:val="CommentText"/>
    <w:uiPriority w:val="99"/>
    <w:rPr>
      <w:rFonts w:ascii="Arial" w:hAnsi="Arial"/>
      <w:sz w:val="22"/>
    </w:rPr>
  </w:style>
  <w:style w:type="paragraph" w:customStyle="1" w:styleId="NotesText">
    <w:name w:val="Notes Text"/>
    <w:basedOn w:val="Normal"/>
    <w:autoRedefine/>
    <w:pPr>
      <w:spacing w:after="60" w:line="180" w:lineRule="atLeast"/>
      <w:jc w:val="both"/>
    </w:pPr>
    <w:rPr>
      <w:rFonts w:ascii="Arial" w:hAnsi="Arial" w:cs="Arial"/>
      <w:color w:val="000000"/>
      <w:sz w:val="15"/>
      <w:szCs w:val="20"/>
    </w:rPr>
  </w:style>
  <w:style w:type="paragraph" w:customStyle="1" w:styleId="Notes">
    <w:name w:val="Notes"/>
    <w:basedOn w:val="Header"/>
    <w:link w:val="NotesChar"/>
    <w:pPr>
      <w:numPr>
        <w:numId w:val="27"/>
      </w:numPr>
      <w:tabs>
        <w:tab w:val="clear" w:pos="4535"/>
        <w:tab w:val="clear" w:pos="9071"/>
        <w:tab w:val="center" w:pos="4320"/>
        <w:tab w:val="right" w:pos="8640"/>
      </w:tabs>
    </w:pPr>
    <w:rPr>
      <w:rFonts w:ascii="Arial" w:hAnsi="Arial"/>
      <w:b/>
      <w:sz w:val="20"/>
      <w:lang w:val="en-US"/>
    </w:rPr>
  </w:style>
  <w:style w:type="paragraph" w:styleId="CommentSubject">
    <w:name w:val="annotation subject"/>
    <w:basedOn w:val="CommentText"/>
    <w:next w:val="CommentText"/>
    <w:link w:val="CommentSubjectChar"/>
    <w:rPr>
      <w:b/>
      <w:bCs/>
      <w:sz w:val="20"/>
    </w:rPr>
  </w:style>
  <w:style w:type="character" w:customStyle="1" w:styleId="CommentSubjectChar">
    <w:name w:val="Comment Subject Char"/>
    <w:link w:val="CommentSubject"/>
    <w:rPr>
      <w:rFonts w:ascii="Arial" w:hAnsi="Arial"/>
      <w:b/>
      <w:bCs/>
      <w:sz w:val="22"/>
    </w:rPr>
  </w:style>
  <w:style w:type="character" w:styleId="Emphasis">
    <w:name w:val="Emphasis"/>
    <w:qFormat/>
    <w:rPr>
      <w:i/>
      <w:iCs/>
    </w:rPr>
  </w:style>
  <w:style w:type="paragraph" w:styleId="NoSpacing">
    <w:name w:val="No Spacing"/>
    <w:link w:val="NoSpacingChar"/>
    <w:uiPriority w:val="1"/>
    <w:qFormat/>
    <w:pPr>
      <w:spacing w:after="200" w:line="276" w:lineRule="auto"/>
    </w:pPr>
    <w:rPr>
      <w:rFonts w:ascii="Calibri" w:eastAsia="MS Mincho" w:hAnsi="Calibri" w:cs="Arial"/>
      <w:sz w:val="22"/>
      <w:szCs w:val="22"/>
      <w:lang w:val="en-US" w:eastAsia="ja-JP"/>
    </w:rPr>
  </w:style>
  <w:style w:type="character" w:customStyle="1" w:styleId="NoSpacingChar">
    <w:name w:val="No Spacing Char"/>
    <w:link w:val="NoSpacing"/>
    <w:uiPriority w:val="1"/>
    <w:rPr>
      <w:rFonts w:ascii="Calibri" w:eastAsia="MS Mincho" w:hAnsi="Calibri" w:cs="Arial"/>
      <w:sz w:val="22"/>
      <w:szCs w:val="22"/>
      <w:lang w:val="en-US" w:eastAsia="ja-JP"/>
    </w:rPr>
  </w:style>
  <w:style w:type="paragraph" w:styleId="EndnoteText">
    <w:name w:val="endnote text"/>
    <w:basedOn w:val="Normal"/>
    <w:link w:val="EndnoteTextChar"/>
    <w:uiPriority w:val="99"/>
    <w:pPr>
      <w:spacing w:before="120" w:after="120"/>
      <w:jc w:val="both"/>
    </w:pPr>
    <w:rPr>
      <w:sz w:val="20"/>
      <w:szCs w:val="20"/>
    </w:rPr>
  </w:style>
  <w:style w:type="character" w:customStyle="1" w:styleId="EndnoteTextChar">
    <w:name w:val="Endnote Text Char"/>
    <w:basedOn w:val="DefaultParagraphFont"/>
    <w:link w:val="EndnoteText"/>
    <w:uiPriority w:val="99"/>
  </w:style>
  <w:style w:type="character" w:styleId="EndnoteReference">
    <w:name w:val="endnote reference"/>
    <w:uiPriority w:val="99"/>
    <w:rPr>
      <w:vertAlign w:val="superscript"/>
    </w:rPr>
  </w:style>
  <w:style w:type="character" w:styleId="LineNumber">
    <w:name w:val="line number"/>
  </w:style>
  <w:style w:type="paragraph" w:styleId="Caption">
    <w:name w:val="caption"/>
    <w:basedOn w:val="Normal"/>
    <w:next w:val="Normal"/>
    <w:qFormat/>
    <w:pPr>
      <w:spacing w:before="120" w:after="120"/>
      <w:jc w:val="both"/>
    </w:pPr>
    <w:rPr>
      <w:b/>
      <w:bCs/>
      <w:sz w:val="20"/>
      <w:szCs w:val="20"/>
    </w:rPr>
  </w:style>
  <w:style w:type="paragraph" w:styleId="TableofFigures">
    <w:name w:val="table of figures"/>
    <w:basedOn w:val="Normal"/>
    <w:next w:val="Normal"/>
    <w:pPr>
      <w:spacing w:before="120" w:after="120"/>
      <w:jc w:val="both"/>
    </w:pPr>
    <w:rPr>
      <w:szCs w:val="22"/>
    </w:rPr>
  </w:style>
  <w:style w:type="character" w:customStyle="1" w:styleId="TOCHeadingChar">
    <w:name w:val="TOC Heading Char"/>
    <w:uiPriority w:val="39"/>
    <w:rPr>
      <w:b/>
      <w:sz w:val="28"/>
      <w:szCs w:val="24"/>
      <w:lang w:eastAsia="en-US"/>
    </w:rPr>
  </w:style>
  <w:style w:type="character" w:customStyle="1" w:styleId="FooterCoverPageChar">
    <w:name w:val="Footer Cover Page Char"/>
    <w:link w:val="FooterCoverPage"/>
    <w:rPr>
      <w:sz w:val="24"/>
      <w:szCs w:val="24"/>
    </w:rPr>
  </w:style>
  <w:style w:type="character" w:customStyle="1" w:styleId="HeaderCoverPageChar">
    <w:name w:val="Header Cover Page Char"/>
    <w:link w:val="HeaderCoverPage"/>
    <w:rPr>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NotesChar">
    <w:name w:val="Notes Char"/>
    <w:link w:val="Notes"/>
    <w:rPr>
      <w:rFonts w:ascii="Arial" w:hAnsi="Arial"/>
      <w:b/>
      <w:szCs w:val="22"/>
      <w:lang w:val="en-US"/>
    </w:rPr>
  </w:style>
  <w:style w:type="paragraph" w:customStyle="1" w:styleId="Title11">
    <w:name w:val="Title 1.1"/>
    <w:basedOn w:val="Notes"/>
    <w:pPr>
      <w:numPr>
        <w:numId w:val="0"/>
      </w:numPr>
      <w:tabs>
        <w:tab w:val="clear" w:pos="4320"/>
        <w:tab w:val="clear" w:pos="8640"/>
        <w:tab w:val="right" w:pos="-2700"/>
        <w:tab w:val="num" w:pos="431"/>
        <w:tab w:val="right" w:pos="720"/>
      </w:tabs>
      <w:suppressAutoHyphens/>
      <w:spacing w:after="0"/>
      <w:ind w:left="431" w:hanging="431"/>
    </w:pPr>
    <w:rPr>
      <w:b w:val="0"/>
      <w:szCs w:val="20"/>
      <w:lang w:val="en-GB" w:eastAsia="ar-SA"/>
    </w:rPr>
  </w:style>
  <w:style w:type="paragraph" w:customStyle="1" w:styleId="Normal0">
    <w:name w:val="Normal_0"/>
    <w:qFormat/>
    <w:pPr>
      <w:spacing w:after="120" w:line="240" w:lineRule="atLeast"/>
    </w:pPr>
    <w:rPr>
      <w:rFonts w:ascii="Arial" w:hAnsi="Arial"/>
      <w:sz w:val="22"/>
      <w:szCs w:val="22"/>
      <w:lang w:eastAsia="en-US"/>
    </w:rPr>
  </w:style>
  <w:style w:type="paragraph" w:customStyle="1" w:styleId="Heading20">
    <w:name w:val="Heading 2_0"/>
    <w:basedOn w:val="Normal0"/>
    <w:next w:val="Normal0"/>
    <w:link w:val="Heading2Char0"/>
    <w:qFormat/>
    <w:pPr>
      <w:spacing w:before="120"/>
      <w:outlineLvl w:val="1"/>
    </w:pPr>
    <w:rPr>
      <w:b/>
    </w:rPr>
  </w:style>
  <w:style w:type="character" w:customStyle="1" w:styleId="Heading2Char0">
    <w:name w:val="Heading 2 Char_0"/>
    <w:link w:val="Heading20"/>
    <w:rPr>
      <w:rFonts w:ascii="Arial" w:hAnsi="Arial"/>
      <w:b/>
      <w:sz w:val="22"/>
      <w:szCs w:val="22"/>
      <w:lang w:eastAsia="en-US"/>
    </w:rPr>
  </w:style>
  <w:style w:type="paragraph" w:customStyle="1" w:styleId="BodyText0">
    <w:name w:val="Body Text_0"/>
    <w:basedOn w:val="Normal0"/>
    <w:link w:val="BodyTextChar0"/>
    <w:pPr>
      <w:jc w:val="both"/>
    </w:pPr>
    <w:rPr>
      <w:sz w:val="20"/>
    </w:rPr>
  </w:style>
  <w:style w:type="character" w:customStyle="1" w:styleId="BodyTextChar0">
    <w:name w:val="Body Text Char_0"/>
    <w:link w:val="BodyText0"/>
    <w:rPr>
      <w:rFonts w:ascii="Arial" w:hAnsi="Arial"/>
      <w:szCs w:val="22"/>
      <w:lang w:eastAsia="en-US"/>
    </w:rPr>
  </w:style>
  <w:style w:type="paragraph" w:customStyle="1" w:styleId="Heading21">
    <w:name w:val="Heading 2_1"/>
    <w:basedOn w:val="Normal1"/>
    <w:next w:val="Normal1"/>
    <w:link w:val="Heading2Char1"/>
    <w:qFormat/>
    <w:pPr>
      <w:spacing w:before="120"/>
      <w:outlineLvl w:val="1"/>
    </w:pPr>
    <w:rPr>
      <w:b/>
    </w:rPr>
  </w:style>
  <w:style w:type="paragraph" w:customStyle="1" w:styleId="Normal1">
    <w:name w:val="Normal_1"/>
    <w:qFormat/>
    <w:pPr>
      <w:spacing w:after="120" w:line="240" w:lineRule="atLeast"/>
    </w:pPr>
    <w:rPr>
      <w:rFonts w:ascii="Arial" w:hAnsi="Arial"/>
      <w:sz w:val="22"/>
      <w:szCs w:val="22"/>
      <w:lang w:eastAsia="en-US"/>
    </w:rPr>
  </w:style>
  <w:style w:type="character" w:customStyle="1" w:styleId="Heading2Char1">
    <w:name w:val="Heading 2 Char_1"/>
    <w:link w:val="Heading21"/>
    <w:rPr>
      <w:rFonts w:ascii="Arial" w:hAnsi="Arial"/>
      <w:b/>
      <w:sz w:val="22"/>
      <w:szCs w:val="22"/>
      <w:lang w:eastAsia="en-US"/>
    </w:rPr>
  </w:style>
  <w:style w:type="character" w:customStyle="1" w:styleId="FootnoteReference0">
    <w:name w:val="Footnote Reference_0"/>
    <w:uiPriority w:val="99"/>
    <w:semiHidden/>
    <w:rPr>
      <w:rFonts w:cs="Times New Roman"/>
      <w:position w:val="6"/>
      <w:sz w:val="16"/>
    </w:rPr>
  </w:style>
  <w:style w:type="paragraph" w:customStyle="1" w:styleId="FootnoteText0">
    <w:name w:val="Footnote Text_0"/>
    <w:basedOn w:val="Normal1"/>
    <w:link w:val="FootnoteTextChar0"/>
    <w:uiPriority w:val="99"/>
    <w:semiHidden/>
  </w:style>
  <w:style w:type="character" w:customStyle="1" w:styleId="FootnoteTextChar0">
    <w:name w:val="Footnote Text Char_0"/>
    <w:link w:val="FootnoteText0"/>
    <w:uiPriority w:val="99"/>
    <w:semiHidden/>
    <w:rPr>
      <w:rFonts w:ascii="Arial" w:hAnsi="Arial"/>
      <w:sz w:val="22"/>
      <w:szCs w:val="22"/>
      <w:lang w:eastAsia="en-US"/>
    </w:rPr>
  </w:style>
  <w:style w:type="paragraph" w:customStyle="1" w:styleId="BodyText1">
    <w:name w:val="Body Text_1"/>
    <w:basedOn w:val="Normal1"/>
    <w:link w:val="BodyTextChar1"/>
    <w:pPr>
      <w:jc w:val="both"/>
    </w:pPr>
    <w:rPr>
      <w:sz w:val="20"/>
    </w:rPr>
  </w:style>
  <w:style w:type="character" w:customStyle="1" w:styleId="BodyTextChar1">
    <w:name w:val="Body Text Char_1"/>
    <w:link w:val="BodyText1"/>
    <w:rPr>
      <w:rFonts w:ascii="Arial" w:hAnsi="Arial"/>
      <w:szCs w:val="22"/>
      <w:lang w:eastAsia="en-US"/>
    </w:rPr>
  </w:style>
  <w:style w:type="paragraph" w:customStyle="1" w:styleId="NotesText0">
    <w:name w:val="Notes Text_0"/>
    <w:basedOn w:val="Normal1"/>
    <w:autoRedefine/>
    <w:pPr>
      <w:spacing w:after="60" w:line="180" w:lineRule="atLeast"/>
      <w:jc w:val="both"/>
    </w:pPr>
    <w:rPr>
      <w:rFonts w:cs="Arial"/>
      <w:color w:val="000000"/>
      <w:sz w:val="15"/>
    </w:rPr>
  </w:style>
  <w:style w:type="paragraph" w:customStyle="1" w:styleId="Heading22">
    <w:name w:val="Heading 2_2"/>
    <w:basedOn w:val="Normal2"/>
    <w:next w:val="Normal2"/>
    <w:link w:val="Heading2Char2"/>
    <w:qFormat/>
    <w:pPr>
      <w:spacing w:before="120"/>
      <w:outlineLvl w:val="1"/>
    </w:pPr>
    <w:rPr>
      <w:b/>
    </w:rPr>
  </w:style>
  <w:style w:type="paragraph" w:customStyle="1" w:styleId="Normal2">
    <w:name w:val="Normal_2"/>
    <w:qFormat/>
    <w:pPr>
      <w:spacing w:after="120" w:line="240" w:lineRule="atLeast"/>
    </w:pPr>
    <w:rPr>
      <w:rFonts w:ascii="Arial" w:hAnsi="Arial"/>
      <w:sz w:val="22"/>
      <w:szCs w:val="22"/>
      <w:lang w:eastAsia="en-US"/>
    </w:rPr>
  </w:style>
  <w:style w:type="character" w:customStyle="1" w:styleId="Heading2Char2">
    <w:name w:val="Heading 2 Char_2"/>
    <w:link w:val="Heading22"/>
    <w:rPr>
      <w:rFonts w:ascii="Arial" w:hAnsi="Arial"/>
      <w:b/>
      <w:sz w:val="22"/>
      <w:szCs w:val="22"/>
      <w:lang w:eastAsia="en-US"/>
    </w:rPr>
  </w:style>
  <w:style w:type="paragraph" w:customStyle="1" w:styleId="Notes0">
    <w:name w:val="Notes_0"/>
    <w:basedOn w:val="Header0"/>
    <w:link w:val="NotesChar0"/>
    <w:pPr>
      <w:tabs>
        <w:tab w:val="clear" w:pos="4819"/>
        <w:tab w:val="clear" w:pos="9071"/>
        <w:tab w:val="center" w:pos="4320"/>
        <w:tab w:val="right" w:pos="8640"/>
      </w:tabs>
      <w:spacing w:before="120" w:line="240" w:lineRule="auto"/>
      <w:jc w:val="both"/>
    </w:pPr>
    <w:rPr>
      <w:b/>
      <w:sz w:val="20"/>
      <w:szCs w:val="24"/>
      <w:lang w:val="en-US"/>
    </w:rPr>
  </w:style>
  <w:style w:type="paragraph" w:customStyle="1" w:styleId="Header0">
    <w:name w:val="Header_0"/>
    <w:basedOn w:val="Normal2"/>
    <w:link w:val="HeaderChar0"/>
    <w:pPr>
      <w:tabs>
        <w:tab w:val="center" w:pos="4819"/>
        <w:tab w:val="right" w:pos="9071"/>
      </w:tabs>
    </w:pPr>
  </w:style>
  <w:style w:type="character" w:customStyle="1" w:styleId="HeaderChar0">
    <w:name w:val="Header Char_0"/>
    <w:link w:val="Header0"/>
    <w:rPr>
      <w:rFonts w:ascii="Arial" w:hAnsi="Arial"/>
      <w:sz w:val="22"/>
      <w:szCs w:val="22"/>
      <w:lang w:eastAsia="en-US"/>
    </w:rPr>
  </w:style>
  <w:style w:type="character" w:customStyle="1" w:styleId="NotesChar0">
    <w:name w:val="Notes Char_0"/>
    <w:link w:val="Notes0"/>
    <w:rPr>
      <w:rFonts w:ascii="Arial" w:hAnsi="Arial"/>
      <w:b/>
      <w:szCs w:val="24"/>
      <w:lang w:val="en-US" w:eastAsia="en-US"/>
    </w:rPr>
  </w:style>
  <w:style w:type="paragraph" w:customStyle="1" w:styleId="Normal3">
    <w:name w:val="Normal_3"/>
    <w:qFormat/>
    <w:pPr>
      <w:spacing w:after="120" w:line="240" w:lineRule="atLeast"/>
    </w:pPr>
    <w:rPr>
      <w:rFonts w:ascii="Arial" w:hAnsi="Arial"/>
      <w:sz w:val="22"/>
      <w:szCs w:val="22"/>
      <w:lang w:eastAsia="en-US"/>
    </w:rPr>
  </w:style>
  <w:style w:type="paragraph" w:customStyle="1" w:styleId="Notes1">
    <w:name w:val="Notes_1"/>
    <w:basedOn w:val="Header1"/>
    <w:link w:val="NotesChar1"/>
    <w:pPr>
      <w:tabs>
        <w:tab w:val="clear" w:pos="4819"/>
        <w:tab w:val="clear" w:pos="9071"/>
        <w:tab w:val="center" w:pos="4320"/>
        <w:tab w:val="right" w:pos="8640"/>
      </w:tabs>
      <w:spacing w:before="120" w:line="240" w:lineRule="auto"/>
      <w:jc w:val="both"/>
    </w:pPr>
    <w:rPr>
      <w:b/>
      <w:sz w:val="20"/>
      <w:szCs w:val="24"/>
      <w:lang w:val="en-US"/>
    </w:rPr>
  </w:style>
  <w:style w:type="paragraph" w:customStyle="1" w:styleId="Header1">
    <w:name w:val="Header_1"/>
    <w:basedOn w:val="Normal3"/>
    <w:link w:val="HeaderChar1"/>
    <w:pPr>
      <w:tabs>
        <w:tab w:val="center" w:pos="4819"/>
        <w:tab w:val="right" w:pos="9071"/>
      </w:tabs>
    </w:pPr>
  </w:style>
  <w:style w:type="character" w:customStyle="1" w:styleId="HeaderChar1">
    <w:name w:val="Header Char_1"/>
    <w:link w:val="Header1"/>
    <w:rPr>
      <w:rFonts w:ascii="Arial" w:hAnsi="Arial"/>
      <w:sz w:val="22"/>
      <w:szCs w:val="22"/>
      <w:lang w:eastAsia="en-US"/>
    </w:rPr>
  </w:style>
  <w:style w:type="character" w:customStyle="1" w:styleId="NotesChar1">
    <w:name w:val="Notes Char_1"/>
    <w:link w:val="Notes1"/>
    <w:rPr>
      <w:rFonts w:ascii="Arial" w:hAnsi="Arial"/>
      <w:b/>
      <w:szCs w:val="24"/>
      <w:lang w:val="en-US" w:eastAsia="en-US"/>
    </w:rPr>
  </w:style>
  <w:style w:type="paragraph" w:customStyle="1" w:styleId="Normal4">
    <w:name w:val="Normal_4"/>
    <w:qFormat/>
    <w:pPr>
      <w:spacing w:after="120" w:line="240" w:lineRule="atLeast"/>
    </w:pPr>
    <w:rPr>
      <w:rFonts w:ascii="Arial" w:hAnsi="Arial"/>
      <w:sz w:val="22"/>
      <w:szCs w:val="22"/>
      <w:lang w:eastAsia="en-US"/>
    </w:rPr>
  </w:style>
  <w:style w:type="paragraph" w:customStyle="1" w:styleId="ListParagraph0">
    <w:name w:val="List Paragraph_0"/>
    <w:basedOn w:val="Normal4"/>
    <w:uiPriority w:val="34"/>
    <w:qFormat/>
    <w:pPr>
      <w:spacing w:after="200" w:line="276" w:lineRule="auto"/>
      <w:ind w:left="720"/>
      <w:contextualSpacing/>
    </w:pPr>
    <w:rPr>
      <w:rFonts w:ascii="Calibri" w:eastAsia="Calibri" w:hAnsi="Calibri"/>
    </w:rPr>
  </w:style>
  <w:style w:type="paragraph" w:customStyle="1" w:styleId="Notes2">
    <w:name w:val="Notes_2"/>
    <w:basedOn w:val="Header2"/>
    <w:link w:val="NotesChar2"/>
    <w:pPr>
      <w:tabs>
        <w:tab w:val="clear" w:pos="4819"/>
        <w:tab w:val="clear" w:pos="9071"/>
        <w:tab w:val="center" w:pos="4320"/>
        <w:tab w:val="right" w:pos="8640"/>
      </w:tabs>
      <w:spacing w:before="120" w:line="240" w:lineRule="auto"/>
      <w:jc w:val="both"/>
    </w:pPr>
    <w:rPr>
      <w:b/>
      <w:sz w:val="20"/>
      <w:szCs w:val="24"/>
      <w:lang w:val="en-US"/>
    </w:rPr>
  </w:style>
  <w:style w:type="paragraph" w:customStyle="1" w:styleId="Header2">
    <w:name w:val="Header_2"/>
    <w:basedOn w:val="Normal5"/>
    <w:link w:val="HeaderChar2"/>
    <w:pPr>
      <w:tabs>
        <w:tab w:val="center" w:pos="4819"/>
        <w:tab w:val="right" w:pos="9071"/>
      </w:tabs>
    </w:pPr>
  </w:style>
  <w:style w:type="paragraph" w:customStyle="1" w:styleId="Normal5">
    <w:name w:val="Normal_5"/>
    <w:qFormat/>
    <w:pPr>
      <w:spacing w:after="120" w:line="240" w:lineRule="atLeast"/>
    </w:pPr>
    <w:rPr>
      <w:rFonts w:ascii="Arial" w:hAnsi="Arial"/>
      <w:sz w:val="22"/>
      <w:szCs w:val="22"/>
      <w:lang w:eastAsia="en-US"/>
    </w:rPr>
  </w:style>
  <w:style w:type="character" w:customStyle="1" w:styleId="HeaderChar2">
    <w:name w:val="Header Char_2"/>
    <w:link w:val="Header2"/>
    <w:rPr>
      <w:rFonts w:ascii="Arial" w:hAnsi="Arial"/>
      <w:sz w:val="22"/>
      <w:szCs w:val="22"/>
      <w:lang w:eastAsia="en-US"/>
    </w:rPr>
  </w:style>
  <w:style w:type="character" w:customStyle="1" w:styleId="NotesChar2">
    <w:name w:val="Notes Char_2"/>
    <w:link w:val="Notes2"/>
    <w:rPr>
      <w:rFonts w:ascii="Arial" w:hAnsi="Arial"/>
      <w:b/>
      <w:szCs w:val="24"/>
      <w:lang w:val="en-US" w:eastAsia="en-US"/>
    </w:rPr>
  </w:style>
  <w:style w:type="paragraph" w:customStyle="1" w:styleId="BodyText20">
    <w:name w:val="Body Text_2"/>
    <w:basedOn w:val="Normal5"/>
    <w:link w:val="BodyTextChar2"/>
    <w:pPr>
      <w:jc w:val="both"/>
    </w:pPr>
    <w:rPr>
      <w:sz w:val="20"/>
    </w:rPr>
  </w:style>
  <w:style w:type="character" w:customStyle="1" w:styleId="BodyTextChar2">
    <w:name w:val="Body Text Char_2"/>
    <w:link w:val="BodyText20"/>
    <w:rPr>
      <w:rFonts w:ascii="Arial" w:hAnsi="Arial"/>
      <w:szCs w:val="22"/>
      <w:lang w:eastAsia="en-US"/>
    </w:rPr>
  </w:style>
  <w:style w:type="paragraph" w:customStyle="1" w:styleId="BodyText30">
    <w:name w:val="Body Text_3"/>
    <w:basedOn w:val="Normal6"/>
    <w:link w:val="BodyTextChar3"/>
    <w:pPr>
      <w:jc w:val="both"/>
    </w:pPr>
    <w:rPr>
      <w:sz w:val="20"/>
    </w:rPr>
  </w:style>
  <w:style w:type="paragraph" w:customStyle="1" w:styleId="Normal6">
    <w:name w:val="Normal_6"/>
    <w:qFormat/>
    <w:pPr>
      <w:spacing w:after="120" w:line="240" w:lineRule="atLeast"/>
    </w:pPr>
    <w:rPr>
      <w:rFonts w:ascii="Arial" w:hAnsi="Arial"/>
      <w:sz w:val="22"/>
      <w:szCs w:val="22"/>
      <w:lang w:eastAsia="en-US"/>
    </w:rPr>
  </w:style>
  <w:style w:type="character" w:customStyle="1" w:styleId="BodyTextChar3">
    <w:name w:val="Body Text Char_3"/>
    <w:link w:val="BodyText30"/>
    <w:rPr>
      <w:rFonts w:ascii="Arial" w:hAnsi="Arial"/>
      <w:szCs w:val="22"/>
      <w:lang w:eastAsia="en-US"/>
    </w:rPr>
  </w:style>
  <w:style w:type="paragraph" w:customStyle="1" w:styleId="Normal7">
    <w:name w:val="Normal_7"/>
    <w:qFormat/>
    <w:pPr>
      <w:spacing w:after="120" w:line="240" w:lineRule="atLeast"/>
    </w:pPr>
    <w:rPr>
      <w:rFonts w:ascii="Arial" w:hAnsi="Arial"/>
      <w:sz w:val="22"/>
      <w:szCs w:val="22"/>
      <w:lang w:eastAsia="en-US"/>
    </w:rPr>
  </w:style>
  <w:style w:type="paragraph" w:customStyle="1" w:styleId="Heading23">
    <w:name w:val="Heading 2_3"/>
    <w:basedOn w:val="Normal7"/>
    <w:next w:val="Normal7"/>
    <w:link w:val="Heading2Char3"/>
    <w:qFormat/>
    <w:pPr>
      <w:spacing w:before="120"/>
      <w:outlineLvl w:val="1"/>
    </w:pPr>
    <w:rPr>
      <w:b/>
    </w:rPr>
  </w:style>
  <w:style w:type="character" w:customStyle="1" w:styleId="Heading2Char3">
    <w:name w:val="Heading 2 Char_3"/>
    <w:link w:val="Heading23"/>
    <w:rPr>
      <w:rFonts w:ascii="Arial" w:hAnsi="Arial"/>
      <w:b/>
      <w:sz w:val="22"/>
      <w:szCs w:val="22"/>
      <w:lang w:eastAsia="en-US"/>
    </w:rPr>
  </w:style>
  <w:style w:type="paragraph" w:customStyle="1" w:styleId="Normal8">
    <w:name w:val="Normal_8"/>
    <w:qFormat/>
    <w:pPr>
      <w:spacing w:after="120" w:line="240" w:lineRule="atLeast"/>
    </w:pPr>
    <w:rPr>
      <w:rFonts w:ascii="Arial" w:hAnsi="Arial"/>
      <w:sz w:val="22"/>
      <w:szCs w:val="22"/>
      <w:lang w:eastAsia="en-US"/>
    </w:rPr>
  </w:style>
  <w:style w:type="paragraph" w:customStyle="1" w:styleId="Heading24">
    <w:name w:val="Heading 2_4"/>
    <w:basedOn w:val="Normal9"/>
    <w:next w:val="Normal9"/>
    <w:link w:val="Heading2Char4"/>
    <w:qFormat/>
    <w:pPr>
      <w:spacing w:before="120"/>
      <w:outlineLvl w:val="1"/>
    </w:pPr>
    <w:rPr>
      <w:b/>
    </w:rPr>
  </w:style>
  <w:style w:type="paragraph" w:customStyle="1" w:styleId="Normal9">
    <w:name w:val="Normal_9"/>
    <w:qFormat/>
    <w:pPr>
      <w:spacing w:after="120" w:line="240" w:lineRule="atLeast"/>
    </w:pPr>
    <w:rPr>
      <w:rFonts w:ascii="Arial" w:hAnsi="Arial"/>
      <w:sz w:val="22"/>
      <w:szCs w:val="22"/>
      <w:lang w:eastAsia="en-US"/>
    </w:rPr>
  </w:style>
  <w:style w:type="character" w:customStyle="1" w:styleId="Heading2Char4">
    <w:name w:val="Heading 2 Char_4"/>
    <w:link w:val="Heading24"/>
    <w:rPr>
      <w:rFonts w:ascii="Arial" w:hAnsi="Arial"/>
      <w:b/>
      <w:sz w:val="22"/>
      <w:szCs w:val="22"/>
      <w:lang w:eastAsia="en-US"/>
    </w:rPr>
  </w:style>
  <w:style w:type="paragraph" w:customStyle="1" w:styleId="Normal10">
    <w:name w:val="Normal_10"/>
    <w:qFormat/>
    <w:pPr>
      <w:spacing w:after="120" w:line="240" w:lineRule="atLeast"/>
    </w:pPr>
    <w:rPr>
      <w:rFonts w:ascii="Arial" w:hAnsi="Arial"/>
      <w:sz w:val="22"/>
      <w:szCs w:val="22"/>
      <w:lang w:eastAsia="en-US"/>
    </w:rPr>
  </w:style>
  <w:style w:type="paragraph" w:customStyle="1" w:styleId="Heading25">
    <w:name w:val="Heading 2_5"/>
    <w:basedOn w:val="Normal10"/>
    <w:next w:val="Normal10"/>
    <w:link w:val="Heading2Char5"/>
    <w:qFormat/>
    <w:pPr>
      <w:spacing w:before="120"/>
      <w:outlineLvl w:val="1"/>
    </w:pPr>
    <w:rPr>
      <w:b/>
    </w:rPr>
  </w:style>
  <w:style w:type="character" w:customStyle="1" w:styleId="Heading2Char5">
    <w:name w:val="Heading 2 Char_5"/>
    <w:link w:val="Heading25"/>
    <w:rPr>
      <w:rFonts w:ascii="Arial" w:hAnsi="Arial"/>
      <w:b/>
      <w:sz w:val="22"/>
      <w:szCs w:val="22"/>
      <w:lang w:eastAsia="en-US"/>
    </w:rPr>
  </w:style>
  <w:style w:type="paragraph" w:customStyle="1" w:styleId="Heading26">
    <w:name w:val="Heading 2_6"/>
    <w:basedOn w:val="Normal11"/>
    <w:next w:val="Normal11"/>
    <w:link w:val="Heading2Char6"/>
    <w:qFormat/>
    <w:pPr>
      <w:spacing w:before="120"/>
      <w:outlineLvl w:val="1"/>
    </w:pPr>
    <w:rPr>
      <w:b/>
    </w:rPr>
  </w:style>
  <w:style w:type="paragraph" w:customStyle="1" w:styleId="Normal11">
    <w:name w:val="Normal_11"/>
    <w:qFormat/>
    <w:pPr>
      <w:spacing w:after="120" w:line="240" w:lineRule="atLeast"/>
    </w:pPr>
    <w:rPr>
      <w:rFonts w:ascii="Arial" w:hAnsi="Arial"/>
      <w:sz w:val="22"/>
      <w:szCs w:val="22"/>
      <w:lang w:eastAsia="en-US"/>
    </w:rPr>
  </w:style>
  <w:style w:type="character" w:customStyle="1" w:styleId="Heading2Char6">
    <w:name w:val="Heading 2 Char_6"/>
    <w:link w:val="Heading26"/>
    <w:rPr>
      <w:rFonts w:ascii="Arial" w:hAnsi="Arial"/>
      <w:b/>
      <w:sz w:val="22"/>
      <w:szCs w:val="22"/>
      <w:lang w:eastAsia="en-US"/>
    </w:rPr>
  </w:style>
  <w:style w:type="paragraph" w:customStyle="1" w:styleId="Heading27">
    <w:name w:val="Heading 2_7"/>
    <w:basedOn w:val="Normal12"/>
    <w:next w:val="Normal12"/>
    <w:link w:val="Heading2Char7"/>
    <w:qFormat/>
    <w:pPr>
      <w:spacing w:before="120"/>
      <w:outlineLvl w:val="1"/>
    </w:pPr>
    <w:rPr>
      <w:b/>
    </w:rPr>
  </w:style>
  <w:style w:type="paragraph" w:customStyle="1" w:styleId="Normal12">
    <w:name w:val="Normal_12"/>
    <w:qFormat/>
    <w:pPr>
      <w:spacing w:after="120" w:line="240" w:lineRule="atLeast"/>
    </w:pPr>
    <w:rPr>
      <w:rFonts w:ascii="Arial" w:hAnsi="Arial"/>
      <w:sz w:val="22"/>
      <w:szCs w:val="22"/>
      <w:lang w:eastAsia="en-US"/>
    </w:rPr>
  </w:style>
  <w:style w:type="character" w:customStyle="1" w:styleId="Heading2Char7">
    <w:name w:val="Heading 2 Char_7"/>
    <w:link w:val="Heading27"/>
    <w:rPr>
      <w:rFonts w:ascii="Arial" w:hAnsi="Arial"/>
      <w:b/>
      <w:sz w:val="22"/>
      <w:szCs w:val="22"/>
      <w:lang w:eastAsia="en-US"/>
    </w:rPr>
  </w:style>
  <w:style w:type="paragraph" w:customStyle="1" w:styleId="BodyText4">
    <w:name w:val="Body Text_4"/>
    <w:basedOn w:val="Normal12"/>
    <w:link w:val="BodyTextChar4"/>
    <w:pPr>
      <w:jc w:val="both"/>
    </w:pPr>
    <w:rPr>
      <w:sz w:val="20"/>
    </w:rPr>
  </w:style>
  <w:style w:type="character" w:customStyle="1" w:styleId="BodyTextChar4">
    <w:name w:val="Body Text Char_4"/>
    <w:link w:val="BodyText4"/>
    <w:rPr>
      <w:rFonts w:ascii="Arial" w:hAnsi="Arial"/>
      <w:szCs w:val="22"/>
      <w:lang w:eastAsia="en-US"/>
    </w:rPr>
  </w:style>
  <w:style w:type="paragraph" w:customStyle="1" w:styleId="Normal13">
    <w:name w:val="Normal_13"/>
    <w:qFormat/>
    <w:pPr>
      <w:spacing w:after="120" w:line="240" w:lineRule="atLeast"/>
    </w:pPr>
    <w:rPr>
      <w:rFonts w:ascii="Arial" w:hAnsi="Arial"/>
      <w:sz w:val="22"/>
      <w:szCs w:val="22"/>
      <w:lang w:eastAsia="en-US"/>
    </w:rPr>
  </w:style>
  <w:style w:type="paragraph" w:customStyle="1" w:styleId="Heading28">
    <w:name w:val="Heading 2_8"/>
    <w:basedOn w:val="Normal13"/>
    <w:next w:val="Normal13"/>
    <w:link w:val="Heading2Char8"/>
    <w:qFormat/>
    <w:pPr>
      <w:spacing w:before="120"/>
      <w:outlineLvl w:val="1"/>
    </w:pPr>
    <w:rPr>
      <w:b/>
    </w:rPr>
  </w:style>
  <w:style w:type="character" w:customStyle="1" w:styleId="Heading2Char8">
    <w:name w:val="Heading 2 Char_8"/>
    <w:link w:val="Heading28"/>
    <w:rPr>
      <w:rFonts w:ascii="Arial" w:hAnsi="Arial"/>
      <w:b/>
      <w:sz w:val="22"/>
      <w:szCs w:val="22"/>
      <w:lang w:eastAsia="en-US"/>
    </w:rPr>
  </w:style>
  <w:style w:type="character" w:customStyle="1" w:styleId="HeaderChar">
    <w:name w:val="Header Char"/>
    <w:link w:val="Header"/>
    <w:uiPriority w:val="99"/>
    <w:rPr>
      <w:rFonts w:eastAsia="Calibri"/>
      <w:sz w:val="24"/>
      <w:szCs w:val="22"/>
      <w:lang w:eastAsia="en-US"/>
    </w:rPr>
  </w:style>
  <w:style w:type="character" w:customStyle="1" w:styleId="FooterChar">
    <w:name w:val="Footer Char"/>
    <w:link w:val="Footer"/>
    <w:uiPriority w:val="99"/>
    <w:rPr>
      <w:rFonts w:eastAsia="Calibri"/>
      <w:sz w:val="24"/>
      <w:szCs w:val="22"/>
      <w:lang w:eastAsia="en-US"/>
    </w:rPr>
  </w:style>
  <w:style w:type="character" w:customStyle="1" w:styleId="FootnoteTextChar">
    <w:name w:val="Footnote Text Char"/>
    <w:link w:val="FootnoteText"/>
    <w:semiHidden/>
    <w:rPr>
      <w:lang w:eastAsia="de-DE"/>
    </w:rPr>
  </w:style>
  <w:style w:type="paragraph" w:styleId="TOC1">
    <w:name w:val="toc 1"/>
    <w:basedOn w:val="Normal"/>
    <w:next w:val="Normal"/>
    <w:uiPriority w:val="39"/>
    <w:unhideWhenUsed/>
    <w:pPr>
      <w:tabs>
        <w:tab w:val="right" w:leader="dot" w:pos="9071"/>
      </w:tabs>
      <w:spacing w:before="60" w:after="120"/>
      <w:ind w:left="850" w:hanging="850"/>
    </w:pPr>
    <w:rPr>
      <w:szCs w:val="22"/>
    </w:rPr>
  </w:style>
  <w:style w:type="paragraph" w:styleId="TOC4">
    <w:name w:val="toc 4"/>
    <w:basedOn w:val="Normal"/>
    <w:next w:val="Normal"/>
    <w:uiPriority w:val="39"/>
    <w:unhideWhenUsed/>
    <w:pPr>
      <w:tabs>
        <w:tab w:val="right" w:leader="dot" w:pos="9071"/>
      </w:tabs>
      <w:spacing w:before="60" w:after="120"/>
      <w:ind w:left="850" w:hanging="850"/>
    </w:pPr>
    <w:rPr>
      <w:szCs w:val="22"/>
    </w:rPr>
  </w:style>
  <w:style w:type="paragraph" w:styleId="TOC6">
    <w:name w:val="toc 6"/>
    <w:basedOn w:val="Normal"/>
    <w:next w:val="Normal"/>
    <w:uiPriority w:val="39"/>
    <w:unhideWhenUsed/>
    <w:pPr>
      <w:tabs>
        <w:tab w:val="right" w:leader="dot" w:pos="9071"/>
      </w:tabs>
      <w:spacing w:before="240" w:after="120"/>
    </w:pPr>
    <w:rPr>
      <w:szCs w:val="22"/>
    </w:rPr>
  </w:style>
  <w:style w:type="paragraph" w:styleId="TOC7">
    <w:name w:val="toc 7"/>
    <w:basedOn w:val="Normal"/>
    <w:next w:val="Normal"/>
    <w:uiPriority w:val="39"/>
    <w:unhideWhenUsed/>
    <w:pPr>
      <w:tabs>
        <w:tab w:val="right" w:leader="dot" w:pos="9071"/>
      </w:tabs>
      <w:spacing w:before="180" w:after="120"/>
    </w:pPr>
    <w:rPr>
      <w:szCs w:val="22"/>
    </w:rPr>
  </w:style>
  <w:style w:type="paragraph" w:styleId="TOC9">
    <w:name w:val="toc 9"/>
    <w:basedOn w:val="Normal"/>
    <w:next w:val="Normal"/>
    <w:uiPriority w:val="39"/>
    <w:unhideWhenUsed/>
    <w:pPr>
      <w:tabs>
        <w:tab w:val="right" w:leader="dot" w:pos="9071"/>
      </w:tabs>
      <w:spacing w:before="120" w:after="120"/>
      <w:jc w:val="both"/>
    </w:pPr>
    <w:rPr>
      <w:szCs w:val="22"/>
    </w:rPr>
  </w:style>
  <w:style w:type="paragraph" w:customStyle="1" w:styleId="Point0number">
    <w:name w:val="Point 0 (number)"/>
    <w:basedOn w:val="Normal"/>
    <w:pPr>
      <w:numPr>
        <w:numId w:val="34"/>
      </w:numPr>
      <w:spacing w:before="120" w:after="120"/>
      <w:jc w:val="both"/>
    </w:pPr>
    <w:rPr>
      <w:szCs w:val="22"/>
    </w:rPr>
  </w:style>
  <w:style w:type="paragraph" w:customStyle="1" w:styleId="Point1number">
    <w:name w:val="Point 1 (number)"/>
    <w:basedOn w:val="Normal"/>
    <w:pPr>
      <w:numPr>
        <w:ilvl w:val="2"/>
        <w:numId w:val="34"/>
      </w:numPr>
      <w:spacing w:before="120" w:after="120"/>
      <w:jc w:val="both"/>
    </w:pPr>
    <w:rPr>
      <w:szCs w:val="22"/>
    </w:rPr>
  </w:style>
  <w:style w:type="paragraph" w:customStyle="1" w:styleId="Point2number">
    <w:name w:val="Point 2 (number)"/>
    <w:basedOn w:val="Normal"/>
    <w:pPr>
      <w:numPr>
        <w:ilvl w:val="4"/>
        <w:numId w:val="34"/>
      </w:numPr>
      <w:spacing w:before="120" w:after="120"/>
      <w:jc w:val="both"/>
    </w:pPr>
    <w:rPr>
      <w:szCs w:val="22"/>
    </w:rPr>
  </w:style>
  <w:style w:type="paragraph" w:customStyle="1" w:styleId="Point3number">
    <w:name w:val="Point 3 (number)"/>
    <w:basedOn w:val="Normal"/>
    <w:pPr>
      <w:numPr>
        <w:ilvl w:val="6"/>
        <w:numId w:val="34"/>
      </w:numPr>
      <w:spacing w:before="120" w:after="120"/>
      <w:jc w:val="both"/>
    </w:pPr>
    <w:rPr>
      <w:szCs w:val="22"/>
    </w:rPr>
  </w:style>
  <w:style w:type="paragraph" w:customStyle="1" w:styleId="Point0letter">
    <w:name w:val="Point 0 (letter)"/>
    <w:basedOn w:val="Normal"/>
    <w:pPr>
      <w:numPr>
        <w:ilvl w:val="1"/>
        <w:numId w:val="34"/>
      </w:numPr>
      <w:spacing w:before="120" w:after="120"/>
      <w:jc w:val="both"/>
    </w:pPr>
    <w:rPr>
      <w:szCs w:val="22"/>
    </w:rPr>
  </w:style>
  <w:style w:type="paragraph" w:customStyle="1" w:styleId="Point1letter">
    <w:name w:val="Point 1 (letter)"/>
    <w:basedOn w:val="Normal"/>
    <w:pPr>
      <w:numPr>
        <w:ilvl w:val="3"/>
        <w:numId w:val="34"/>
      </w:numPr>
      <w:spacing w:before="120" w:after="120"/>
      <w:jc w:val="both"/>
    </w:pPr>
    <w:rPr>
      <w:szCs w:val="22"/>
    </w:rPr>
  </w:style>
  <w:style w:type="paragraph" w:customStyle="1" w:styleId="Point2letter">
    <w:name w:val="Point 2 (letter)"/>
    <w:basedOn w:val="Normal"/>
    <w:pPr>
      <w:numPr>
        <w:ilvl w:val="5"/>
        <w:numId w:val="34"/>
      </w:numPr>
      <w:spacing w:before="120" w:after="120"/>
      <w:jc w:val="both"/>
    </w:pPr>
    <w:rPr>
      <w:szCs w:val="22"/>
    </w:rPr>
  </w:style>
  <w:style w:type="paragraph" w:customStyle="1" w:styleId="Point3letter">
    <w:name w:val="Point 3 (letter)"/>
    <w:basedOn w:val="Normal"/>
    <w:pPr>
      <w:numPr>
        <w:ilvl w:val="7"/>
        <w:numId w:val="34"/>
      </w:numPr>
      <w:spacing w:before="120" w:after="120"/>
      <w:jc w:val="both"/>
    </w:pPr>
    <w:rPr>
      <w:szCs w:val="22"/>
    </w:rPr>
  </w:style>
  <w:style w:type="paragraph" w:customStyle="1" w:styleId="Point4letter">
    <w:name w:val="Point 4 (letter)"/>
    <w:basedOn w:val="Normal"/>
    <w:pPr>
      <w:numPr>
        <w:ilvl w:val="8"/>
        <w:numId w:val="34"/>
      </w:numPr>
      <w:spacing w:before="120" w:after="120"/>
      <w:jc w:val="both"/>
    </w:pPr>
    <w:rPr>
      <w:szCs w:val="22"/>
    </w:rPr>
  </w:style>
  <w:style w:type="paragraph" w:customStyle="1" w:styleId="Bullet0">
    <w:name w:val="Bullet 0"/>
    <w:basedOn w:val="Normal"/>
    <w:pPr>
      <w:numPr>
        <w:numId w:val="28"/>
      </w:numPr>
      <w:spacing w:before="120" w:after="120"/>
      <w:jc w:val="both"/>
    </w:pPr>
    <w:rPr>
      <w:szCs w:val="22"/>
    </w:rPr>
  </w:style>
  <w:style w:type="paragraph" w:customStyle="1" w:styleId="Bullet1">
    <w:name w:val="Bullet 1"/>
    <w:basedOn w:val="Normal"/>
    <w:pPr>
      <w:numPr>
        <w:numId w:val="35"/>
      </w:numPr>
      <w:spacing w:before="120" w:after="120"/>
      <w:jc w:val="both"/>
    </w:pPr>
    <w:rPr>
      <w:szCs w:val="22"/>
    </w:rPr>
  </w:style>
  <w:style w:type="paragraph" w:customStyle="1" w:styleId="Bullet2">
    <w:name w:val="Bullet 2"/>
    <w:basedOn w:val="Normal"/>
    <w:pPr>
      <w:numPr>
        <w:numId w:val="36"/>
      </w:numPr>
      <w:spacing w:before="120" w:after="120"/>
      <w:jc w:val="both"/>
    </w:pPr>
    <w:rPr>
      <w:szCs w:val="22"/>
    </w:rPr>
  </w:style>
  <w:style w:type="paragraph" w:customStyle="1" w:styleId="Bullet3">
    <w:name w:val="Bullet 3"/>
    <w:basedOn w:val="Normal"/>
    <w:pPr>
      <w:numPr>
        <w:numId w:val="37"/>
      </w:numPr>
      <w:spacing w:before="120" w:after="120"/>
      <w:jc w:val="both"/>
    </w:pPr>
    <w:rPr>
      <w:szCs w:val="22"/>
    </w:rPr>
  </w:style>
  <w:style w:type="paragraph" w:customStyle="1" w:styleId="Bullet4">
    <w:name w:val="Bullet 4"/>
    <w:basedOn w:val="Normal"/>
    <w:pPr>
      <w:numPr>
        <w:numId w:val="38"/>
      </w:numPr>
      <w:spacing w:before="120" w:after="120"/>
      <w:jc w:val="both"/>
    </w:pPr>
    <w:rPr>
      <w:szCs w:val="22"/>
    </w:rPr>
  </w:style>
  <w:style w:type="paragraph" w:customStyle="1" w:styleId="Annexetitre">
    <w:name w:val="Annexe titre"/>
    <w:basedOn w:val="Normal"/>
    <w:next w:val="Normal"/>
    <w:pPr>
      <w:spacing w:before="120" w:after="120"/>
      <w:jc w:val="center"/>
    </w:pPr>
    <w:rPr>
      <w:b/>
      <w:szCs w:val="22"/>
      <w:u w:val="single"/>
    </w:rPr>
  </w:style>
  <w:style w:type="paragraph" w:customStyle="1" w:styleId="Annexetitrefichefinancire">
    <w:name w:val="Annexe titre (fiche financière)"/>
    <w:basedOn w:val="Normal"/>
    <w:next w:val="Normal"/>
    <w:pPr>
      <w:spacing w:before="120" w:after="120"/>
      <w:jc w:val="center"/>
    </w:pPr>
    <w:rPr>
      <w:b/>
      <w:szCs w:val="22"/>
      <w:u w:val="single"/>
    </w:rPr>
  </w:style>
  <w:style w:type="paragraph" w:customStyle="1" w:styleId="Rfrenceinstitutionnelle">
    <w:name w:val="Référence institutionnelle"/>
    <w:basedOn w:val="Normal"/>
    <w:next w:val="Confidentialit"/>
    <w:pPr>
      <w:spacing w:after="240"/>
      <w:ind w:left="5103"/>
    </w:pPr>
    <w:rPr>
      <w:szCs w:val="22"/>
    </w:rPr>
  </w:style>
  <w:style w:type="paragraph" w:customStyle="1" w:styleId="Rfrenceinterinstitutionnelle">
    <w:name w:val="Référence interinstitutionnelle"/>
    <w:basedOn w:val="Normal"/>
    <w:next w:val="Statut"/>
    <w:pPr>
      <w:ind w:left="5103"/>
    </w:pPr>
    <w:rPr>
      <w:szCs w:val="22"/>
    </w:rPr>
  </w:style>
  <w:style w:type="paragraph" w:customStyle="1" w:styleId="Supertitre">
    <w:name w:val="Supertitre"/>
    <w:basedOn w:val="Normal"/>
    <w:next w:val="Normal"/>
    <w:pPr>
      <w:spacing w:after="600"/>
      <w:jc w:val="center"/>
    </w:pPr>
    <w:rPr>
      <w:b/>
      <w:szCs w:val="22"/>
    </w:rPr>
  </w:style>
  <w:style w:type="paragraph" w:customStyle="1" w:styleId="Languesfaisantfoi">
    <w:name w:val="Langues faisant foi"/>
    <w:basedOn w:val="Normal"/>
    <w:next w:val="Normal"/>
    <w:pPr>
      <w:spacing w:before="360"/>
      <w:jc w:val="center"/>
    </w:pPr>
    <w:rPr>
      <w:szCs w:val="22"/>
    </w:rPr>
  </w:style>
  <w:style w:type="paragraph" w:customStyle="1" w:styleId="Rfrencecroise">
    <w:name w:val="Référence croisée"/>
    <w:basedOn w:val="Normal"/>
    <w:pPr>
      <w:jc w:val="center"/>
    </w:pPr>
    <w:rPr>
      <w:szCs w:val="22"/>
    </w:rPr>
  </w:style>
  <w:style w:type="paragraph" w:customStyle="1" w:styleId="DatedadoptionPagedecouverture">
    <w:name w:val="Date d'adoption (Page de couverture)"/>
    <w:basedOn w:val="Datedadoption"/>
    <w:next w:val="TitreobjetPagedecouverture"/>
    <w:rPr>
      <w:szCs w:val="22"/>
      <w:lang w:eastAsia="en-GB"/>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rPr>
      <w:szCs w:val="22"/>
      <w:lang w:eastAsia="en-GB"/>
    </w:rPr>
  </w:style>
  <w:style w:type="paragraph" w:customStyle="1" w:styleId="StatutPagedecouverture">
    <w:name w:val="Statut (Page de couverture)"/>
    <w:basedOn w:val="Statut"/>
    <w:next w:val="TypedudocumentPagedecouverture"/>
    <w:rPr>
      <w:szCs w:val="22"/>
      <w:lang w:eastAsia="en-GB"/>
    </w:rPr>
  </w:style>
  <w:style w:type="paragraph" w:customStyle="1" w:styleId="TitreobjetPagedecouverture">
    <w:name w:val="Titre objet (Page de couverture)"/>
    <w:basedOn w:val="Titreobjet"/>
    <w:next w:val="Sous-titreobjetPagedecouverture"/>
    <w:rPr>
      <w:szCs w:val="22"/>
      <w:lang w:eastAsia="en-GB"/>
    </w:rPr>
  </w:style>
  <w:style w:type="paragraph" w:customStyle="1" w:styleId="TypedudocumentPagedecouverture">
    <w:name w:val="Type du document (Page de couverture)"/>
    <w:basedOn w:val="Typedudocument"/>
    <w:next w:val="TitreobjetPagedecouverture"/>
    <w:rPr>
      <w:szCs w:val="22"/>
      <w:lang w:eastAsia="en-GB"/>
    </w:rPr>
  </w:style>
  <w:style w:type="paragraph" w:customStyle="1" w:styleId="Volume">
    <w:name w:val="Volume"/>
    <w:basedOn w:val="Normal"/>
    <w:next w:val="Confidentialit"/>
    <w:pPr>
      <w:spacing w:after="240"/>
      <w:ind w:left="5103"/>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jc w:val="center"/>
    </w:pPr>
    <w:rPr>
      <w:b/>
      <w:i/>
      <w:szCs w:val="22"/>
    </w:rPr>
  </w:style>
  <w:style w:type="paragraph" w:customStyle="1" w:styleId="Typeacteprincipal">
    <w:name w:val="Type acte principal"/>
    <w:basedOn w:val="Normal"/>
    <w:next w:val="Objetacteprincipal"/>
    <w:pPr>
      <w:spacing w:after="240"/>
      <w:jc w:val="center"/>
    </w:pPr>
    <w:rPr>
      <w:b/>
      <w:szCs w:val="22"/>
    </w:rPr>
  </w:style>
  <w:style w:type="paragraph" w:customStyle="1" w:styleId="Objetacteprincipal">
    <w:name w:val="Objet acte principal"/>
    <w:basedOn w:val="Normal"/>
    <w:next w:val="Titrearticle"/>
    <w:pPr>
      <w:spacing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szCs w:val="22"/>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numbering" w:customStyle="1" w:styleId="NoList6">
    <w:name w:val="No List6"/>
    <w:next w:val="NoList"/>
    <w:uiPriority w:val="99"/>
    <w:semiHidden/>
    <w:unhideWhenUsed/>
  </w:style>
  <w:style w:type="paragraph" w:customStyle="1" w:styleId="Declassification">
    <w:name w:val="Declassification"/>
    <w:basedOn w:val="Normal"/>
    <w:next w:val="Normal"/>
    <w:pPr>
      <w:jc w:val="both"/>
    </w:pPr>
    <w:rPr>
      <w:rFonts w:eastAsia="Calibr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numPr>
        <w:numId w:val="7"/>
      </w:numPr>
      <w:spacing w:before="360" w:after="120"/>
      <w:jc w:val="both"/>
      <w:outlineLvl w:val="0"/>
    </w:pPr>
    <w:rPr>
      <w:b/>
      <w:bCs/>
      <w:smallCaps/>
      <w:szCs w:val="32"/>
      <w:lang w:eastAsia="de-DE"/>
    </w:rPr>
  </w:style>
  <w:style w:type="paragraph" w:styleId="Heading2">
    <w:name w:val="heading 2"/>
    <w:basedOn w:val="Normal"/>
    <w:next w:val="Text2"/>
    <w:link w:val="Heading2Char"/>
    <w:qFormat/>
    <w:pPr>
      <w:keepNext/>
      <w:numPr>
        <w:ilvl w:val="1"/>
        <w:numId w:val="7"/>
      </w:numPr>
      <w:spacing w:before="120" w:after="120"/>
      <w:jc w:val="both"/>
      <w:outlineLvl w:val="1"/>
    </w:pPr>
    <w:rPr>
      <w:b/>
      <w:bCs/>
      <w:iCs/>
      <w:szCs w:val="28"/>
      <w:lang w:eastAsia="de-DE"/>
    </w:rPr>
  </w:style>
  <w:style w:type="paragraph" w:styleId="Heading3">
    <w:name w:val="heading 3"/>
    <w:basedOn w:val="Normal"/>
    <w:next w:val="Text3"/>
    <w:link w:val="Heading3Char"/>
    <w:qFormat/>
    <w:pPr>
      <w:keepNext/>
      <w:numPr>
        <w:ilvl w:val="2"/>
        <w:numId w:val="7"/>
      </w:numPr>
      <w:spacing w:before="120" w:after="120"/>
      <w:jc w:val="both"/>
      <w:outlineLvl w:val="2"/>
    </w:pPr>
    <w:rPr>
      <w:bCs/>
      <w:i/>
      <w:szCs w:val="26"/>
      <w:lang w:eastAsia="de-DE"/>
    </w:rPr>
  </w:style>
  <w:style w:type="paragraph" w:styleId="Heading4">
    <w:name w:val="heading 4"/>
    <w:basedOn w:val="Normal"/>
    <w:next w:val="Text4"/>
    <w:link w:val="Heading4Char"/>
    <w:qFormat/>
    <w:pPr>
      <w:keepNext/>
      <w:numPr>
        <w:ilvl w:val="3"/>
        <w:numId w:val="7"/>
      </w:numPr>
      <w:spacing w:before="120" w:after="120"/>
      <w:jc w:val="both"/>
      <w:outlineLvl w:val="3"/>
    </w:pPr>
    <w:rPr>
      <w:bCs/>
      <w:szCs w:val="28"/>
      <w:lang w:eastAsia="de-DE"/>
    </w:rPr>
  </w:style>
  <w:style w:type="paragraph" w:styleId="Heading5">
    <w:name w:val="heading 5"/>
    <w:basedOn w:val="Normal"/>
    <w:next w:val="NormalIndent"/>
    <w:link w:val="Heading5Char"/>
    <w:qFormat/>
    <w:pPr>
      <w:spacing w:after="120" w:line="240" w:lineRule="atLeast"/>
      <w:ind w:left="720"/>
      <w:outlineLvl w:val="4"/>
    </w:pPr>
    <w:rPr>
      <w:b/>
      <w:sz w:val="22"/>
      <w:szCs w:val="20"/>
      <w:lang w:eastAsia="en-US"/>
    </w:rPr>
  </w:style>
  <w:style w:type="paragraph" w:styleId="Heading6">
    <w:name w:val="heading 6"/>
    <w:basedOn w:val="Normal"/>
    <w:next w:val="NormalIndent"/>
    <w:link w:val="Heading6Char"/>
    <w:qFormat/>
    <w:pPr>
      <w:spacing w:after="120" w:line="240" w:lineRule="atLeast"/>
      <w:ind w:left="720"/>
      <w:outlineLvl w:val="5"/>
    </w:pPr>
    <w:rPr>
      <w:sz w:val="22"/>
      <w:szCs w:val="20"/>
      <w:u w:val="single"/>
      <w:lang w:eastAsia="en-US"/>
    </w:rPr>
  </w:style>
  <w:style w:type="paragraph" w:styleId="Heading7">
    <w:name w:val="heading 7"/>
    <w:basedOn w:val="Normal"/>
    <w:next w:val="NormalIndent"/>
    <w:link w:val="Heading7Char"/>
    <w:qFormat/>
    <w:pPr>
      <w:spacing w:after="120" w:line="240" w:lineRule="atLeast"/>
      <w:ind w:left="720"/>
      <w:outlineLvl w:val="6"/>
    </w:pPr>
    <w:rPr>
      <w:i/>
      <w:sz w:val="22"/>
      <w:szCs w:val="20"/>
      <w:lang w:eastAsia="en-US"/>
    </w:rPr>
  </w:style>
  <w:style w:type="paragraph" w:styleId="Heading8">
    <w:name w:val="heading 8"/>
    <w:basedOn w:val="Normal"/>
    <w:next w:val="NormalIndent"/>
    <w:link w:val="Heading8Char"/>
    <w:qFormat/>
    <w:pPr>
      <w:spacing w:after="120" w:line="240" w:lineRule="atLeast"/>
      <w:ind w:left="720"/>
      <w:outlineLvl w:val="7"/>
    </w:pPr>
    <w:rPr>
      <w:i/>
      <w:sz w:val="22"/>
      <w:szCs w:val="20"/>
      <w:lang w:eastAsia="en-US"/>
    </w:rPr>
  </w:style>
  <w:style w:type="paragraph" w:styleId="Heading9">
    <w:name w:val="heading 9"/>
    <w:basedOn w:val="Normal"/>
    <w:next w:val="NormalIndent"/>
    <w:link w:val="Heading9Char"/>
    <w:qFormat/>
    <w:pPr>
      <w:spacing w:after="120" w:line="240" w:lineRule="atLeast"/>
      <w:ind w:left="720"/>
      <w:outlineLvl w:val="8"/>
    </w:pPr>
    <w:rPr>
      <w:i/>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ind w:left="850"/>
      <w:jc w:val="both"/>
    </w:pPr>
    <w:rPr>
      <w:lang w:eastAsia="de-DE"/>
    </w:rPr>
  </w:style>
  <w:style w:type="paragraph" w:customStyle="1" w:styleId="Text2">
    <w:name w:val="Text 2"/>
    <w:basedOn w:val="Normal"/>
    <w:pPr>
      <w:spacing w:before="120" w:after="120"/>
      <w:ind w:left="850"/>
      <w:jc w:val="both"/>
    </w:pPr>
    <w:rPr>
      <w:lang w:eastAsia="de-DE"/>
    </w:rPr>
  </w:style>
  <w:style w:type="paragraph" w:customStyle="1" w:styleId="Text3">
    <w:name w:val="Text 3"/>
    <w:basedOn w:val="Normal"/>
    <w:pPr>
      <w:spacing w:before="120" w:after="120"/>
      <w:ind w:left="850"/>
      <w:jc w:val="both"/>
    </w:pPr>
    <w:rPr>
      <w:lang w:eastAsia="de-DE"/>
    </w:rPr>
  </w:style>
  <w:style w:type="paragraph" w:customStyle="1" w:styleId="Text4">
    <w:name w:val="Text 4"/>
    <w:basedOn w:val="Normal"/>
    <w:pPr>
      <w:spacing w:before="120" w:after="120"/>
      <w:ind w:left="850"/>
      <w:jc w:val="both"/>
    </w:pPr>
    <w:rPr>
      <w:lang w:eastAsia="de-DE"/>
    </w:rPr>
  </w:style>
  <w:style w:type="paragraph" w:styleId="NormalIndent">
    <w:name w:val="Normal Indent"/>
    <w:basedOn w:val="Normal"/>
    <w:pPr>
      <w:spacing w:after="120" w:line="240" w:lineRule="atLeast"/>
      <w:ind w:left="720"/>
    </w:pPr>
    <w:rPr>
      <w:rFonts w:ascii="Arial" w:hAnsi="Arial"/>
      <w:sz w:val="22"/>
      <w:szCs w:val="20"/>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Calibr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Calibr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paragraph" w:customStyle="1" w:styleId="HeaderCoverPage">
    <w:name w:val="Header Cover Page"/>
    <w:basedOn w:val="Normal"/>
    <w:link w:val="HeaderCoverPageChar"/>
    <w:pPr>
      <w:tabs>
        <w:tab w:val="center" w:pos="4535"/>
        <w:tab w:val="right" w:pos="9071"/>
      </w:tabs>
      <w:spacing w:after="120"/>
      <w:jc w:val="both"/>
    </w:pPr>
  </w:style>
  <w:style w:type="paragraph" w:styleId="FootnoteText">
    <w:name w:val="footnote text"/>
    <w:basedOn w:val="Normal"/>
    <w:link w:val="FootnoteTextChar"/>
    <w:semiHidden/>
    <w:pPr>
      <w:ind w:left="720" w:hanging="720"/>
      <w:jc w:val="both"/>
    </w:pPr>
    <w:rPr>
      <w:sz w:val="20"/>
      <w:szCs w:val="20"/>
      <w:lang w:eastAsia="de-DE"/>
    </w:rPr>
  </w:style>
  <w:style w:type="paragraph" w:styleId="ListBullet">
    <w:name w:val="List Bullet"/>
    <w:basedOn w:val="Normal"/>
    <w:pPr>
      <w:numPr>
        <w:numId w:val="8"/>
      </w:numPr>
      <w:spacing w:before="120" w:after="120"/>
      <w:jc w:val="both"/>
    </w:pPr>
    <w:rPr>
      <w:lang w:eastAsia="de-DE"/>
    </w:rPr>
  </w:style>
  <w:style w:type="paragraph" w:styleId="ListBullet2">
    <w:name w:val="List Bullet 2"/>
    <w:basedOn w:val="Normal"/>
    <w:pPr>
      <w:numPr>
        <w:numId w:val="10"/>
      </w:numPr>
      <w:spacing w:before="120" w:after="120"/>
      <w:jc w:val="both"/>
    </w:pPr>
    <w:rPr>
      <w:lang w:eastAsia="de-DE"/>
    </w:rPr>
  </w:style>
  <w:style w:type="paragraph" w:styleId="ListBullet3">
    <w:name w:val="List Bullet 3"/>
    <w:basedOn w:val="Normal"/>
    <w:pPr>
      <w:numPr>
        <w:numId w:val="11"/>
      </w:numPr>
      <w:spacing w:before="120" w:after="120"/>
      <w:jc w:val="both"/>
    </w:pPr>
    <w:rPr>
      <w:lang w:eastAsia="de-DE"/>
    </w:rPr>
  </w:style>
  <w:style w:type="paragraph" w:styleId="ListBullet4">
    <w:name w:val="List Bullet 4"/>
    <w:basedOn w:val="Normal"/>
    <w:pPr>
      <w:numPr>
        <w:numId w:val="12"/>
      </w:numPr>
      <w:spacing w:before="120" w:after="120"/>
      <w:jc w:val="both"/>
    </w:pPr>
    <w:rPr>
      <w:lang w:eastAsia="de-DE"/>
    </w:rPr>
  </w:style>
  <w:style w:type="paragraph" w:styleId="ListNumber">
    <w:name w:val="List Number"/>
    <w:basedOn w:val="Normal"/>
    <w:pPr>
      <w:numPr>
        <w:numId w:val="18"/>
      </w:numPr>
      <w:spacing w:before="120" w:after="120"/>
      <w:jc w:val="both"/>
    </w:pPr>
    <w:rPr>
      <w:lang w:eastAsia="de-DE"/>
    </w:rPr>
  </w:style>
  <w:style w:type="paragraph" w:styleId="ListNumber2">
    <w:name w:val="List Number 2"/>
    <w:basedOn w:val="Normal"/>
    <w:pPr>
      <w:numPr>
        <w:numId w:val="20"/>
      </w:numPr>
      <w:spacing w:before="120" w:after="120"/>
      <w:jc w:val="both"/>
    </w:pPr>
    <w:rPr>
      <w:lang w:eastAsia="de-DE"/>
    </w:rPr>
  </w:style>
  <w:style w:type="paragraph" w:styleId="ListNumber3">
    <w:name w:val="List Number 3"/>
    <w:basedOn w:val="Normal"/>
    <w:pPr>
      <w:numPr>
        <w:numId w:val="21"/>
      </w:numPr>
      <w:spacing w:before="120" w:after="120"/>
      <w:jc w:val="both"/>
    </w:pPr>
    <w:rPr>
      <w:lang w:eastAsia="de-DE"/>
    </w:rPr>
  </w:style>
  <w:style w:type="paragraph" w:styleId="ListNumber4">
    <w:name w:val="List Number 4"/>
    <w:basedOn w:val="Normal"/>
    <w:pPr>
      <w:numPr>
        <w:numId w:val="22"/>
      </w:numPr>
      <w:spacing w:before="120" w:after="120"/>
      <w:jc w:val="both"/>
    </w:pPr>
    <w:rPr>
      <w:lang w:eastAsia="de-DE"/>
    </w:rPr>
  </w:style>
  <w:style w:type="paragraph" w:styleId="TOC5">
    <w:name w:val="toc 5"/>
    <w:basedOn w:val="Normal"/>
    <w:next w:val="Normal"/>
    <w:uiPriority w:val="39"/>
    <w:semiHidden/>
    <w:pPr>
      <w:tabs>
        <w:tab w:val="right" w:leader="dot" w:pos="9071"/>
      </w:tabs>
      <w:spacing w:before="300" w:after="120"/>
    </w:pPr>
    <w:rPr>
      <w:lang w:eastAsia="de-DE"/>
    </w:rPr>
  </w:style>
  <w:style w:type="paragraph" w:styleId="TOC8">
    <w:name w:val="toc 8"/>
    <w:basedOn w:val="Normal"/>
    <w:next w:val="Normal"/>
    <w:uiPriority w:val="39"/>
    <w:semiHidden/>
    <w:pPr>
      <w:tabs>
        <w:tab w:val="right" w:leader="dot" w:pos="9071"/>
      </w:tabs>
      <w:spacing w:before="120" w:after="120"/>
    </w:pPr>
    <w:rPr>
      <w:lang w:eastAsia="de-DE"/>
    </w:rPr>
  </w:style>
  <w:style w:type="paragraph" w:customStyle="1" w:styleId="HeaderLandscape">
    <w:name w:val="HeaderLandscape"/>
    <w:basedOn w:val="Normal"/>
    <w:pPr>
      <w:tabs>
        <w:tab w:val="center" w:pos="7285"/>
        <w:tab w:val="right" w:pos="14003"/>
      </w:tabs>
      <w:spacing w:after="120"/>
      <w:jc w:val="both"/>
    </w:pPr>
    <w:rPr>
      <w:rFonts w:eastAsia="Calibri"/>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Calibri"/>
      <w:szCs w:val="22"/>
      <w:lang w:eastAsia="en-US"/>
    </w:rPr>
  </w:style>
  <w:style w:type="character" w:styleId="FootnoteReference">
    <w:name w:val="footnote reference"/>
    <w:semiHidden/>
    <w:rPr>
      <w:vertAlign w:val="superscript"/>
    </w:rPr>
  </w:style>
  <w:style w:type="paragraph" w:customStyle="1" w:styleId="NormalCentered">
    <w:name w:val="Normal Centered"/>
    <w:basedOn w:val="Normal"/>
    <w:pPr>
      <w:spacing w:before="120" w:after="120"/>
      <w:jc w:val="center"/>
    </w:pPr>
    <w:rPr>
      <w:lang w:eastAsia="de-DE"/>
    </w:rPr>
  </w:style>
  <w:style w:type="paragraph" w:customStyle="1" w:styleId="NormalLeft">
    <w:name w:val="Normal Left"/>
    <w:basedOn w:val="Normal"/>
    <w:pPr>
      <w:spacing w:before="120" w:after="120"/>
    </w:pPr>
    <w:rPr>
      <w:lang w:eastAsia="de-DE"/>
    </w:rPr>
  </w:style>
  <w:style w:type="paragraph" w:customStyle="1" w:styleId="NormalRight">
    <w:name w:val="Normal Right"/>
    <w:basedOn w:val="Normal"/>
    <w:pPr>
      <w:spacing w:before="120" w:after="120"/>
      <w:jc w:val="right"/>
    </w:pPr>
    <w:rPr>
      <w:lang w:eastAsia="de-DE"/>
    </w:rPr>
  </w:style>
  <w:style w:type="paragraph" w:customStyle="1" w:styleId="QuotedText">
    <w:name w:val="Quoted Text"/>
    <w:basedOn w:val="Normal"/>
    <w:pPr>
      <w:spacing w:before="120" w:after="120"/>
      <w:ind w:left="1417"/>
      <w:jc w:val="both"/>
    </w:pPr>
    <w:rPr>
      <w:lang w:eastAsia="de-DE"/>
    </w:rPr>
  </w:style>
  <w:style w:type="paragraph" w:customStyle="1" w:styleId="Point0">
    <w:name w:val="Point 0"/>
    <w:basedOn w:val="Normal"/>
    <w:pPr>
      <w:spacing w:before="120" w:after="120"/>
      <w:ind w:left="850" w:hanging="850"/>
      <w:jc w:val="both"/>
    </w:pPr>
    <w:rPr>
      <w:lang w:eastAsia="de-DE"/>
    </w:rPr>
  </w:style>
  <w:style w:type="paragraph" w:customStyle="1" w:styleId="Point1">
    <w:name w:val="Point 1"/>
    <w:basedOn w:val="Normal"/>
    <w:pPr>
      <w:spacing w:before="120" w:after="120"/>
      <w:ind w:left="1417" w:hanging="567"/>
      <w:jc w:val="both"/>
    </w:pPr>
    <w:rPr>
      <w:lang w:eastAsia="de-DE"/>
    </w:rPr>
  </w:style>
  <w:style w:type="paragraph" w:customStyle="1" w:styleId="Point2">
    <w:name w:val="Point 2"/>
    <w:basedOn w:val="Normal"/>
    <w:pPr>
      <w:spacing w:before="120" w:after="120"/>
      <w:ind w:left="1984" w:hanging="567"/>
      <w:jc w:val="both"/>
    </w:pPr>
    <w:rPr>
      <w:lang w:eastAsia="de-DE"/>
    </w:rPr>
  </w:style>
  <w:style w:type="paragraph" w:customStyle="1" w:styleId="Point3">
    <w:name w:val="Point 3"/>
    <w:basedOn w:val="Normal"/>
    <w:pPr>
      <w:spacing w:before="120" w:after="120"/>
      <w:ind w:left="2551" w:hanging="567"/>
      <w:jc w:val="both"/>
    </w:pPr>
    <w:rPr>
      <w:lang w:eastAsia="de-DE"/>
    </w:rPr>
  </w:style>
  <w:style w:type="paragraph" w:customStyle="1" w:styleId="Point4">
    <w:name w:val="Point 4"/>
    <w:basedOn w:val="Normal"/>
    <w:pPr>
      <w:spacing w:before="120" w:after="120"/>
      <w:ind w:left="3118" w:hanging="567"/>
      <w:jc w:val="both"/>
    </w:pPr>
    <w:rPr>
      <w:lang w:eastAsia="de-DE"/>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ind w:left="1417" w:hanging="1417"/>
      <w:jc w:val="both"/>
    </w:pPr>
    <w:rPr>
      <w:lang w:eastAsia="de-DE"/>
    </w:rPr>
  </w:style>
  <w:style w:type="paragraph" w:customStyle="1" w:styleId="PointDouble1">
    <w:name w:val="PointDouble 1"/>
    <w:basedOn w:val="Normal"/>
    <w:pPr>
      <w:tabs>
        <w:tab w:val="left" w:pos="1417"/>
      </w:tabs>
      <w:spacing w:before="120" w:after="120"/>
      <w:ind w:left="1984" w:hanging="1134"/>
      <w:jc w:val="both"/>
    </w:pPr>
    <w:rPr>
      <w:lang w:eastAsia="de-DE"/>
    </w:rPr>
  </w:style>
  <w:style w:type="paragraph" w:customStyle="1" w:styleId="PointDouble2">
    <w:name w:val="PointDouble 2"/>
    <w:basedOn w:val="Normal"/>
    <w:pPr>
      <w:tabs>
        <w:tab w:val="left" w:pos="1984"/>
      </w:tabs>
      <w:spacing w:before="120" w:after="120"/>
      <w:ind w:left="2551" w:hanging="1134"/>
      <w:jc w:val="both"/>
    </w:pPr>
    <w:rPr>
      <w:lang w:eastAsia="de-DE"/>
    </w:rPr>
  </w:style>
  <w:style w:type="paragraph" w:customStyle="1" w:styleId="PointDouble3">
    <w:name w:val="PointDouble 3"/>
    <w:basedOn w:val="Normal"/>
    <w:pPr>
      <w:tabs>
        <w:tab w:val="left" w:pos="2551"/>
      </w:tabs>
      <w:spacing w:before="120" w:after="120"/>
      <w:ind w:left="3118" w:hanging="1134"/>
      <w:jc w:val="both"/>
    </w:pPr>
    <w:rPr>
      <w:lang w:eastAsia="de-DE"/>
    </w:rPr>
  </w:style>
  <w:style w:type="paragraph" w:customStyle="1" w:styleId="PointDouble4">
    <w:name w:val="PointDouble 4"/>
    <w:basedOn w:val="Normal"/>
    <w:pPr>
      <w:tabs>
        <w:tab w:val="left" w:pos="3118"/>
      </w:tabs>
      <w:spacing w:before="120" w:after="120"/>
      <w:ind w:left="3685" w:hanging="1134"/>
      <w:jc w:val="both"/>
    </w:pPr>
    <w:rPr>
      <w:lang w:eastAsia="de-DE"/>
    </w:rPr>
  </w:style>
  <w:style w:type="paragraph" w:customStyle="1" w:styleId="PointTriple0">
    <w:name w:val="PointTriple 0"/>
    <w:basedOn w:val="Normal"/>
    <w:pPr>
      <w:tabs>
        <w:tab w:val="left" w:pos="850"/>
        <w:tab w:val="left" w:pos="1417"/>
      </w:tabs>
      <w:spacing w:before="120" w:after="120"/>
      <w:ind w:left="1984" w:hanging="1984"/>
      <w:jc w:val="both"/>
    </w:pPr>
    <w:rPr>
      <w:lang w:eastAsia="de-DE"/>
    </w:rPr>
  </w:style>
  <w:style w:type="paragraph" w:customStyle="1" w:styleId="PointTriple1">
    <w:name w:val="PointTriple 1"/>
    <w:basedOn w:val="Normal"/>
    <w:pPr>
      <w:tabs>
        <w:tab w:val="left" w:pos="1417"/>
        <w:tab w:val="left" w:pos="1984"/>
      </w:tabs>
      <w:spacing w:before="120" w:after="120"/>
      <w:ind w:left="2551" w:hanging="1701"/>
      <w:jc w:val="both"/>
    </w:pPr>
    <w:rPr>
      <w:lang w:eastAsia="de-DE"/>
    </w:rPr>
  </w:style>
  <w:style w:type="paragraph" w:customStyle="1" w:styleId="PointTriple2">
    <w:name w:val="PointTriple 2"/>
    <w:basedOn w:val="Normal"/>
    <w:pPr>
      <w:tabs>
        <w:tab w:val="left" w:pos="1984"/>
        <w:tab w:val="left" w:pos="2551"/>
      </w:tabs>
      <w:spacing w:before="120" w:after="120"/>
      <w:ind w:left="3118" w:hanging="1701"/>
      <w:jc w:val="both"/>
    </w:pPr>
    <w:rPr>
      <w:lang w:eastAsia="de-DE"/>
    </w:rPr>
  </w:style>
  <w:style w:type="paragraph" w:customStyle="1" w:styleId="PointTriple3">
    <w:name w:val="PointTriple 3"/>
    <w:basedOn w:val="Normal"/>
    <w:pPr>
      <w:tabs>
        <w:tab w:val="left" w:pos="2551"/>
        <w:tab w:val="left" w:pos="3118"/>
      </w:tabs>
      <w:spacing w:before="120" w:after="120"/>
      <w:ind w:left="3685" w:hanging="1701"/>
      <w:jc w:val="both"/>
    </w:pPr>
    <w:rPr>
      <w:lang w:eastAsia="de-DE"/>
    </w:rPr>
  </w:style>
  <w:style w:type="paragraph" w:customStyle="1" w:styleId="PointTriple4">
    <w:name w:val="PointTriple 4"/>
    <w:basedOn w:val="Normal"/>
    <w:pPr>
      <w:tabs>
        <w:tab w:val="left" w:pos="3118"/>
        <w:tab w:val="left" w:pos="3685"/>
      </w:tabs>
      <w:spacing w:before="120" w:after="120"/>
      <w:ind w:left="4252" w:hanging="1701"/>
      <w:jc w:val="both"/>
    </w:pPr>
    <w:rPr>
      <w:lang w:eastAsia="de-DE"/>
    </w:rPr>
  </w:style>
  <w:style w:type="paragraph" w:customStyle="1" w:styleId="NumPar1">
    <w:name w:val="NumPar 1"/>
    <w:basedOn w:val="Normal"/>
    <w:next w:val="Text1"/>
    <w:pPr>
      <w:numPr>
        <w:numId w:val="6"/>
      </w:numPr>
      <w:spacing w:before="120" w:after="120"/>
      <w:jc w:val="both"/>
    </w:pPr>
    <w:rPr>
      <w:lang w:eastAsia="de-DE"/>
    </w:rPr>
  </w:style>
  <w:style w:type="paragraph" w:customStyle="1" w:styleId="NumPar2">
    <w:name w:val="NumPar 2"/>
    <w:basedOn w:val="Normal"/>
    <w:next w:val="Text2"/>
    <w:pPr>
      <w:numPr>
        <w:ilvl w:val="1"/>
        <w:numId w:val="6"/>
      </w:numPr>
      <w:spacing w:before="120" w:after="120"/>
      <w:jc w:val="both"/>
    </w:pPr>
    <w:rPr>
      <w:lang w:eastAsia="de-DE"/>
    </w:rPr>
  </w:style>
  <w:style w:type="paragraph" w:customStyle="1" w:styleId="NumPar3">
    <w:name w:val="NumPar 3"/>
    <w:basedOn w:val="Normal"/>
    <w:next w:val="Text3"/>
    <w:pPr>
      <w:numPr>
        <w:ilvl w:val="2"/>
        <w:numId w:val="6"/>
      </w:numPr>
      <w:spacing w:before="120" w:after="120"/>
      <w:jc w:val="both"/>
    </w:pPr>
    <w:rPr>
      <w:lang w:eastAsia="de-DE"/>
    </w:rPr>
  </w:style>
  <w:style w:type="paragraph" w:customStyle="1" w:styleId="NumPar4">
    <w:name w:val="NumPar 4"/>
    <w:basedOn w:val="Normal"/>
    <w:next w:val="Text4"/>
    <w:pPr>
      <w:numPr>
        <w:ilvl w:val="3"/>
        <w:numId w:val="6"/>
      </w:numPr>
      <w:spacing w:before="120" w:after="120"/>
      <w:jc w:val="both"/>
    </w:pPr>
    <w:rPr>
      <w:lang w:eastAsia="de-DE"/>
    </w:rPr>
  </w:style>
  <w:style w:type="paragraph" w:customStyle="1" w:styleId="ManualNumPar1">
    <w:name w:val="Manual NumPar 1"/>
    <w:basedOn w:val="Normal"/>
    <w:next w:val="Text1"/>
    <w:pPr>
      <w:spacing w:before="120" w:after="120"/>
      <w:ind w:left="850" w:hanging="850"/>
      <w:jc w:val="both"/>
    </w:pPr>
    <w:rPr>
      <w:lang w:eastAsia="de-DE"/>
    </w:rPr>
  </w:style>
  <w:style w:type="paragraph" w:customStyle="1" w:styleId="ManualNumPar2">
    <w:name w:val="Manual NumPar 2"/>
    <w:basedOn w:val="Normal"/>
    <w:next w:val="Text2"/>
    <w:pPr>
      <w:spacing w:before="120" w:after="120"/>
      <w:ind w:left="850" w:hanging="850"/>
      <w:jc w:val="both"/>
    </w:pPr>
    <w:rPr>
      <w:lang w:eastAsia="de-DE"/>
    </w:rPr>
  </w:style>
  <w:style w:type="paragraph" w:customStyle="1" w:styleId="ManualNumPar3">
    <w:name w:val="Manual NumPar 3"/>
    <w:basedOn w:val="Normal"/>
    <w:next w:val="Text3"/>
    <w:pPr>
      <w:spacing w:before="120" w:after="120"/>
      <w:ind w:left="850" w:hanging="850"/>
      <w:jc w:val="both"/>
    </w:pPr>
    <w:rPr>
      <w:lang w:eastAsia="de-DE"/>
    </w:rPr>
  </w:style>
  <w:style w:type="paragraph" w:customStyle="1" w:styleId="ManualNumPar4">
    <w:name w:val="Manual NumPar 4"/>
    <w:basedOn w:val="Normal"/>
    <w:next w:val="Text4"/>
    <w:pPr>
      <w:spacing w:before="120" w:after="120"/>
      <w:ind w:left="850" w:hanging="850"/>
      <w:jc w:val="both"/>
    </w:pPr>
    <w:rPr>
      <w:lang w:eastAsia="de-DE"/>
    </w:rPr>
  </w:style>
  <w:style w:type="paragraph" w:customStyle="1" w:styleId="QuotedNumPar">
    <w:name w:val="Quoted NumPar"/>
    <w:basedOn w:val="Normal"/>
    <w:pPr>
      <w:spacing w:before="120" w:after="120"/>
      <w:ind w:left="1417" w:hanging="567"/>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lang w:eastAsia="de-DE"/>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lang w:eastAsia="de-DE"/>
    </w:rPr>
  </w:style>
  <w:style w:type="paragraph" w:customStyle="1" w:styleId="ManualHeading4">
    <w:name w:val="Manual Heading 4"/>
    <w:basedOn w:val="Normal"/>
    <w:next w:val="Text4"/>
    <w:pPr>
      <w:keepNext/>
      <w:tabs>
        <w:tab w:val="left" w:pos="850"/>
      </w:tabs>
      <w:spacing w:before="120" w:after="120"/>
      <w:ind w:left="850" w:hanging="850"/>
      <w:jc w:val="both"/>
      <w:outlineLvl w:val="3"/>
    </w:pPr>
    <w:rPr>
      <w:lang w:eastAsia="de-DE"/>
    </w:rPr>
  </w:style>
  <w:style w:type="paragraph" w:customStyle="1" w:styleId="ChapterTitle">
    <w:name w:val="ChapterTitle"/>
    <w:basedOn w:val="Normal"/>
    <w:next w:val="Normal"/>
    <w:pPr>
      <w:keepNext/>
      <w:spacing w:before="120" w:after="360"/>
      <w:jc w:val="center"/>
    </w:pPr>
    <w:rPr>
      <w:b/>
      <w:sz w:val="32"/>
      <w:lang w:eastAsia="de-DE"/>
    </w:rPr>
  </w:style>
  <w:style w:type="paragraph" w:customStyle="1" w:styleId="PartTitle">
    <w:name w:val="PartTitle"/>
    <w:basedOn w:val="Normal"/>
    <w:next w:val="ChapterTitle"/>
    <w:pPr>
      <w:keepNext/>
      <w:pageBreakBefore/>
      <w:spacing w:before="120" w:after="360"/>
      <w:jc w:val="center"/>
    </w:pPr>
    <w:rPr>
      <w:b/>
      <w:sz w:val="36"/>
      <w:lang w:eastAsia="de-DE"/>
    </w:rPr>
  </w:style>
  <w:style w:type="paragraph" w:customStyle="1" w:styleId="SectionTitle">
    <w:name w:val="SectionTitle"/>
    <w:basedOn w:val="Normal"/>
    <w:next w:val="Heading1"/>
    <w:pPr>
      <w:keepNext/>
      <w:spacing w:before="120" w:after="360"/>
      <w:jc w:val="center"/>
    </w:pPr>
    <w:rPr>
      <w:b/>
      <w:smallCaps/>
      <w:sz w:val="28"/>
      <w:lang w:eastAsia="de-DE"/>
    </w:rPr>
  </w:style>
  <w:style w:type="paragraph" w:customStyle="1" w:styleId="ListBullet1">
    <w:name w:val="List Bullet 1"/>
    <w:basedOn w:val="Normal"/>
    <w:pPr>
      <w:numPr>
        <w:numId w:val="9"/>
      </w:numPr>
      <w:spacing w:before="120" w:after="120"/>
      <w:jc w:val="both"/>
    </w:pPr>
    <w:rPr>
      <w:lang w:eastAsia="de-DE"/>
    </w:rPr>
  </w:style>
  <w:style w:type="paragraph" w:customStyle="1" w:styleId="ListDash">
    <w:name w:val="List Dash"/>
    <w:basedOn w:val="Normal"/>
    <w:pPr>
      <w:numPr>
        <w:numId w:val="13"/>
      </w:numPr>
      <w:spacing w:before="120" w:after="120"/>
      <w:jc w:val="both"/>
    </w:pPr>
    <w:rPr>
      <w:lang w:eastAsia="de-DE"/>
    </w:rPr>
  </w:style>
  <w:style w:type="paragraph" w:customStyle="1" w:styleId="ListDash1">
    <w:name w:val="List Dash 1"/>
    <w:basedOn w:val="Normal"/>
    <w:pPr>
      <w:numPr>
        <w:numId w:val="14"/>
      </w:numPr>
      <w:spacing w:before="120" w:after="120"/>
      <w:jc w:val="both"/>
    </w:pPr>
    <w:rPr>
      <w:lang w:eastAsia="de-DE"/>
    </w:rPr>
  </w:style>
  <w:style w:type="paragraph" w:customStyle="1" w:styleId="ListDash2">
    <w:name w:val="List Dash 2"/>
    <w:basedOn w:val="Normal"/>
    <w:pPr>
      <w:numPr>
        <w:numId w:val="15"/>
      </w:numPr>
      <w:spacing w:before="120" w:after="120"/>
      <w:jc w:val="both"/>
    </w:pPr>
    <w:rPr>
      <w:lang w:eastAsia="de-DE"/>
    </w:rPr>
  </w:style>
  <w:style w:type="paragraph" w:customStyle="1" w:styleId="ListDash3">
    <w:name w:val="List Dash 3"/>
    <w:basedOn w:val="Normal"/>
    <w:pPr>
      <w:numPr>
        <w:numId w:val="16"/>
      </w:numPr>
      <w:spacing w:before="120" w:after="120"/>
      <w:jc w:val="both"/>
    </w:pPr>
    <w:rPr>
      <w:lang w:eastAsia="de-DE"/>
    </w:rPr>
  </w:style>
  <w:style w:type="paragraph" w:customStyle="1" w:styleId="ListDash4">
    <w:name w:val="List Dash 4"/>
    <w:basedOn w:val="Normal"/>
    <w:pPr>
      <w:numPr>
        <w:numId w:val="17"/>
      </w:numPr>
      <w:spacing w:before="120" w:after="120"/>
      <w:jc w:val="both"/>
    </w:pPr>
    <w:rPr>
      <w:lang w:eastAsia="de-DE"/>
    </w:rPr>
  </w:style>
  <w:style w:type="paragraph" w:customStyle="1" w:styleId="ListNumber1">
    <w:name w:val="List Number 1"/>
    <w:basedOn w:val="Text1"/>
    <w:pPr>
      <w:tabs>
        <w:tab w:val="num" w:pos="1560"/>
      </w:tabs>
      <w:ind w:left="1560" w:hanging="709"/>
    </w:pPr>
  </w:style>
  <w:style w:type="paragraph" w:customStyle="1" w:styleId="ListNumberLevel2">
    <w:name w:val="List Number (Level 2)"/>
    <w:basedOn w:val="Normal"/>
    <w:pPr>
      <w:numPr>
        <w:ilvl w:val="1"/>
        <w:numId w:val="18"/>
      </w:numPr>
      <w:spacing w:before="120" w:after="120"/>
      <w:jc w:val="both"/>
    </w:pPr>
    <w:rPr>
      <w:lang w:eastAsia="de-DE"/>
    </w:rPr>
  </w:style>
  <w:style w:type="paragraph" w:customStyle="1" w:styleId="ListNumber1Level2">
    <w:name w:val="List Number 1 (Level 2)"/>
    <w:basedOn w:val="Text1"/>
    <w:pPr>
      <w:numPr>
        <w:ilvl w:val="1"/>
        <w:numId w:val="19"/>
      </w:numPr>
    </w:pPr>
  </w:style>
  <w:style w:type="paragraph" w:customStyle="1" w:styleId="ListNumber2Level2">
    <w:name w:val="List Number 2 (Level 2)"/>
    <w:basedOn w:val="Text2"/>
    <w:pPr>
      <w:numPr>
        <w:ilvl w:val="1"/>
        <w:numId w:val="20"/>
      </w:numPr>
    </w:pPr>
  </w:style>
  <w:style w:type="paragraph" w:customStyle="1" w:styleId="ListNumber3Level2">
    <w:name w:val="List Number 3 (Level 2)"/>
    <w:basedOn w:val="Text3"/>
    <w:pPr>
      <w:numPr>
        <w:ilvl w:val="1"/>
        <w:numId w:val="21"/>
      </w:numPr>
    </w:pPr>
  </w:style>
  <w:style w:type="paragraph" w:customStyle="1" w:styleId="ListNumber4Level2">
    <w:name w:val="List Number 4 (Level 2)"/>
    <w:basedOn w:val="Text4"/>
    <w:pPr>
      <w:numPr>
        <w:ilvl w:val="1"/>
        <w:numId w:val="22"/>
      </w:numPr>
    </w:pPr>
  </w:style>
  <w:style w:type="paragraph" w:customStyle="1" w:styleId="ListNumberLevel3">
    <w:name w:val="List Number (Level 3)"/>
    <w:basedOn w:val="Normal"/>
    <w:pPr>
      <w:numPr>
        <w:ilvl w:val="2"/>
        <w:numId w:val="18"/>
      </w:numPr>
      <w:spacing w:before="120" w:after="120"/>
      <w:jc w:val="both"/>
    </w:pPr>
    <w:rPr>
      <w:lang w:eastAsia="de-DE"/>
    </w:rPr>
  </w:style>
  <w:style w:type="paragraph" w:customStyle="1" w:styleId="ListNumber1Level3">
    <w:name w:val="List Number 1 (Level 3)"/>
    <w:basedOn w:val="Text1"/>
    <w:pPr>
      <w:numPr>
        <w:ilvl w:val="2"/>
        <w:numId w:val="19"/>
      </w:numPr>
    </w:pPr>
  </w:style>
  <w:style w:type="paragraph" w:customStyle="1" w:styleId="ListNumber2Level3">
    <w:name w:val="List Number 2 (Level 3)"/>
    <w:basedOn w:val="Text2"/>
    <w:pPr>
      <w:numPr>
        <w:ilvl w:val="2"/>
        <w:numId w:val="20"/>
      </w:numPr>
    </w:pPr>
  </w:style>
  <w:style w:type="paragraph" w:customStyle="1" w:styleId="ListNumber3Level3">
    <w:name w:val="List Number 3 (Level 3)"/>
    <w:basedOn w:val="Text3"/>
    <w:pPr>
      <w:numPr>
        <w:ilvl w:val="2"/>
        <w:numId w:val="21"/>
      </w:numPr>
    </w:pPr>
  </w:style>
  <w:style w:type="paragraph" w:customStyle="1" w:styleId="ListNumber4Level3">
    <w:name w:val="List Number 4 (Level 3)"/>
    <w:basedOn w:val="Text4"/>
    <w:pPr>
      <w:numPr>
        <w:ilvl w:val="2"/>
        <w:numId w:val="22"/>
      </w:numPr>
    </w:pPr>
  </w:style>
  <w:style w:type="paragraph" w:customStyle="1" w:styleId="ListNumberLevel4">
    <w:name w:val="List Number (Level 4)"/>
    <w:basedOn w:val="Normal"/>
    <w:pPr>
      <w:numPr>
        <w:ilvl w:val="3"/>
        <w:numId w:val="18"/>
      </w:numPr>
      <w:spacing w:before="120" w:after="120"/>
      <w:jc w:val="both"/>
    </w:pPr>
    <w:rPr>
      <w:lang w:eastAsia="de-DE"/>
    </w:rPr>
  </w:style>
  <w:style w:type="paragraph" w:customStyle="1" w:styleId="ListNumber1Level4">
    <w:name w:val="List Number 1 (Level 4)"/>
    <w:basedOn w:val="Text1"/>
    <w:pPr>
      <w:numPr>
        <w:ilvl w:val="3"/>
        <w:numId w:val="19"/>
      </w:numPr>
    </w:pPr>
  </w:style>
  <w:style w:type="paragraph" w:customStyle="1" w:styleId="ListNumber2Level4">
    <w:name w:val="List Number 2 (Level 4)"/>
    <w:basedOn w:val="Text2"/>
    <w:pPr>
      <w:numPr>
        <w:ilvl w:val="3"/>
        <w:numId w:val="20"/>
      </w:numPr>
    </w:pPr>
  </w:style>
  <w:style w:type="paragraph" w:customStyle="1" w:styleId="ListNumber3Level4">
    <w:name w:val="List Number 3 (Level 4)"/>
    <w:basedOn w:val="Text3"/>
    <w:pPr>
      <w:numPr>
        <w:ilvl w:val="3"/>
        <w:numId w:val="21"/>
      </w:numPr>
    </w:pPr>
  </w:style>
  <w:style w:type="paragraph" w:customStyle="1" w:styleId="ListNumber4Level4">
    <w:name w:val="List Number 4 (Level 4)"/>
    <w:basedOn w:val="Text4"/>
    <w:pPr>
      <w:numPr>
        <w:ilvl w:val="3"/>
        <w:numId w:val="22"/>
      </w:numPr>
    </w:pPr>
  </w:style>
  <w:style w:type="paragraph" w:customStyle="1" w:styleId="TableTitle">
    <w:name w:val="Table Title"/>
    <w:basedOn w:val="Normal"/>
    <w:next w:val="Normal"/>
    <w:pPr>
      <w:spacing w:before="120" w:after="120"/>
      <w:jc w:val="center"/>
    </w:pPr>
    <w:rPr>
      <w:b/>
      <w:lang w:eastAsia="de-DE"/>
    </w:rPr>
  </w:style>
  <w:style w:type="character" w:customStyle="1" w:styleId="Marker1">
    <w:name w:val="Marker1"/>
    <w:rPr>
      <w:color w:val="008000"/>
    </w:rPr>
  </w:style>
  <w:style w:type="character" w:customStyle="1" w:styleId="Marker2">
    <w:name w:val="Marker2"/>
    <w:rPr>
      <w:color w:val="FF0000"/>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Annexetitreacte">
    <w:name w:val="Annexe titre (acte)"/>
    <w:basedOn w:val="Normal"/>
    <w:next w:val="Normal"/>
    <w:pPr>
      <w:spacing w:before="120" w:after="120"/>
      <w:jc w:val="center"/>
    </w:pPr>
    <w:rPr>
      <w:b/>
      <w:u w:val="single"/>
      <w:lang w:eastAsia="de-DE"/>
    </w:rPr>
  </w:style>
  <w:style w:type="paragraph" w:customStyle="1" w:styleId="Annexetitreexposglobal">
    <w:name w:val="Annexe titre (exposé global)"/>
    <w:basedOn w:val="Normal"/>
    <w:next w:val="Normal"/>
    <w:pPr>
      <w:spacing w:before="120" w:after="120"/>
      <w:jc w:val="center"/>
    </w:pPr>
    <w:rPr>
      <w:b/>
      <w:u w:val="single"/>
      <w:lang w:eastAsia="de-DE"/>
    </w:rPr>
  </w:style>
  <w:style w:type="paragraph" w:customStyle="1" w:styleId="Annexetitreexpos">
    <w:name w:val="Annexe titre (exposé)"/>
    <w:basedOn w:val="Normal"/>
    <w:next w:val="Normal"/>
    <w:pPr>
      <w:spacing w:before="120" w:after="120"/>
      <w:jc w:val="center"/>
    </w:pPr>
    <w:rPr>
      <w:b/>
      <w:u w:val="single"/>
      <w:lang w:eastAsia="de-DE"/>
    </w:rPr>
  </w:style>
  <w:style w:type="paragraph" w:customStyle="1" w:styleId="Annexetitrefichefinacte">
    <w:name w:val="Annexe titre (fiche fin. acte)"/>
    <w:basedOn w:val="Normal"/>
    <w:next w:val="Normal"/>
    <w:pPr>
      <w:spacing w:before="120" w:after="120"/>
      <w:jc w:val="center"/>
    </w:pPr>
    <w:rPr>
      <w:b/>
      <w:u w:val="single"/>
      <w:lang w:eastAsia="de-DE"/>
    </w:rPr>
  </w:style>
  <w:style w:type="paragraph" w:customStyle="1" w:styleId="Annexetitrefichefinglobale">
    <w:name w:val="Annexe titre (fiche fin. globale)"/>
    <w:basedOn w:val="Normal"/>
    <w:next w:val="Normal"/>
    <w:pPr>
      <w:spacing w:before="120" w:after="120"/>
      <w:jc w:val="center"/>
    </w:pPr>
    <w:rPr>
      <w:b/>
      <w:u w:val="single"/>
      <w:lang w:eastAsia="de-DE"/>
    </w:rPr>
  </w:style>
  <w:style w:type="paragraph" w:customStyle="1" w:styleId="Annexetitreglobale">
    <w:name w:val="Annexe titre (globale)"/>
    <w:basedOn w:val="Normal"/>
    <w:next w:val="Normal"/>
    <w:pPr>
      <w:spacing w:before="120" w:after="120"/>
      <w:jc w:val="center"/>
    </w:pPr>
    <w:rPr>
      <w:b/>
      <w:u w:val="single"/>
      <w:lang w:eastAsia="de-DE"/>
    </w:rPr>
  </w:style>
  <w:style w:type="paragraph" w:customStyle="1" w:styleId="Applicationdirecte">
    <w:name w:val="Application directe"/>
    <w:basedOn w:val="Normal"/>
    <w:next w:val="Fait"/>
    <w:pPr>
      <w:spacing w:before="480" w:after="120"/>
      <w:jc w:val="both"/>
    </w:pPr>
    <w:rPr>
      <w:lang w:eastAsia="de-DE"/>
    </w:rPr>
  </w:style>
  <w:style w:type="paragraph" w:customStyle="1" w:styleId="Fait">
    <w:name w:val="Fait à"/>
    <w:basedOn w:val="Normal"/>
    <w:next w:val="Institutionquisigne"/>
    <w:pPr>
      <w:keepNext/>
      <w:spacing w:before="120"/>
      <w:jc w:val="both"/>
    </w:pPr>
    <w:rPr>
      <w:lang w:eastAsia="de-DE"/>
    </w:rPr>
  </w:style>
  <w:style w:type="paragraph" w:customStyle="1" w:styleId="Institutionquisigne">
    <w:name w:val="Institution qui signe"/>
    <w:basedOn w:val="Normal"/>
    <w:next w:val="Personnequisigne"/>
    <w:pPr>
      <w:keepNext/>
      <w:tabs>
        <w:tab w:val="left" w:pos="4252"/>
      </w:tabs>
      <w:spacing w:before="720"/>
      <w:jc w:val="both"/>
    </w:pPr>
    <w:rPr>
      <w:i/>
      <w:lang w:eastAsia="de-DE"/>
    </w:rPr>
  </w:style>
  <w:style w:type="paragraph" w:customStyle="1" w:styleId="Personnequisigne">
    <w:name w:val="Personne qui signe"/>
    <w:basedOn w:val="Normal"/>
    <w:next w:val="Institutionquisigne"/>
    <w:pPr>
      <w:tabs>
        <w:tab w:val="left" w:pos="4252"/>
      </w:tabs>
    </w:pPr>
    <w:rPr>
      <w:i/>
      <w:lang w:eastAsia="de-DE"/>
    </w:rPr>
  </w:style>
  <w:style w:type="paragraph" w:customStyle="1" w:styleId="Avertissementtitre">
    <w:name w:val="Avertissement titre"/>
    <w:basedOn w:val="Normal"/>
    <w:next w:val="Normal"/>
    <w:pPr>
      <w:keepNext/>
      <w:spacing w:before="480" w:after="120"/>
      <w:jc w:val="both"/>
    </w:pPr>
    <w:rPr>
      <w:u w:val="single"/>
      <w:lang w:eastAsia="de-DE"/>
    </w:rPr>
  </w:style>
  <w:style w:type="paragraph" w:customStyle="1" w:styleId="Confidence">
    <w:name w:val="Confidence"/>
    <w:basedOn w:val="Normal"/>
    <w:next w:val="Normal"/>
    <w:pPr>
      <w:spacing w:before="360" w:after="120"/>
      <w:jc w:val="center"/>
    </w:pPr>
    <w:rPr>
      <w:lang w:eastAsia="de-DE"/>
    </w:rPr>
  </w:style>
  <w:style w:type="paragraph" w:customStyle="1" w:styleId="Confidentialit">
    <w:name w:val="Confidentialité"/>
    <w:basedOn w:val="Normal"/>
    <w:next w:val="Statut"/>
    <w:pPr>
      <w:spacing w:before="240" w:after="240"/>
      <w:ind w:left="5103"/>
      <w:jc w:val="both"/>
    </w:pPr>
    <w:rPr>
      <w:u w:val="single"/>
      <w:lang w:eastAsia="de-DE"/>
    </w:rPr>
  </w:style>
  <w:style w:type="paragraph" w:customStyle="1" w:styleId="Statut">
    <w:name w:val="Statut"/>
    <w:basedOn w:val="Normal"/>
    <w:next w:val="Typedudocument"/>
    <w:pPr>
      <w:spacing w:before="360"/>
      <w:jc w:val="center"/>
    </w:pPr>
    <w:rPr>
      <w:lang w:eastAsia="de-DE"/>
    </w:rPr>
  </w:style>
  <w:style w:type="paragraph" w:customStyle="1" w:styleId="Typedudocument">
    <w:name w:val="Type du document"/>
    <w:basedOn w:val="Normal"/>
    <w:next w:val="Datedadoption"/>
    <w:pPr>
      <w:spacing w:before="360"/>
      <w:jc w:val="center"/>
    </w:pPr>
    <w:rPr>
      <w:b/>
      <w:lang w:eastAsia="de-DE"/>
    </w:rPr>
  </w:style>
  <w:style w:type="paragraph" w:customStyle="1" w:styleId="Datedadoption">
    <w:name w:val="Date d'adoption"/>
    <w:basedOn w:val="Normal"/>
    <w:next w:val="Titreobjet"/>
    <w:pPr>
      <w:spacing w:before="360"/>
      <w:jc w:val="center"/>
    </w:pPr>
    <w:rPr>
      <w:b/>
      <w:lang w:eastAsia="de-DE"/>
    </w:rPr>
  </w:style>
  <w:style w:type="paragraph" w:customStyle="1" w:styleId="Titreobjet">
    <w:name w:val="Titre objet"/>
    <w:basedOn w:val="Normal"/>
    <w:next w:val="Sous-titreobjet"/>
    <w:pPr>
      <w:spacing w:before="360" w:after="360"/>
      <w:jc w:val="center"/>
    </w:pPr>
    <w:rPr>
      <w:b/>
      <w:lang w:eastAsia="de-DE"/>
    </w:rPr>
  </w:style>
  <w:style w:type="paragraph" w:customStyle="1" w:styleId="Sous-titreobjet">
    <w:name w:val="Sous-titre objet"/>
    <w:basedOn w:val="Normal"/>
    <w:pPr>
      <w:jc w:val="center"/>
    </w:pPr>
    <w:rPr>
      <w:b/>
      <w:lang w:eastAsia="de-DE"/>
    </w:rPr>
  </w:style>
  <w:style w:type="paragraph" w:customStyle="1" w:styleId="Considrant">
    <w:name w:val="Considérant"/>
    <w:basedOn w:val="Normal"/>
    <w:pPr>
      <w:numPr>
        <w:numId w:val="23"/>
      </w:numPr>
      <w:spacing w:before="120" w:after="120"/>
      <w:jc w:val="both"/>
    </w:pPr>
    <w:rPr>
      <w:lang w:eastAsia="de-DE"/>
    </w:rPr>
  </w:style>
  <w:style w:type="paragraph" w:customStyle="1" w:styleId="Corrigendum">
    <w:name w:val="Corrigendum"/>
    <w:basedOn w:val="Normal"/>
    <w:next w:val="Normal"/>
    <w:pPr>
      <w:spacing w:after="240"/>
    </w:pPr>
    <w:rPr>
      <w:lang w:eastAsia="de-DE"/>
    </w:rPr>
  </w:style>
  <w:style w:type="paragraph" w:customStyle="1" w:styleId="Emission">
    <w:name w:val="Emission"/>
    <w:basedOn w:val="Normal"/>
    <w:next w:val="Rfrenceinstitutionelle"/>
    <w:pPr>
      <w:ind w:left="5103"/>
    </w:pPr>
    <w:rPr>
      <w:lang w:eastAsia="de-DE"/>
    </w:rPr>
  </w:style>
  <w:style w:type="paragraph" w:customStyle="1" w:styleId="Rfrenceinstitutionelle">
    <w:name w:val="Référence institutionelle"/>
    <w:basedOn w:val="Normal"/>
    <w:next w:val="Statut"/>
    <w:pPr>
      <w:spacing w:after="240"/>
      <w:ind w:left="5103"/>
    </w:pPr>
    <w:rPr>
      <w:lang w:eastAsia="de-DE"/>
    </w:rPr>
  </w:style>
  <w:style w:type="paragraph" w:customStyle="1" w:styleId="Exposdesmotifstitre">
    <w:name w:val="Exposé des motifs titre"/>
    <w:basedOn w:val="Normal"/>
    <w:next w:val="Normal"/>
    <w:pPr>
      <w:spacing w:before="120" w:after="120"/>
      <w:jc w:val="center"/>
    </w:pPr>
    <w:rPr>
      <w:b/>
      <w:u w:val="single"/>
      <w:lang w:eastAsia="de-DE"/>
    </w:rPr>
  </w:style>
  <w:style w:type="paragraph" w:customStyle="1" w:styleId="Exposdesmotifstitreglobal">
    <w:name w:val="Exposé des motifs titre (global)"/>
    <w:basedOn w:val="Normal"/>
    <w:next w:val="Normal"/>
    <w:pPr>
      <w:spacing w:before="120" w:after="120"/>
      <w:jc w:val="center"/>
    </w:pPr>
    <w:rPr>
      <w:b/>
      <w:u w:val="single"/>
      <w:lang w:eastAsia="de-DE"/>
    </w:rPr>
  </w:style>
  <w:style w:type="paragraph" w:customStyle="1" w:styleId="Formuledadoption">
    <w:name w:val="Formule d'adoption"/>
    <w:basedOn w:val="Normal"/>
    <w:next w:val="Titrearticle"/>
    <w:pPr>
      <w:keepNext/>
      <w:spacing w:before="120" w:after="120"/>
      <w:jc w:val="both"/>
    </w:pPr>
    <w:rPr>
      <w:lang w:eastAsia="de-DE"/>
    </w:rPr>
  </w:style>
  <w:style w:type="paragraph" w:customStyle="1" w:styleId="Titrearticle">
    <w:name w:val="Titre article"/>
    <w:basedOn w:val="Normal"/>
    <w:next w:val="Normal"/>
    <w:pPr>
      <w:keepNext/>
      <w:spacing w:before="360" w:after="120"/>
      <w:jc w:val="center"/>
    </w:pPr>
    <w:rPr>
      <w:i/>
      <w:lang w:eastAsia="de-DE"/>
    </w:rPr>
  </w:style>
  <w:style w:type="paragraph" w:customStyle="1" w:styleId="Institutionquiagit">
    <w:name w:val="Institution qui agit"/>
    <w:basedOn w:val="Normal"/>
    <w:next w:val="Normal"/>
    <w:pPr>
      <w:keepNext/>
      <w:spacing w:before="600" w:after="120"/>
      <w:jc w:val="both"/>
    </w:pPr>
    <w:rPr>
      <w:lang w:eastAsia="de-DE"/>
    </w:rPr>
  </w:style>
  <w:style w:type="paragraph" w:customStyle="1" w:styleId="Langue">
    <w:name w:val="Langue"/>
    <w:basedOn w:val="Normal"/>
    <w:next w:val="Rfrenceinterne"/>
    <w:pPr>
      <w:spacing w:after="600"/>
      <w:jc w:val="center"/>
    </w:pPr>
    <w:rPr>
      <w:b/>
      <w:caps/>
      <w:lang w:eastAsia="de-DE"/>
    </w:rPr>
  </w:style>
  <w:style w:type="paragraph" w:customStyle="1" w:styleId="Rfrenceinterne">
    <w:name w:val="Référence interne"/>
    <w:basedOn w:val="Normal"/>
    <w:next w:val="Nomdelinstitution"/>
    <w:pPr>
      <w:spacing w:after="600"/>
      <w:jc w:val="center"/>
    </w:pPr>
    <w:rPr>
      <w:b/>
      <w:lang w:eastAsia="de-DE"/>
    </w:rPr>
  </w:style>
  <w:style w:type="paragraph" w:customStyle="1" w:styleId="Nomdelinstitution">
    <w:name w:val="Nom de l'institution"/>
    <w:basedOn w:val="Normal"/>
    <w:next w:val="Emission"/>
    <w:rPr>
      <w:rFonts w:ascii="Arial" w:hAnsi="Arial" w:cs="Arial"/>
      <w:lang w:eastAsia="de-DE"/>
    </w:rPr>
  </w:style>
  <w:style w:type="paragraph" w:customStyle="1" w:styleId="Langueoriginale">
    <w:name w:val="Langue originale"/>
    <w:basedOn w:val="Normal"/>
    <w:next w:val="Phrasefinale"/>
    <w:pPr>
      <w:spacing w:before="360" w:after="120"/>
      <w:jc w:val="center"/>
    </w:pPr>
    <w:rPr>
      <w:caps/>
      <w:lang w:eastAsia="de-DE"/>
    </w:rPr>
  </w:style>
  <w:style w:type="paragraph" w:customStyle="1" w:styleId="Phrasefinale">
    <w:name w:val="Phrase finale"/>
    <w:basedOn w:val="Normal"/>
    <w:next w:val="Normal"/>
    <w:pPr>
      <w:spacing w:before="360"/>
      <w:jc w:val="center"/>
    </w:pPr>
    <w:rPr>
      <w:lang w:eastAsia="de-DE"/>
    </w:rPr>
  </w:style>
  <w:style w:type="paragraph" w:customStyle="1" w:styleId="ManualConsidrant">
    <w:name w:val="Manual Considérant"/>
    <w:basedOn w:val="Normal"/>
    <w:pPr>
      <w:spacing w:before="120" w:after="120"/>
      <w:ind w:left="709" w:hanging="709"/>
      <w:jc w:val="both"/>
    </w:pPr>
    <w:rPr>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paragraph" w:customStyle="1" w:styleId="Rfrenceinterinstitutionelle">
    <w:name w:val="Référence interinstitutionelle"/>
    <w:basedOn w:val="Normal"/>
    <w:next w:val="Statut"/>
    <w:pPr>
      <w:ind w:left="5103"/>
    </w:pPr>
    <w:rPr>
      <w:lang w:eastAsia="de-DE"/>
    </w:rPr>
  </w:style>
  <w:style w:type="paragraph" w:customStyle="1" w:styleId="Rfrenceinterinstitutionelleprliminaire">
    <w:name w:val="Référence interinstitutionelle (préliminaire)"/>
    <w:basedOn w:val="Normal"/>
    <w:next w:val="Normal"/>
    <w:pPr>
      <w:ind w:left="5103"/>
    </w:pPr>
    <w:rPr>
      <w:lang w:eastAsia="de-DE"/>
    </w:rPr>
  </w:style>
  <w:style w:type="paragraph" w:customStyle="1" w:styleId="Sous-titreobjetprliminaire">
    <w:name w:val="Sous-titre objet (préliminaire)"/>
    <w:basedOn w:val="Normal"/>
    <w:pPr>
      <w:jc w:val="center"/>
    </w:pPr>
    <w:rPr>
      <w:b/>
      <w:lang w:eastAsia="de-DE"/>
    </w:rPr>
  </w:style>
  <w:style w:type="paragraph" w:customStyle="1" w:styleId="Statutprliminaire">
    <w:name w:val="Statut (préliminaire)"/>
    <w:basedOn w:val="Normal"/>
    <w:next w:val="Normal"/>
    <w:pPr>
      <w:spacing w:before="36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jc w:val="center"/>
    </w:pPr>
    <w:rPr>
      <w:b/>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spacing w:before="120" w:after="120" w:line="360" w:lineRule="auto"/>
      <w:ind w:left="3402"/>
    </w:pPr>
    <w:rPr>
      <w:lang w:eastAsia="de-DE"/>
    </w:rPr>
  </w:style>
  <w:style w:type="paragraph" w:customStyle="1" w:styleId="Fichefinancirestandardtitre">
    <w:name w:val="Fiche financière (standard) titre"/>
    <w:basedOn w:val="Normal"/>
    <w:next w:val="Normal"/>
    <w:pPr>
      <w:spacing w:before="120" w:after="120"/>
      <w:jc w:val="center"/>
    </w:pPr>
    <w:rPr>
      <w:b/>
      <w:u w:val="single"/>
      <w:lang w:eastAsia="de-DE"/>
    </w:rPr>
  </w:style>
  <w:style w:type="paragraph" w:customStyle="1" w:styleId="Fichefinancirestandardtitreacte">
    <w:name w:val="Fiche financière (standard) titre (acte)"/>
    <w:basedOn w:val="Normal"/>
    <w:next w:val="Normal"/>
    <w:pPr>
      <w:spacing w:before="120" w:after="120"/>
      <w:jc w:val="center"/>
    </w:pPr>
    <w:rPr>
      <w:b/>
      <w:u w:val="single"/>
      <w:lang w:eastAsia="de-DE"/>
    </w:rPr>
  </w:style>
  <w:style w:type="paragraph" w:customStyle="1" w:styleId="Fichefinanciretravailtitre">
    <w:name w:val="Fiche financière (travail) titre"/>
    <w:basedOn w:val="Normal"/>
    <w:next w:val="Normal"/>
    <w:pPr>
      <w:spacing w:before="120" w:after="120"/>
      <w:jc w:val="center"/>
    </w:pPr>
    <w:rPr>
      <w:b/>
      <w:u w:val="single"/>
      <w:lang w:eastAsia="de-DE"/>
    </w:rPr>
  </w:style>
  <w:style w:type="paragraph" w:customStyle="1" w:styleId="Fichefinanciretravailtitreacte">
    <w:name w:val="Fiche financière (travail) titre (acte)"/>
    <w:basedOn w:val="Normal"/>
    <w:next w:val="Normal"/>
    <w:pPr>
      <w:spacing w:before="120" w:after="120"/>
      <w:jc w:val="center"/>
    </w:pPr>
    <w:rPr>
      <w:b/>
      <w:u w:val="single"/>
      <w:lang w:eastAsia="de-DE"/>
    </w:rPr>
  </w:style>
  <w:style w:type="paragraph" w:customStyle="1" w:styleId="Fichefinancireattributiontitre">
    <w:name w:val="Fiche financière (attribution) titre"/>
    <w:basedOn w:val="Normal"/>
    <w:next w:val="Normal"/>
    <w:pPr>
      <w:spacing w:before="120" w:after="120"/>
      <w:jc w:val="center"/>
    </w:pPr>
    <w:rPr>
      <w:b/>
      <w:u w:val="single"/>
      <w:lang w:eastAsia="de-DE"/>
    </w:rPr>
  </w:style>
  <w:style w:type="paragraph" w:customStyle="1" w:styleId="Fichefinancireattributiontitreacte">
    <w:name w:val="Fiche financière (attribution) titre (acte)"/>
    <w:basedOn w:val="Normal"/>
    <w:next w:val="Normal"/>
    <w:pPr>
      <w:spacing w:before="120" w:after="120"/>
      <w:jc w:val="center"/>
    </w:pPr>
    <w:rPr>
      <w:b/>
      <w:u w:val="single"/>
      <w:lang w:eastAsia="de-DE"/>
    </w:rPr>
  </w:style>
  <w:style w:type="paragraph" w:customStyle="1" w:styleId="Objetexterne">
    <w:name w:val="Objet externe"/>
    <w:basedOn w:val="Normal"/>
    <w:next w:val="Normal"/>
    <w:pPr>
      <w:spacing w:before="120" w:after="120"/>
      <w:jc w:val="both"/>
    </w:pPr>
    <w:rPr>
      <w:i/>
      <w:caps/>
      <w:lang w:eastAsia="de-DE"/>
    </w:rPr>
  </w:style>
  <w:style w:type="paragraph" w:customStyle="1" w:styleId="FichedimpactPMEtitre">
    <w:name w:val="Fiche d'impact PME titre"/>
    <w:basedOn w:val="Normal"/>
    <w:next w:val="Normal"/>
    <w:pPr>
      <w:spacing w:before="120" w:after="120"/>
      <w:jc w:val="center"/>
    </w:pPr>
    <w:rPr>
      <w:rFonts w:ascii="Arial" w:hAnsi="Arial"/>
      <w:b/>
      <w:szCs w:val="20"/>
      <w:lang w:eastAsia="en-US"/>
    </w:rPr>
  </w:style>
  <w:style w:type="paragraph" w:customStyle="1" w:styleId="Fichefinanciretextetable">
    <w:name w:val="Fiche financière texte (table)"/>
    <w:basedOn w:val="Normal"/>
    <w:rPr>
      <w:rFonts w:ascii="Arial" w:hAnsi="Arial"/>
      <w:sz w:val="20"/>
      <w:szCs w:val="20"/>
      <w:lang w:eastAsia="en-US"/>
    </w:rPr>
  </w:style>
  <w:style w:type="paragraph" w:customStyle="1" w:styleId="Fichefinanciretitre">
    <w:name w:val="Fiche financière titre"/>
    <w:basedOn w:val="Normal"/>
    <w:next w:val="Normal"/>
    <w:pPr>
      <w:spacing w:before="120" w:after="120"/>
      <w:jc w:val="center"/>
    </w:pPr>
    <w:rPr>
      <w:rFonts w:ascii="Arial" w:hAnsi="Arial"/>
      <w:b/>
      <w:szCs w:val="20"/>
      <w:u w:val="single"/>
      <w:lang w:eastAsia="en-US"/>
    </w:rPr>
  </w:style>
  <w:style w:type="paragraph" w:customStyle="1" w:styleId="Fichefinanciretitreactetable">
    <w:name w:val="Fiche financière titre (acte table)"/>
    <w:basedOn w:val="Normal"/>
    <w:next w:val="Normal"/>
    <w:pPr>
      <w:spacing w:before="120" w:after="120"/>
      <w:jc w:val="center"/>
    </w:pPr>
    <w:rPr>
      <w:rFonts w:ascii="Arial" w:hAnsi="Arial"/>
      <w:b/>
      <w:sz w:val="40"/>
      <w:szCs w:val="20"/>
      <w:lang w:eastAsia="en-US"/>
    </w:rPr>
  </w:style>
  <w:style w:type="paragraph" w:customStyle="1" w:styleId="Fichefinanciretitreacte">
    <w:name w:val="Fiche financière titre (acte)"/>
    <w:basedOn w:val="Normal"/>
    <w:next w:val="Normal"/>
    <w:pPr>
      <w:spacing w:before="120" w:after="120"/>
      <w:jc w:val="center"/>
    </w:pPr>
    <w:rPr>
      <w:rFonts w:ascii="Arial" w:hAnsi="Arial"/>
      <w:b/>
      <w:szCs w:val="20"/>
      <w:u w:val="single"/>
      <w:lang w:eastAsia="en-US"/>
    </w:rPr>
  </w:style>
  <w:style w:type="paragraph" w:customStyle="1" w:styleId="Fichefinanciretitretable">
    <w:name w:val="Fiche financière titre (table)"/>
    <w:basedOn w:val="Normal"/>
    <w:pPr>
      <w:spacing w:before="120" w:after="120"/>
      <w:jc w:val="center"/>
    </w:pPr>
    <w:rPr>
      <w:rFonts w:ascii="Arial" w:hAnsi="Arial"/>
      <w:b/>
      <w:sz w:val="40"/>
      <w:szCs w:val="20"/>
      <w:lang w:eastAsia="en-US"/>
    </w:rPr>
  </w:style>
  <w:style w:type="character" w:styleId="Hyperlink">
    <w:name w:val="Hyperlink"/>
    <w:uiPriority w:val="99"/>
    <w:rPr>
      <w:rFonts w:cs="Times New Roman"/>
      <w:color w:val="0000FF"/>
      <w:u w:val="single"/>
    </w:rPr>
  </w:style>
  <w:style w:type="paragraph" w:customStyle="1" w:styleId="xl24">
    <w:name w:val="xl24"/>
    <w:basedOn w:val="Normal"/>
    <w:pPr>
      <w:spacing w:before="100" w:beforeAutospacing="1" w:after="100" w:afterAutospacing="1"/>
    </w:pPr>
    <w:rPr>
      <w:rFonts w:ascii="Arial" w:eastAsia="Arial Unicode MS" w:hAnsi="Arial" w:cs="Arial"/>
      <w:lang w:val="en-US" w:eastAsia="en-US"/>
    </w:rPr>
  </w:style>
  <w:style w:type="paragraph" w:customStyle="1" w:styleId="Style1">
    <w:name w:val="Style1"/>
    <w:basedOn w:val="Normal"/>
    <w:autoRedefine/>
    <w:pPr>
      <w:spacing w:before="120" w:after="120"/>
      <w:jc w:val="both"/>
    </w:pPr>
    <w:rPr>
      <w:rFonts w:ascii="Arial" w:hAnsi="Arial"/>
      <w:szCs w:val="20"/>
      <w:lang w:eastAsia="en-US"/>
    </w:rPr>
  </w:style>
  <w:style w:type="paragraph" w:styleId="BodyText">
    <w:name w:val="Body Text"/>
    <w:basedOn w:val="Normal"/>
    <w:link w:val="BodyTextChar"/>
    <w:pPr>
      <w:snapToGrid w:val="0"/>
      <w:spacing w:after="260" w:line="260" w:lineRule="atLeast"/>
      <w:jc w:val="both"/>
    </w:pPr>
    <w:rPr>
      <w:sz w:val="22"/>
      <w:szCs w:val="22"/>
    </w:rPr>
  </w:style>
  <w:style w:type="paragraph" w:styleId="BodyText2">
    <w:name w:val="Body Text 2"/>
    <w:basedOn w:val="Normal"/>
    <w:link w:val="BodyText2Char"/>
    <w:pPr>
      <w:spacing w:after="120" w:line="240" w:lineRule="atLeast"/>
    </w:pPr>
    <w:rPr>
      <w:rFonts w:ascii="Arial" w:hAnsi="Arial"/>
      <w:sz w:val="22"/>
      <w:szCs w:val="20"/>
      <w:lang w:eastAsia="en-US"/>
    </w:rPr>
  </w:style>
  <w:style w:type="paragraph" w:styleId="BodyText3">
    <w:name w:val="Body Text 3"/>
    <w:basedOn w:val="Normal"/>
    <w:link w:val="BodyText3Char"/>
    <w:pPr>
      <w:tabs>
        <w:tab w:val="left" w:pos="11340"/>
      </w:tabs>
      <w:spacing w:after="120" w:line="240" w:lineRule="atLeast"/>
    </w:pPr>
    <w:rPr>
      <w:rFonts w:ascii="Arial" w:hAnsi="Arial"/>
      <w:b/>
      <w:szCs w:val="20"/>
      <w:u w:val="single"/>
      <w:lang w:eastAsia="en-US"/>
    </w:rPr>
  </w:style>
  <w:style w:type="character" w:styleId="PageNumber">
    <w:name w:val="page number"/>
    <w:rPr>
      <w:rFonts w:cs="Times New Roman"/>
    </w:rPr>
  </w:style>
  <w:style w:type="paragraph" w:styleId="Title">
    <w:name w:val="Title"/>
    <w:basedOn w:val="Normal"/>
    <w:link w:val="TitleChar"/>
    <w:qFormat/>
    <w:pPr>
      <w:spacing w:after="120" w:line="240" w:lineRule="atLeast"/>
      <w:jc w:val="center"/>
    </w:pPr>
    <w:rPr>
      <w:rFonts w:ascii="Comic Sans MS" w:hAnsi="Comic Sans MS"/>
      <w:b/>
      <w:szCs w:val="20"/>
      <w:lang w:eastAsia="en-US"/>
    </w:rPr>
  </w:style>
  <w:style w:type="paragraph" w:customStyle="1" w:styleId="Left">
    <w:name w:val="Left"/>
    <w:basedOn w:val="Normal"/>
    <w:pPr>
      <w:spacing w:before="240" w:after="120" w:line="240" w:lineRule="atLeast"/>
    </w:pPr>
    <w:rPr>
      <w:rFonts w:ascii="Arial" w:hAnsi="Arial"/>
      <w:sz w:val="22"/>
      <w:szCs w:val="20"/>
      <w:lang w:eastAsia="en-US"/>
    </w:rPr>
  </w:style>
  <w:style w:type="paragraph" w:customStyle="1" w:styleId="Notes8">
    <w:name w:val="Notes 8"/>
    <w:basedOn w:val="Normal"/>
    <w:pPr>
      <w:jc w:val="both"/>
    </w:pPr>
    <w:rPr>
      <w:rFonts w:ascii="Arial" w:hAnsi="Arial"/>
      <w:sz w:val="16"/>
      <w:szCs w:val="20"/>
      <w:lang w:eastAsia="en-US"/>
    </w:rPr>
  </w:style>
  <w:style w:type="paragraph" w:customStyle="1" w:styleId="xl25">
    <w:name w:val="xl25"/>
    <w:basedOn w:val="Normal"/>
    <w:pPr>
      <w:spacing w:before="100" w:beforeAutospacing="1" w:after="100" w:afterAutospacing="1"/>
    </w:pPr>
    <w:rPr>
      <w:rFonts w:ascii="Arial" w:eastAsia="Arial Unicode MS" w:hAnsi="Arial" w:cs="Arial"/>
      <w:b/>
      <w:bCs/>
      <w:lang w:val="en-US" w:eastAsia="en-US"/>
    </w:rPr>
  </w:style>
  <w:style w:type="paragraph" w:customStyle="1" w:styleId="xl26">
    <w:name w:val="xl26"/>
    <w:basedOn w:val="Normal"/>
    <w:pPr>
      <w:spacing w:before="100" w:beforeAutospacing="1" w:after="100" w:afterAutospacing="1"/>
    </w:pPr>
    <w:rPr>
      <w:rFonts w:ascii="Arial" w:eastAsia="Arial Unicode MS" w:hAnsi="Arial" w:cs="Arial"/>
      <w:u w:val="single"/>
      <w:lang w:val="en-US" w:eastAsia="en-US"/>
    </w:rPr>
  </w:style>
  <w:style w:type="paragraph" w:customStyle="1" w:styleId="xl27">
    <w:name w:val="xl27"/>
    <w:basedOn w:val="Normal"/>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28">
    <w:name w:val="xl28"/>
    <w:basedOn w:val="Normal"/>
    <w:pPr>
      <w:pBdr>
        <w:top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n-US" w:eastAsia="en-US"/>
    </w:rPr>
  </w:style>
  <w:style w:type="paragraph" w:customStyle="1" w:styleId="xl29">
    <w:name w:val="xl29"/>
    <w:basedOn w:val="Normal"/>
    <w:pPr>
      <w:pBdr>
        <w:top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0">
    <w:name w:val="xl30"/>
    <w:basedOn w:val="Normal"/>
    <w:pPr>
      <w:pBdr>
        <w:top w:val="single" w:sz="8" w:space="0" w:color="auto"/>
        <w:bottom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1">
    <w:name w:val="xl31"/>
    <w:basedOn w:val="Normal"/>
    <w:pPr>
      <w:pBdr>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2">
    <w:name w:val="xl32"/>
    <w:basedOn w:val="Normal"/>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33">
    <w:name w:val="xl33"/>
    <w:basedOn w:val="Normal"/>
    <w:pPr>
      <w:pBdr>
        <w:right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34">
    <w:name w:val="xl34"/>
    <w:basedOn w:val="Normal"/>
    <w:pPr>
      <w:pBdr>
        <w:bottom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5">
    <w:name w:val="xl35"/>
    <w:basedOn w:val="Normal"/>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Arial" w:eastAsia="Arial Unicode MS" w:hAnsi="Arial" w:cs="Arial"/>
      <w:lang w:val="en-US" w:eastAsia="en-US"/>
    </w:rPr>
  </w:style>
  <w:style w:type="paragraph" w:customStyle="1" w:styleId="xl36">
    <w:name w:val="xl36"/>
    <w:basedOn w:val="Normal"/>
    <w:pPr>
      <w:pBdr>
        <w:left w:val="single" w:sz="8" w:space="0" w:color="auto"/>
      </w:pBdr>
      <w:shd w:val="clear" w:color="auto" w:fill="FFFFFF"/>
      <w:spacing w:before="100" w:beforeAutospacing="1" w:after="100" w:afterAutospacing="1"/>
      <w:jc w:val="both"/>
    </w:pPr>
    <w:rPr>
      <w:rFonts w:ascii="Arial" w:eastAsia="Arial Unicode MS" w:hAnsi="Arial" w:cs="Arial"/>
      <w:lang w:val="en-US" w:eastAsia="en-US"/>
    </w:rPr>
  </w:style>
  <w:style w:type="paragraph" w:customStyle="1" w:styleId="xl37">
    <w:name w:val="xl37"/>
    <w:basedOn w:val="Normal"/>
    <w:pPr>
      <w:pBdr>
        <w:left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38">
    <w:name w:val="xl38"/>
    <w:basedOn w:val="Normal"/>
    <w:pPr>
      <w:pBdr>
        <w:top w:val="single" w:sz="8" w:space="0" w:color="auto"/>
        <w:left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9">
    <w:name w:val="xl39"/>
    <w:basedOn w:val="Normal"/>
    <w:pPr>
      <w:pBdr>
        <w:left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40">
    <w:name w:val="xl40"/>
    <w:basedOn w:val="Normal"/>
    <w:pPr>
      <w:pBdr>
        <w:left w:val="single" w:sz="8" w:space="0" w:color="auto"/>
      </w:pBdr>
      <w:shd w:val="clear" w:color="auto" w:fill="FFFFFF"/>
      <w:spacing w:before="100" w:beforeAutospacing="1" w:after="100" w:afterAutospacing="1"/>
      <w:jc w:val="both"/>
    </w:pPr>
    <w:rPr>
      <w:rFonts w:ascii="Arial" w:eastAsia="Arial Unicode MS" w:hAnsi="Arial" w:cs="Arial"/>
      <w:b/>
      <w:bCs/>
      <w:lang w:val="en-US" w:eastAsia="en-US"/>
    </w:rPr>
  </w:style>
  <w:style w:type="paragraph" w:customStyle="1" w:styleId="xl41">
    <w:name w:val="xl41"/>
    <w:basedOn w:val="Normal"/>
    <w:pPr>
      <w:pBdr>
        <w:right w:val="single" w:sz="8" w:space="0" w:color="auto"/>
      </w:pBdr>
      <w:shd w:val="clear" w:color="auto" w:fill="FFFFFF"/>
      <w:spacing w:before="100" w:beforeAutospacing="1" w:after="100" w:afterAutospacing="1"/>
      <w:jc w:val="right"/>
    </w:pPr>
    <w:rPr>
      <w:rFonts w:ascii="Arial" w:eastAsia="Arial Unicode MS" w:hAnsi="Arial" w:cs="Arial"/>
      <w:sz w:val="18"/>
      <w:szCs w:val="18"/>
      <w:lang w:val="en-US" w:eastAsia="en-US"/>
    </w:rPr>
  </w:style>
  <w:style w:type="paragraph" w:customStyle="1" w:styleId="xl42">
    <w:name w:val="xl42"/>
    <w:basedOn w:val="Normal"/>
    <w:pPr>
      <w:pBdr>
        <w:top w:val="single" w:sz="8" w:space="0" w:color="auto"/>
        <w:left w:val="single" w:sz="8" w:space="0" w:color="auto"/>
        <w:bottom w:val="single" w:sz="8" w:space="0" w:color="auto"/>
      </w:pBdr>
      <w:shd w:val="clear" w:color="auto" w:fill="FFFFFF"/>
      <w:spacing w:before="100" w:beforeAutospacing="1" w:after="100" w:afterAutospacing="1"/>
      <w:jc w:val="both"/>
    </w:pPr>
    <w:rPr>
      <w:rFonts w:ascii="Arial" w:eastAsia="Arial Unicode MS" w:hAnsi="Arial" w:cs="Arial"/>
      <w:b/>
      <w:bCs/>
      <w:lang w:val="en-US" w:eastAsia="en-US"/>
    </w:rPr>
  </w:style>
  <w:style w:type="paragraph" w:customStyle="1" w:styleId="xl43">
    <w:name w:val="xl43"/>
    <w:basedOn w:val="Normal"/>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44">
    <w:name w:val="xl44"/>
    <w:basedOn w:val="Normal"/>
    <w:pPr>
      <w:pBdr>
        <w:left w:val="single" w:sz="8" w:space="0" w:color="auto"/>
        <w:bottom w:val="single" w:sz="8" w:space="0" w:color="auto"/>
      </w:pBdr>
      <w:shd w:val="clear" w:color="auto" w:fill="FFFFFF"/>
      <w:spacing w:before="100" w:beforeAutospacing="1" w:after="100" w:afterAutospacing="1"/>
      <w:jc w:val="both"/>
    </w:pPr>
    <w:rPr>
      <w:rFonts w:ascii="Arial" w:eastAsia="Arial Unicode MS" w:hAnsi="Arial" w:cs="Arial"/>
      <w:b/>
      <w:bCs/>
      <w:i/>
      <w:iCs/>
      <w:lang w:val="en-US" w:eastAsia="en-US"/>
    </w:rPr>
  </w:style>
  <w:style w:type="paragraph" w:customStyle="1" w:styleId="xl45">
    <w:name w:val="xl45"/>
    <w:basedOn w:val="Normal"/>
    <w:pPr>
      <w:pBdr>
        <w:left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46">
    <w:name w:val="xl46"/>
    <w:basedOn w:val="Normal"/>
    <w:pPr>
      <w:pBdr>
        <w:left w:val="single" w:sz="8" w:space="0" w:color="auto"/>
        <w:bottom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47">
    <w:name w:val="xl47"/>
    <w:basedOn w:val="Normal"/>
    <w:pPr>
      <w:pBdr>
        <w:left w:val="single" w:sz="8" w:space="0" w:color="auto"/>
        <w:bottom w:val="single" w:sz="8" w:space="0" w:color="auto"/>
      </w:pBdr>
      <w:shd w:val="clear" w:color="auto" w:fill="FFFFFF"/>
      <w:spacing w:before="100" w:beforeAutospacing="1" w:after="100" w:afterAutospacing="1"/>
      <w:jc w:val="both"/>
    </w:pPr>
    <w:rPr>
      <w:rFonts w:ascii="Arial" w:eastAsia="Arial Unicode MS" w:hAnsi="Arial" w:cs="Arial"/>
      <w:b/>
      <w:bCs/>
      <w:lang w:val="en-US" w:eastAsia="en-US"/>
    </w:rPr>
  </w:style>
  <w:style w:type="paragraph" w:customStyle="1" w:styleId="xl48">
    <w:name w:val="xl48"/>
    <w:basedOn w:val="Normal"/>
    <w:pPr>
      <w:pBdr>
        <w:left w:val="single" w:sz="8" w:space="0" w:color="auto"/>
        <w:right w:val="single" w:sz="8" w:space="0" w:color="auto"/>
      </w:pBdr>
      <w:shd w:val="clear" w:color="auto" w:fill="FFFFFF"/>
      <w:spacing w:before="100" w:beforeAutospacing="1" w:after="100" w:afterAutospacing="1"/>
      <w:jc w:val="both"/>
    </w:pPr>
    <w:rPr>
      <w:rFonts w:ascii="Arial" w:eastAsia="Arial Unicode MS" w:hAnsi="Arial" w:cs="Arial"/>
      <w:b/>
      <w:bCs/>
      <w:lang w:val="en-US" w:eastAsia="en-US"/>
    </w:rPr>
  </w:style>
  <w:style w:type="paragraph" w:customStyle="1" w:styleId="xl49">
    <w:name w:val="xl49"/>
    <w:basedOn w:val="Normal"/>
    <w:pPr>
      <w:pBdr>
        <w:left w:val="single" w:sz="8" w:space="0" w:color="auto"/>
        <w:right w:val="single" w:sz="8" w:space="0" w:color="auto"/>
      </w:pBdr>
      <w:shd w:val="clear" w:color="auto" w:fill="FFFFFF"/>
      <w:spacing w:before="100" w:beforeAutospacing="1" w:after="100" w:afterAutospacing="1"/>
      <w:jc w:val="both"/>
    </w:pPr>
    <w:rPr>
      <w:rFonts w:ascii="Arial" w:eastAsia="Arial Unicode MS" w:hAnsi="Arial" w:cs="Arial"/>
      <w:lang w:val="en-US" w:eastAsia="en-US"/>
    </w:rPr>
  </w:style>
  <w:style w:type="paragraph" w:customStyle="1" w:styleId="xl50">
    <w:name w:val="xl50"/>
    <w:basedOn w:val="Normal"/>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51">
    <w:name w:val="xl51"/>
    <w:basedOn w:val="Normal"/>
    <w:pPr>
      <w:shd w:val="clear" w:color="auto" w:fill="FFFFFF"/>
      <w:spacing w:before="100" w:beforeAutospacing="1" w:after="100" w:afterAutospacing="1"/>
      <w:jc w:val="both"/>
    </w:pPr>
    <w:rPr>
      <w:rFonts w:ascii="Arial" w:eastAsia="Arial Unicode MS" w:hAnsi="Arial" w:cs="Arial"/>
      <w:lang w:val="en-US" w:eastAsia="en-US"/>
    </w:rPr>
  </w:style>
  <w:style w:type="paragraph" w:customStyle="1" w:styleId="xl52">
    <w:name w:val="xl52"/>
    <w:basedOn w:val="Normal"/>
    <w:pP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53">
    <w:name w:val="xl53"/>
    <w:basedOn w:val="Normal"/>
    <w:pP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54">
    <w:name w:val="xl54"/>
    <w:basedOn w:val="Normal"/>
    <w:pPr>
      <w:pBdr>
        <w:left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sz w:val="18"/>
      <w:szCs w:val="18"/>
      <w:lang w:val="en-US" w:eastAsia="en-US"/>
    </w:rPr>
  </w:style>
  <w:style w:type="paragraph" w:customStyle="1" w:styleId="Style10">
    <w:name w:val="Style 1"/>
    <w:basedOn w:val="Normal"/>
    <w:pPr>
      <w:widowControl w:val="0"/>
      <w:autoSpaceDE w:val="0"/>
      <w:autoSpaceDN w:val="0"/>
      <w:adjustRightInd w:val="0"/>
    </w:pPr>
    <w:rPr>
      <w:sz w:val="20"/>
      <w:lang w:val="en-US" w:eastAsia="en-US"/>
    </w:rPr>
  </w:style>
  <w:style w:type="paragraph" w:styleId="NormalWeb">
    <w:name w:val="Normal (Web)"/>
    <w:basedOn w:val="Normal"/>
    <w:uiPriority w:val="99"/>
    <w:pPr>
      <w:spacing w:before="100" w:beforeAutospacing="1" w:after="100" w:afterAutospacing="1" w:line="220" w:lineRule="atLeast"/>
    </w:pPr>
    <w:rPr>
      <w:rFonts w:ascii="Verdana" w:hAnsi="Verdana"/>
      <w:color w:val="000000"/>
      <w:sz w:val="16"/>
      <w:szCs w:val="16"/>
      <w:lang w:val="en-US" w:eastAsia="en-US"/>
    </w:rPr>
  </w:style>
  <w:style w:type="paragraph" w:styleId="BodyTextIndent">
    <w:name w:val="Body Text Indent"/>
    <w:basedOn w:val="Normal"/>
    <w:pPr>
      <w:spacing w:before="120" w:after="120"/>
      <w:ind w:left="284" w:hanging="284"/>
      <w:jc w:val="both"/>
    </w:pPr>
    <w:rPr>
      <w:rFonts w:ascii="Arial" w:hAnsi="Arial" w:cs="Arial"/>
      <w:szCs w:val="20"/>
      <w:lang w:eastAsia="en-US"/>
    </w:rPr>
  </w:style>
  <w:style w:type="character" w:styleId="FollowedHyperlink">
    <w:name w:val="FollowedHyperlink"/>
    <w:uiPriority w:val="99"/>
    <w:rPr>
      <w:color w:val="800080"/>
      <w:u w:val="single"/>
    </w:rPr>
  </w:style>
  <w:style w:type="paragraph" w:styleId="Closing">
    <w:name w:val="Closing"/>
    <w:basedOn w:val="Normal"/>
    <w:pPr>
      <w:spacing w:line="290" w:lineRule="atLeast"/>
    </w:pPr>
    <w:rPr>
      <w:szCs w:val="20"/>
      <w:lang w:eastAsia="en-US"/>
    </w:rPr>
  </w:style>
  <w:style w:type="paragraph" w:styleId="ListNumber5">
    <w:name w:val="List Number 5"/>
    <w:basedOn w:val="Normal"/>
    <w:pPr>
      <w:tabs>
        <w:tab w:val="num" w:pos="2976"/>
      </w:tabs>
      <w:spacing w:after="290" w:line="288" w:lineRule="auto"/>
      <w:ind w:left="2976" w:hanging="595"/>
    </w:pPr>
    <w:rPr>
      <w:szCs w:val="20"/>
      <w:lang w:eastAsia="en-US"/>
    </w:rPr>
  </w:style>
  <w:style w:type="paragraph" w:customStyle="1" w:styleId="TableColumnHeader">
    <w:name w:val="Table Column Header"/>
    <w:basedOn w:val="Normal"/>
    <w:pPr>
      <w:spacing w:before="120" w:after="170" w:line="290" w:lineRule="atLeast"/>
    </w:pPr>
    <w:rPr>
      <w:b/>
      <w:szCs w:val="20"/>
      <w:lang w:eastAsia="en-US"/>
    </w:rPr>
  </w:style>
  <w:style w:type="paragraph" w:customStyle="1" w:styleId="DefaultText">
    <w:name w:val="Default Text"/>
    <w:basedOn w:val="Normal"/>
    <w:rPr>
      <w:szCs w:val="20"/>
      <w:lang w:eastAsia="en-US"/>
    </w:rPr>
  </w:style>
  <w:style w:type="paragraph" w:customStyle="1" w:styleId="Disclaimer">
    <w:name w:val="Disclaimer"/>
    <w:basedOn w:val="Normal"/>
    <w:pPr>
      <w:spacing w:line="200" w:lineRule="exact"/>
    </w:pPr>
    <w:rPr>
      <w:sz w:val="16"/>
      <w:szCs w:val="20"/>
      <w:lang w:eastAsia="en-US"/>
    </w:rPr>
  </w:style>
  <w:style w:type="character" w:styleId="CommentReference">
    <w:name w:val="annotation reference"/>
    <w:rPr>
      <w:sz w:val="16"/>
      <w:szCs w:val="1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Revision">
    <w:name w:val="Revision"/>
    <w:hidden/>
    <w:uiPriority w:val="99"/>
    <w:semiHidden/>
    <w:rPr>
      <w:sz w:val="24"/>
      <w:szCs w:val="24"/>
    </w:rPr>
  </w:style>
  <w:style w:type="paragraph" w:styleId="TOC2">
    <w:name w:val="toc 2"/>
    <w:basedOn w:val="Normal"/>
    <w:next w:val="Normal"/>
    <w:autoRedefine/>
    <w:uiPriority w:val="39"/>
    <w:pPr>
      <w:tabs>
        <w:tab w:val="left" w:pos="1134"/>
        <w:tab w:val="right" w:leader="dot" w:pos="9061"/>
      </w:tabs>
      <w:spacing w:before="120" w:after="120"/>
      <w:ind w:left="238"/>
    </w:pPr>
  </w:style>
  <w:style w:type="paragraph" w:styleId="TOC3">
    <w:name w:val="toc 3"/>
    <w:basedOn w:val="Normal"/>
    <w:next w:val="Normal"/>
    <w:autoRedefine/>
    <w:uiPriority w:val="39"/>
    <w:pPr>
      <w:tabs>
        <w:tab w:val="left" w:pos="851"/>
        <w:tab w:val="right" w:leader="dot" w:pos="9061"/>
      </w:tabs>
      <w:spacing w:before="100" w:beforeAutospacing="1" w:after="100" w:afterAutospacing="1"/>
    </w:pPr>
  </w:style>
  <w:style w:type="numbering" w:customStyle="1" w:styleId="NoList1">
    <w:name w:val="No List1"/>
    <w:next w:val="NoList"/>
    <w:uiPriority w:val="99"/>
    <w:semiHidden/>
    <w:unhideWhenUsed/>
  </w:style>
  <w:style w:type="character" w:customStyle="1" w:styleId="Heading1Char">
    <w:name w:val="Heading 1 Char"/>
    <w:link w:val="Heading1"/>
    <w:rPr>
      <w:b/>
      <w:bCs/>
      <w:smallCaps/>
      <w:sz w:val="24"/>
      <w:szCs w:val="32"/>
      <w:lang w:eastAsia="de-DE"/>
    </w:rPr>
  </w:style>
  <w:style w:type="character" w:customStyle="1" w:styleId="Heading2Char">
    <w:name w:val="Heading 2 Char"/>
    <w:link w:val="Heading2"/>
    <w:rPr>
      <w:b/>
      <w:bCs/>
      <w:iCs/>
      <w:sz w:val="24"/>
      <w:szCs w:val="28"/>
      <w:lang w:eastAsia="de-DE"/>
    </w:rPr>
  </w:style>
  <w:style w:type="character" w:customStyle="1" w:styleId="Heading3Char">
    <w:name w:val="Heading 3 Char"/>
    <w:link w:val="Heading3"/>
    <w:rPr>
      <w:bCs/>
      <w:i/>
      <w:sz w:val="24"/>
      <w:szCs w:val="26"/>
      <w:lang w:eastAsia="de-DE"/>
    </w:rPr>
  </w:style>
  <w:style w:type="character" w:customStyle="1" w:styleId="Heading4Char">
    <w:name w:val="Heading 4 Char"/>
    <w:link w:val="Heading4"/>
    <w:rPr>
      <w:bCs/>
      <w:sz w:val="24"/>
      <w:szCs w:val="28"/>
      <w:lang w:eastAsia="de-DE"/>
    </w:rPr>
  </w:style>
  <w:style w:type="character" w:customStyle="1" w:styleId="Heading5Char">
    <w:name w:val="Heading 5 Char"/>
    <w:link w:val="Heading5"/>
    <w:rPr>
      <w:b/>
      <w:sz w:val="22"/>
      <w:lang w:eastAsia="en-US"/>
    </w:rPr>
  </w:style>
  <w:style w:type="character" w:customStyle="1" w:styleId="Heading6Char">
    <w:name w:val="Heading 6 Char"/>
    <w:link w:val="Heading6"/>
    <w:rPr>
      <w:sz w:val="22"/>
      <w:u w:val="single"/>
      <w:lang w:eastAsia="en-US"/>
    </w:rPr>
  </w:style>
  <w:style w:type="character" w:customStyle="1" w:styleId="Heading7Char">
    <w:name w:val="Heading 7 Char"/>
    <w:link w:val="Heading7"/>
    <w:rPr>
      <w:i/>
      <w:sz w:val="22"/>
      <w:lang w:eastAsia="en-US"/>
    </w:rPr>
  </w:style>
  <w:style w:type="character" w:customStyle="1" w:styleId="Heading8Char">
    <w:name w:val="Heading 8 Char"/>
    <w:link w:val="Heading8"/>
    <w:rPr>
      <w:i/>
      <w:sz w:val="22"/>
      <w:lang w:eastAsia="en-US"/>
    </w:rPr>
  </w:style>
  <w:style w:type="character" w:customStyle="1" w:styleId="Heading9Char">
    <w:name w:val="Heading 9 Char"/>
    <w:link w:val="Heading9"/>
    <w:rPr>
      <w:i/>
      <w:sz w:val="22"/>
      <w:lang w:eastAsia="en-US"/>
    </w:rPr>
  </w:style>
  <w:style w:type="character" w:customStyle="1" w:styleId="FootnoteCharacters">
    <w:name w:val="Footnote Characters"/>
    <w:rPr>
      <w:rFonts w:cs="Times New Roman"/>
      <w:position w:val="6"/>
      <w:sz w:val="16"/>
      <w:shd w:val="clear" w:color="auto" w:fill="auto"/>
    </w:rPr>
  </w:style>
  <w:style w:type="character" w:customStyle="1" w:styleId="BodyTextChar">
    <w:name w:val="Body Text Char"/>
    <w:link w:val="BodyText"/>
    <w:rPr>
      <w:sz w:val="22"/>
      <w:szCs w:val="22"/>
    </w:rPr>
  </w:style>
  <w:style w:type="character" w:customStyle="1" w:styleId="BodyText2Char">
    <w:name w:val="Body Text 2 Char"/>
    <w:link w:val="BodyText2"/>
    <w:rPr>
      <w:rFonts w:ascii="Arial" w:hAnsi="Arial"/>
      <w:sz w:val="22"/>
      <w:lang w:eastAsia="en-US"/>
    </w:rPr>
  </w:style>
  <w:style w:type="paragraph" w:customStyle="1" w:styleId="Para1">
    <w:name w:val="Para1"/>
    <w:basedOn w:val="Normal"/>
    <w:pPr>
      <w:tabs>
        <w:tab w:val="left" w:pos="1134"/>
        <w:tab w:val="left" w:pos="1418"/>
      </w:tabs>
      <w:suppressAutoHyphens/>
      <w:spacing w:before="240"/>
      <w:ind w:left="1418" w:hanging="1418"/>
    </w:pPr>
    <w:rPr>
      <w:rFonts w:ascii="Arial" w:hAnsi="Arial"/>
      <w:sz w:val="20"/>
      <w:szCs w:val="20"/>
      <w:lang w:eastAsia="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8">
    <w:name w:val="Char Char18"/>
    <w:rPr>
      <w:b/>
      <w:smallCaps/>
      <w:noProof/>
      <w:sz w:val="32"/>
      <w:lang w:val="en-GB" w:eastAsia="en-US"/>
    </w:rPr>
  </w:style>
  <w:style w:type="character" w:customStyle="1" w:styleId="CharChar17">
    <w:name w:val="Char Char17"/>
    <w:rPr>
      <w:b/>
      <w:sz w:val="28"/>
      <w:lang w:val="en-GB" w:eastAsia="en-US"/>
    </w:rPr>
  </w:style>
  <w:style w:type="character" w:customStyle="1" w:styleId="CharChar16">
    <w:name w:val="Char Char16"/>
    <w:rPr>
      <w:i/>
      <w:sz w:val="26"/>
      <w:lang w:val="en-GB" w:eastAsia="en-US"/>
    </w:rPr>
  </w:style>
  <w:style w:type="character" w:customStyle="1" w:styleId="CharChar15">
    <w:name w:val="Char Char15"/>
    <w:rPr>
      <w:sz w:val="28"/>
      <w:lang w:val="en-GB" w:eastAsia="en-US"/>
    </w:rPr>
  </w:style>
  <w:style w:type="character" w:customStyle="1" w:styleId="CharChar14">
    <w:name w:val="Char Char14"/>
    <w:rPr>
      <w:b/>
      <w:sz w:val="22"/>
      <w:lang w:val="en-GB" w:eastAsia="en-US"/>
    </w:rPr>
  </w:style>
  <w:style w:type="character" w:customStyle="1" w:styleId="CharChar13">
    <w:name w:val="Char Char13"/>
    <w:rPr>
      <w:sz w:val="22"/>
      <w:u w:val="single"/>
      <w:lang w:val="en-GB" w:eastAsia="en-US"/>
    </w:rPr>
  </w:style>
  <w:style w:type="character" w:customStyle="1" w:styleId="CharChar12">
    <w:name w:val="Char Char12"/>
    <w:rPr>
      <w:i/>
      <w:sz w:val="22"/>
      <w:lang w:val="en-GB" w:eastAsia="en-US"/>
    </w:rPr>
  </w:style>
  <w:style w:type="character" w:customStyle="1" w:styleId="CharChar11">
    <w:name w:val="Char Char11"/>
    <w:rPr>
      <w:i/>
      <w:sz w:val="22"/>
      <w:lang w:val="en-GB" w:eastAsia="en-US"/>
    </w:rPr>
  </w:style>
  <w:style w:type="character" w:customStyle="1" w:styleId="CharChar10">
    <w:name w:val="Char Char10"/>
    <w:rPr>
      <w:i/>
      <w:sz w:val="22"/>
      <w:lang w:val="en-GB" w:eastAsia="en-US"/>
    </w:rPr>
  </w:style>
  <w:style w:type="character" w:customStyle="1" w:styleId="BodyText3Char">
    <w:name w:val="Body Text 3 Char"/>
    <w:link w:val="BodyText3"/>
    <w:rPr>
      <w:rFonts w:ascii="Arial" w:hAnsi="Arial"/>
      <w:b/>
      <w:sz w:val="24"/>
      <w:u w:val="single"/>
      <w:lang w:eastAsia="en-US"/>
    </w:rPr>
  </w:style>
  <w:style w:type="character" w:customStyle="1" w:styleId="TitleChar">
    <w:name w:val="Title Char"/>
    <w:link w:val="Title"/>
    <w:rPr>
      <w:rFonts w:ascii="Comic Sans MS" w:hAnsi="Comic Sans MS"/>
      <w:b/>
      <w:sz w:val="24"/>
      <w:lang w:eastAsia="en-US"/>
    </w:rPr>
  </w:style>
  <w:style w:type="paragraph" w:styleId="CommentText">
    <w:name w:val="annotation text"/>
    <w:basedOn w:val="Normal"/>
    <w:link w:val="CommentTextChar"/>
    <w:pPr>
      <w:spacing w:after="120" w:line="240" w:lineRule="atLeast"/>
    </w:pPr>
    <w:rPr>
      <w:rFonts w:ascii="Arial" w:hAnsi="Arial"/>
      <w:sz w:val="22"/>
      <w:szCs w:val="20"/>
    </w:rPr>
  </w:style>
  <w:style w:type="character" w:customStyle="1" w:styleId="CommentTextChar">
    <w:name w:val="Comment Text Char"/>
    <w:link w:val="CommentText"/>
    <w:uiPriority w:val="99"/>
    <w:rPr>
      <w:rFonts w:ascii="Arial" w:hAnsi="Arial"/>
      <w:sz w:val="22"/>
    </w:rPr>
  </w:style>
  <w:style w:type="paragraph" w:customStyle="1" w:styleId="NotesText">
    <w:name w:val="Notes Text"/>
    <w:basedOn w:val="Normal"/>
    <w:autoRedefine/>
    <w:pPr>
      <w:spacing w:after="60" w:line="180" w:lineRule="atLeast"/>
      <w:jc w:val="both"/>
    </w:pPr>
    <w:rPr>
      <w:rFonts w:ascii="Arial" w:hAnsi="Arial" w:cs="Arial"/>
      <w:color w:val="000000"/>
      <w:sz w:val="15"/>
      <w:szCs w:val="20"/>
    </w:rPr>
  </w:style>
  <w:style w:type="paragraph" w:customStyle="1" w:styleId="Notes">
    <w:name w:val="Notes"/>
    <w:basedOn w:val="Header"/>
    <w:link w:val="NotesChar"/>
    <w:pPr>
      <w:numPr>
        <w:numId w:val="27"/>
      </w:numPr>
      <w:tabs>
        <w:tab w:val="clear" w:pos="4535"/>
        <w:tab w:val="clear" w:pos="9071"/>
        <w:tab w:val="center" w:pos="4320"/>
        <w:tab w:val="right" w:pos="8640"/>
      </w:tabs>
    </w:pPr>
    <w:rPr>
      <w:rFonts w:ascii="Arial" w:hAnsi="Arial"/>
      <w:b/>
      <w:sz w:val="20"/>
      <w:lang w:val="en-US"/>
    </w:rPr>
  </w:style>
  <w:style w:type="paragraph" w:styleId="CommentSubject">
    <w:name w:val="annotation subject"/>
    <w:basedOn w:val="CommentText"/>
    <w:next w:val="CommentText"/>
    <w:link w:val="CommentSubjectChar"/>
    <w:rPr>
      <w:b/>
      <w:bCs/>
      <w:sz w:val="20"/>
    </w:rPr>
  </w:style>
  <w:style w:type="character" w:customStyle="1" w:styleId="CommentSubjectChar">
    <w:name w:val="Comment Subject Char"/>
    <w:link w:val="CommentSubject"/>
    <w:rPr>
      <w:rFonts w:ascii="Arial" w:hAnsi="Arial"/>
      <w:b/>
      <w:bCs/>
      <w:sz w:val="22"/>
    </w:rPr>
  </w:style>
  <w:style w:type="character" w:styleId="Emphasis">
    <w:name w:val="Emphasis"/>
    <w:qFormat/>
    <w:rPr>
      <w:i/>
      <w:iCs/>
    </w:rPr>
  </w:style>
  <w:style w:type="paragraph" w:styleId="NoSpacing">
    <w:name w:val="No Spacing"/>
    <w:link w:val="NoSpacingChar"/>
    <w:uiPriority w:val="1"/>
    <w:qFormat/>
    <w:pPr>
      <w:spacing w:after="200" w:line="276" w:lineRule="auto"/>
    </w:pPr>
    <w:rPr>
      <w:rFonts w:ascii="Calibri" w:eastAsia="MS Mincho" w:hAnsi="Calibri" w:cs="Arial"/>
      <w:sz w:val="22"/>
      <w:szCs w:val="22"/>
      <w:lang w:val="en-US" w:eastAsia="ja-JP"/>
    </w:rPr>
  </w:style>
  <w:style w:type="character" w:customStyle="1" w:styleId="NoSpacingChar">
    <w:name w:val="No Spacing Char"/>
    <w:link w:val="NoSpacing"/>
    <w:uiPriority w:val="1"/>
    <w:rPr>
      <w:rFonts w:ascii="Calibri" w:eastAsia="MS Mincho" w:hAnsi="Calibri" w:cs="Arial"/>
      <w:sz w:val="22"/>
      <w:szCs w:val="22"/>
      <w:lang w:val="en-US" w:eastAsia="ja-JP"/>
    </w:rPr>
  </w:style>
  <w:style w:type="paragraph" w:styleId="EndnoteText">
    <w:name w:val="endnote text"/>
    <w:basedOn w:val="Normal"/>
    <w:link w:val="EndnoteTextChar"/>
    <w:uiPriority w:val="99"/>
    <w:pPr>
      <w:spacing w:before="120" w:after="120"/>
      <w:jc w:val="both"/>
    </w:pPr>
    <w:rPr>
      <w:sz w:val="20"/>
      <w:szCs w:val="20"/>
    </w:rPr>
  </w:style>
  <w:style w:type="character" w:customStyle="1" w:styleId="EndnoteTextChar">
    <w:name w:val="Endnote Text Char"/>
    <w:basedOn w:val="DefaultParagraphFont"/>
    <w:link w:val="EndnoteText"/>
    <w:uiPriority w:val="99"/>
  </w:style>
  <w:style w:type="character" w:styleId="EndnoteReference">
    <w:name w:val="endnote reference"/>
    <w:uiPriority w:val="99"/>
    <w:rPr>
      <w:vertAlign w:val="superscript"/>
    </w:rPr>
  </w:style>
  <w:style w:type="character" w:styleId="LineNumber">
    <w:name w:val="line number"/>
  </w:style>
  <w:style w:type="paragraph" w:styleId="Caption">
    <w:name w:val="caption"/>
    <w:basedOn w:val="Normal"/>
    <w:next w:val="Normal"/>
    <w:qFormat/>
    <w:pPr>
      <w:spacing w:before="120" w:after="120"/>
      <w:jc w:val="both"/>
    </w:pPr>
    <w:rPr>
      <w:b/>
      <w:bCs/>
      <w:sz w:val="20"/>
      <w:szCs w:val="20"/>
    </w:rPr>
  </w:style>
  <w:style w:type="paragraph" w:styleId="TableofFigures">
    <w:name w:val="table of figures"/>
    <w:basedOn w:val="Normal"/>
    <w:next w:val="Normal"/>
    <w:pPr>
      <w:spacing w:before="120" w:after="120"/>
      <w:jc w:val="both"/>
    </w:pPr>
    <w:rPr>
      <w:szCs w:val="22"/>
    </w:rPr>
  </w:style>
  <w:style w:type="character" w:customStyle="1" w:styleId="TOCHeadingChar">
    <w:name w:val="TOC Heading Char"/>
    <w:uiPriority w:val="39"/>
    <w:rPr>
      <w:b/>
      <w:sz w:val="28"/>
      <w:szCs w:val="24"/>
      <w:lang w:eastAsia="en-US"/>
    </w:rPr>
  </w:style>
  <w:style w:type="character" w:customStyle="1" w:styleId="FooterCoverPageChar">
    <w:name w:val="Footer Cover Page Char"/>
    <w:link w:val="FooterCoverPage"/>
    <w:rPr>
      <w:sz w:val="24"/>
      <w:szCs w:val="24"/>
    </w:rPr>
  </w:style>
  <w:style w:type="character" w:customStyle="1" w:styleId="HeaderCoverPageChar">
    <w:name w:val="Header Cover Page Char"/>
    <w:link w:val="HeaderCoverPage"/>
    <w:rPr>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NotesChar">
    <w:name w:val="Notes Char"/>
    <w:link w:val="Notes"/>
    <w:rPr>
      <w:rFonts w:ascii="Arial" w:hAnsi="Arial"/>
      <w:b/>
      <w:szCs w:val="22"/>
      <w:lang w:val="en-US"/>
    </w:rPr>
  </w:style>
  <w:style w:type="paragraph" w:customStyle="1" w:styleId="Title11">
    <w:name w:val="Title 1.1"/>
    <w:basedOn w:val="Notes"/>
    <w:pPr>
      <w:numPr>
        <w:numId w:val="0"/>
      </w:numPr>
      <w:tabs>
        <w:tab w:val="clear" w:pos="4320"/>
        <w:tab w:val="clear" w:pos="8640"/>
        <w:tab w:val="right" w:pos="-2700"/>
        <w:tab w:val="num" w:pos="431"/>
        <w:tab w:val="right" w:pos="720"/>
      </w:tabs>
      <w:suppressAutoHyphens/>
      <w:spacing w:after="0"/>
      <w:ind w:left="431" w:hanging="431"/>
    </w:pPr>
    <w:rPr>
      <w:b w:val="0"/>
      <w:szCs w:val="20"/>
      <w:lang w:val="en-GB" w:eastAsia="ar-SA"/>
    </w:rPr>
  </w:style>
  <w:style w:type="paragraph" w:customStyle="1" w:styleId="Normal0">
    <w:name w:val="Normal_0"/>
    <w:qFormat/>
    <w:pPr>
      <w:spacing w:after="120" w:line="240" w:lineRule="atLeast"/>
    </w:pPr>
    <w:rPr>
      <w:rFonts w:ascii="Arial" w:hAnsi="Arial"/>
      <w:sz w:val="22"/>
      <w:szCs w:val="22"/>
      <w:lang w:eastAsia="en-US"/>
    </w:rPr>
  </w:style>
  <w:style w:type="paragraph" w:customStyle="1" w:styleId="Heading20">
    <w:name w:val="Heading 2_0"/>
    <w:basedOn w:val="Normal0"/>
    <w:next w:val="Normal0"/>
    <w:link w:val="Heading2Char0"/>
    <w:qFormat/>
    <w:pPr>
      <w:spacing w:before="120"/>
      <w:outlineLvl w:val="1"/>
    </w:pPr>
    <w:rPr>
      <w:b/>
    </w:rPr>
  </w:style>
  <w:style w:type="character" w:customStyle="1" w:styleId="Heading2Char0">
    <w:name w:val="Heading 2 Char_0"/>
    <w:link w:val="Heading20"/>
    <w:rPr>
      <w:rFonts w:ascii="Arial" w:hAnsi="Arial"/>
      <w:b/>
      <w:sz w:val="22"/>
      <w:szCs w:val="22"/>
      <w:lang w:eastAsia="en-US"/>
    </w:rPr>
  </w:style>
  <w:style w:type="paragraph" w:customStyle="1" w:styleId="BodyText0">
    <w:name w:val="Body Text_0"/>
    <w:basedOn w:val="Normal0"/>
    <w:link w:val="BodyTextChar0"/>
    <w:pPr>
      <w:jc w:val="both"/>
    </w:pPr>
    <w:rPr>
      <w:sz w:val="20"/>
    </w:rPr>
  </w:style>
  <w:style w:type="character" w:customStyle="1" w:styleId="BodyTextChar0">
    <w:name w:val="Body Text Char_0"/>
    <w:link w:val="BodyText0"/>
    <w:rPr>
      <w:rFonts w:ascii="Arial" w:hAnsi="Arial"/>
      <w:szCs w:val="22"/>
      <w:lang w:eastAsia="en-US"/>
    </w:rPr>
  </w:style>
  <w:style w:type="paragraph" w:customStyle="1" w:styleId="Heading21">
    <w:name w:val="Heading 2_1"/>
    <w:basedOn w:val="Normal1"/>
    <w:next w:val="Normal1"/>
    <w:link w:val="Heading2Char1"/>
    <w:qFormat/>
    <w:pPr>
      <w:spacing w:before="120"/>
      <w:outlineLvl w:val="1"/>
    </w:pPr>
    <w:rPr>
      <w:b/>
    </w:rPr>
  </w:style>
  <w:style w:type="paragraph" w:customStyle="1" w:styleId="Normal1">
    <w:name w:val="Normal_1"/>
    <w:qFormat/>
    <w:pPr>
      <w:spacing w:after="120" w:line="240" w:lineRule="atLeast"/>
    </w:pPr>
    <w:rPr>
      <w:rFonts w:ascii="Arial" w:hAnsi="Arial"/>
      <w:sz w:val="22"/>
      <w:szCs w:val="22"/>
      <w:lang w:eastAsia="en-US"/>
    </w:rPr>
  </w:style>
  <w:style w:type="character" w:customStyle="1" w:styleId="Heading2Char1">
    <w:name w:val="Heading 2 Char_1"/>
    <w:link w:val="Heading21"/>
    <w:rPr>
      <w:rFonts w:ascii="Arial" w:hAnsi="Arial"/>
      <w:b/>
      <w:sz w:val="22"/>
      <w:szCs w:val="22"/>
      <w:lang w:eastAsia="en-US"/>
    </w:rPr>
  </w:style>
  <w:style w:type="character" w:customStyle="1" w:styleId="FootnoteReference0">
    <w:name w:val="Footnote Reference_0"/>
    <w:uiPriority w:val="99"/>
    <w:semiHidden/>
    <w:rPr>
      <w:rFonts w:cs="Times New Roman"/>
      <w:position w:val="6"/>
      <w:sz w:val="16"/>
    </w:rPr>
  </w:style>
  <w:style w:type="paragraph" w:customStyle="1" w:styleId="FootnoteText0">
    <w:name w:val="Footnote Text_0"/>
    <w:basedOn w:val="Normal1"/>
    <w:link w:val="FootnoteTextChar0"/>
    <w:uiPriority w:val="99"/>
    <w:semiHidden/>
  </w:style>
  <w:style w:type="character" w:customStyle="1" w:styleId="FootnoteTextChar0">
    <w:name w:val="Footnote Text Char_0"/>
    <w:link w:val="FootnoteText0"/>
    <w:uiPriority w:val="99"/>
    <w:semiHidden/>
    <w:rPr>
      <w:rFonts w:ascii="Arial" w:hAnsi="Arial"/>
      <w:sz w:val="22"/>
      <w:szCs w:val="22"/>
      <w:lang w:eastAsia="en-US"/>
    </w:rPr>
  </w:style>
  <w:style w:type="paragraph" w:customStyle="1" w:styleId="BodyText1">
    <w:name w:val="Body Text_1"/>
    <w:basedOn w:val="Normal1"/>
    <w:link w:val="BodyTextChar1"/>
    <w:pPr>
      <w:jc w:val="both"/>
    </w:pPr>
    <w:rPr>
      <w:sz w:val="20"/>
    </w:rPr>
  </w:style>
  <w:style w:type="character" w:customStyle="1" w:styleId="BodyTextChar1">
    <w:name w:val="Body Text Char_1"/>
    <w:link w:val="BodyText1"/>
    <w:rPr>
      <w:rFonts w:ascii="Arial" w:hAnsi="Arial"/>
      <w:szCs w:val="22"/>
      <w:lang w:eastAsia="en-US"/>
    </w:rPr>
  </w:style>
  <w:style w:type="paragraph" w:customStyle="1" w:styleId="NotesText0">
    <w:name w:val="Notes Text_0"/>
    <w:basedOn w:val="Normal1"/>
    <w:autoRedefine/>
    <w:pPr>
      <w:spacing w:after="60" w:line="180" w:lineRule="atLeast"/>
      <w:jc w:val="both"/>
    </w:pPr>
    <w:rPr>
      <w:rFonts w:cs="Arial"/>
      <w:color w:val="000000"/>
      <w:sz w:val="15"/>
    </w:rPr>
  </w:style>
  <w:style w:type="paragraph" w:customStyle="1" w:styleId="Heading22">
    <w:name w:val="Heading 2_2"/>
    <w:basedOn w:val="Normal2"/>
    <w:next w:val="Normal2"/>
    <w:link w:val="Heading2Char2"/>
    <w:qFormat/>
    <w:pPr>
      <w:spacing w:before="120"/>
      <w:outlineLvl w:val="1"/>
    </w:pPr>
    <w:rPr>
      <w:b/>
    </w:rPr>
  </w:style>
  <w:style w:type="paragraph" w:customStyle="1" w:styleId="Normal2">
    <w:name w:val="Normal_2"/>
    <w:qFormat/>
    <w:pPr>
      <w:spacing w:after="120" w:line="240" w:lineRule="atLeast"/>
    </w:pPr>
    <w:rPr>
      <w:rFonts w:ascii="Arial" w:hAnsi="Arial"/>
      <w:sz w:val="22"/>
      <w:szCs w:val="22"/>
      <w:lang w:eastAsia="en-US"/>
    </w:rPr>
  </w:style>
  <w:style w:type="character" w:customStyle="1" w:styleId="Heading2Char2">
    <w:name w:val="Heading 2 Char_2"/>
    <w:link w:val="Heading22"/>
    <w:rPr>
      <w:rFonts w:ascii="Arial" w:hAnsi="Arial"/>
      <w:b/>
      <w:sz w:val="22"/>
      <w:szCs w:val="22"/>
      <w:lang w:eastAsia="en-US"/>
    </w:rPr>
  </w:style>
  <w:style w:type="paragraph" w:customStyle="1" w:styleId="Notes0">
    <w:name w:val="Notes_0"/>
    <w:basedOn w:val="Header0"/>
    <w:link w:val="NotesChar0"/>
    <w:pPr>
      <w:tabs>
        <w:tab w:val="clear" w:pos="4819"/>
        <w:tab w:val="clear" w:pos="9071"/>
        <w:tab w:val="center" w:pos="4320"/>
        <w:tab w:val="right" w:pos="8640"/>
      </w:tabs>
      <w:spacing w:before="120" w:line="240" w:lineRule="auto"/>
      <w:jc w:val="both"/>
    </w:pPr>
    <w:rPr>
      <w:b/>
      <w:sz w:val="20"/>
      <w:szCs w:val="24"/>
      <w:lang w:val="en-US"/>
    </w:rPr>
  </w:style>
  <w:style w:type="paragraph" w:customStyle="1" w:styleId="Header0">
    <w:name w:val="Header_0"/>
    <w:basedOn w:val="Normal2"/>
    <w:link w:val="HeaderChar0"/>
    <w:pPr>
      <w:tabs>
        <w:tab w:val="center" w:pos="4819"/>
        <w:tab w:val="right" w:pos="9071"/>
      </w:tabs>
    </w:pPr>
  </w:style>
  <w:style w:type="character" w:customStyle="1" w:styleId="HeaderChar0">
    <w:name w:val="Header Char_0"/>
    <w:link w:val="Header0"/>
    <w:rPr>
      <w:rFonts w:ascii="Arial" w:hAnsi="Arial"/>
      <w:sz w:val="22"/>
      <w:szCs w:val="22"/>
      <w:lang w:eastAsia="en-US"/>
    </w:rPr>
  </w:style>
  <w:style w:type="character" w:customStyle="1" w:styleId="NotesChar0">
    <w:name w:val="Notes Char_0"/>
    <w:link w:val="Notes0"/>
    <w:rPr>
      <w:rFonts w:ascii="Arial" w:hAnsi="Arial"/>
      <w:b/>
      <w:szCs w:val="24"/>
      <w:lang w:val="en-US" w:eastAsia="en-US"/>
    </w:rPr>
  </w:style>
  <w:style w:type="paragraph" w:customStyle="1" w:styleId="Normal3">
    <w:name w:val="Normal_3"/>
    <w:qFormat/>
    <w:pPr>
      <w:spacing w:after="120" w:line="240" w:lineRule="atLeast"/>
    </w:pPr>
    <w:rPr>
      <w:rFonts w:ascii="Arial" w:hAnsi="Arial"/>
      <w:sz w:val="22"/>
      <w:szCs w:val="22"/>
      <w:lang w:eastAsia="en-US"/>
    </w:rPr>
  </w:style>
  <w:style w:type="paragraph" w:customStyle="1" w:styleId="Notes1">
    <w:name w:val="Notes_1"/>
    <w:basedOn w:val="Header1"/>
    <w:link w:val="NotesChar1"/>
    <w:pPr>
      <w:tabs>
        <w:tab w:val="clear" w:pos="4819"/>
        <w:tab w:val="clear" w:pos="9071"/>
        <w:tab w:val="center" w:pos="4320"/>
        <w:tab w:val="right" w:pos="8640"/>
      </w:tabs>
      <w:spacing w:before="120" w:line="240" w:lineRule="auto"/>
      <w:jc w:val="both"/>
    </w:pPr>
    <w:rPr>
      <w:b/>
      <w:sz w:val="20"/>
      <w:szCs w:val="24"/>
      <w:lang w:val="en-US"/>
    </w:rPr>
  </w:style>
  <w:style w:type="paragraph" w:customStyle="1" w:styleId="Header1">
    <w:name w:val="Header_1"/>
    <w:basedOn w:val="Normal3"/>
    <w:link w:val="HeaderChar1"/>
    <w:pPr>
      <w:tabs>
        <w:tab w:val="center" w:pos="4819"/>
        <w:tab w:val="right" w:pos="9071"/>
      </w:tabs>
    </w:pPr>
  </w:style>
  <w:style w:type="character" w:customStyle="1" w:styleId="HeaderChar1">
    <w:name w:val="Header Char_1"/>
    <w:link w:val="Header1"/>
    <w:rPr>
      <w:rFonts w:ascii="Arial" w:hAnsi="Arial"/>
      <w:sz w:val="22"/>
      <w:szCs w:val="22"/>
      <w:lang w:eastAsia="en-US"/>
    </w:rPr>
  </w:style>
  <w:style w:type="character" w:customStyle="1" w:styleId="NotesChar1">
    <w:name w:val="Notes Char_1"/>
    <w:link w:val="Notes1"/>
    <w:rPr>
      <w:rFonts w:ascii="Arial" w:hAnsi="Arial"/>
      <w:b/>
      <w:szCs w:val="24"/>
      <w:lang w:val="en-US" w:eastAsia="en-US"/>
    </w:rPr>
  </w:style>
  <w:style w:type="paragraph" w:customStyle="1" w:styleId="Normal4">
    <w:name w:val="Normal_4"/>
    <w:qFormat/>
    <w:pPr>
      <w:spacing w:after="120" w:line="240" w:lineRule="atLeast"/>
    </w:pPr>
    <w:rPr>
      <w:rFonts w:ascii="Arial" w:hAnsi="Arial"/>
      <w:sz w:val="22"/>
      <w:szCs w:val="22"/>
      <w:lang w:eastAsia="en-US"/>
    </w:rPr>
  </w:style>
  <w:style w:type="paragraph" w:customStyle="1" w:styleId="ListParagraph0">
    <w:name w:val="List Paragraph_0"/>
    <w:basedOn w:val="Normal4"/>
    <w:uiPriority w:val="34"/>
    <w:qFormat/>
    <w:pPr>
      <w:spacing w:after="200" w:line="276" w:lineRule="auto"/>
      <w:ind w:left="720"/>
      <w:contextualSpacing/>
    </w:pPr>
    <w:rPr>
      <w:rFonts w:ascii="Calibri" w:eastAsia="Calibri" w:hAnsi="Calibri"/>
    </w:rPr>
  </w:style>
  <w:style w:type="paragraph" w:customStyle="1" w:styleId="Notes2">
    <w:name w:val="Notes_2"/>
    <w:basedOn w:val="Header2"/>
    <w:link w:val="NotesChar2"/>
    <w:pPr>
      <w:tabs>
        <w:tab w:val="clear" w:pos="4819"/>
        <w:tab w:val="clear" w:pos="9071"/>
        <w:tab w:val="center" w:pos="4320"/>
        <w:tab w:val="right" w:pos="8640"/>
      </w:tabs>
      <w:spacing w:before="120" w:line="240" w:lineRule="auto"/>
      <w:jc w:val="both"/>
    </w:pPr>
    <w:rPr>
      <w:b/>
      <w:sz w:val="20"/>
      <w:szCs w:val="24"/>
      <w:lang w:val="en-US"/>
    </w:rPr>
  </w:style>
  <w:style w:type="paragraph" w:customStyle="1" w:styleId="Header2">
    <w:name w:val="Header_2"/>
    <w:basedOn w:val="Normal5"/>
    <w:link w:val="HeaderChar2"/>
    <w:pPr>
      <w:tabs>
        <w:tab w:val="center" w:pos="4819"/>
        <w:tab w:val="right" w:pos="9071"/>
      </w:tabs>
    </w:pPr>
  </w:style>
  <w:style w:type="paragraph" w:customStyle="1" w:styleId="Normal5">
    <w:name w:val="Normal_5"/>
    <w:qFormat/>
    <w:pPr>
      <w:spacing w:after="120" w:line="240" w:lineRule="atLeast"/>
    </w:pPr>
    <w:rPr>
      <w:rFonts w:ascii="Arial" w:hAnsi="Arial"/>
      <w:sz w:val="22"/>
      <w:szCs w:val="22"/>
      <w:lang w:eastAsia="en-US"/>
    </w:rPr>
  </w:style>
  <w:style w:type="character" w:customStyle="1" w:styleId="HeaderChar2">
    <w:name w:val="Header Char_2"/>
    <w:link w:val="Header2"/>
    <w:rPr>
      <w:rFonts w:ascii="Arial" w:hAnsi="Arial"/>
      <w:sz w:val="22"/>
      <w:szCs w:val="22"/>
      <w:lang w:eastAsia="en-US"/>
    </w:rPr>
  </w:style>
  <w:style w:type="character" w:customStyle="1" w:styleId="NotesChar2">
    <w:name w:val="Notes Char_2"/>
    <w:link w:val="Notes2"/>
    <w:rPr>
      <w:rFonts w:ascii="Arial" w:hAnsi="Arial"/>
      <w:b/>
      <w:szCs w:val="24"/>
      <w:lang w:val="en-US" w:eastAsia="en-US"/>
    </w:rPr>
  </w:style>
  <w:style w:type="paragraph" w:customStyle="1" w:styleId="BodyText20">
    <w:name w:val="Body Text_2"/>
    <w:basedOn w:val="Normal5"/>
    <w:link w:val="BodyTextChar2"/>
    <w:pPr>
      <w:jc w:val="both"/>
    </w:pPr>
    <w:rPr>
      <w:sz w:val="20"/>
    </w:rPr>
  </w:style>
  <w:style w:type="character" w:customStyle="1" w:styleId="BodyTextChar2">
    <w:name w:val="Body Text Char_2"/>
    <w:link w:val="BodyText20"/>
    <w:rPr>
      <w:rFonts w:ascii="Arial" w:hAnsi="Arial"/>
      <w:szCs w:val="22"/>
      <w:lang w:eastAsia="en-US"/>
    </w:rPr>
  </w:style>
  <w:style w:type="paragraph" w:customStyle="1" w:styleId="BodyText30">
    <w:name w:val="Body Text_3"/>
    <w:basedOn w:val="Normal6"/>
    <w:link w:val="BodyTextChar3"/>
    <w:pPr>
      <w:jc w:val="both"/>
    </w:pPr>
    <w:rPr>
      <w:sz w:val="20"/>
    </w:rPr>
  </w:style>
  <w:style w:type="paragraph" w:customStyle="1" w:styleId="Normal6">
    <w:name w:val="Normal_6"/>
    <w:qFormat/>
    <w:pPr>
      <w:spacing w:after="120" w:line="240" w:lineRule="atLeast"/>
    </w:pPr>
    <w:rPr>
      <w:rFonts w:ascii="Arial" w:hAnsi="Arial"/>
      <w:sz w:val="22"/>
      <w:szCs w:val="22"/>
      <w:lang w:eastAsia="en-US"/>
    </w:rPr>
  </w:style>
  <w:style w:type="character" w:customStyle="1" w:styleId="BodyTextChar3">
    <w:name w:val="Body Text Char_3"/>
    <w:link w:val="BodyText30"/>
    <w:rPr>
      <w:rFonts w:ascii="Arial" w:hAnsi="Arial"/>
      <w:szCs w:val="22"/>
      <w:lang w:eastAsia="en-US"/>
    </w:rPr>
  </w:style>
  <w:style w:type="paragraph" w:customStyle="1" w:styleId="Normal7">
    <w:name w:val="Normal_7"/>
    <w:qFormat/>
    <w:pPr>
      <w:spacing w:after="120" w:line="240" w:lineRule="atLeast"/>
    </w:pPr>
    <w:rPr>
      <w:rFonts w:ascii="Arial" w:hAnsi="Arial"/>
      <w:sz w:val="22"/>
      <w:szCs w:val="22"/>
      <w:lang w:eastAsia="en-US"/>
    </w:rPr>
  </w:style>
  <w:style w:type="paragraph" w:customStyle="1" w:styleId="Heading23">
    <w:name w:val="Heading 2_3"/>
    <w:basedOn w:val="Normal7"/>
    <w:next w:val="Normal7"/>
    <w:link w:val="Heading2Char3"/>
    <w:qFormat/>
    <w:pPr>
      <w:spacing w:before="120"/>
      <w:outlineLvl w:val="1"/>
    </w:pPr>
    <w:rPr>
      <w:b/>
    </w:rPr>
  </w:style>
  <w:style w:type="character" w:customStyle="1" w:styleId="Heading2Char3">
    <w:name w:val="Heading 2 Char_3"/>
    <w:link w:val="Heading23"/>
    <w:rPr>
      <w:rFonts w:ascii="Arial" w:hAnsi="Arial"/>
      <w:b/>
      <w:sz w:val="22"/>
      <w:szCs w:val="22"/>
      <w:lang w:eastAsia="en-US"/>
    </w:rPr>
  </w:style>
  <w:style w:type="paragraph" w:customStyle="1" w:styleId="Normal8">
    <w:name w:val="Normal_8"/>
    <w:qFormat/>
    <w:pPr>
      <w:spacing w:after="120" w:line="240" w:lineRule="atLeast"/>
    </w:pPr>
    <w:rPr>
      <w:rFonts w:ascii="Arial" w:hAnsi="Arial"/>
      <w:sz w:val="22"/>
      <w:szCs w:val="22"/>
      <w:lang w:eastAsia="en-US"/>
    </w:rPr>
  </w:style>
  <w:style w:type="paragraph" w:customStyle="1" w:styleId="Heading24">
    <w:name w:val="Heading 2_4"/>
    <w:basedOn w:val="Normal9"/>
    <w:next w:val="Normal9"/>
    <w:link w:val="Heading2Char4"/>
    <w:qFormat/>
    <w:pPr>
      <w:spacing w:before="120"/>
      <w:outlineLvl w:val="1"/>
    </w:pPr>
    <w:rPr>
      <w:b/>
    </w:rPr>
  </w:style>
  <w:style w:type="paragraph" w:customStyle="1" w:styleId="Normal9">
    <w:name w:val="Normal_9"/>
    <w:qFormat/>
    <w:pPr>
      <w:spacing w:after="120" w:line="240" w:lineRule="atLeast"/>
    </w:pPr>
    <w:rPr>
      <w:rFonts w:ascii="Arial" w:hAnsi="Arial"/>
      <w:sz w:val="22"/>
      <w:szCs w:val="22"/>
      <w:lang w:eastAsia="en-US"/>
    </w:rPr>
  </w:style>
  <w:style w:type="character" w:customStyle="1" w:styleId="Heading2Char4">
    <w:name w:val="Heading 2 Char_4"/>
    <w:link w:val="Heading24"/>
    <w:rPr>
      <w:rFonts w:ascii="Arial" w:hAnsi="Arial"/>
      <w:b/>
      <w:sz w:val="22"/>
      <w:szCs w:val="22"/>
      <w:lang w:eastAsia="en-US"/>
    </w:rPr>
  </w:style>
  <w:style w:type="paragraph" w:customStyle="1" w:styleId="Normal10">
    <w:name w:val="Normal_10"/>
    <w:qFormat/>
    <w:pPr>
      <w:spacing w:after="120" w:line="240" w:lineRule="atLeast"/>
    </w:pPr>
    <w:rPr>
      <w:rFonts w:ascii="Arial" w:hAnsi="Arial"/>
      <w:sz w:val="22"/>
      <w:szCs w:val="22"/>
      <w:lang w:eastAsia="en-US"/>
    </w:rPr>
  </w:style>
  <w:style w:type="paragraph" w:customStyle="1" w:styleId="Heading25">
    <w:name w:val="Heading 2_5"/>
    <w:basedOn w:val="Normal10"/>
    <w:next w:val="Normal10"/>
    <w:link w:val="Heading2Char5"/>
    <w:qFormat/>
    <w:pPr>
      <w:spacing w:before="120"/>
      <w:outlineLvl w:val="1"/>
    </w:pPr>
    <w:rPr>
      <w:b/>
    </w:rPr>
  </w:style>
  <w:style w:type="character" w:customStyle="1" w:styleId="Heading2Char5">
    <w:name w:val="Heading 2 Char_5"/>
    <w:link w:val="Heading25"/>
    <w:rPr>
      <w:rFonts w:ascii="Arial" w:hAnsi="Arial"/>
      <w:b/>
      <w:sz w:val="22"/>
      <w:szCs w:val="22"/>
      <w:lang w:eastAsia="en-US"/>
    </w:rPr>
  </w:style>
  <w:style w:type="paragraph" w:customStyle="1" w:styleId="Heading26">
    <w:name w:val="Heading 2_6"/>
    <w:basedOn w:val="Normal11"/>
    <w:next w:val="Normal11"/>
    <w:link w:val="Heading2Char6"/>
    <w:qFormat/>
    <w:pPr>
      <w:spacing w:before="120"/>
      <w:outlineLvl w:val="1"/>
    </w:pPr>
    <w:rPr>
      <w:b/>
    </w:rPr>
  </w:style>
  <w:style w:type="paragraph" w:customStyle="1" w:styleId="Normal11">
    <w:name w:val="Normal_11"/>
    <w:qFormat/>
    <w:pPr>
      <w:spacing w:after="120" w:line="240" w:lineRule="atLeast"/>
    </w:pPr>
    <w:rPr>
      <w:rFonts w:ascii="Arial" w:hAnsi="Arial"/>
      <w:sz w:val="22"/>
      <w:szCs w:val="22"/>
      <w:lang w:eastAsia="en-US"/>
    </w:rPr>
  </w:style>
  <w:style w:type="character" w:customStyle="1" w:styleId="Heading2Char6">
    <w:name w:val="Heading 2 Char_6"/>
    <w:link w:val="Heading26"/>
    <w:rPr>
      <w:rFonts w:ascii="Arial" w:hAnsi="Arial"/>
      <w:b/>
      <w:sz w:val="22"/>
      <w:szCs w:val="22"/>
      <w:lang w:eastAsia="en-US"/>
    </w:rPr>
  </w:style>
  <w:style w:type="paragraph" w:customStyle="1" w:styleId="Heading27">
    <w:name w:val="Heading 2_7"/>
    <w:basedOn w:val="Normal12"/>
    <w:next w:val="Normal12"/>
    <w:link w:val="Heading2Char7"/>
    <w:qFormat/>
    <w:pPr>
      <w:spacing w:before="120"/>
      <w:outlineLvl w:val="1"/>
    </w:pPr>
    <w:rPr>
      <w:b/>
    </w:rPr>
  </w:style>
  <w:style w:type="paragraph" w:customStyle="1" w:styleId="Normal12">
    <w:name w:val="Normal_12"/>
    <w:qFormat/>
    <w:pPr>
      <w:spacing w:after="120" w:line="240" w:lineRule="atLeast"/>
    </w:pPr>
    <w:rPr>
      <w:rFonts w:ascii="Arial" w:hAnsi="Arial"/>
      <w:sz w:val="22"/>
      <w:szCs w:val="22"/>
      <w:lang w:eastAsia="en-US"/>
    </w:rPr>
  </w:style>
  <w:style w:type="character" w:customStyle="1" w:styleId="Heading2Char7">
    <w:name w:val="Heading 2 Char_7"/>
    <w:link w:val="Heading27"/>
    <w:rPr>
      <w:rFonts w:ascii="Arial" w:hAnsi="Arial"/>
      <w:b/>
      <w:sz w:val="22"/>
      <w:szCs w:val="22"/>
      <w:lang w:eastAsia="en-US"/>
    </w:rPr>
  </w:style>
  <w:style w:type="paragraph" w:customStyle="1" w:styleId="BodyText4">
    <w:name w:val="Body Text_4"/>
    <w:basedOn w:val="Normal12"/>
    <w:link w:val="BodyTextChar4"/>
    <w:pPr>
      <w:jc w:val="both"/>
    </w:pPr>
    <w:rPr>
      <w:sz w:val="20"/>
    </w:rPr>
  </w:style>
  <w:style w:type="character" w:customStyle="1" w:styleId="BodyTextChar4">
    <w:name w:val="Body Text Char_4"/>
    <w:link w:val="BodyText4"/>
    <w:rPr>
      <w:rFonts w:ascii="Arial" w:hAnsi="Arial"/>
      <w:szCs w:val="22"/>
      <w:lang w:eastAsia="en-US"/>
    </w:rPr>
  </w:style>
  <w:style w:type="paragraph" w:customStyle="1" w:styleId="Normal13">
    <w:name w:val="Normal_13"/>
    <w:qFormat/>
    <w:pPr>
      <w:spacing w:after="120" w:line="240" w:lineRule="atLeast"/>
    </w:pPr>
    <w:rPr>
      <w:rFonts w:ascii="Arial" w:hAnsi="Arial"/>
      <w:sz w:val="22"/>
      <w:szCs w:val="22"/>
      <w:lang w:eastAsia="en-US"/>
    </w:rPr>
  </w:style>
  <w:style w:type="paragraph" w:customStyle="1" w:styleId="Heading28">
    <w:name w:val="Heading 2_8"/>
    <w:basedOn w:val="Normal13"/>
    <w:next w:val="Normal13"/>
    <w:link w:val="Heading2Char8"/>
    <w:qFormat/>
    <w:pPr>
      <w:spacing w:before="120"/>
      <w:outlineLvl w:val="1"/>
    </w:pPr>
    <w:rPr>
      <w:b/>
    </w:rPr>
  </w:style>
  <w:style w:type="character" w:customStyle="1" w:styleId="Heading2Char8">
    <w:name w:val="Heading 2 Char_8"/>
    <w:link w:val="Heading28"/>
    <w:rPr>
      <w:rFonts w:ascii="Arial" w:hAnsi="Arial"/>
      <w:b/>
      <w:sz w:val="22"/>
      <w:szCs w:val="22"/>
      <w:lang w:eastAsia="en-US"/>
    </w:rPr>
  </w:style>
  <w:style w:type="character" w:customStyle="1" w:styleId="HeaderChar">
    <w:name w:val="Header Char"/>
    <w:link w:val="Header"/>
    <w:uiPriority w:val="99"/>
    <w:rPr>
      <w:rFonts w:eastAsia="Calibri"/>
      <w:sz w:val="24"/>
      <w:szCs w:val="22"/>
      <w:lang w:eastAsia="en-US"/>
    </w:rPr>
  </w:style>
  <w:style w:type="character" w:customStyle="1" w:styleId="FooterChar">
    <w:name w:val="Footer Char"/>
    <w:link w:val="Footer"/>
    <w:uiPriority w:val="99"/>
    <w:rPr>
      <w:rFonts w:eastAsia="Calibri"/>
      <w:sz w:val="24"/>
      <w:szCs w:val="22"/>
      <w:lang w:eastAsia="en-US"/>
    </w:rPr>
  </w:style>
  <w:style w:type="character" w:customStyle="1" w:styleId="FootnoteTextChar">
    <w:name w:val="Footnote Text Char"/>
    <w:link w:val="FootnoteText"/>
    <w:semiHidden/>
    <w:rPr>
      <w:lang w:eastAsia="de-DE"/>
    </w:rPr>
  </w:style>
  <w:style w:type="paragraph" w:styleId="TOC1">
    <w:name w:val="toc 1"/>
    <w:basedOn w:val="Normal"/>
    <w:next w:val="Normal"/>
    <w:uiPriority w:val="39"/>
    <w:unhideWhenUsed/>
    <w:pPr>
      <w:tabs>
        <w:tab w:val="right" w:leader="dot" w:pos="9071"/>
      </w:tabs>
      <w:spacing w:before="60" w:after="120"/>
      <w:ind w:left="850" w:hanging="850"/>
    </w:pPr>
    <w:rPr>
      <w:szCs w:val="22"/>
    </w:rPr>
  </w:style>
  <w:style w:type="paragraph" w:styleId="TOC4">
    <w:name w:val="toc 4"/>
    <w:basedOn w:val="Normal"/>
    <w:next w:val="Normal"/>
    <w:uiPriority w:val="39"/>
    <w:unhideWhenUsed/>
    <w:pPr>
      <w:tabs>
        <w:tab w:val="right" w:leader="dot" w:pos="9071"/>
      </w:tabs>
      <w:spacing w:before="60" w:after="120"/>
      <w:ind w:left="850" w:hanging="850"/>
    </w:pPr>
    <w:rPr>
      <w:szCs w:val="22"/>
    </w:rPr>
  </w:style>
  <w:style w:type="paragraph" w:styleId="TOC6">
    <w:name w:val="toc 6"/>
    <w:basedOn w:val="Normal"/>
    <w:next w:val="Normal"/>
    <w:uiPriority w:val="39"/>
    <w:unhideWhenUsed/>
    <w:pPr>
      <w:tabs>
        <w:tab w:val="right" w:leader="dot" w:pos="9071"/>
      </w:tabs>
      <w:spacing w:before="240" w:after="120"/>
    </w:pPr>
    <w:rPr>
      <w:szCs w:val="22"/>
    </w:rPr>
  </w:style>
  <w:style w:type="paragraph" w:styleId="TOC7">
    <w:name w:val="toc 7"/>
    <w:basedOn w:val="Normal"/>
    <w:next w:val="Normal"/>
    <w:uiPriority w:val="39"/>
    <w:unhideWhenUsed/>
    <w:pPr>
      <w:tabs>
        <w:tab w:val="right" w:leader="dot" w:pos="9071"/>
      </w:tabs>
      <w:spacing w:before="180" w:after="120"/>
    </w:pPr>
    <w:rPr>
      <w:szCs w:val="22"/>
    </w:rPr>
  </w:style>
  <w:style w:type="paragraph" w:styleId="TOC9">
    <w:name w:val="toc 9"/>
    <w:basedOn w:val="Normal"/>
    <w:next w:val="Normal"/>
    <w:uiPriority w:val="39"/>
    <w:unhideWhenUsed/>
    <w:pPr>
      <w:tabs>
        <w:tab w:val="right" w:leader="dot" w:pos="9071"/>
      </w:tabs>
      <w:spacing w:before="120" w:after="120"/>
      <w:jc w:val="both"/>
    </w:pPr>
    <w:rPr>
      <w:szCs w:val="22"/>
    </w:rPr>
  </w:style>
  <w:style w:type="paragraph" w:customStyle="1" w:styleId="Point0number">
    <w:name w:val="Point 0 (number)"/>
    <w:basedOn w:val="Normal"/>
    <w:pPr>
      <w:numPr>
        <w:numId w:val="34"/>
      </w:numPr>
      <w:spacing w:before="120" w:after="120"/>
      <w:jc w:val="both"/>
    </w:pPr>
    <w:rPr>
      <w:szCs w:val="22"/>
    </w:rPr>
  </w:style>
  <w:style w:type="paragraph" w:customStyle="1" w:styleId="Point1number">
    <w:name w:val="Point 1 (number)"/>
    <w:basedOn w:val="Normal"/>
    <w:pPr>
      <w:numPr>
        <w:ilvl w:val="2"/>
        <w:numId w:val="34"/>
      </w:numPr>
      <w:spacing w:before="120" w:after="120"/>
      <w:jc w:val="both"/>
    </w:pPr>
    <w:rPr>
      <w:szCs w:val="22"/>
    </w:rPr>
  </w:style>
  <w:style w:type="paragraph" w:customStyle="1" w:styleId="Point2number">
    <w:name w:val="Point 2 (number)"/>
    <w:basedOn w:val="Normal"/>
    <w:pPr>
      <w:numPr>
        <w:ilvl w:val="4"/>
        <w:numId w:val="34"/>
      </w:numPr>
      <w:spacing w:before="120" w:after="120"/>
      <w:jc w:val="both"/>
    </w:pPr>
    <w:rPr>
      <w:szCs w:val="22"/>
    </w:rPr>
  </w:style>
  <w:style w:type="paragraph" w:customStyle="1" w:styleId="Point3number">
    <w:name w:val="Point 3 (number)"/>
    <w:basedOn w:val="Normal"/>
    <w:pPr>
      <w:numPr>
        <w:ilvl w:val="6"/>
        <w:numId w:val="34"/>
      </w:numPr>
      <w:spacing w:before="120" w:after="120"/>
      <w:jc w:val="both"/>
    </w:pPr>
    <w:rPr>
      <w:szCs w:val="22"/>
    </w:rPr>
  </w:style>
  <w:style w:type="paragraph" w:customStyle="1" w:styleId="Point0letter">
    <w:name w:val="Point 0 (letter)"/>
    <w:basedOn w:val="Normal"/>
    <w:pPr>
      <w:numPr>
        <w:ilvl w:val="1"/>
        <w:numId w:val="34"/>
      </w:numPr>
      <w:spacing w:before="120" w:after="120"/>
      <w:jc w:val="both"/>
    </w:pPr>
    <w:rPr>
      <w:szCs w:val="22"/>
    </w:rPr>
  </w:style>
  <w:style w:type="paragraph" w:customStyle="1" w:styleId="Point1letter">
    <w:name w:val="Point 1 (letter)"/>
    <w:basedOn w:val="Normal"/>
    <w:pPr>
      <w:numPr>
        <w:ilvl w:val="3"/>
        <w:numId w:val="34"/>
      </w:numPr>
      <w:spacing w:before="120" w:after="120"/>
      <w:jc w:val="both"/>
    </w:pPr>
    <w:rPr>
      <w:szCs w:val="22"/>
    </w:rPr>
  </w:style>
  <w:style w:type="paragraph" w:customStyle="1" w:styleId="Point2letter">
    <w:name w:val="Point 2 (letter)"/>
    <w:basedOn w:val="Normal"/>
    <w:pPr>
      <w:numPr>
        <w:ilvl w:val="5"/>
        <w:numId w:val="34"/>
      </w:numPr>
      <w:spacing w:before="120" w:after="120"/>
      <w:jc w:val="both"/>
    </w:pPr>
    <w:rPr>
      <w:szCs w:val="22"/>
    </w:rPr>
  </w:style>
  <w:style w:type="paragraph" w:customStyle="1" w:styleId="Point3letter">
    <w:name w:val="Point 3 (letter)"/>
    <w:basedOn w:val="Normal"/>
    <w:pPr>
      <w:numPr>
        <w:ilvl w:val="7"/>
        <w:numId w:val="34"/>
      </w:numPr>
      <w:spacing w:before="120" w:after="120"/>
      <w:jc w:val="both"/>
    </w:pPr>
    <w:rPr>
      <w:szCs w:val="22"/>
    </w:rPr>
  </w:style>
  <w:style w:type="paragraph" w:customStyle="1" w:styleId="Point4letter">
    <w:name w:val="Point 4 (letter)"/>
    <w:basedOn w:val="Normal"/>
    <w:pPr>
      <w:numPr>
        <w:ilvl w:val="8"/>
        <w:numId w:val="34"/>
      </w:numPr>
      <w:spacing w:before="120" w:after="120"/>
      <w:jc w:val="both"/>
    </w:pPr>
    <w:rPr>
      <w:szCs w:val="22"/>
    </w:rPr>
  </w:style>
  <w:style w:type="paragraph" w:customStyle="1" w:styleId="Bullet0">
    <w:name w:val="Bullet 0"/>
    <w:basedOn w:val="Normal"/>
    <w:pPr>
      <w:numPr>
        <w:numId w:val="28"/>
      </w:numPr>
      <w:spacing w:before="120" w:after="120"/>
      <w:jc w:val="both"/>
    </w:pPr>
    <w:rPr>
      <w:szCs w:val="22"/>
    </w:rPr>
  </w:style>
  <w:style w:type="paragraph" w:customStyle="1" w:styleId="Bullet1">
    <w:name w:val="Bullet 1"/>
    <w:basedOn w:val="Normal"/>
    <w:pPr>
      <w:numPr>
        <w:numId w:val="35"/>
      </w:numPr>
      <w:spacing w:before="120" w:after="120"/>
      <w:jc w:val="both"/>
    </w:pPr>
    <w:rPr>
      <w:szCs w:val="22"/>
    </w:rPr>
  </w:style>
  <w:style w:type="paragraph" w:customStyle="1" w:styleId="Bullet2">
    <w:name w:val="Bullet 2"/>
    <w:basedOn w:val="Normal"/>
    <w:pPr>
      <w:numPr>
        <w:numId w:val="36"/>
      </w:numPr>
      <w:spacing w:before="120" w:after="120"/>
      <w:jc w:val="both"/>
    </w:pPr>
    <w:rPr>
      <w:szCs w:val="22"/>
    </w:rPr>
  </w:style>
  <w:style w:type="paragraph" w:customStyle="1" w:styleId="Bullet3">
    <w:name w:val="Bullet 3"/>
    <w:basedOn w:val="Normal"/>
    <w:pPr>
      <w:numPr>
        <w:numId w:val="37"/>
      </w:numPr>
      <w:spacing w:before="120" w:after="120"/>
      <w:jc w:val="both"/>
    </w:pPr>
    <w:rPr>
      <w:szCs w:val="22"/>
    </w:rPr>
  </w:style>
  <w:style w:type="paragraph" w:customStyle="1" w:styleId="Bullet4">
    <w:name w:val="Bullet 4"/>
    <w:basedOn w:val="Normal"/>
    <w:pPr>
      <w:numPr>
        <w:numId w:val="38"/>
      </w:numPr>
      <w:spacing w:before="120" w:after="120"/>
      <w:jc w:val="both"/>
    </w:pPr>
    <w:rPr>
      <w:szCs w:val="22"/>
    </w:rPr>
  </w:style>
  <w:style w:type="paragraph" w:customStyle="1" w:styleId="Annexetitre">
    <w:name w:val="Annexe titre"/>
    <w:basedOn w:val="Normal"/>
    <w:next w:val="Normal"/>
    <w:pPr>
      <w:spacing w:before="120" w:after="120"/>
      <w:jc w:val="center"/>
    </w:pPr>
    <w:rPr>
      <w:b/>
      <w:szCs w:val="22"/>
      <w:u w:val="single"/>
    </w:rPr>
  </w:style>
  <w:style w:type="paragraph" w:customStyle="1" w:styleId="Annexetitrefichefinancire">
    <w:name w:val="Annexe titre (fiche financière)"/>
    <w:basedOn w:val="Normal"/>
    <w:next w:val="Normal"/>
    <w:pPr>
      <w:spacing w:before="120" w:after="120"/>
      <w:jc w:val="center"/>
    </w:pPr>
    <w:rPr>
      <w:b/>
      <w:szCs w:val="22"/>
      <w:u w:val="single"/>
    </w:rPr>
  </w:style>
  <w:style w:type="paragraph" w:customStyle="1" w:styleId="Rfrenceinstitutionnelle">
    <w:name w:val="Référence institutionnelle"/>
    <w:basedOn w:val="Normal"/>
    <w:next w:val="Confidentialit"/>
    <w:pPr>
      <w:spacing w:after="240"/>
      <w:ind w:left="5103"/>
    </w:pPr>
    <w:rPr>
      <w:szCs w:val="22"/>
    </w:rPr>
  </w:style>
  <w:style w:type="paragraph" w:customStyle="1" w:styleId="Rfrenceinterinstitutionnelle">
    <w:name w:val="Référence interinstitutionnelle"/>
    <w:basedOn w:val="Normal"/>
    <w:next w:val="Statut"/>
    <w:pPr>
      <w:ind w:left="5103"/>
    </w:pPr>
    <w:rPr>
      <w:szCs w:val="22"/>
    </w:rPr>
  </w:style>
  <w:style w:type="paragraph" w:customStyle="1" w:styleId="Supertitre">
    <w:name w:val="Supertitre"/>
    <w:basedOn w:val="Normal"/>
    <w:next w:val="Normal"/>
    <w:pPr>
      <w:spacing w:after="600"/>
      <w:jc w:val="center"/>
    </w:pPr>
    <w:rPr>
      <w:b/>
      <w:szCs w:val="22"/>
    </w:rPr>
  </w:style>
  <w:style w:type="paragraph" w:customStyle="1" w:styleId="Languesfaisantfoi">
    <w:name w:val="Langues faisant foi"/>
    <w:basedOn w:val="Normal"/>
    <w:next w:val="Normal"/>
    <w:pPr>
      <w:spacing w:before="360"/>
      <w:jc w:val="center"/>
    </w:pPr>
    <w:rPr>
      <w:szCs w:val="22"/>
    </w:rPr>
  </w:style>
  <w:style w:type="paragraph" w:customStyle="1" w:styleId="Rfrencecroise">
    <w:name w:val="Référence croisée"/>
    <w:basedOn w:val="Normal"/>
    <w:pPr>
      <w:jc w:val="center"/>
    </w:pPr>
    <w:rPr>
      <w:szCs w:val="22"/>
    </w:rPr>
  </w:style>
  <w:style w:type="paragraph" w:customStyle="1" w:styleId="DatedadoptionPagedecouverture">
    <w:name w:val="Date d'adoption (Page de couverture)"/>
    <w:basedOn w:val="Datedadoption"/>
    <w:next w:val="TitreobjetPagedecouverture"/>
    <w:rPr>
      <w:szCs w:val="22"/>
      <w:lang w:eastAsia="en-GB"/>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rPr>
      <w:szCs w:val="22"/>
      <w:lang w:eastAsia="en-GB"/>
    </w:rPr>
  </w:style>
  <w:style w:type="paragraph" w:customStyle="1" w:styleId="StatutPagedecouverture">
    <w:name w:val="Statut (Page de couverture)"/>
    <w:basedOn w:val="Statut"/>
    <w:next w:val="TypedudocumentPagedecouverture"/>
    <w:rPr>
      <w:szCs w:val="22"/>
      <w:lang w:eastAsia="en-GB"/>
    </w:rPr>
  </w:style>
  <w:style w:type="paragraph" w:customStyle="1" w:styleId="TitreobjetPagedecouverture">
    <w:name w:val="Titre objet (Page de couverture)"/>
    <w:basedOn w:val="Titreobjet"/>
    <w:next w:val="Sous-titreobjetPagedecouverture"/>
    <w:rPr>
      <w:szCs w:val="22"/>
      <w:lang w:eastAsia="en-GB"/>
    </w:rPr>
  </w:style>
  <w:style w:type="paragraph" w:customStyle="1" w:styleId="TypedudocumentPagedecouverture">
    <w:name w:val="Type du document (Page de couverture)"/>
    <w:basedOn w:val="Typedudocument"/>
    <w:next w:val="TitreobjetPagedecouverture"/>
    <w:rPr>
      <w:szCs w:val="22"/>
      <w:lang w:eastAsia="en-GB"/>
    </w:rPr>
  </w:style>
  <w:style w:type="paragraph" w:customStyle="1" w:styleId="Volume">
    <w:name w:val="Volume"/>
    <w:basedOn w:val="Normal"/>
    <w:next w:val="Confidentialit"/>
    <w:pPr>
      <w:spacing w:after="240"/>
      <w:ind w:left="5103"/>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jc w:val="center"/>
    </w:pPr>
    <w:rPr>
      <w:b/>
      <w:i/>
      <w:szCs w:val="22"/>
    </w:rPr>
  </w:style>
  <w:style w:type="paragraph" w:customStyle="1" w:styleId="Typeacteprincipal">
    <w:name w:val="Type acte principal"/>
    <w:basedOn w:val="Normal"/>
    <w:next w:val="Objetacteprincipal"/>
    <w:pPr>
      <w:spacing w:after="240"/>
      <w:jc w:val="center"/>
    </w:pPr>
    <w:rPr>
      <w:b/>
      <w:szCs w:val="22"/>
    </w:rPr>
  </w:style>
  <w:style w:type="paragraph" w:customStyle="1" w:styleId="Objetacteprincipal">
    <w:name w:val="Objet acte principal"/>
    <w:basedOn w:val="Normal"/>
    <w:next w:val="Titrearticle"/>
    <w:pPr>
      <w:spacing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szCs w:val="22"/>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numbering" w:customStyle="1" w:styleId="NoList6">
    <w:name w:val="No List6"/>
    <w:next w:val="NoList"/>
    <w:uiPriority w:val="99"/>
    <w:semiHidden/>
    <w:unhideWhenUsed/>
  </w:style>
  <w:style w:type="paragraph" w:customStyle="1" w:styleId="Declassification">
    <w:name w:val="Declassification"/>
    <w:basedOn w:val="Normal"/>
    <w:next w:val="Normal"/>
    <w:pPr>
      <w:jc w:val="both"/>
    </w:pPr>
    <w:rPr>
      <w:rFonts w:eastAsia="Calibr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2307">
      <w:bodyDiv w:val="1"/>
      <w:marLeft w:val="0"/>
      <w:marRight w:val="0"/>
      <w:marTop w:val="0"/>
      <w:marBottom w:val="0"/>
      <w:divBdr>
        <w:top w:val="none" w:sz="0" w:space="0" w:color="auto"/>
        <w:left w:val="none" w:sz="0" w:space="0" w:color="auto"/>
        <w:bottom w:val="none" w:sz="0" w:space="0" w:color="auto"/>
        <w:right w:val="none" w:sz="0" w:space="0" w:color="auto"/>
      </w:divBdr>
    </w:div>
    <w:div w:id="155388348">
      <w:bodyDiv w:val="1"/>
      <w:marLeft w:val="0"/>
      <w:marRight w:val="0"/>
      <w:marTop w:val="0"/>
      <w:marBottom w:val="0"/>
      <w:divBdr>
        <w:top w:val="none" w:sz="0" w:space="0" w:color="auto"/>
        <w:left w:val="none" w:sz="0" w:space="0" w:color="auto"/>
        <w:bottom w:val="none" w:sz="0" w:space="0" w:color="auto"/>
        <w:right w:val="none" w:sz="0" w:space="0" w:color="auto"/>
      </w:divBdr>
    </w:div>
    <w:div w:id="554313276">
      <w:bodyDiv w:val="1"/>
      <w:marLeft w:val="0"/>
      <w:marRight w:val="0"/>
      <w:marTop w:val="0"/>
      <w:marBottom w:val="0"/>
      <w:divBdr>
        <w:top w:val="none" w:sz="0" w:space="0" w:color="auto"/>
        <w:left w:val="none" w:sz="0" w:space="0" w:color="auto"/>
        <w:bottom w:val="none" w:sz="0" w:space="0" w:color="auto"/>
        <w:right w:val="none" w:sz="0" w:space="0" w:color="auto"/>
      </w:divBdr>
    </w:div>
    <w:div w:id="602297671">
      <w:bodyDiv w:val="1"/>
      <w:marLeft w:val="0"/>
      <w:marRight w:val="0"/>
      <w:marTop w:val="0"/>
      <w:marBottom w:val="0"/>
      <w:divBdr>
        <w:top w:val="none" w:sz="0" w:space="0" w:color="auto"/>
        <w:left w:val="none" w:sz="0" w:space="0" w:color="auto"/>
        <w:bottom w:val="none" w:sz="0" w:space="0" w:color="auto"/>
        <w:right w:val="none" w:sz="0" w:space="0" w:color="auto"/>
      </w:divBdr>
    </w:div>
    <w:div w:id="667945439">
      <w:bodyDiv w:val="1"/>
      <w:marLeft w:val="0"/>
      <w:marRight w:val="0"/>
      <w:marTop w:val="0"/>
      <w:marBottom w:val="0"/>
      <w:divBdr>
        <w:top w:val="none" w:sz="0" w:space="0" w:color="auto"/>
        <w:left w:val="none" w:sz="0" w:space="0" w:color="auto"/>
        <w:bottom w:val="none" w:sz="0" w:space="0" w:color="auto"/>
        <w:right w:val="none" w:sz="0" w:space="0" w:color="auto"/>
      </w:divBdr>
    </w:div>
    <w:div w:id="872309839">
      <w:bodyDiv w:val="1"/>
      <w:marLeft w:val="0"/>
      <w:marRight w:val="0"/>
      <w:marTop w:val="0"/>
      <w:marBottom w:val="0"/>
      <w:divBdr>
        <w:top w:val="none" w:sz="0" w:space="0" w:color="auto"/>
        <w:left w:val="none" w:sz="0" w:space="0" w:color="auto"/>
        <w:bottom w:val="none" w:sz="0" w:space="0" w:color="auto"/>
        <w:right w:val="none" w:sz="0" w:space="0" w:color="auto"/>
      </w:divBdr>
    </w:div>
    <w:div w:id="894270538">
      <w:bodyDiv w:val="1"/>
      <w:marLeft w:val="0"/>
      <w:marRight w:val="0"/>
      <w:marTop w:val="0"/>
      <w:marBottom w:val="0"/>
      <w:divBdr>
        <w:top w:val="none" w:sz="0" w:space="0" w:color="auto"/>
        <w:left w:val="none" w:sz="0" w:space="0" w:color="auto"/>
        <w:bottom w:val="none" w:sz="0" w:space="0" w:color="auto"/>
        <w:right w:val="none" w:sz="0" w:space="0" w:color="auto"/>
      </w:divBdr>
    </w:div>
    <w:div w:id="919751975">
      <w:bodyDiv w:val="1"/>
      <w:marLeft w:val="0"/>
      <w:marRight w:val="0"/>
      <w:marTop w:val="0"/>
      <w:marBottom w:val="0"/>
      <w:divBdr>
        <w:top w:val="none" w:sz="0" w:space="0" w:color="auto"/>
        <w:left w:val="none" w:sz="0" w:space="0" w:color="auto"/>
        <w:bottom w:val="none" w:sz="0" w:space="0" w:color="auto"/>
        <w:right w:val="none" w:sz="0" w:space="0" w:color="auto"/>
      </w:divBdr>
    </w:div>
    <w:div w:id="1003047541">
      <w:bodyDiv w:val="1"/>
      <w:marLeft w:val="0"/>
      <w:marRight w:val="0"/>
      <w:marTop w:val="0"/>
      <w:marBottom w:val="0"/>
      <w:divBdr>
        <w:top w:val="none" w:sz="0" w:space="0" w:color="auto"/>
        <w:left w:val="none" w:sz="0" w:space="0" w:color="auto"/>
        <w:bottom w:val="none" w:sz="0" w:space="0" w:color="auto"/>
        <w:right w:val="none" w:sz="0" w:space="0" w:color="auto"/>
      </w:divBdr>
    </w:div>
    <w:div w:id="1013259284">
      <w:bodyDiv w:val="1"/>
      <w:marLeft w:val="0"/>
      <w:marRight w:val="0"/>
      <w:marTop w:val="0"/>
      <w:marBottom w:val="0"/>
      <w:divBdr>
        <w:top w:val="none" w:sz="0" w:space="0" w:color="auto"/>
        <w:left w:val="none" w:sz="0" w:space="0" w:color="auto"/>
        <w:bottom w:val="none" w:sz="0" w:space="0" w:color="auto"/>
        <w:right w:val="none" w:sz="0" w:space="0" w:color="auto"/>
      </w:divBdr>
    </w:div>
    <w:div w:id="1036346547">
      <w:bodyDiv w:val="1"/>
      <w:marLeft w:val="0"/>
      <w:marRight w:val="0"/>
      <w:marTop w:val="0"/>
      <w:marBottom w:val="0"/>
      <w:divBdr>
        <w:top w:val="none" w:sz="0" w:space="0" w:color="auto"/>
        <w:left w:val="none" w:sz="0" w:space="0" w:color="auto"/>
        <w:bottom w:val="none" w:sz="0" w:space="0" w:color="auto"/>
        <w:right w:val="none" w:sz="0" w:space="0" w:color="auto"/>
      </w:divBdr>
    </w:div>
    <w:div w:id="1169713527">
      <w:bodyDiv w:val="1"/>
      <w:marLeft w:val="0"/>
      <w:marRight w:val="0"/>
      <w:marTop w:val="0"/>
      <w:marBottom w:val="0"/>
      <w:divBdr>
        <w:top w:val="none" w:sz="0" w:space="0" w:color="auto"/>
        <w:left w:val="none" w:sz="0" w:space="0" w:color="auto"/>
        <w:bottom w:val="none" w:sz="0" w:space="0" w:color="auto"/>
        <w:right w:val="none" w:sz="0" w:space="0" w:color="auto"/>
      </w:divBdr>
    </w:div>
    <w:div w:id="1215392890">
      <w:bodyDiv w:val="1"/>
      <w:marLeft w:val="0"/>
      <w:marRight w:val="0"/>
      <w:marTop w:val="0"/>
      <w:marBottom w:val="0"/>
      <w:divBdr>
        <w:top w:val="none" w:sz="0" w:space="0" w:color="auto"/>
        <w:left w:val="none" w:sz="0" w:space="0" w:color="auto"/>
        <w:bottom w:val="none" w:sz="0" w:space="0" w:color="auto"/>
        <w:right w:val="none" w:sz="0" w:space="0" w:color="auto"/>
      </w:divBdr>
    </w:div>
    <w:div w:id="1253393124">
      <w:bodyDiv w:val="1"/>
      <w:marLeft w:val="0"/>
      <w:marRight w:val="0"/>
      <w:marTop w:val="0"/>
      <w:marBottom w:val="0"/>
      <w:divBdr>
        <w:top w:val="none" w:sz="0" w:space="0" w:color="auto"/>
        <w:left w:val="none" w:sz="0" w:space="0" w:color="auto"/>
        <w:bottom w:val="none" w:sz="0" w:space="0" w:color="auto"/>
        <w:right w:val="none" w:sz="0" w:space="0" w:color="auto"/>
      </w:divBdr>
    </w:div>
    <w:div w:id="1309163669">
      <w:bodyDiv w:val="1"/>
      <w:marLeft w:val="0"/>
      <w:marRight w:val="0"/>
      <w:marTop w:val="0"/>
      <w:marBottom w:val="0"/>
      <w:divBdr>
        <w:top w:val="none" w:sz="0" w:space="0" w:color="auto"/>
        <w:left w:val="none" w:sz="0" w:space="0" w:color="auto"/>
        <w:bottom w:val="none" w:sz="0" w:space="0" w:color="auto"/>
        <w:right w:val="none" w:sz="0" w:space="0" w:color="auto"/>
      </w:divBdr>
    </w:div>
    <w:div w:id="1493914065">
      <w:bodyDiv w:val="1"/>
      <w:marLeft w:val="0"/>
      <w:marRight w:val="0"/>
      <w:marTop w:val="0"/>
      <w:marBottom w:val="0"/>
      <w:divBdr>
        <w:top w:val="none" w:sz="0" w:space="0" w:color="auto"/>
        <w:left w:val="none" w:sz="0" w:space="0" w:color="auto"/>
        <w:bottom w:val="none" w:sz="0" w:space="0" w:color="auto"/>
        <w:right w:val="none" w:sz="0" w:space="0" w:color="auto"/>
      </w:divBdr>
    </w:div>
    <w:div w:id="1510633624">
      <w:bodyDiv w:val="1"/>
      <w:marLeft w:val="0"/>
      <w:marRight w:val="0"/>
      <w:marTop w:val="0"/>
      <w:marBottom w:val="0"/>
      <w:divBdr>
        <w:top w:val="none" w:sz="0" w:space="0" w:color="auto"/>
        <w:left w:val="none" w:sz="0" w:space="0" w:color="auto"/>
        <w:bottom w:val="none" w:sz="0" w:space="0" w:color="auto"/>
        <w:right w:val="none" w:sz="0" w:space="0" w:color="auto"/>
      </w:divBdr>
    </w:div>
    <w:div w:id="1525484433">
      <w:bodyDiv w:val="1"/>
      <w:marLeft w:val="0"/>
      <w:marRight w:val="0"/>
      <w:marTop w:val="0"/>
      <w:marBottom w:val="0"/>
      <w:divBdr>
        <w:top w:val="none" w:sz="0" w:space="0" w:color="auto"/>
        <w:left w:val="none" w:sz="0" w:space="0" w:color="auto"/>
        <w:bottom w:val="none" w:sz="0" w:space="0" w:color="auto"/>
        <w:right w:val="none" w:sz="0" w:space="0" w:color="auto"/>
      </w:divBdr>
    </w:div>
    <w:div w:id="1633248846">
      <w:bodyDiv w:val="1"/>
      <w:marLeft w:val="0"/>
      <w:marRight w:val="0"/>
      <w:marTop w:val="0"/>
      <w:marBottom w:val="0"/>
      <w:divBdr>
        <w:top w:val="none" w:sz="0" w:space="0" w:color="auto"/>
        <w:left w:val="none" w:sz="0" w:space="0" w:color="auto"/>
        <w:bottom w:val="none" w:sz="0" w:space="0" w:color="auto"/>
        <w:right w:val="none" w:sz="0" w:space="0" w:color="auto"/>
      </w:divBdr>
    </w:div>
    <w:div w:id="1677725359">
      <w:bodyDiv w:val="1"/>
      <w:marLeft w:val="0"/>
      <w:marRight w:val="0"/>
      <w:marTop w:val="0"/>
      <w:marBottom w:val="0"/>
      <w:divBdr>
        <w:top w:val="none" w:sz="0" w:space="0" w:color="auto"/>
        <w:left w:val="none" w:sz="0" w:space="0" w:color="auto"/>
        <w:bottom w:val="none" w:sz="0" w:space="0" w:color="auto"/>
        <w:right w:val="none" w:sz="0" w:space="0" w:color="auto"/>
      </w:divBdr>
    </w:div>
    <w:div w:id="1734156655">
      <w:bodyDiv w:val="1"/>
      <w:marLeft w:val="0"/>
      <w:marRight w:val="0"/>
      <w:marTop w:val="0"/>
      <w:marBottom w:val="0"/>
      <w:divBdr>
        <w:top w:val="none" w:sz="0" w:space="0" w:color="auto"/>
        <w:left w:val="none" w:sz="0" w:space="0" w:color="auto"/>
        <w:bottom w:val="none" w:sz="0" w:space="0" w:color="auto"/>
        <w:right w:val="none" w:sz="0" w:space="0" w:color="auto"/>
      </w:divBdr>
    </w:div>
    <w:div w:id="1741051246">
      <w:bodyDiv w:val="1"/>
      <w:marLeft w:val="0"/>
      <w:marRight w:val="0"/>
      <w:marTop w:val="0"/>
      <w:marBottom w:val="0"/>
      <w:divBdr>
        <w:top w:val="none" w:sz="0" w:space="0" w:color="auto"/>
        <w:left w:val="none" w:sz="0" w:space="0" w:color="auto"/>
        <w:bottom w:val="none" w:sz="0" w:space="0" w:color="auto"/>
        <w:right w:val="none" w:sz="0" w:space="0" w:color="auto"/>
      </w:divBdr>
    </w:div>
    <w:div w:id="1820808153">
      <w:bodyDiv w:val="1"/>
      <w:marLeft w:val="0"/>
      <w:marRight w:val="0"/>
      <w:marTop w:val="0"/>
      <w:marBottom w:val="0"/>
      <w:divBdr>
        <w:top w:val="none" w:sz="0" w:space="0" w:color="auto"/>
        <w:left w:val="none" w:sz="0" w:space="0" w:color="auto"/>
        <w:bottom w:val="none" w:sz="0" w:space="0" w:color="auto"/>
        <w:right w:val="none" w:sz="0" w:space="0" w:color="auto"/>
      </w:divBdr>
    </w:div>
    <w:div w:id="1825971393">
      <w:bodyDiv w:val="1"/>
      <w:marLeft w:val="0"/>
      <w:marRight w:val="0"/>
      <w:marTop w:val="0"/>
      <w:marBottom w:val="0"/>
      <w:divBdr>
        <w:top w:val="none" w:sz="0" w:space="0" w:color="auto"/>
        <w:left w:val="none" w:sz="0" w:space="0" w:color="auto"/>
        <w:bottom w:val="none" w:sz="0" w:space="0" w:color="auto"/>
        <w:right w:val="none" w:sz="0" w:space="0" w:color="auto"/>
      </w:divBdr>
    </w:div>
    <w:div w:id="1863395993">
      <w:bodyDiv w:val="1"/>
      <w:marLeft w:val="0"/>
      <w:marRight w:val="0"/>
      <w:marTop w:val="0"/>
      <w:marBottom w:val="0"/>
      <w:divBdr>
        <w:top w:val="none" w:sz="0" w:space="0" w:color="auto"/>
        <w:left w:val="none" w:sz="0" w:space="0" w:color="auto"/>
        <w:bottom w:val="none" w:sz="0" w:space="0" w:color="auto"/>
        <w:right w:val="none" w:sz="0" w:space="0" w:color="auto"/>
      </w:divBdr>
    </w:div>
    <w:div w:id="1875575281">
      <w:bodyDiv w:val="1"/>
      <w:marLeft w:val="0"/>
      <w:marRight w:val="0"/>
      <w:marTop w:val="0"/>
      <w:marBottom w:val="0"/>
      <w:divBdr>
        <w:top w:val="none" w:sz="0" w:space="0" w:color="auto"/>
        <w:left w:val="none" w:sz="0" w:space="0" w:color="auto"/>
        <w:bottom w:val="none" w:sz="0" w:space="0" w:color="auto"/>
        <w:right w:val="none" w:sz="0" w:space="0" w:color="auto"/>
      </w:divBdr>
    </w:div>
    <w:div w:id="1946888776">
      <w:bodyDiv w:val="1"/>
      <w:marLeft w:val="0"/>
      <w:marRight w:val="0"/>
      <w:marTop w:val="0"/>
      <w:marBottom w:val="0"/>
      <w:divBdr>
        <w:top w:val="none" w:sz="0" w:space="0" w:color="auto"/>
        <w:left w:val="none" w:sz="0" w:space="0" w:color="auto"/>
        <w:bottom w:val="none" w:sz="0" w:space="0" w:color="auto"/>
        <w:right w:val="none" w:sz="0" w:space="0" w:color="auto"/>
      </w:divBdr>
    </w:div>
    <w:div w:id="211886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png"/><Relationship Id="rId39" Type="http://schemas.openxmlformats.org/officeDocument/2006/relationships/header" Target="header11.xml"/><Relationship Id="rId21" Type="http://schemas.openxmlformats.org/officeDocument/2006/relationships/footer" Target="footer6.xml"/><Relationship Id="rId34" Type="http://schemas.openxmlformats.org/officeDocument/2006/relationships/footer" Target="footer7.xml"/><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header" Target="header16.xml"/><Relationship Id="rId55" Type="http://schemas.openxmlformats.org/officeDocument/2006/relationships/footer" Target="footer18.xml"/><Relationship Id="rId63" Type="http://schemas.openxmlformats.org/officeDocument/2006/relationships/header" Target="header23.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2.xml"/><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header" Target="header14.xml"/><Relationship Id="rId53" Type="http://schemas.openxmlformats.org/officeDocument/2006/relationships/footer" Target="footer17.xml"/><Relationship Id="rId58" Type="http://schemas.openxmlformats.org/officeDocument/2006/relationships/footer" Target="footer19.xml"/><Relationship Id="rId66" Type="http://schemas.openxmlformats.org/officeDocument/2006/relationships/header" Target="header2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image" Target="media/image6.png"/><Relationship Id="rId36" Type="http://schemas.openxmlformats.org/officeDocument/2006/relationships/header" Target="header9.xml"/><Relationship Id="rId49" Type="http://schemas.openxmlformats.org/officeDocument/2006/relationships/footer" Target="footer15.xml"/><Relationship Id="rId57" Type="http://schemas.openxmlformats.org/officeDocument/2006/relationships/header" Target="header20.xml"/><Relationship Id="rId61" Type="http://schemas.openxmlformats.org/officeDocument/2006/relationships/footer" Target="footer2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chart" Target="charts/chart5.xml"/><Relationship Id="rId44" Type="http://schemas.openxmlformats.org/officeDocument/2006/relationships/header" Target="header13.xml"/><Relationship Id="rId52" Type="http://schemas.openxmlformats.org/officeDocument/2006/relationships/footer" Target="footer16.xml"/><Relationship Id="rId60" Type="http://schemas.openxmlformats.org/officeDocument/2006/relationships/header" Target="header21.xml"/><Relationship Id="rId65"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image" Target="media/image5.png"/><Relationship Id="rId30" Type="http://schemas.openxmlformats.org/officeDocument/2006/relationships/chart" Target="charts/chart4.xm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header" Target="header15.xml"/><Relationship Id="rId56" Type="http://schemas.openxmlformats.org/officeDocument/2006/relationships/header" Target="header19.xml"/><Relationship Id="rId64" Type="http://schemas.openxmlformats.org/officeDocument/2006/relationships/footer" Target="footer22.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3.png"/><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footer" Target="footer13.xml"/><Relationship Id="rId59" Type="http://schemas.openxmlformats.org/officeDocument/2006/relationships/footer" Target="footer20.xml"/><Relationship Id="rId67" Type="http://schemas.openxmlformats.org/officeDocument/2006/relationships/footer" Target="footer24.xml"/><Relationship Id="rId20" Type="http://schemas.openxmlformats.org/officeDocument/2006/relationships/header" Target="header6.xml"/><Relationship Id="rId41" Type="http://schemas.openxmlformats.org/officeDocument/2006/relationships/footer" Target="footer11.xml"/><Relationship Id="rId54" Type="http://schemas.openxmlformats.org/officeDocument/2006/relationships/header" Target="header18.xml"/><Relationship Id="rId62" Type="http://schemas.openxmlformats.org/officeDocument/2006/relationships/header" Target="header2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beilux.eib.org\G_Disk\FI\PUBLIC\CF-Tiers\FG%20(Fonds%20de%20Garantie)\FDG%20Annual%20Report\Rapport%20Gestion%202017\Assets%20held%20analysis%202017.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beilux.eib.org\G_Disk\FI\PUBLIC\CF-Tiers\FG%20(Fonds%20de%20Garantie)\FDG%20Annual%20Report\Rapport%20Gestion%202015\Lending%20by%20redemption%20profile%202015.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beilux.eib.org\G_Disk\FI\PUBLIC\CF-Tiers\FG%20(Fonds%20de%20Garantie)\FDG%20Annual%20Report\Rapport%20Gestion%202017\Assets%20held%20analysis%202017.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beilux.eib.org\G_Disk\FI\PUBLIC\CF-Tiers\FG%20(Fonds%20de%20Garantie)\FDG%20Annual%20Report\Rapport%20Gestion%202017\Assets%20held%20analysis%202017.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16199986738007"/>
          <c:y val="8.9568284453797345E-2"/>
          <c:w val="0.62697272659529546"/>
          <c:h val="0.81222769142199192"/>
        </c:manualLayout>
      </c:layout>
      <c:lineChart>
        <c:grouping val="standard"/>
        <c:varyColors val="0"/>
        <c:ser>
          <c:idx val="0"/>
          <c:order val="0"/>
          <c:tx>
            <c:strRef>
              <c:f>'updated Chart for 2017'!$D$2</c:f>
              <c:strCache>
                <c:ptCount val="1"/>
                <c:pt idx="0">
                  <c:v>2017</c:v>
                </c:pt>
              </c:strCache>
            </c:strRef>
          </c:tx>
          <c:marker>
            <c:symbol val="none"/>
          </c:marker>
          <c:cat>
            <c:strRef>
              <c:f>'updated Chart for 2017'!$C$3:$C$14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'updated Chart for 2017'!$D$3:$D$14</c:f>
              <c:numCache>
                <c:formatCode>_-* #,##0_-;\-* #,##0_-;_-* "-"??_-;_-@_-</c:formatCode>
                <c:ptCount val="12"/>
                <c:pt idx="0">
                  <c:v>2481.8412594000001</c:v>
                </c:pt>
                <c:pt idx="1">
                  <c:v>2489.3120478000001</c:v>
                </c:pt>
                <c:pt idx="2">
                  <c:v>2477.9157233000001</c:v>
                </c:pt>
                <c:pt idx="3">
                  <c:v>2481.6518438000003</c:v>
                </c:pt>
                <c:pt idx="4">
                  <c:v>2484.6980781899997</c:v>
                </c:pt>
                <c:pt idx="5">
                  <c:v>2472.2232295100002</c:v>
                </c:pt>
                <c:pt idx="6">
                  <c:v>2461.2656726099999</c:v>
                </c:pt>
                <c:pt idx="7">
                  <c:v>2464.7970077000004</c:v>
                </c:pt>
                <c:pt idx="8">
                  <c:v>2462.4236008299999</c:v>
                </c:pt>
                <c:pt idx="9">
                  <c:v>2459.4359960200004</c:v>
                </c:pt>
                <c:pt idx="10">
                  <c:v>2453.2747764400006</c:v>
                </c:pt>
                <c:pt idx="11" formatCode="_(* #,##0.00_);_(* \(#,##0.00\);_(* &quot;-&quot;??_);_(@_)">
                  <c:v>2546.5480660200001</c:v>
                </c:pt>
              </c:numCache>
            </c:numRef>
          </c:val>
          <c:smooth val="0"/>
        </c:ser>
        <c:ser>
          <c:idx val="1"/>
          <c:order val="1"/>
          <c:tx>
            <c:strRef>
              <c:f>'updated Chart for 2017'!$E$2</c:f>
              <c:strCache>
                <c:ptCount val="1"/>
                <c:pt idx="0">
                  <c:v>2016</c:v>
                </c:pt>
              </c:strCache>
            </c:strRef>
          </c:tx>
          <c:marker>
            <c:symbol val="none"/>
          </c:marker>
          <c:cat>
            <c:strRef>
              <c:f>'updated Chart for 2017'!$C$3:$C$14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'updated Chart for 2017'!$E$3:$E$14</c:f>
              <c:numCache>
                <c:formatCode>_-* #,##0_-;\-* #,##0_-;_-* "-"??_-;_-@_-</c:formatCode>
                <c:ptCount val="12"/>
                <c:pt idx="0">
                  <c:v>2338.1105718899998</c:v>
                </c:pt>
                <c:pt idx="1">
                  <c:v>2332.169778</c:v>
                </c:pt>
                <c:pt idx="2">
                  <c:v>2327.73917338</c:v>
                </c:pt>
                <c:pt idx="3">
                  <c:v>2325.9199515799996</c:v>
                </c:pt>
                <c:pt idx="4">
                  <c:v>2324.4776666600001</c:v>
                </c:pt>
                <c:pt idx="5">
                  <c:v>2337.7870936799995</c:v>
                </c:pt>
                <c:pt idx="6">
                  <c:v>2327.17503046</c:v>
                </c:pt>
                <c:pt idx="7">
                  <c:v>2323.1304797200005</c:v>
                </c:pt>
                <c:pt idx="8">
                  <c:v>2312.0680960700001</c:v>
                </c:pt>
                <c:pt idx="9">
                  <c:v>2304.0662809500004</c:v>
                </c:pt>
                <c:pt idx="10">
                  <c:v>2266.3121475900002</c:v>
                </c:pt>
                <c:pt idx="11">
                  <c:v>2490.7321465599998</c:v>
                </c:pt>
              </c:numCache>
            </c:numRef>
          </c:val>
          <c:smooth val="0"/>
        </c:ser>
        <c:dLbls>
          <c:showLegendKey val="0"/>
          <c:showVal val="0"/>
          <c:showCatName val="0"/>
          <c:showSerName val="0"/>
          <c:showPercent val="0"/>
          <c:showBubbleSize val="0"/>
        </c:dLbls>
        <c:marker val="1"/>
        <c:smooth val="0"/>
        <c:axId val="64294272"/>
        <c:axId val="6505600"/>
      </c:lineChart>
      <c:catAx>
        <c:axId val="64294272"/>
        <c:scaling>
          <c:orientation val="minMax"/>
        </c:scaling>
        <c:delete val="0"/>
        <c:axPos val="b"/>
        <c:numFmt formatCode="mmm\-yy" sourceLinked="1"/>
        <c:majorTickMark val="out"/>
        <c:minorTickMark val="none"/>
        <c:tickLblPos val="nextTo"/>
        <c:crossAx val="6505600"/>
        <c:crossesAt val="1000"/>
        <c:auto val="1"/>
        <c:lblAlgn val="ctr"/>
        <c:lblOffset val="100"/>
        <c:noMultiLvlLbl val="0"/>
      </c:catAx>
      <c:valAx>
        <c:axId val="6505600"/>
        <c:scaling>
          <c:orientation val="minMax"/>
          <c:max val="2600"/>
          <c:min val="2200"/>
        </c:scaling>
        <c:delete val="0"/>
        <c:axPos val="l"/>
        <c:majorGridlines/>
        <c:title>
          <c:tx>
            <c:rich>
              <a:bodyPr/>
              <a:lstStyle/>
              <a:p>
                <a:pPr>
                  <a:defRPr sz="1200" b="1" i="0" u="none" strike="noStrike" baseline="0">
                    <a:solidFill>
                      <a:srgbClr val="000000"/>
                    </a:solidFill>
                    <a:latin typeface="Arial"/>
                    <a:ea typeface="Arial"/>
                    <a:cs typeface="Arial"/>
                  </a:defRPr>
                </a:pPr>
                <a:r>
                  <a:rPr lang="en-GB"/>
                  <a:t>
(million euro)
</a:t>
                </a:r>
              </a:p>
            </c:rich>
          </c:tx>
          <c:layout/>
          <c:overlay val="0"/>
        </c:title>
        <c:numFmt formatCode="_-* #,##0_-;\-* #,##0_-;_-* &quot;-&quot;??_-;_-@_-" sourceLinked="1"/>
        <c:majorTickMark val="out"/>
        <c:minorTickMark val="none"/>
        <c:tickLblPos val="nextTo"/>
        <c:crossAx val="64294272"/>
        <c:crosses val="autoZero"/>
        <c:crossBetween val="between"/>
        <c:majorUnit val="50"/>
        <c:minorUnit val="50"/>
      </c:valAx>
    </c:plotArea>
    <c:legend>
      <c:legendPos val="r"/>
      <c:layout>
        <c:manualLayout>
          <c:xMode val="edge"/>
          <c:yMode val="edge"/>
          <c:x val="0.79170445137310863"/>
          <c:y val="0.41016503618865824"/>
          <c:w val="0.13597544434462472"/>
          <c:h val="0.13221267796070951"/>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1617227214627911"/>
          <c:y val="0.11375245743846649"/>
          <c:w val="0.77389505445677553"/>
          <c:h val="0.76608344699179798"/>
        </c:manualLayout>
      </c:layout>
      <c:pie3DChart>
        <c:varyColors val="1"/>
        <c:ser>
          <c:idx val="0"/>
          <c:order val="0"/>
          <c:tx>
            <c:strRef>
              <c:f>'STD profile'!$E$136:$E$139</c:f>
              <c:strCache>
                <c:ptCount val="1"/>
                <c:pt idx="0">
                  <c:v>A1/ P-1 A2/ P-1 Aa2/ P-1 Aa3/ P-1</c:v>
                </c:pt>
              </c:strCache>
            </c:strRef>
          </c:tx>
          <c:explosion val="25"/>
          <c:dPt>
            <c:idx val="0"/>
            <c:bubble3D val="0"/>
            <c:explosion val="2"/>
            <c:spPr>
              <a:solidFill>
                <a:srgbClr val="9999FF"/>
              </a:solidFill>
              <a:ln w="12700">
                <a:solidFill>
                  <a:schemeClr val="tx1"/>
                </a:solidFill>
              </a:ln>
            </c:spPr>
          </c:dPt>
          <c:dPt>
            <c:idx val="1"/>
            <c:bubble3D val="0"/>
            <c:spPr>
              <a:solidFill>
                <a:srgbClr val="993366"/>
              </a:solidFill>
              <a:ln w="12700">
                <a:solidFill>
                  <a:schemeClr val="tx1"/>
                </a:solidFill>
              </a:ln>
            </c:spPr>
          </c:dPt>
          <c:dPt>
            <c:idx val="2"/>
            <c:bubble3D val="0"/>
            <c:spPr>
              <a:solidFill>
                <a:srgbClr val="FFFFCC"/>
              </a:solidFill>
              <a:ln w="12700">
                <a:solidFill>
                  <a:schemeClr val="tx1"/>
                </a:solidFill>
              </a:ln>
            </c:spPr>
          </c:dPt>
          <c:dPt>
            <c:idx val="3"/>
            <c:bubble3D val="0"/>
            <c:spPr>
              <a:ln w="12700">
                <a:solidFill>
                  <a:schemeClr val="tx1"/>
                </a:solidFill>
              </a:ln>
            </c:spPr>
          </c:dPt>
          <c:dLbls>
            <c:dLbl>
              <c:idx val="0"/>
              <c:layout>
                <c:manualLayout>
                  <c:x val="0.15013417322834646"/>
                  <c:y val="-4.8392026936127042E-2"/>
                </c:manualLayout>
              </c:layout>
              <c:tx>
                <c:rich>
                  <a:bodyPr/>
                  <a:lstStyle/>
                  <a:p>
                    <a:r>
                      <a:rPr lang="en-US"/>
                      <a:t>A1/ P-1</a:t>
                    </a:r>
                  </a:p>
                  <a:p>
                    <a:r>
                      <a:rPr lang="en-US"/>
                      <a:t>6.61%</a:t>
                    </a:r>
                  </a:p>
                </c:rich>
              </c:tx>
              <c:dLblPos val="bestFit"/>
              <c:showLegendKey val="0"/>
              <c:showVal val="1"/>
              <c:showCatName val="1"/>
              <c:showSerName val="0"/>
              <c:showPercent val="0"/>
              <c:showBubbleSize val="0"/>
            </c:dLbl>
            <c:dLbl>
              <c:idx val="1"/>
              <c:layout>
                <c:manualLayout>
                  <c:x val="1.4814516295699258E-2"/>
                  <c:y val="0.16502512254674248"/>
                </c:manualLayout>
              </c:layout>
              <c:tx>
                <c:rich>
                  <a:bodyPr/>
                  <a:lstStyle/>
                  <a:p>
                    <a:r>
                      <a:rPr lang="en-US"/>
                      <a:t>A2/ P-1</a:t>
                    </a:r>
                  </a:p>
                  <a:p>
                    <a:r>
                      <a:rPr lang="en-US"/>
                      <a:t>33.54%</a:t>
                    </a:r>
                  </a:p>
                </c:rich>
              </c:tx>
              <c:dLblPos val="bestFit"/>
              <c:showLegendKey val="0"/>
              <c:showVal val="1"/>
              <c:showCatName val="1"/>
              <c:showSerName val="0"/>
              <c:showPercent val="0"/>
              <c:showBubbleSize val="0"/>
            </c:dLbl>
            <c:dLbl>
              <c:idx val="2"/>
              <c:layout>
                <c:manualLayout>
                  <c:x val="-0.12456509671404013"/>
                  <c:y val="-6.3029348040181208E-3"/>
                </c:manualLayout>
              </c:layout>
              <c:tx>
                <c:rich>
                  <a:bodyPr/>
                  <a:lstStyle/>
                  <a:p>
                    <a:r>
                      <a:rPr lang="en-US"/>
                      <a:t>Aa2/ P-1</a:t>
                    </a:r>
                  </a:p>
                  <a:p>
                    <a:r>
                      <a:rPr lang="en-US"/>
                      <a:t>23.75%</a:t>
                    </a:r>
                  </a:p>
                </c:rich>
              </c:tx>
              <c:dLblPos val="bestFit"/>
              <c:showLegendKey val="0"/>
              <c:showVal val="1"/>
              <c:showCatName val="1"/>
              <c:showSerName val="0"/>
              <c:showPercent val="0"/>
              <c:showBubbleSize val="0"/>
            </c:dLbl>
            <c:dLbl>
              <c:idx val="3"/>
              <c:layout>
                <c:manualLayout>
                  <c:x val="7.1871385686645431E-2"/>
                  <c:y val="-0.17592472155224634"/>
                </c:manualLayout>
              </c:layout>
              <c:tx>
                <c:rich>
                  <a:bodyPr/>
                  <a:lstStyle/>
                  <a:p>
                    <a:r>
                      <a:rPr lang="en-US"/>
                      <a:t>Aa3/ P-1</a:t>
                    </a:r>
                  </a:p>
                  <a:p>
                    <a:r>
                      <a:rPr lang="en-US"/>
                      <a:t>36.11%</a:t>
                    </a:r>
                  </a:p>
                </c:rich>
              </c:tx>
              <c:dLblPos val="bestFit"/>
              <c:showLegendKey val="0"/>
              <c:showVal val="1"/>
              <c:showCatName val="1"/>
              <c:showSerName val="0"/>
              <c:showPercent val="0"/>
              <c:showBubbleSize val="0"/>
            </c:dLbl>
            <c:dLblPos val="bestFit"/>
            <c:showLegendKey val="0"/>
            <c:showVal val="1"/>
            <c:showCatName val="1"/>
            <c:showSerName val="0"/>
            <c:showPercent val="0"/>
            <c:showBubbleSize val="0"/>
            <c:showLeaderLines val="1"/>
          </c:dLbls>
          <c:cat>
            <c:strRef>
              <c:f>'STD profile'!$E$136:$E$139</c:f>
              <c:strCache>
                <c:ptCount val="4"/>
                <c:pt idx="0">
                  <c:v>A1/ P-1</c:v>
                </c:pt>
                <c:pt idx="1">
                  <c:v>A2/ P-1</c:v>
                </c:pt>
                <c:pt idx="2">
                  <c:v>Aa2/ P-1</c:v>
                </c:pt>
                <c:pt idx="3">
                  <c:v>Aa3/ P-1</c:v>
                </c:pt>
              </c:strCache>
            </c:strRef>
          </c:cat>
          <c:val>
            <c:numRef>
              <c:f>'STD profile'!$D$136:$D$139</c:f>
              <c:numCache>
                <c:formatCode>0.00%</c:formatCode>
                <c:ptCount val="4"/>
                <c:pt idx="0">
                  <c:v>6.6058880469278117E-2</c:v>
                </c:pt>
                <c:pt idx="1">
                  <c:v>0.33535078118881428</c:v>
                </c:pt>
                <c:pt idx="2">
                  <c:v>0.23746614269086902</c:v>
                </c:pt>
                <c:pt idx="3">
                  <c:v>0.36112419565103848</c:v>
                </c:pt>
              </c:numCache>
            </c:numRef>
          </c:val>
        </c:ser>
        <c:dLbls>
          <c:dLblPos val="bestFit"/>
          <c:showLegendKey val="0"/>
          <c:showVal val="1"/>
          <c:showCatName val="0"/>
          <c:showSerName val="0"/>
          <c:showPercent val="0"/>
          <c:showBubbleSize val="0"/>
          <c:showLeaderLines val="1"/>
        </c:dLbls>
      </c:pie3DChart>
    </c:plotArea>
    <c:plotVisOnly val="1"/>
    <c:dispBlanksAs val="gap"/>
    <c:showDLblsOverMax val="0"/>
  </c:chart>
  <c:spPr>
    <a:ln>
      <a:solidFill>
        <a:schemeClr val="bg1"/>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90"/>
      <c:rAngAx val="0"/>
      <c:perspective val="0"/>
    </c:view3D>
    <c:floor>
      <c:thickness val="0"/>
    </c:floor>
    <c:sideWall>
      <c:thickness val="0"/>
    </c:sideWall>
    <c:backWall>
      <c:thickness val="0"/>
    </c:backWall>
    <c:plotArea>
      <c:layout>
        <c:manualLayout>
          <c:layoutTarget val="inner"/>
          <c:xMode val="edge"/>
          <c:yMode val="edge"/>
          <c:x val="8.0555555555555561E-2"/>
          <c:y val="6.0185185185185182E-2"/>
          <c:w val="0.67315332458442689"/>
          <c:h val="0.83796296296296291"/>
        </c:manualLayout>
      </c:layout>
      <c:pie3DChart>
        <c:varyColors val="1"/>
        <c:ser>
          <c:idx val="0"/>
          <c:order val="0"/>
          <c:explosion val="25"/>
          <c:dPt>
            <c:idx val="0"/>
            <c:bubble3D val="0"/>
            <c:spPr>
              <a:solidFill>
                <a:srgbClr val="9999FF"/>
              </a:solidFill>
              <a:ln w="12700">
                <a:solidFill>
                  <a:srgbClr val="000000"/>
                </a:solidFill>
              </a:ln>
            </c:spPr>
          </c:dPt>
          <c:dPt>
            <c:idx val="1"/>
            <c:bubble3D val="0"/>
            <c:spPr>
              <a:solidFill>
                <a:srgbClr val="CC0099"/>
              </a:solidFill>
              <a:ln w="12700">
                <a:solidFill>
                  <a:schemeClr val="accent6">
                    <a:lumMod val="75000"/>
                  </a:schemeClr>
                </a:solidFill>
              </a:ln>
            </c:spPr>
          </c:dPt>
          <c:dLbls>
            <c:dLbl>
              <c:idx val="0"/>
              <c:layout>
                <c:manualLayout>
                  <c:x val="0"/>
                  <c:y val="0.17174613589967921"/>
                </c:manualLayout>
              </c:layout>
              <c:tx>
                <c:rich>
                  <a:bodyPr/>
                  <a:lstStyle/>
                  <a:p>
                    <a:r>
                      <a:rPr lang="en-US"/>
                      <a:t>Fixed rate</a:t>
                    </a:r>
                    <a:r>
                      <a:rPr lang="en-US" baseline="0"/>
                      <a:t> </a:t>
                    </a:r>
                  </a:p>
                  <a:p>
                    <a:r>
                      <a:rPr lang="en-US"/>
                      <a:t>88%</a:t>
                    </a:r>
                  </a:p>
                </c:rich>
              </c:tx>
              <c:dLblPos val="bestFit"/>
              <c:showLegendKey val="0"/>
              <c:showVal val="1"/>
              <c:showCatName val="0"/>
              <c:showSerName val="0"/>
              <c:showPercent val="0"/>
              <c:showBubbleSize val="0"/>
            </c:dLbl>
            <c:dLbl>
              <c:idx val="1"/>
              <c:layout>
                <c:manualLayout>
                  <c:x val="0.12693832020997375"/>
                  <c:y val="-5.3189705453484983E-3"/>
                </c:manualLayout>
              </c:layout>
              <c:tx>
                <c:rich>
                  <a:bodyPr/>
                  <a:lstStyle/>
                  <a:p>
                    <a:r>
                      <a:rPr lang="en-US"/>
                      <a:t>Variable</a:t>
                    </a:r>
                    <a:r>
                      <a:rPr lang="en-US" baseline="0"/>
                      <a:t> rate 12</a:t>
                    </a:r>
                    <a:r>
                      <a:rPr lang="en-US"/>
                      <a:t>%</a:t>
                    </a:r>
                  </a:p>
                </c:rich>
              </c:tx>
              <c:dLblPos val="bestFit"/>
              <c:showLegendKey val="0"/>
              <c:showVal val="1"/>
              <c:showCatName val="0"/>
              <c:showSerName val="0"/>
              <c:showPercent val="0"/>
              <c:showBubbleSize val="0"/>
            </c:dLbl>
            <c:dLbl>
              <c:idx val="2"/>
              <c:layout>
                <c:manualLayout>
                  <c:x val="1.8427055993000874E-2"/>
                  <c:y val="0.11369604841061534"/>
                </c:manualLayout>
              </c:layout>
              <c:tx>
                <c:rich>
                  <a:bodyPr/>
                  <a:lstStyle/>
                  <a:p>
                    <a:r>
                      <a:rPr lang="en-US"/>
                      <a:t>Zero coupon </a:t>
                    </a:r>
                  </a:p>
                  <a:p>
                    <a:r>
                      <a:rPr lang="en-US"/>
                      <a:t>2%</a:t>
                    </a:r>
                  </a:p>
                </c:rich>
              </c:tx>
              <c:dLblPos val="bestFit"/>
              <c:showLegendKey val="0"/>
              <c:showVal val="1"/>
              <c:showCatName val="0"/>
              <c:showSerName val="0"/>
              <c:showPercent val="0"/>
              <c:showBubbleSize val="0"/>
            </c:dLbl>
            <c:dLblPos val="bestFit"/>
            <c:showLegendKey val="0"/>
            <c:showVal val="1"/>
            <c:showCatName val="0"/>
            <c:showSerName val="0"/>
            <c:showPercent val="0"/>
            <c:showBubbleSize val="0"/>
            <c:showLeaderLines val="1"/>
          </c:dLbls>
          <c:cat>
            <c:strRef>
              <c:f>' maturity - pages 14'!$C$73:$D$73</c:f>
              <c:strCache>
                <c:ptCount val="2"/>
                <c:pt idx="0">
                  <c:v>Fixed rate </c:v>
                </c:pt>
                <c:pt idx="1">
                  <c:v>Variable rate </c:v>
                </c:pt>
              </c:strCache>
            </c:strRef>
          </c:cat>
          <c:val>
            <c:numRef>
              <c:f>' maturity - pages 14'!$C$119:$D$119</c:f>
              <c:numCache>
                <c:formatCode>0%</c:formatCode>
                <c:ptCount val="2"/>
                <c:pt idx="0">
                  <c:v>0.87665489389600781</c:v>
                </c:pt>
                <c:pt idx="1">
                  <c:v>0.12334510610399213</c:v>
                </c:pt>
              </c:numCache>
            </c:numRef>
          </c:val>
        </c:ser>
        <c:dLbls>
          <c:showLegendKey val="0"/>
          <c:showVal val="0"/>
          <c:showCatName val="0"/>
          <c:showSerName val="0"/>
          <c:showPercent val="0"/>
          <c:showBubbleSize val="0"/>
          <c:showLeaderLines val="1"/>
        </c:dLbls>
      </c:pie3DChart>
    </c:plotArea>
    <c:plotVisOnly val="1"/>
    <c:dispBlanksAs val="gap"/>
    <c:showDLblsOverMax val="0"/>
  </c:chart>
  <c:spPr>
    <a:solidFill>
      <a:schemeClr val="bg1"/>
    </a:solid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 maturity - page 7,8'!$F$38</c:f>
              <c:strCache>
                <c:ptCount val="1"/>
                <c:pt idx="0">
                  <c:v>Fixed rate</c:v>
                </c:pt>
              </c:strCache>
            </c:strRef>
          </c:tx>
          <c:spPr>
            <a:solidFill>
              <a:srgbClr val="CCFFFF"/>
            </a:solidFill>
            <a:ln w="12700"/>
          </c:spPr>
          <c:invertIfNegative val="0"/>
          <c:dPt>
            <c:idx val="5"/>
            <c:invertIfNegative val="0"/>
            <c:bubble3D val="0"/>
            <c:spPr>
              <a:solidFill>
                <a:srgbClr val="CCFFFF"/>
              </a:solidFill>
              <a:ln w="12700">
                <a:solidFill>
                  <a:srgbClr val="B2B2B2"/>
                </a:solidFill>
              </a:ln>
            </c:spPr>
          </c:dPt>
          <c:cat>
            <c:numRef>
              <c:f>' maturity - page 7,8'!$B$181:$B$189</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 maturity - page 7,8'!$F$181:$F$189</c:f>
              <c:numCache>
                <c:formatCode>#,##0</c:formatCode>
                <c:ptCount val="9"/>
                <c:pt idx="0">
                  <c:v>64</c:v>
                </c:pt>
                <c:pt idx="1">
                  <c:v>148</c:v>
                </c:pt>
                <c:pt idx="2">
                  <c:v>415.75</c:v>
                </c:pt>
                <c:pt idx="3">
                  <c:v>408.5</c:v>
                </c:pt>
                <c:pt idx="4">
                  <c:v>380.15</c:v>
                </c:pt>
                <c:pt idx="5">
                  <c:v>324.14999999999998</c:v>
                </c:pt>
                <c:pt idx="6">
                  <c:v>75.7</c:v>
                </c:pt>
                <c:pt idx="7" formatCode="_(* #,##0.00_);_(* \(#,##0.00\);_(* &quot;-&quot;??_);_(@_)">
                  <c:v>0</c:v>
                </c:pt>
                <c:pt idx="8">
                  <c:v>29</c:v>
                </c:pt>
              </c:numCache>
            </c:numRef>
          </c:val>
        </c:ser>
        <c:ser>
          <c:idx val="1"/>
          <c:order val="1"/>
          <c:tx>
            <c:strRef>
              <c:f>' maturity - page 7,8'!$G$38</c:f>
              <c:strCache>
                <c:ptCount val="1"/>
                <c:pt idx="0">
                  <c:v>Variable rate</c:v>
                </c:pt>
              </c:strCache>
            </c:strRef>
          </c:tx>
          <c:spPr>
            <a:solidFill>
              <a:srgbClr val="660066"/>
            </a:solidFill>
          </c:spPr>
          <c:invertIfNegative val="0"/>
          <c:cat>
            <c:numRef>
              <c:f>' maturity - page 7,8'!$B$181:$B$189</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 maturity - page 7,8'!$G$181:$G$189</c:f>
              <c:numCache>
                <c:formatCode>#,##0</c:formatCode>
                <c:ptCount val="9"/>
                <c:pt idx="0">
                  <c:v>42</c:v>
                </c:pt>
                <c:pt idx="1">
                  <c:v>61.5</c:v>
                </c:pt>
                <c:pt idx="2">
                  <c:v>62.9</c:v>
                </c:pt>
                <c:pt idx="3">
                  <c:v>15</c:v>
                </c:pt>
                <c:pt idx="4">
                  <c:v>43.386000000000003</c:v>
                </c:pt>
                <c:pt idx="5">
                  <c:v>15.135999999999999</c:v>
                </c:pt>
                <c:pt idx="6">
                  <c:v>16</c:v>
                </c:pt>
                <c:pt idx="7" formatCode="_(* #,##0.00_);_(* \(#,##0.00\);_(* &quot;-&quot;??_);_(@_)">
                  <c:v>0</c:v>
                </c:pt>
                <c:pt idx="8">
                  <c:v>0</c:v>
                </c:pt>
              </c:numCache>
            </c:numRef>
          </c:val>
        </c:ser>
        <c:dLbls>
          <c:showLegendKey val="0"/>
          <c:showVal val="0"/>
          <c:showCatName val="0"/>
          <c:showSerName val="0"/>
          <c:showPercent val="0"/>
          <c:showBubbleSize val="0"/>
        </c:dLbls>
        <c:gapWidth val="150"/>
        <c:overlap val="100"/>
        <c:axId val="71780608"/>
        <c:axId val="71794688"/>
      </c:barChart>
      <c:catAx>
        <c:axId val="71780608"/>
        <c:scaling>
          <c:orientation val="minMax"/>
        </c:scaling>
        <c:delete val="0"/>
        <c:axPos val="b"/>
        <c:numFmt formatCode="General" sourceLinked="1"/>
        <c:majorTickMark val="out"/>
        <c:minorTickMark val="none"/>
        <c:tickLblPos val="nextTo"/>
        <c:spPr>
          <a:ln w="3175">
            <a:solidFill>
              <a:srgbClr val="000000"/>
            </a:solidFill>
          </a:ln>
        </c:spPr>
        <c:txPr>
          <a:bodyPr rot="0"/>
          <a:lstStyle/>
          <a:p>
            <a:pPr>
              <a:defRPr/>
            </a:pPr>
            <a:endParaRPr lang="en-US"/>
          </a:p>
        </c:txPr>
        <c:crossAx val="71794688"/>
        <c:crosses val="autoZero"/>
        <c:auto val="1"/>
        <c:lblAlgn val="ctr"/>
        <c:lblOffset val="100"/>
        <c:noMultiLvlLbl val="0"/>
      </c:catAx>
      <c:valAx>
        <c:axId val="71794688"/>
        <c:scaling>
          <c:orientation val="minMax"/>
          <c:max val="500"/>
          <c:min val="0"/>
        </c:scaling>
        <c:delete val="0"/>
        <c:axPos val="l"/>
        <c:majorGridlines>
          <c:spPr>
            <a:ln w="3175">
              <a:solidFill>
                <a:schemeClr val="tx1"/>
              </a:solidFill>
            </a:ln>
          </c:spPr>
        </c:majorGridlines>
        <c:title>
          <c:tx>
            <c:rich>
              <a:bodyPr rot="-5400000" vert="horz"/>
              <a:lstStyle/>
              <a:p>
                <a:pPr>
                  <a:defRPr/>
                </a:pPr>
                <a:r>
                  <a:rPr lang="en-GB" sz="1000" b="1" i="0" u="none" strike="noStrike" baseline="0">
                    <a:effectLst/>
                  </a:rPr>
                  <a:t>(million euro)</a:t>
                </a:r>
                <a:endParaRPr lang="en-GB"/>
              </a:p>
            </c:rich>
          </c:tx>
          <c:layout>
            <c:manualLayout>
              <c:xMode val="edge"/>
              <c:yMode val="edge"/>
              <c:x val="1.646090534979424E-2"/>
              <c:y val="0.26232522693750793"/>
            </c:manualLayout>
          </c:layout>
          <c:overlay val="0"/>
        </c:title>
        <c:numFmt formatCode="#,##0" sourceLinked="1"/>
        <c:majorTickMark val="out"/>
        <c:minorTickMark val="none"/>
        <c:tickLblPos val="nextTo"/>
        <c:crossAx val="71780608"/>
        <c:crosses val="autoZero"/>
        <c:crossBetween val="between"/>
      </c:valAx>
      <c:spPr>
        <a:solidFill>
          <a:srgbClr val="B2B2B2"/>
        </a:solidFill>
        <a:ln>
          <a:solidFill>
            <a:srgbClr val="B2B2B2"/>
          </a:solidFill>
        </a:ln>
      </c:spPr>
    </c:plotArea>
    <c:legend>
      <c:legendPos val="r"/>
      <c:overlay val="0"/>
      <c:spPr>
        <a:solidFill>
          <a:schemeClr val="bg1"/>
        </a:solidFill>
        <a:ln w="3175">
          <a:solidFill>
            <a:srgbClr val="000000"/>
          </a:solidFill>
        </a:ln>
      </c:spPr>
    </c:legend>
    <c:plotVisOnly val="1"/>
    <c:dispBlanksAs val="gap"/>
    <c:showDLblsOverMax val="0"/>
  </c:chart>
  <c:spPr>
    <a:solidFill>
      <a:schemeClr val="bg1"/>
    </a:solidFill>
    <a:ln>
      <a:solidFill>
        <a:schemeClr val="bg1"/>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[Assets held analysis 2017.xlsx]Bonds profile -page 9!PivotTable6</c:name>
    <c:fmtId val="50"/>
  </c:pivotSource>
  <c:chart>
    <c:autoTitleDeleted val="1"/>
    <c:pivotFmts>
      <c:pivotFmt>
        <c:idx val="0"/>
        <c:marker>
          <c:symbol val="none"/>
        </c:marker>
        <c:dLbl>
          <c:idx val="0"/>
          <c:spPr/>
          <c:txPr>
            <a:bodyPr/>
            <a:lstStyle/>
            <a:p>
              <a:pPr>
                <a:defRPr/>
              </a:pPr>
              <a:endParaRPr lang="en-US"/>
            </a:p>
          </c:txPr>
          <c:showLegendKey val="0"/>
          <c:showVal val="1"/>
          <c:showCatName val="1"/>
          <c:showSerName val="0"/>
          <c:showPercent val="0"/>
          <c:showBubbleSize val="0"/>
          <c:separator>
</c:separator>
        </c:dLbl>
      </c:pivotFmt>
      <c:pivotFmt>
        <c:idx val="1"/>
        <c:dLbl>
          <c:idx val="0"/>
          <c:layout>
            <c:manualLayout>
              <c:x val="-7.2245165158550985E-3"/>
              <c:y val="7.9511245026718483E-2"/>
            </c:manualLayout>
          </c:layout>
          <c:showLegendKey val="0"/>
          <c:showVal val="1"/>
          <c:showCatName val="1"/>
          <c:showSerName val="0"/>
          <c:showPercent val="0"/>
          <c:showBubbleSize val="0"/>
          <c:separator>
</c:separator>
        </c:dLbl>
      </c:pivotFmt>
      <c:pivotFmt>
        <c:idx val="2"/>
        <c:dLbl>
          <c:idx val="0"/>
          <c:layout>
            <c:manualLayout>
              <c:x val="-3.0846236810607101E-2"/>
              <c:y val="-0.11461957995508097"/>
            </c:manualLayout>
          </c:layout>
          <c:showLegendKey val="0"/>
          <c:showVal val="1"/>
          <c:showCatName val="1"/>
          <c:showSerName val="0"/>
          <c:showPercent val="0"/>
          <c:showBubbleSize val="0"/>
          <c:separator>
</c:separator>
        </c:dLbl>
      </c:pivotFmt>
      <c:pivotFmt>
        <c:idx val="3"/>
        <c:dLbl>
          <c:idx val="0"/>
          <c:layout>
            <c:manualLayout>
              <c:x val="-9.0362256535931662E-2"/>
              <c:y val="-2.1868772004038667E-2"/>
            </c:manualLayout>
          </c:layout>
          <c:showLegendKey val="0"/>
          <c:showVal val="1"/>
          <c:showCatName val="1"/>
          <c:showSerName val="0"/>
          <c:showPercent val="0"/>
          <c:showBubbleSize val="0"/>
          <c:separator>
</c:separator>
        </c:dLbl>
      </c:pivotFmt>
      <c:pivotFmt>
        <c:idx val="4"/>
        <c:dLbl>
          <c:idx val="0"/>
          <c:layout>
            <c:manualLayout>
              <c:x val="-0.20736039066272344"/>
              <c:y val="-7.2604589361651456E-2"/>
            </c:manualLayout>
          </c:layout>
          <c:showLegendKey val="0"/>
          <c:showVal val="1"/>
          <c:showCatName val="1"/>
          <c:showSerName val="0"/>
          <c:showPercent val="0"/>
          <c:showBubbleSize val="0"/>
          <c:separator>
</c:separator>
        </c:dLbl>
      </c:pivotFmt>
      <c:pivotFmt>
        <c:idx val="5"/>
        <c:dLbl>
          <c:idx val="0"/>
          <c:layout>
            <c:manualLayout>
              <c:x val="-9.0446803500907988E-2"/>
              <c:y val="-0.29945926623372798"/>
            </c:manualLayout>
          </c:layout>
          <c:showLegendKey val="0"/>
          <c:showVal val="1"/>
          <c:showCatName val="1"/>
          <c:showSerName val="0"/>
          <c:showPercent val="0"/>
          <c:showBubbleSize val="0"/>
          <c:separator>
</c:separator>
        </c:dLbl>
      </c:pivotFmt>
      <c:pivotFmt>
        <c:idx val="6"/>
        <c:dLbl>
          <c:idx val="0"/>
          <c:layout>
            <c:manualLayout>
              <c:x val="2.7133337598287508E-3"/>
              <c:y val="-0.29107311723272961"/>
            </c:manualLayout>
          </c:layout>
          <c:showLegendKey val="0"/>
          <c:showVal val="1"/>
          <c:showCatName val="1"/>
          <c:showSerName val="0"/>
          <c:showPercent val="0"/>
          <c:showBubbleSize val="0"/>
          <c:separator>
</c:separator>
        </c:dLbl>
      </c:pivotFmt>
      <c:pivotFmt>
        <c:idx val="7"/>
        <c:dLbl>
          <c:idx val="0"/>
          <c:layout>
            <c:manualLayout>
              <c:x val="8.5734999908228249E-2"/>
              <c:y val="0.10941585790148324"/>
            </c:manualLayout>
          </c:layout>
          <c:showLegendKey val="0"/>
          <c:showVal val="1"/>
          <c:showCatName val="1"/>
          <c:showSerName val="0"/>
          <c:showPercent val="0"/>
          <c:showBubbleSize val="0"/>
          <c:separator>
</c:separator>
        </c:dLbl>
      </c:pivotFmt>
      <c:pivotFmt>
        <c:idx val="8"/>
        <c:dLbl>
          <c:idx val="0"/>
          <c:layout>
            <c:manualLayout>
              <c:x val="5.0014499935759779E-2"/>
              <c:y val="0.13193143668880714"/>
            </c:manualLayout>
          </c:layout>
          <c:showLegendKey val="0"/>
          <c:showVal val="1"/>
          <c:showCatName val="1"/>
          <c:showSerName val="0"/>
          <c:showPercent val="0"/>
          <c:showBubbleSize val="0"/>
          <c:separator>
</c:separator>
        </c:dLbl>
      </c:pivotFmt>
      <c:pivotFmt>
        <c:idx val="9"/>
        <c:dLbl>
          <c:idx val="0"/>
          <c:layout>
            <c:manualLayout>
              <c:x val="-8.2871712464513358E-2"/>
              <c:y val="7.5385682497932996E-2"/>
            </c:manualLayout>
          </c:layout>
          <c:showLegendKey val="0"/>
          <c:showVal val="1"/>
          <c:showCatName val="1"/>
          <c:showSerName val="0"/>
          <c:showPercent val="0"/>
          <c:showBubbleSize val="0"/>
          <c:separator>
</c:separator>
        </c:dLbl>
      </c:pivotFmt>
      <c:pivotFmt>
        <c:idx val="10"/>
        <c:dLbl>
          <c:idx val="0"/>
          <c:layout>
            <c:manualLayout>
              <c:x val="4.179221514906413E-2"/>
              <c:y val="-0.12632766822294811"/>
            </c:manualLayout>
          </c:layout>
          <c:showLegendKey val="0"/>
          <c:showVal val="1"/>
          <c:showCatName val="1"/>
          <c:showSerName val="0"/>
          <c:showPercent val="0"/>
          <c:showBubbleSize val="0"/>
          <c:separator>
</c:separator>
        </c:dLbl>
      </c:pivotFmt>
      <c:pivotFmt>
        <c:idx val="11"/>
        <c:dLbl>
          <c:idx val="0"/>
          <c:layout>
            <c:manualLayout>
              <c:x val="2.4898882095341902E-2"/>
              <c:y val="-4.0576670015151403E-2"/>
            </c:manualLayout>
          </c:layout>
          <c:showLegendKey val="0"/>
          <c:showVal val="1"/>
          <c:showCatName val="1"/>
          <c:showSerName val="0"/>
          <c:showPercent val="0"/>
          <c:showBubbleSize val="0"/>
          <c:separator>
</c:separator>
        </c:dLbl>
      </c:pivotFmt>
      <c:pivotFmt>
        <c:idx val="12"/>
        <c:dLbl>
          <c:idx val="0"/>
          <c:layout>
            <c:manualLayout>
              <c:x val="5.6124982977789235E-2"/>
              <c:y val="2.6137129796333088E-2"/>
            </c:manualLayout>
          </c:layout>
          <c:showLegendKey val="0"/>
          <c:showVal val="1"/>
          <c:showCatName val="1"/>
          <c:showSerName val="0"/>
          <c:showPercent val="0"/>
          <c:showBubbleSize val="0"/>
          <c:separator>
</c:separator>
        </c:dLbl>
      </c:pivotFmt>
      <c:pivotFmt>
        <c:idx val="13"/>
        <c:dLbl>
          <c:idx val="0"/>
          <c:layout>
            <c:manualLayout>
              <c:x val="-0.10690833226266297"/>
              <c:y val="0.11477240820584531"/>
            </c:manualLayout>
          </c:layout>
          <c:showLegendKey val="0"/>
          <c:showVal val="1"/>
          <c:showCatName val="1"/>
          <c:showSerName val="0"/>
          <c:showPercent val="0"/>
          <c:showBubbleSize val="0"/>
          <c:separator>
</c:separator>
        </c:dLbl>
      </c:pivotFmt>
      <c:pivotFmt>
        <c:idx val="14"/>
        <c:dLbl>
          <c:idx val="0"/>
          <c:layout>
            <c:manualLayout>
              <c:x val="2.2762696620964338E-2"/>
              <c:y val="9.1598719293280728E-2"/>
            </c:manualLayout>
          </c:layout>
          <c:showLegendKey val="0"/>
          <c:showVal val="1"/>
          <c:showCatName val="1"/>
          <c:showSerName val="0"/>
          <c:showPercent val="0"/>
          <c:showBubbleSize val="0"/>
          <c:separator>
</c:separator>
        </c:dLbl>
      </c:pivotFmt>
      <c:pivotFmt>
        <c:idx val="15"/>
        <c:dLbl>
          <c:idx val="0"/>
          <c:layout>
            <c:manualLayout>
              <c:x val="-0.1511513916271163"/>
              <c:y val="-2.041867240731644E-2"/>
            </c:manualLayout>
          </c:layout>
          <c:showLegendKey val="0"/>
          <c:showVal val="1"/>
          <c:showCatName val="1"/>
          <c:showSerName val="0"/>
          <c:showPercent val="0"/>
          <c:showBubbleSize val="0"/>
          <c:separator>
</c:separator>
        </c:dLbl>
      </c:pivotFmt>
      <c:pivotFmt>
        <c:idx val="16"/>
        <c:dLbl>
          <c:idx val="0"/>
          <c:layout>
            <c:manualLayout>
              <c:x val="-0.13499509043605257"/>
              <c:y val="-0.14784588639546414"/>
            </c:manualLayout>
          </c:layout>
          <c:showLegendKey val="0"/>
          <c:showVal val="1"/>
          <c:showCatName val="1"/>
          <c:showSerName val="0"/>
          <c:showPercent val="0"/>
          <c:showBubbleSize val="0"/>
          <c:separator>
</c:separator>
        </c:dLbl>
      </c:pivotFmt>
      <c:pivotFmt>
        <c:idx val="17"/>
        <c:marker>
          <c:symbol val="none"/>
        </c:marker>
        <c:dLbl>
          <c:idx val="0"/>
          <c:spPr/>
          <c:txPr>
            <a:bodyPr/>
            <a:lstStyle/>
            <a:p>
              <a:pPr>
                <a:defRPr/>
              </a:pPr>
              <a:endParaRPr lang="en-US"/>
            </a:p>
          </c:txPr>
          <c:showLegendKey val="0"/>
          <c:showVal val="1"/>
          <c:showCatName val="1"/>
          <c:showSerName val="0"/>
          <c:showPercent val="0"/>
          <c:showBubbleSize val="0"/>
          <c:separator>
</c:separator>
        </c:dLbl>
      </c:pivotFmt>
      <c:pivotFmt>
        <c:idx val="18"/>
        <c:dLbl>
          <c:idx val="0"/>
          <c:layout>
            <c:manualLayout>
              <c:x val="8.5734999908228249E-2"/>
              <c:y val="0.10941585790148324"/>
            </c:manualLayout>
          </c:layout>
          <c:showLegendKey val="0"/>
          <c:showVal val="1"/>
          <c:showCatName val="1"/>
          <c:showSerName val="0"/>
          <c:showPercent val="0"/>
          <c:showBubbleSize val="0"/>
          <c:separator>
</c:separator>
        </c:dLbl>
      </c:pivotFmt>
      <c:pivotFmt>
        <c:idx val="19"/>
        <c:dLbl>
          <c:idx val="0"/>
          <c:layout>
            <c:manualLayout>
              <c:x val="5.0014499935759779E-2"/>
              <c:y val="0.13193143668880714"/>
            </c:manualLayout>
          </c:layout>
          <c:showLegendKey val="0"/>
          <c:showVal val="1"/>
          <c:showCatName val="1"/>
          <c:showSerName val="0"/>
          <c:showPercent val="0"/>
          <c:showBubbleSize val="0"/>
          <c:separator>
</c:separator>
        </c:dLbl>
      </c:pivotFmt>
      <c:pivotFmt>
        <c:idx val="20"/>
        <c:dLbl>
          <c:idx val="0"/>
          <c:layout>
            <c:manualLayout>
              <c:x val="-7.2245165158550985E-3"/>
              <c:y val="7.9511245026718483E-2"/>
            </c:manualLayout>
          </c:layout>
          <c:showLegendKey val="0"/>
          <c:showVal val="1"/>
          <c:showCatName val="1"/>
          <c:showSerName val="0"/>
          <c:showPercent val="0"/>
          <c:showBubbleSize val="0"/>
          <c:separator>
</c:separator>
        </c:dLbl>
      </c:pivotFmt>
      <c:pivotFmt>
        <c:idx val="21"/>
        <c:dLbl>
          <c:idx val="0"/>
          <c:layout>
            <c:manualLayout>
              <c:x val="-3.0846236810607101E-2"/>
              <c:y val="-0.11461957995508097"/>
            </c:manualLayout>
          </c:layout>
          <c:showLegendKey val="0"/>
          <c:showVal val="1"/>
          <c:showCatName val="1"/>
          <c:showSerName val="0"/>
          <c:showPercent val="0"/>
          <c:showBubbleSize val="0"/>
          <c:separator>
</c:separator>
        </c:dLbl>
      </c:pivotFmt>
      <c:pivotFmt>
        <c:idx val="22"/>
        <c:dLbl>
          <c:idx val="0"/>
          <c:layout>
            <c:manualLayout>
              <c:x val="-9.0362256535931662E-2"/>
              <c:y val="-2.1868772004038667E-2"/>
            </c:manualLayout>
          </c:layout>
          <c:showLegendKey val="0"/>
          <c:showVal val="1"/>
          <c:showCatName val="1"/>
          <c:showSerName val="0"/>
          <c:showPercent val="0"/>
          <c:showBubbleSize val="0"/>
          <c:separator>
</c:separator>
        </c:dLbl>
      </c:pivotFmt>
      <c:pivotFmt>
        <c:idx val="23"/>
        <c:dLbl>
          <c:idx val="0"/>
          <c:layout>
            <c:manualLayout>
              <c:x val="-0.1511513916271163"/>
              <c:y val="-2.041867240731644E-2"/>
            </c:manualLayout>
          </c:layout>
          <c:showLegendKey val="0"/>
          <c:showVal val="1"/>
          <c:showCatName val="1"/>
          <c:showSerName val="0"/>
          <c:showPercent val="0"/>
          <c:showBubbleSize val="0"/>
          <c:separator>
</c:separator>
        </c:dLbl>
      </c:pivotFmt>
      <c:pivotFmt>
        <c:idx val="24"/>
        <c:dLbl>
          <c:idx val="0"/>
          <c:layout>
            <c:manualLayout>
              <c:x val="-0.20736039066272344"/>
              <c:y val="-7.2604589361651456E-2"/>
            </c:manualLayout>
          </c:layout>
          <c:showLegendKey val="0"/>
          <c:showVal val="1"/>
          <c:showCatName val="1"/>
          <c:showSerName val="0"/>
          <c:showPercent val="0"/>
          <c:showBubbleSize val="0"/>
          <c:separator>
</c:separator>
        </c:dLbl>
      </c:pivotFmt>
      <c:pivotFmt>
        <c:idx val="25"/>
        <c:dLbl>
          <c:idx val="0"/>
          <c:layout>
            <c:manualLayout>
              <c:x val="-0.13499509043605257"/>
              <c:y val="-0.14784588639546414"/>
            </c:manualLayout>
          </c:layout>
          <c:showLegendKey val="0"/>
          <c:showVal val="1"/>
          <c:showCatName val="1"/>
          <c:showSerName val="0"/>
          <c:showPercent val="0"/>
          <c:showBubbleSize val="0"/>
          <c:separator>
</c:separator>
        </c:dLbl>
      </c:pivotFmt>
      <c:pivotFmt>
        <c:idx val="26"/>
        <c:dLbl>
          <c:idx val="0"/>
          <c:layout>
            <c:manualLayout>
              <c:x val="-9.0446803500907988E-2"/>
              <c:y val="-0.29945926623372798"/>
            </c:manualLayout>
          </c:layout>
          <c:showLegendKey val="0"/>
          <c:showVal val="1"/>
          <c:showCatName val="1"/>
          <c:showSerName val="0"/>
          <c:showPercent val="0"/>
          <c:showBubbleSize val="0"/>
          <c:separator>
</c:separator>
        </c:dLbl>
      </c:pivotFmt>
      <c:pivotFmt>
        <c:idx val="27"/>
        <c:dLbl>
          <c:idx val="0"/>
          <c:layout>
            <c:manualLayout>
              <c:x val="2.7133337598287508E-3"/>
              <c:y val="-0.29107311723272961"/>
            </c:manualLayout>
          </c:layout>
          <c:showLegendKey val="0"/>
          <c:showVal val="1"/>
          <c:showCatName val="1"/>
          <c:showSerName val="0"/>
          <c:showPercent val="0"/>
          <c:showBubbleSize val="0"/>
          <c:separator>
</c:separator>
        </c:dLbl>
      </c:pivotFmt>
      <c:pivotFmt>
        <c:idx val="28"/>
        <c:dLbl>
          <c:idx val="0"/>
          <c:layout>
            <c:manualLayout>
              <c:x val="4.179221514906413E-2"/>
              <c:y val="-0.12632766822294811"/>
            </c:manualLayout>
          </c:layout>
          <c:showLegendKey val="0"/>
          <c:showVal val="1"/>
          <c:showCatName val="1"/>
          <c:showSerName val="0"/>
          <c:showPercent val="0"/>
          <c:showBubbleSize val="0"/>
          <c:separator>
</c:separator>
        </c:dLbl>
      </c:pivotFmt>
      <c:pivotFmt>
        <c:idx val="29"/>
        <c:dLbl>
          <c:idx val="0"/>
          <c:layout>
            <c:manualLayout>
              <c:x val="2.4898882095341902E-2"/>
              <c:y val="-4.0576670015151403E-2"/>
            </c:manualLayout>
          </c:layout>
          <c:showLegendKey val="0"/>
          <c:showVal val="1"/>
          <c:showCatName val="1"/>
          <c:showSerName val="0"/>
          <c:showPercent val="0"/>
          <c:showBubbleSize val="0"/>
          <c:separator>
</c:separator>
        </c:dLbl>
      </c:pivotFmt>
      <c:pivotFmt>
        <c:idx val="30"/>
        <c:dLbl>
          <c:idx val="0"/>
          <c:layout>
            <c:manualLayout>
              <c:x val="5.6124982977789235E-2"/>
              <c:y val="2.6137129796333088E-2"/>
            </c:manualLayout>
          </c:layout>
          <c:showLegendKey val="0"/>
          <c:showVal val="1"/>
          <c:showCatName val="1"/>
          <c:showSerName val="0"/>
          <c:showPercent val="0"/>
          <c:showBubbleSize val="0"/>
          <c:separator>
</c:separator>
        </c:dLbl>
      </c:pivotFmt>
      <c:pivotFmt>
        <c:idx val="31"/>
        <c:dLbl>
          <c:idx val="0"/>
          <c:layout>
            <c:manualLayout>
              <c:x val="2.2762696620964338E-2"/>
              <c:y val="9.1598719293280728E-2"/>
            </c:manualLayout>
          </c:layout>
          <c:showLegendKey val="0"/>
          <c:showVal val="1"/>
          <c:showCatName val="1"/>
          <c:showSerName val="0"/>
          <c:showPercent val="0"/>
          <c:showBubbleSize val="0"/>
          <c:separator>
</c:separator>
        </c:dLbl>
      </c:pivotFmt>
      <c:pivotFmt>
        <c:idx val="32"/>
        <c:dLbl>
          <c:idx val="0"/>
          <c:layout>
            <c:manualLayout>
              <c:x val="-0.10690833226266297"/>
              <c:y val="0.11477240820584531"/>
            </c:manualLayout>
          </c:layout>
          <c:showLegendKey val="0"/>
          <c:showVal val="1"/>
          <c:showCatName val="1"/>
          <c:showSerName val="0"/>
          <c:showPercent val="0"/>
          <c:showBubbleSize val="0"/>
          <c:separator>
</c:separator>
        </c:dLbl>
      </c:pivotFmt>
      <c:pivotFmt>
        <c:idx val="33"/>
        <c:dLbl>
          <c:idx val="0"/>
          <c:layout>
            <c:manualLayout>
              <c:x val="-8.2871712464513358E-2"/>
              <c:y val="7.5385682497932996E-2"/>
            </c:manualLayout>
          </c:layout>
          <c:showLegendKey val="0"/>
          <c:showVal val="1"/>
          <c:showCatName val="1"/>
          <c:showSerName val="0"/>
          <c:showPercent val="0"/>
          <c:showBubbleSize val="0"/>
          <c:separator>
</c:separator>
        </c:dLbl>
      </c:pivotFmt>
      <c:pivotFmt>
        <c:idx val="34"/>
        <c:marker>
          <c:symbol val="none"/>
        </c:marker>
        <c:dLbl>
          <c:idx val="0"/>
          <c:spPr/>
          <c:txPr>
            <a:bodyPr/>
            <a:lstStyle/>
            <a:p>
              <a:pPr>
                <a:defRPr/>
              </a:pPr>
              <a:endParaRPr lang="en-US"/>
            </a:p>
          </c:txPr>
          <c:showLegendKey val="0"/>
          <c:showVal val="1"/>
          <c:showCatName val="1"/>
          <c:showSerName val="0"/>
          <c:showPercent val="0"/>
          <c:showBubbleSize val="0"/>
          <c:separator>
</c:separator>
        </c:dLbl>
      </c:pivotFmt>
      <c:pivotFmt>
        <c:idx val="35"/>
        <c:dLbl>
          <c:idx val="0"/>
          <c:layout>
            <c:manualLayout>
              <c:x val="8.5734999908228249E-2"/>
              <c:y val="0.10941585790148324"/>
            </c:manualLayout>
          </c:layout>
          <c:showLegendKey val="0"/>
          <c:showVal val="1"/>
          <c:showCatName val="1"/>
          <c:showSerName val="0"/>
          <c:showPercent val="0"/>
          <c:showBubbleSize val="0"/>
          <c:separator>
</c:separator>
        </c:dLbl>
      </c:pivotFmt>
      <c:pivotFmt>
        <c:idx val="36"/>
        <c:dLbl>
          <c:idx val="0"/>
          <c:layout>
            <c:manualLayout>
              <c:x val="5.0014499935759779E-2"/>
              <c:y val="0.13193143668880714"/>
            </c:manualLayout>
          </c:layout>
          <c:showLegendKey val="0"/>
          <c:showVal val="1"/>
          <c:showCatName val="1"/>
          <c:showSerName val="0"/>
          <c:showPercent val="0"/>
          <c:showBubbleSize val="0"/>
          <c:separator>
</c:separator>
        </c:dLbl>
      </c:pivotFmt>
      <c:pivotFmt>
        <c:idx val="37"/>
        <c:dLbl>
          <c:idx val="0"/>
          <c:layout>
            <c:manualLayout>
              <c:x val="-7.2245165158550985E-3"/>
              <c:y val="7.9511245026718483E-2"/>
            </c:manualLayout>
          </c:layout>
          <c:showLegendKey val="0"/>
          <c:showVal val="1"/>
          <c:showCatName val="1"/>
          <c:showSerName val="0"/>
          <c:showPercent val="0"/>
          <c:showBubbleSize val="0"/>
          <c:separator>
</c:separator>
        </c:dLbl>
      </c:pivotFmt>
      <c:pivotFmt>
        <c:idx val="38"/>
        <c:dLbl>
          <c:idx val="0"/>
          <c:layout>
            <c:manualLayout>
              <c:x val="-3.0846236810607101E-2"/>
              <c:y val="-0.11461957995508097"/>
            </c:manualLayout>
          </c:layout>
          <c:showLegendKey val="0"/>
          <c:showVal val="1"/>
          <c:showCatName val="1"/>
          <c:showSerName val="0"/>
          <c:showPercent val="0"/>
          <c:showBubbleSize val="0"/>
          <c:separator>
</c:separator>
        </c:dLbl>
      </c:pivotFmt>
      <c:pivotFmt>
        <c:idx val="39"/>
        <c:dLbl>
          <c:idx val="0"/>
          <c:layout>
            <c:manualLayout>
              <c:x val="-9.0362256535931662E-2"/>
              <c:y val="-2.1868772004038667E-2"/>
            </c:manualLayout>
          </c:layout>
          <c:showLegendKey val="0"/>
          <c:showVal val="1"/>
          <c:showCatName val="1"/>
          <c:showSerName val="0"/>
          <c:showPercent val="0"/>
          <c:showBubbleSize val="0"/>
          <c:separator>
</c:separator>
        </c:dLbl>
      </c:pivotFmt>
      <c:pivotFmt>
        <c:idx val="40"/>
        <c:dLbl>
          <c:idx val="0"/>
          <c:layout>
            <c:manualLayout>
              <c:x val="-0.1511513916271163"/>
              <c:y val="-2.041867240731644E-2"/>
            </c:manualLayout>
          </c:layout>
          <c:showLegendKey val="0"/>
          <c:showVal val="1"/>
          <c:showCatName val="1"/>
          <c:showSerName val="0"/>
          <c:showPercent val="0"/>
          <c:showBubbleSize val="0"/>
          <c:separator>
</c:separator>
        </c:dLbl>
      </c:pivotFmt>
      <c:pivotFmt>
        <c:idx val="41"/>
        <c:dLbl>
          <c:idx val="0"/>
          <c:layout>
            <c:manualLayout>
              <c:x val="-0.20736039066272344"/>
              <c:y val="-7.2604589361651456E-2"/>
            </c:manualLayout>
          </c:layout>
          <c:showLegendKey val="0"/>
          <c:showVal val="1"/>
          <c:showCatName val="1"/>
          <c:showSerName val="0"/>
          <c:showPercent val="0"/>
          <c:showBubbleSize val="0"/>
          <c:separator>
</c:separator>
        </c:dLbl>
      </c:pivotFmt>
      <c:pivotFmt>
        <c:idx val="42"/>
        <c:dLbl>
          <c:idx val="0"/>
          <c:layout>
            <c:manualLayout>
              <c:x val="-0.13499509043605257"/>
              <c:y val="-0.14784588639546414"/>
            </c:manualLayout>
          </c:layout>
          <c:showLegendKey val="0"/>
          <c:showVal val="1"/>
          <c:showCatName val="1"/>
          <c:showSerName val="0"/>
          <c:showPercent val="0"/>
          <c:showBubbleSize val="0"/>
          <c:separator>
</c:separator>
        </c:dLbl>
      </c:pivotFmt>
      <c:pivotFmt>
        <c:idx val="43"/>
        <c:dLbl>
          <c:idx val="0"/>
          <c:layout>
            <c:manualLayout>
              <c:x val="-9.0446803500907988E-2"/>
              <c:y val="-0.29945926623372798"/>
            </c:manualLayout>
          </c:layout>
          <c:showLegendKey val="0"/>
          <c:showVal val="1"/>
          <c:showCatName val="1"/>
          <c:showSerName val="0"/>
          <c:showPercent val="0"/>
          <c:showBubbleSize val="0"/>
          <c:separator>
</c:separator>
        </c:dLbl>
      </c:pivotFmt>
      <c:pivotFmt>
        <c:idx val="44"/>
        <c:dLbl>
          <c:idx val="0"/>
          <c:layout>
            <c:manualLayout>
              <c:x val="2.7133337598287508E-3"/>
              <c:y val="-0.29107311723272961"/>
            </c:manualLayout>
          </c:layout>
          <c:showLegendKey val="0"/>
          <c:showVal val="1"/>
          <c:showCatName val="1"/>
          <c:showSerName val="0"/>
          <c:showPercent val="0"/>
          <c:showBubbleSize val="0"/>
          <c:separator>
</c:separator>
        </c:dLbl>
      </c:pivotFmt>
      <c:pivotFmt>
        <c:idx val="45"/>
        <c:dLbl>
          <c:idx val="0"/>
          <c:layout>
            <c:manualLayout>
              <c:x val="4.179221514906413E-2"/>
              <c:y val="-0.12632766822294811"/>
            </c:manualLayout>
          </c:layout>
          <c:showLegendKey val="0"/>
          <c:showVal val="1"/>
          <c:showCatName val="1"/>
          <c:showSerName val="0"/>
          <c:showPercent val="0"/>
          <c:showBubbleSize val="0"/>
          <c:separator>
</c:separator>
        </c:dLbl>
      </c:pivotFmt>
      <c:pivotFmt>
        <c:idx val="46"/>
        <c:dLbl>
          <c:idx val="0"/>
          <c:layout>
            <c:manualLayout>
              <c:x val="2.4898882095341902E-2"/>
              <c:y val="-4.0576670015151403E-2"/>
            </c:manualLayout>
          </c:layout>
          <c:showLegendKey val="0"/>
          <c:showVal val="1"/>
          <c:showCatName val="1"/>
          <c:showSerName val="0"/>
          <c:showPercent val="0"/>
          <c:showBubbleSize val="0"/>
          <c:separator>
</c:separator>
        </c:dLbl>
      </c:pivotFmt>
      <c:pivotFmt>
        <c:idx val="47"/>
        <c:dLbl>
          <c:idx val="0"/>
          <c:layout>
            <c:manualLayout>
              <c:x val="5.6124982977789235E-2"/>
              <c:y val="2.6137129796333088E-2"/>
            </c:manualLayout>
          </c:layout>
          <c:showLegendKey val="0"/>
          <c:showVal val="1"/>
          <c:showCatName val="1"/>
          <c:showSerName val="0"/>
          <c:showPercent val="0"/>
          <c:showBubbleSize val="0"/>
          <c:separator>
</c:separator>
        </c:dLbl>
      </c:pivotFmt>
      <c:pivotFmt>
        <c:idx val="48"/>
        <c:dLbl>
          <c:idx val="0"/>
          <c:layout>
            <c:manualLayout>
              <c:x val="2.2762696620964338E-2"/>
              <c:y val="9.1598719293280728E-2"/>
            </c:manualLayout>
          </c:layout>
          <c:showLegendKey val="0"/>
          <c:showVal val="1"/>
          <c:showCatName val="1"/>
          <c:showSerName val="0"/>
          <c:showPercent val="0"/>
          <c:showBubbleSize val="0"/>
          <c:separator>
</c:separator>
        </c:dLbl>
      </c:pivotFmt>
      <c:pivotFmt>
        <c:idx val="49"/>
        <c:dLbl>
          <c:idx val="0"/>
          <c:layout>
            <c:manualLayout>
              <c:x val="-0.10690833226266297"/>
              <c:y val="0.11477240820584531"/>
            </c:manualLayout>
          </c:layout>
          <c:showLegendKey val="0"/>
          <c:showVal val="1"/>
          <c:showCatName val="1"/>
          <c:showSerName val="0"/>
          <c:showPercent val="0"/>
          <c:showBubbleSize val="0"/>
          <c:separator>
</c:separator>
        </c:dLbl>
      </c:pivotFmt>
      <c:pivotFmt>
        <c:idx val="50"/>
        <c:dLbl>
          <c:idx val="0"/>
          <c:layout>
            <c:manualLayout>
              <c:x val="-8.2871712464513358E-2"/>
              <c:y val="7.5385682497932996E-2"/>
            </c:manualLayout>
          </c:layout>
          <c:showLegendKey val="0"/>
          <c:showVal val="1"/>
          <c:showCatName val="1"/>
          <c:showSerName val="0"/>
          <c:showPercent val="0"/>
          <c:showBubbleSize val="0"/>
          <c:separator>
</c:separator>
        </c:dLbl>
      </c:pivotFmt>
    </c:pivotFmts>
    <c:view3D>
      <c:rotX val="12"/>
      <c:rotY val="200"/>
      <c:rAngAx val="0"/>
      <c:perspective val="0"/>
    </c:view3D>
    <c:floor>
      <c:thickness val="0"/>
    </c:floor>
    <c:sideWall>
      <c:thickness val="0"/>
    </c:sideWall>
    <c:backWall>
      <c:thickness val="0"/>
    </c:backWall>
    <c:plotArea>
      <c:layout>
        <c:manualLayout>
          <c:layoutTarget val="inner"/>
          <c:xMode val="edge"/>
          <c:yMode val="edge"/>
          <c:x val="0.16480539465381799"/>
          <c:y val="0.22100383355837236"/>
          <c:w val="0.66869136959977826"/>
          <c:h val="0.65166216033855973"/>
        </c:manualLayout>
      </c:layout>
      <c:pie3DChart>
        <c:varyColors val="1"/>
        <c:ser>
          <c:idx val="0"/>
          <c:order val="0"/>
          <c:tx>
            <c:strRef>
              <c:f>'Bonds profile -page 9'!$B$357</c:f>
              <c:strCache>
                <c:ptCount val="1"/>
                <c:pt idx="0">
                  <c:v>Total</c:v>
                </c:pt>
              </c:strCache>
            </c:strRef>
          </c:tx>
          <c:dLbls>
            <c:dLbl>
              <c:idx val="0"/>
              <c:layout>
                <c:manualLayout>
                  <c:x val="8.5734999908228249E-2"/>
                  <c:y val="0.10941585790148324"/>
                </c:manualLayout>
              </c:layout>
              <c:showLegendKey val="0"/>
              <c:showVal val="1"/>
              <c:showCatName val="1"/>
              <c:showSerName val="0"/>
              <c:showPercent val="0"/>
              <c:showBubbleSize val="0"/>
              <c:separator>
</c:separator>
            </c:dLbl>
            <c:dLbl>
              <c:idx val="1"/>
              <c:layout>
                <c:manualLayout>
                  <c:x val="5.0014499935759779E-2"/>
                  <c:y val="0.13193143668880714"/>
                </c:manualLayout>
              </c:layout>
              <c:showLegendKey val="0"/>
              <c:showVal val="1"/>
              <c:showCatName val="1"/>
              <c:showSerName val="0"/>
              <c:showPercent val="0"/>
              <c:showBubbleSize val="0"/>
              <c:separator>
</c:separator>
            </c:dLbl>
            <c:dLbl>
              <c:idx val="2"/>
              <c:layout>
                <c:manualLayout>
                  <c:x val="-7.2245165158550985E-3"/>
                  <c:y val="7.9511245026718483E-2"/>
                </c:manualLayout>
              </c:layout>
              <c:showLegendKey val="0"/>
              <c:showVal val="1"/>
              <c:showCatName val="1"/>
              <c:showSerName val="0"/>
              <c:showPercent val="0"/>
              <c:showBubbleSize val="0"/>
              <c:separator>
</c:separator>
            </c:dLbl>
            <c:dLbl>
              <c:idx val="3"/>
              <c:layout>
                <c:manualLayout>
                  <c:x val="-3.0846236810607101E-2"/>
                  <c:y val="-0.11461957995508097"/>
                </c:manualLayout>
              </c:layout>
              <c:showLegendKey val="0"/>
              <c:showVal val="1"/>
              <c:showCatName val="1"/>
              <c:showSerName val="0"/>
              <c:showPercent val="0"/>
              <c:showBubbleSize val="0"/>
              <c:separator>
</c:separator>
            </c:dLbl>
            <c:dLbl>
              <c:idx val="4"/>
              <c:layout>
                <c:manualLayout>
                  <c:x val="-9.0362256535931662E-2"/>
                  <c:y val="-2.1868772004038667E-2"/>
                </c:manualLayout>
              </c:layout>
              <c:showLegendKey val="0"/>
              <c:showVal val="1"/>
              <c:showCatName val="1"/>
              <c:showSerName val="0"/>
              <c:showPercent val="0"/>
              <c:showBubbleSize val="0"/>
              <c:separator>
</c:separator>
            </c:dLbl>
            <c:dLbl>
              <c:idx val="5"/>
              <c:layout>
                <c:manualLayout>
                  <c:x val="-0.1511513916271163"/>
                  <c:y val="-2.041867240731644E-2"/>
                </c:manualLayout>
              </c:layout>
              <c:showLegendKey val="0"/>
              <c:showVal val="1"/>
              <c:showCatName val="1"/>
              <c:showSerName val="0"/>
              <c:showPercent val="0"/>
              <c:showBubbleSize val="0"/>
              <c:separator>
</c:separator>
            </c:dLbl>
            <c:dLbl>
              <c:idx val="6"/>
              <c:layout>
                <c:manualLayout>
                  <c:x val="-0.20736039066272344"/>
                  <c:y val="-7.2604589361651456E-2"/>
                </c:manualLayout>
              </c:layout>
              <c:showLegendKey val="0"/>
              <c:showVal val="1"/>
              <c:showCatName val="1"/>
              <c:showSerName val="0"/>
              <c:showPercent val="0"/>
              <c:showBubbleSize val="0"/>
              <c:separator>
</c:separator>
            </c:dLbl>
            <c:dLbl>
              <c:idx val="7"/>
              <c:layout>
                <c:manualLayout>
                  <c:x val="-0.13499509043605257"/>
                  <c:y val="-0.14784588639546414"/>
                </c:manualLayout>
              </c:layout>
              <c:showLegendKey val="0"/>
              <c:showVal val="1"/>
              <c:showCatName val="1"/>
              <c:showSerName val="0"/>
              <c:showPercent val="0"/>
              <c:showBubbleSize val="0"/>
              <c:separator>
</c:separator>
            </c:dLbl>
            <c:dLbl>
              <c:idx val="8"/>
              <c:layout>
                <c:manualLayout>
                  <c:x val="-9.0446803500907988E-2"/>
                  <c:y val="-0.29945926623372798"/>
                </c:manualLayout>
              </c:layout>
              <c:showLegendKey val="0"/>
              <c:showVal val="1"/>
              <c:showCatName val="1"/>
              <c:showSerName val="0"/>
              <c:showPercent val="0"/>
              <c:showBubbleSize val="0"/>
              <c:separator>
</c:separator>
            </c:dLbl>
            <c:dLbl>
              <c:idx val="9"/>
              <c:layout>
                <c:manualLayout>
                  <c:x val="2.7133337598287508E-3"/>
                  <c:y val="-0.29107311723272961"/>
                </c:manualLayout>
              </c:layout>
              <c:showLegendKey val="0"/>
              <c:showVal val="1"/>
              <c:showCatName val="1"/>
              <c:showSerName val="0"/>
              <c:showPercent val="0"/>
              <c:showBubbleSize val="0"/>
              <c:separator>
</c:separator>
            </c:dLbl>
            <c:dLbl>
              <c:idx val="10"/>
              <c:layout>
                <c:manualLayout>
                  <c:x val="4.179221514906413E-2"/>
                  <c:y val="-0.12632766822294811"/>
                </c:manualLayout>
              </c:layout>
              <c:showLegendKey val="0"/>
              <c:showVal val="1"/>
              <c:showCatName val="1"/>
              <c:showSerName val="0"/>
              <c:showPercent val="0"/>
              <c:showBubbleSize val="0"/>
              <c:separator>
</c:separator>
            </c:dLbl>
            <c:dLbl>
              <c:idx val="11"/>
              <c:layout>
                <c:manualLayout>
                  <c:x val="2.4898882095341902E-2"/>
                  <c:y val="-4.0576670015151403E-2"/>
                </c:manualLayout>
              </c:layout>
              <c:showLegendKey val="0"/>
              <c:showVal val="1"/>
              <c:showCatName val="1"/>
              <c:showSerName val="0"/>
              <c:showPercent val="0"/>
              <c:showBubbleSize val="0"/>
              <c:separator>
</c:separator>
            </c:dLbl>
            <c:dLbl>
              <c:idx val="12"/>
              <c:layout>
                <c:manualLayout>
                  <c:x val="5.6124982977789235E-2"/>
                  <c:y val="2.6137129796333088E-2"/>
                </c:manualLayout>
              </c:layout>
              <c:showLegendKey val="0"/>
              <c:showVal val="1"/>
              <c:showCatName val="1"/>
              <c:showSerName val="0"/>
              <c:showPercent val="0"/>
              <c:showBubbleSize val="0"/>
              <c:separator>
</c:separator>
            </c:dLbl>
            <c:dLbl>
              <c:idx val="13"/>
              <c:layout>
                <c:manualLayout>
                  <c:x val="2.2762696620964338E-2"/>
                  <c:y val="9.1598719293280728E-2"/>
                </c:manualLayout>
              </c:layout>
              <c:showLegendKey val="0"/>
              <c:showVal val="1"/>
              <c:showCatName val="1"/>
              <c:showSerName val="0"/>
              <c:showPercent val="0"/>
              <c:showBubbleSize val="0"/>
              <c:separator>
</c:separator>
            </c:dLbl>
            <c:dLbl>
              <c:idx val="14"/>
              <c:layout>
                <c:manualLayout>
                  <c:x val="-0.10690833226266297"/>
                  <c:y val="0.11477240820584531"/>
                </c:manualLayout>
              </c:layout>
              <c:showLegendKey val="0"/>
              <c:showVal val="1"/>
              <c:showCatName val="1"/>
              <c:showSerName val="0"/>
              <c:showPercent val="0"/>
              <c:showBubbleSize val="0"/>
              <c:separator>
</c:separator>
            </c:dLbl>
            <c:dLbl>
              <c:idx val="15"/>
              <c:layout>
                <c:manualLayout>
                  <c:x val="-8.2871712464513358E-2"/>
                  <c:y val="7.5385682497932996E-2"/>
                </c:manualLayout>
              </c:layout>
              <c:showLegendKey val="0"/>
              <c:showVal val="1"/>
              <c:showCatName val="1"/>
              <c:showSerName val="0"/>
              <c:showPercent val="0"/>
              <c:showBubbleSize val="0"/>
              <c:separator>
</c:separator>
            </c:dLbl>
            <c:txPr>
              <a:bodyPr/>
              <a:lstStyle/>
              <a:p>
                <a:pPr>
                  <a:defRPr/>
                </a:pPr>
                <a:endParaRPr lang="en-US"/>
              </a:p>
            </c:txPr>
            <c:showLegendKey val="0"/>
            <c:showVal val="1"/>
            <c:showCatName val="1"/>
            <c:showSerName val="0"/>
            <c:showPercent val="0"/>
            <c:showBubbleSize val="0"/>
            <c:separator>
</c:separator>
            <c:showLeaderLines val="1"/>
          </c:dLbls>
          <c:cat>
            <c:strRef>
              <c:f>'Bonds profile -page 9'!$A$358:$A$374</c:f>
              <c:strCache>
                <c:ptCount val="16"/>
                <c:pt idx="0">
                  <c:v>Banks Aa2</c:v>
                </c:pt>
                <c:pt idx="1">
                  <c:v>Banks Aa3</c:v>
                </c:pt>
                <c:pt idx="2">
                  <c:v>Corporates Aa2</c:v>
                </c:pt>
                <c:pt idx="3">
                  <c:v>Corporates Aaa</c:v>
                </c:pt>
                <c:pt idx="4">
                  <c:v>Covered Bonds Aaa</c:v>
                </c:pt>
                <c:pt idx="5">
                  <c:v>Member State A1</c:v>
                </c:pt>
                <c:pt idx="6">
                  <c:v>Member State A2</c:v>
                </c:pt>
                <c:pt idx="7">
                  <c:v>Member State Aa1</c:v>
                </c:pt>
                <c:pt idx="8">
                  <c:v>Member State Aa2</c:v>
                </c:pt>
                <c:pt idx="9">
                  <c:v>Member State Aaa</c:v>
                </c:pt>
                <c:pt idx="10">
                  <c:v>Member State Baa2</c:v>
                </c:pt>
                <c:pt idx="11">
                  <c:v>Member State Baa3</c:v>
                </c:pt>
                <c:pt idx="12">
                  <c:v>Other</c:v>
                </c:pt>
                <c:pt idx="13">
                  <c:v>Public Institution Aa1</c:v>
                </c:pt>
                <c:pt idx="14">
                  <c:v>Public Institution Aa2</c:v>
                </c:pt>
                <c:pt idx="15">
                  <c:v>Public Institution Aaa</c:v>
                </c:pt>
              </c:strCache>
            </c:strRef>
          </c:cat>
          <c:val>
            <c:numRef>
              <c:f>'Bonds profile -page 9'!$B$358:$B$374</c:f>
              <c:numCache>
                <c:formatCode>0.00%</c:formatCode>
                <c:ptCount val="16"/>
                <c:pt idx="0">
                  <c:v>5.4699999999999999E-2</c:v>
                </c:pt>
                <c:pt idx="1">
                  <c:v>4.1000000000000002E-2</c:v>
                </c:pt>
                <c:pt idx="2">
                  <c:v>8.4400000000000003E-2</c:v>
                </c:pt>
                <c:pt idx="3">
                  <c:v>2.6700000000000002E-2</c:v>
                </c:pt>
                <c:pt idx="4">
                  <c:v>0.21510000000000001</c:v>
                </c:pt>
                <c:pt idx="5">
                  <c:v>2.4299999999999999E-2</c:v>
                </c:pt>
                <c:pt idx="6">
                  <c:v>5.9499999999999997E-2</c:v>
                </c:pt>
                <c:pt idx="7">
                  <c:v>2.4299999999999999E-2</c:v>
                </c:pt>
                <c:pt idx="8">
                  <c:v>4.8099999999999997E-2</c:v>
                </c:pt>
                <c:pt idx="9">
                  <c:v>3.8699999999999998E-2</c:v>
                </c:pt>
                <c:pt idx="10">
                  <c:v>2.3800000000000002E-2</c:v>
                </c:pt>
                <c:pt idx="11">
                  <c:v>2.3800000000000002E-2</c:v>
                </c:pt>
                <c:pt idx="12">
                  <c:v>9.4300000000000009E-2</c:v>
                </c:pt>
                <c:pt idx="13">
                  <c:v>3.1699999999999999E-2</c:v>
                </c:pt>
                <c:pt idx="14">
                  <c:v>7.7299999999999994E-2</c:v>
                </c:pt>
                <c:pt idx="15">
                  <c:v>0.1323</c:v>
                </c:pt>
              </c:numCache>
            </c:numRef>
          </c:val>
        </c:ser>
        <c:dLbls>
          <c:showLegendKey val="0"/>
          <c:showVal val="1"/>
          <c:showCatName val="1"/>
          <c:showSerName val="0"/>
          <c:showPercent val="0"/>
          <c:showBubbleSize val="0"/>
          <c:showLeaderLines val="1"/>
        </c:dLbls>
      </c:pie3DChart>
    </c:plotArea>
    <c:plotVisOnly val="1"/>
    <c:dispBlanksAs val="gap"/>
    <c:showDLblsOverMax val="0"/>
  </c:chart>
  <c:spPr>
    <a:noFill/>
    <a:ln>
      <a:solidFill>
        <a:schemeClr val="bg1"/>
      </a:solidFill>
    </a:ln>
  </c:spPr>
  <c:externalData r:id="rId2">
    <c:autoUpdate val="0"/>
  </c:externalData>
  <c:extLst>
    <c:ext xmlns:c14="http://schemas.microsoft.com/office/drawing/2007/8/2/chart" uri="{781A3756-C4B2-4CAC-9D66-4F8BD8637D16}">
      <c14:pivotOptions>
        <c14:dropZoneFilter val="1"/>
        <c14:dropZoneData val="1"/>
        <c14:dropZoneSeries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C6502-4375-4117-AF93-68F9F6CB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10222</Words>
  <Characters>58781</Characters>
  <Application>Microsoft Office Word</Application>
  <DocSecurity>0</DocSecurity>
  <Lines>3093</Lines>
  <Paragraphs>2090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66913</CharactersWithSpaces>
  <SharedDoc>false</SharedDoc>
  <HLinks>
    <vt:vector size="144" baseType="variant">
      <vt:variant>
        <vt:i4>1310783</vt:i4>
      </vt:variant>
      <vt:variant>
        <vt:i4>140</vt:i4>
      </vt:variant>
      <vt:variant>
        <vt:i4>0</vt:i4>
      </vt:variant>
      <vt:variant>
        <vt:i4>5</vt:i4>
      </vt:variant>
      <vt:variant>
        <vt:lpwstr/>
      </vt:variant>
      <vt:variant>
        <vt:lpwstr>_Toc478663512</vt:lpwstr>
      </vt:variant>
      <vt:variant>
        <vt:i4>1310783</vt:i4>
      </vt:variant>
      <vt:variant>
        <vt:i4>134</vt:i4>
      </vt:variant>
      <vt:variant>
        <vt:i4>0</vt:i4>
      </vt:variant>
      <vt:variant>
        <vt:i4>5</vt:i4>
      </vt:variant>
      <vt:variant>
        <vt:lpwstr/>
      </vt:variant>
      <vt:variant>
        <vt:lpwstr>_Toc478663511</vt:lpwstr>
      </vt:variant>
      <vt:variant>
        <vt:i4>1310783</vt:i4>
      </vt:variant>
      <vt:variant>
        <vt:i4>128</vt:i4>
      </vt:variant>
      <vt:variant>
        <vt:i4>0</vt:i4>
      </vt:variant>
      <vt:variant>
        <vt:i4>5</vt:i4>
      </vt:variant>
      <vt:variant>
        <vt:lpwstr/>
      </vt:variant>
      <vt:variant>
        <vt:lpwstr>_Toc478663510</vt:lpwstr>
      </vt:variant>
      <vt:variant>
        <vt:i4>1376319</vt:i4>
      </vt:variant>
      <vt:variant>
        <vt:i4>122</vt:i4>
      </vt:variant>
      <vt:variant>
        <vt:i4>0</vt:i4>
      </vt:variant>
      <vt:variant>
        <vt:i4>5</vt:i4>
      </vt:variant>
      <vt:variant>
        <vt:lpwstr/>
      </vt:variant>
      <vt:variant>
        <vt:lpwstr>_Toc478663509</vt:lpwstr>
      </vt:variant>
      <vt:variant>
        <vt:i4>1376319</vt:i4>
      </vt:variant>
      <vt:variant>
        <vt:i4>116</vt:i4>
      </vt:variant>
      <vt:variant>
        <vt:i4>0</vt:i4>
      </vt:variant>
      <vt:variant>
        <vt:i4>5</vt:i4>
      </vt:variant>
      <vt:variant>
        <vt:lpwstr/>
      </vt:variant>
      <vt:variant>
        <vt:lpwstr>_Toc478663507</vt:lpwstr>
      </vt:variant>
      <vt:variant>
        <vt:i4>1835070</vt:i4>
      </vt:variant>
      <vt:variant>
        <vt:i4>110</vt:i4>
      </vt:variant>
      <vt:variant>
        <vt:i4>0</vt:i4>
      </vt:variant>
      <vt:variant>
        <vt:i4>5</vt:i4>
      </vt:variant>
      <vt:variant>
        <vt:lpwstr/>
      </vt:variant>
      <vt:variant>
        <vt:lpwstr>_Toc478663496</vt:lpwstr>
      </vt:variant>
      <vt:variant>
        <vt:i4>1835070</vt:i4>
      </vt:variant>
      <vt:variant>
        <vt:i4>104</vt:i4>
      </vt:variant>
      <vt:variant>
        <vt:i4>0</vt:i4>
      </vt:variant>
      <vt:variant>
        <vt:i4>5</vt:i4>
      </vt:variant>
      <vt:variant>
        <vt:lpwstr/>
      </vt:variant>
      <vt:variant>
        <vt:lpwstr>_Toc478663490</vt:lpwstr>
      </vt:variant>
      <vt:variant>
        <vt:i4>1900606</vt:i4>
      </vt:variant>
      <vt:variant>
        <vt:i4>98</vt:i4>
      </vt:variant>
      <vt:variant>
        <vt:i4>0</vt:i4>
      </vt:variant>
      <vt:variant>
        <vt:i4>5</vt:i4>
      </vt:variant>
      <vt:variant>
        <vt:lpwstr/>
      </vt:variant>
      <vt:variant>
        <vt:lpwstr>_Toc478663484</vt:lpwstr>
      </vt:variant>
      <vt:variant>
        <vt:i4>1900606</vt:i4>
      </vt:variant>
      <vt:variant>
        <vt:i4>92</vt:i4>
      </vt:variant>
      <vt:variant>
        <vt:i4>0</vt:i4>
      </vt:variant>
      <vt:variant>
        <vt:i4>5</vt:i4>
      </vt:variant>
      <vt:variant>
        <vt:lpwstr/>
      </vt:variant>
      <vt:variant>
        <vt:lpwstr>_Toc478663483</vt:lpwstr>
      </vt:variant>
      <vt:variant>
        <vt:i4>1900606</vt:i4>
      </vt:variant>
      <vt:variant>
        <vt:i4>86</vt:i4>
      </vt:variant>
      <vt:variant>
        <vt:i4>0</vt:i4>
      </vt:variant>
      <vt:variant>
        <vt:i4>5</vt:i4>
      </vt:variant>
      <vt:variant>
        <vt:lpwstr/>
      </vt:variant>
      <vt:variant>
        <vt:lpwstr>_Toc478663482</vt:lpwstr>
      </vt:variant>
      <vt:variant>
        <vt:i4>1900606</vt:i4>
      </vt:variant>
      <vt:variant>
        <vt:i4>80</vt:i4>
      </vt:variant>
      <vt:variant>
        <vt:i4>0</vt:i4>
      </vt:variant>
      <vt:variant>
        <vt:i4>5</vt:i4>
      </vt:variant>
      <vt:variant>
        <vt:lpwstr/>
      </vt:variant>
      <vt:variant>
        <vt:lpwstr>_Toc478663481</vt:lpwstr>
      </vt:variant>
      <vt:variant>
        <vt:i4>1900606</vt:i4>
      </vt:variant>
      <vt:variant>
        <vt:i4>74</vt:i4>
      </vt:variant>
      <vt:variant>
        <vt:i4>0</vt:i4>
      </vt:variant>
      <vt:variant>
        <vt:i4>5</vt:i4>
      </vt:variant>
      <vt:variant>
        <vt:lpwstr/>
      </vt:variant>
      <vt:variant>
        <vt:lpwstr>_Toc478663480</vt:lpwstr>
      </vt:variant>
      <vt:variant>
        <vt:i4>1179710</vt:i4>
      </vt:variant>
      <vt:variant>
        <vt:i4>68</vt:i4>
      </vt:variant>
      <vt:variant>
        <vt:i4>0</vt:i4>
      </vt:variant>
      <vt:variant>
        <vt:i4>5</vt:i4>
      </vt:variant>
      <vt:variant>
        <vt:lpwstr/>
      </vt:variant>
      <vt:variant>
        <vt:lpwstr>_Toc478663479</vt:lpwstr>
      </vt:variant>
      <vt:variant>
        <vt:i4>1179710</vt:i4>
      </vt:variant>
      <vt:variant>
        <vt:i4>62</vt:i4>
      </vt:variant>
      <vt:variant>
        <vt:i4>0</vt:i4>
      </vt:variant>
      <vt:variant>
        <vt:i4>5</vt:i4>
      </vt:variant>
      <vt:variant>
        <vt:lpwstr/>
      </vt:variant>
      <vt:variant>
        <vt:lpwstr>_Toc478663478</vt:lpwstr>
      </vt:variant>
      <vt:variant>
        <vt:i4>1179710</vt:i4>
      </vt:variant>
      <vt:variant>
        <vt:i4>56</vt:i4>
      </vt:variant>
      <vt:variant>
        <vt:i4>0</vt:i4>
      </vt:variant>
      <vt:variant>
        <vt:i4>5</vt:i4>
      </vt:variant>
      <vt:variant>
        <vt:lpwstr/>
      </vt:variant>
      <vt:variant>
        <vt:lpwstr>_Toc478663477</vt:lpwstr>
      </vt:variant>
      <vt:variant>
        <vt:i4>1179710</vt:i4>
      </vt:variant>
      <vt:variant>
        <vt:i4>50</vt:i4>
      </vt:variant>
      <vt:variant>
        <vt:i4>0</vt:i4>
      </vt:variant>
      <vt:variant>
        <vt:i4>5</vt:i4>
      </vt:variant>
      <vt:variant>
        <vt:lpwstr/>
      </vt:variant>
      <vt:variant>
        <vt:lpwstr>_Toc478663476</vt:lpwstr>
      </vt:variant>
      <vt:variant>
        <vt:i4>1179710</vt:i4>
      </vt:variant>
      <vt:variant>
        <vt:i4>44</vt:i4>
      </vt:variant>
      <vt:variant>
        <vt:i4>0</vt:i4>
      </vt:variant>
      <vt:variant>
        <vt:i4>5</vt:i4>
      </vt:variant>
      <vt:variant>
        <vt:lpwstr/>
      </vt:variant>
      <vt:variant>
        <vt:lpwstr>_Toc478663475</vt:lpwstr>
      </vt:variant>
      <vt:variant>
        <vt:i4>1179710</vt:i4>
      </vt:variant>
      <vt:variant>
        <vt:i4>38</vt:i4>
      </vt:variant>
      <vt:variant>
        <vt:i4>0</vt:i4>
      </vt:variant>
      <vt:variant>
        <vt:i4>5</vt:i4>
      </vt:variant>
      <vt:variant>
        <vt:lpwstr/>
      </vt:variant>
      <vt:variant>
        <vt:lpwstr>_Toc478663474</vt:lpwstr>
      </vt:variant>
      <vt:variant>
        <vt:i4>1179710</vt:i4>
      </vt:variant>
      <vt:variant>
        <vt:i4>32</vt:i4>
      </vt:variant>
      <vt:variant>
        <vt:i4>0</vt:i4>
      </vt:variant>
      <vt:variant>
        <vt:i4>5</vt:i4>
      </vt:variant>
      <vt:variant>
        <vt:lpwstr/>
      </vt:variant>
      <vt:variant>
        <vt:lpwstr>_Toc478663473</vt:lpwstr>
      </vt:variant>
      <vt:variant>
        <vt:i4>1179710</vt:i4>
      </vt:variant>
      <vt:variant>
        <vt:i4>26</vt:i4>
      </vt:variant>
      <vt:variant>
        <vt:i4>0</vt:i4>
      </vt:variant>
      <vt:variant>
        <vt:i4>5</vt:i4>
      </vt:variant>
      <vt:variant>
        <vt:lpwstr/>
      </vt:variant>
      <vt:variant>
        <vt:lpwstr>_Toc478663472</vt:lpwstr>
      </vt:variant>
      <vt:variant>
        <vt:i4>1179710</vt:i4>
      </vt:variant>
      <vt:variant>
        <vt:i4>20</vt:i4>
      </vt:variant>
      <vt:variant>
        <vt:i4>0</vt:i4>
      </vt:variant>
      <vt:variant>
        <vt:i4>5</vt:i4>
      </vt:variant>
      <vt:variant>
        <vt:lpwstr/>
      </vt:variant>
      <vt:variant>
        <vt:lpwstr>_Toc478663471</vt:lpwstr>
      </vt:variant>
      <vt:variant>
        <vt:i4>1179710</vt:i4>
      </vt:variant>
      <vt:variant>
        <vt:i4>14</vt:i4>
      </vt:variant>
      <vt:variant>
        <vt:i4>0</vt:i4>
      </vt:variant>
      <vt:variant>
        <vt:i4>5</vt:i4>
      </vt:variant>
      <vt:variant>
        <vt:lpwstr/>
      </vt:variant>
      <vt:variant>
        <vt:lpwstr>_Toc478663470</vt:lpwstr>
      </vt:variant>
      <vt:variant>
        <vt:i4>1245246</vt:i4>
      </vt:variant>
      <vt:variant>
        <vt:i4>8</vt:i4>
      </vt:variant>
      <vt:variant>
        <vt:i4>0</vt:i4>
      </vt:variant>
      <vt:variant>
        <vt:i4>5</vt:i4>
      </vt:variant>
      <vt:variant>
        <vt:lpwstr/>
      </vt:variant>
      <vt:variant>
        <vt:lpwstr>_Toc478663469</vt:lpwstr>
      </vt:variant>
      <vt:variant>
        <vt:i4>1245246</vt:i4>
      </vt:variant>
      <vt:variant>
        <vt:i4>2</vt:i4>
      </vt:variant>
      <vt:variant>
        <vt:i4>0</vt:i4>
      </vt:variant>
      <vt:variant>
        <vt:i4>5</vt:i4>
      </vt:variant>
      <vt:variant>
        <vt:lpwstr/>
      </vt:variant>
      <vt:variant>
        <vt:lpwstr>_Toc478663468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2018-05-31T14:29:00Z</cp:lastPrinted>
  <dcterms:created xsi:type="dcterms:W3CDTF">2018-06-07T16:41:00Z</dcterms:created>
  <dcterms:modified xsi:type="dcterms:W3CDTF">2018-07-02T07:03:00Z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